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42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459740</wp:posOffset>
            </wp:positionH>
            <wp:positionV relativeFrom="page">
              <wp:posOffset>540385</wp:posOffset>
            </wp:positionV>
            <wp:extent cx="694436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44360" cy="5715"/>
                    </a:xfrm>
                    <a:prstGeom prst="rect">
                      <a:avLst/>
                    </a:prstGeom>
                    <a:noFill/>
                  </pic:spPr>
                </pic:pic>
              </a:graphicData>
            </a:graphic>
          </wp:anchor>
        </w:drawing>
        <w:drawing>
          <wp:anchor simplePos="0" relativeHeight="251657728" behindDoc="1" locked="0" layoutInCell="0" allowOverlap="1">
            <wp:simplePos x="0" y="0"/>
            <wp:positionH relativeFrom="page">
              <wp:posOffset>459740</wp:posOffset>
            </wp:positionH>
            <wp:positionV relativeFrom="page">
              <wp:posOffset>517525</wp:posOffset>
            </wp:positionV>
            <wp:extent cx="694436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4360" cy="5715"/>
                    </a:xfrm>
                    <a:prstGeom prst="rect">
                      <a:avLst/>
                    </a:prstGeom>
                    <a:noFill/>
                  </pic:spPr>
                </pic:pic>
              </a:graphicData>
            </a:graphic>
          </wp:anchor>
        </w:drawing>
        <w:t>UNITED STATES</w:t>
      </w:r>
    </w:p>
    <w:p>
      <w:pPr>
        <w:spacing w:after="0" w:line="23" w:lineRule="exact"/>
        <w:rPr>
          <w:sz w:val="24"/>
          <w:szCs w:val="24"/>
          <w:color w:val="auto"/>
        </w:rPr>
      </w:pPr>
    </w:p>
    <w:p>
      <w:pPr>
        <w:jc w:val="center"/>
        <w:ind w:left="420"/>
        <w:spacing w:after="0"/>
        <w:rPr>
          <w:sz w:val="20"/>
          <w:szCs w:val="20"/>
          <w:color w:val="auto"/>
        </w:rPr>
      </w:pPr>
      <w:r>
        <w:rPr>
          <w:rFonts w:ascii="Arial" w:cs="Arial" w:eastAsia="Arial" w:hAnsi="Arial"/>
          <w:sz w:val="22"/>
          <w:szCs w:val="22"/>
          <w:b w:val="1"/>
          <w:bCs w:val="1"/>
          <w:color w:val="auto"/>
        </w:rPr>
        <w:t>SECURITIES AND EXCHANGE COMMISSION</w:t>
      </w:r>
    </w:p>
    <w:p>
      <w:pPr>
        <w:jc w:val="center"/>
        <w:ind w:left="420"/>
        <w:spacing w:after="0"/>
        <w:rPr>
          <w:sz w:val="20"/>
          <w:szCs w:val="20"/>
          <w:color w:val="auto"/>
        </w:rPr>
      </w:pPr>
      <w:r>
        <w:rPr>
          <w:rFonts w:ascii="Arial" w:cs="Arial" w:eastAsia="Arial" w:hAnsi="Arial"/>
          <w:sz w:val="14"/>
          <w:szCs w:val="14"/>
          <w:b w:val="1"/>
          <w:bCs w:val="1"/>
          <w:color w:val="auto"/>
        </w:rPr>
        <w:t>WASHINGTON, D.C. 20549</w:t>
      </w:r>
    </w:p>
    <w:p>
      <w:pPr>
        <w:spacing w:after="0" w:line="4" w:lineRule="exact"/>
        <w:rPr>
          <w:sz w:val="24"/>
          <w:szCs w:val="24"/>
          <w:color w:val="auto"/>
        </w:rPr>
      </w:pPr>
    </w:p>
    <w:p>
      <w:pPr>
        <w:ind w:left="5120"/>
        <w:spacing w:after="0"/>
        <w:rPr>
          <w:sz w:val="20"/>
          <w:szCs w:val="20"/>
          <w:color w:val="auto"/>
        </w:rPr>
      </w:pPr>
      <w:r>
        <w:rPr>
          <w:rFonts w:ascii="Arial" w:cs="Arial" w:eastAsia="Arial" w:hAnsi="Arial"/>
          <w:sz w:val="12"/>
          <w:szCs w:val="12"/>
          <w:color w:val="auto"/>
        </w:rPr>
        <w:t>_________________________</w:t>
      </w:r>
    </w:p>
    <w:p>
      <w:pPr>
        <w:spacing w:after="0" w:line="22" w:lineRule="exact"/>
        <w:rPr>
          <w:sz w:val="24"/>
          <w:szCs w:val="24"/>
          <w:color w:val="auto"/>
        </w:rPr>
      </w:pPr>
    </w:p>
    <w:p>
      <w:pPr>
        <w:jc w:val="center"/>
        <w:ind w:left="420"/>
        <w:spacing w:after="0"/>
        <w:rPr>
          <w:sz w:val="20"/>
          <w:szCs w:val="20"/>
          <w:color w:val="auto"/>
        </w:rPr>
      </w:pPr>
      <w:r>
        <w:rPr>
          <w:rFonts w:ascii="Arial" w:cs="Arial" w:eastAsia="Arial" w:hAnsi="Arial"/>
          <w:sz w:val="22"/>
          <w:szCs w:val="22"/>
          <w:b w:val="1"/>
          <w:bCs w:val="1"/>
          <w:color w:val="auto"/>
        </w:rPr>
        <w:t>FORM 10-Q</w:t>
      </w:r>
    </w:p>
    <w:p>
      <w:pPr>
        <w:spacing w:after="0" w:line="16" w:lineRule="exact"/>
        <w:rPr>
          <w:sz w:val="24"/>
          <w:szCs w:val="24"/>
          <w:color w:val="auto"/>
        </w:rPr>
      </w:pPr>
    </w:p>
    <w:p>
      <w:pPr>
        <w:ind w:left="5080"/>
        <w:spacing w:after="0"/>
        <w:rPr>
          <w:sz w:val="20"/>
          <w:szCs w:val="20"/>
          <w:color w:val="auto"/>
        </w:rPr>
      </w:pPr>
      <w:r>
        <w:rPr>
          <w:rFonts w:ascii="Arial" w:cs="Arial" w:eastAsia="Arial" w:hAnsi="Arial"/>
          <w:sz w:val="7"/>
          <w:szCs w:val="7"/>
          <w:color w:val="auto"/>
        </w:rPr>
        <w:t>___________________________________________</w:t>
      </w:r>
    </w:p>
    <w:p>
      <w:pPr>
        <w:spacing w:after="0" w:line="25"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(Mark One)</w:t>
      </w:r>
    </w:p>
    <w:p>
      <w:pPr>
        <w:spacing w:after="0" w:line="73" w:lineRule="exact"/>
        <w:rPr>
          <w:sz w:val="24"/>
          <w:szCs w:val="24"/>
          <w:color w:val="auto"/>
        </w:rPr>
      </w:pPr>
    </w:p>
    <w:p>
      <w:pPr>
        <w:ind w:left="680" w:hanging="667"/>
        <w:spacing w:after="0"/>
        <w:tabs>
          <w:tab w:leader="none" w:pos="680" w:val="left"/>
        </w:tabs>
        <w:numPr>
          <w:ilvl w:val="0"/>
          <w:numId w:val="1"/>
        </w:numPr>
        <w:rPr>
          <w:rFonts w:ascii="MS PGothic" w:cs="MS PGothic" w:eastAsia="MS PGothic" w:hAnsi="MS PGothic"/>
          <w:sz w:val="12"/>
          <w:szCs w:val="12"/>
          <w:color w:val="auto"/>
        </w:rPr>
      </w:pPr>
      <w:r>
        <w:rPr>
          <w:rFonts w:ascii="Arial" w:cs="Arial" w:eastAsia="Arial" w:hAnsi="Arial"/>
          <w:sz w:val="11"/>
          <w:szCs w:val="11"/>
          <w:b w:val="1"/>
          <w:bCs w:val="1"/>
          <w:color w:val="auto"/>
        </w:rPr>
        <w:t>QUARTERLY REPORT PURSUANT TO SECTION 13 OR 15(d) OF THE SECURITIES EXCHANGE ACT OF 1934</w:t>
      </w:r>
    </w:p>
    <w:p>
      <w:pPr>
        <w:spacing w:after="0" w:line="68" w:lineRule="exact"/>
        <w:rPr>
          <w:sz w:val="24"/>
          <w:szCs w:val="24"/>
          <w:color w:val="auto"/>
        </w:rPr>
      </w:pPr>
    </w:p>
    <w:p>
      <w:pPr>
        <w:ind w:left="4480"/>
        <w:spacing w:after="0"/>
        <w:rPr>
          <w:sz w:val="20"/>
          <w:szCs w:val="20"/>
          <w:color w:val="auto"/>
        </w:rPr>
      </w:pPr>
      <w:r>
        <w:rPr>
          <w:rFonts w:ascii="Arial" w:cs="Arial" w:eastAsia="Arial" w:hAnsi="Arial"/>
          <w:sz w:val="12"/>
          <w:szCs w:val="12"/>
          <w:b w:val="1"/>
          <w:bCs w:val="1"/>
          <w:color w:val="auto"/>
        </w:rPr>
        <w:t>For the quarterly period ended June 30, 2021</w:t>
      </w:r>
    </w:p>
    <w:p>
      <w:pPr>
        <w:spacing w:after="0" w:line="42" w:lineRule="exact"/>
        <w:rPr>
          <w:sz w:val="24"/>
          <w:szCs w:val="24"/>
          <w:color w:val="auto"/>
        </w:rPr>
      </w:pPr>
    </w:p>
    <w:p>
      <w:pPr>
        <w:ind w:left="5780"/>
        <w:spacing w:after="0"/>
        <w:rPr>
          <w:sz w:val="20"/>
          <w:szCs w:val="20"/>
          <w:color w:val="auto"/>
        </w:rPr>
      </w:pPr>
      <w:r>
        <w:rPr>
          <w:rFonts w:ascii="Arial" w:cs="Arial" w:eastAsia="Arial" w:hAnsi="Arial"/>
          <w:sz w:val="12"/>
          <w:szCs w:val="12"/>
          <w:b w:val="1"/>
          <w:bCs w:val="1"/>
          <w:color w:val="auto"/>
        </w:rPr>
        <w:t>OR</w:t>
      </w:r>
    </w:p>
    <w:p>
      <w:pPr>
        <w:spacing w:after="0" w:line="73" w:lineRule="exact"/>
        <w:rPr>
          <w:sz w:val="24"/>
          <w:szCs w:val="24"/>
          <w:color w:val="auto"/>
        </w:rPr>
      </w:pPr>
    </w:p>
    <w:p>
      <w:pPr>
        <w:ind w:left="1540" w:hanging="672"/>
        <w:spacing w:after="0"/>
        <w:tabs>
          <w:tab w:leader="none" w:pos="1540" w:val="left"/>
        </w:tabs>
        <w:numPr>
          <w:ilvl w:val="0"/>
          <w:numId w:val="2"/>
        </w:numPr>
        <w:rPr>
          <w:rFonts w:ascii="MS PGothic" w:cs="MS PGothic" w:eastAsia="MS PGothic" w:hAnsi="MS PGothic"/>
          <w:sz w:val="12"/>
          <w:szCs w:val="12"/>
          <w:color w:val="auto"/>
        </w:rPr>
      </w:pPr>
      <w:r>
        <w:rPr>
          <w:rFonts w:ascii="Arial" w:cs="Arial" w:eastAsia="Arial" w:hAnsi="Arial"/>
          <w:sz w:val="11"/>
          <w:szCs w:val="11"/>
          <w:b w:val="1"/>
          <w:bCs w:val="1"/>
          <w:color w:val="auto"/>
        </w:rPr>
        <w:t>TRANSITION REPORT PURSUANT TO SECTION 13 OR 15(d) OF THE SECURITIES EXCHANGE ACT OF 1934</w:t>
      </w:r>
    </w:p>
    <w:p>
      <w:pPr>
        <w:spacing w:after="0" w:line="149" w:lineRule="exact"/>
        <w:rPr>
          <w:sz w:val="24"/>
          <w:szCs w:val="24"/>
          <w:color w:val="auto"/>
        </w:rPr>
      </w:pPr>
    </w:p>
    <w:p>
      <w:pPr>
        <w:ind w:left="4400"/>
        <w:spacing w:after="0"/>
        <w:tabs>
          <w:tab w:leader="none" w:pos="6580" w:val="left"/>
        </w:tabs>
        <w:rPr>
          <w:sz w:val="20"/>
          <w:szCs w:val="20"/>
          <w:color w:val="auto"/>
        </w:rPr>
      </w:pPr>
      <w:r>
        <w:rPr>
          <w:rFonts w:ascii="Arial" w:cs="Arial" w:eastAsia="Arial" w:hAnsi="Arial"/>
          <w:sz w:val="12"/>
          <w:szCs w:val="12"/>
          <w:b w:val="1"/>
          <w:bCs w:val="1"/>
          <w:color w:val="auto"/>
        </w:rPr>
        <w:t>For the transition period from</w:t>
      </w:r>
      <w:r>
        <w:rPr>
          <w:sz w:val="20"/>
          <w:szCs w:val="20"/>
          <w:color w:val="auto"/>
        </w:rPr>
        <w:tab/>
      </w:r>
      <w:r>
        <w:rPr>
          <w:rFonts w:ascii="Arial" w:cs="Arial" w:eastAsia="Arial" w:hAnsi="Arial"/>
          <w:sz w:val="10"/>
          <w:szCs w:val="10"/>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3790950</wp:posOffset>
            </wp:positionH>
            <wp:positionV relativeFrom="paragraph">
              <wp:posOffset>-4445</wp:posOffset>
            </wp:positionV>
            <wp:extent cx="86296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2965" cy="5715"/>
                    </a:xfrm>
                    <a:prstGeom prst="rect">
                      <a:avLst/>
                    </a:prstGeom>
                    <a:noFill/>
                  </pic:spPr>
                </pic:pic>
              </a:graphicData>
            </a:graphic>
          </wp:anchor>
        </w:drawing>
      </w:r>
    </w:p>
    <w:p>
      <w:pPr>
        <w:spacing w:after="0" w:line="22" w:lineRule="exact"/>
        <w:rPr>
          <w:sz w:val="24"/>
          <w:szCs w:val="24"/>
          <w:color w:val="auto"/>
        </w:rPr>
      </w:pPr>
    </w:p>
    <w:p>
      <w:pPr>
        <w:jc w:val="center"/>
        <w:ind w:left="420"/>
        <w:spacing w:after="0"/>
        <w:rPr>
          <w:sz w:val="20"/>
          <w:szCs w:val="20"/>
          <w:color w:val="auto"/>
        </w:rPr>
      </w:pPr>
      <w:r>
        <w:rPr>
          <w:rFonts w:ascii="Arial" w:cs="Arial" w:eastAsia="Arial" w:hAnsi="Arial"/>
          <w:sz w:val="12"/>
          <w:szCs w:val="12"/>
          <w:b w:val="1"/>
          <w:bCs w:val="1"/>
          <w:color w:val="auto"/>
        </w:rPr>
        <w:t>Commission file number 001-35219</w:t>
      </w:r>
    </w:p>
    <w:p>
      <w:pPr>
        <w:spacing w:after="0" w:line="19" w:lineRule="exact"/>
        <w:rPr>
          <w:sz w:val="24"/>
          <w:szCs w:val="24"/>
          <w:color w:val="auto"/>
        </w:rPr>
      </w:pPr>
    </w:p>
    <w:p>
      <w:pPr>
        <w:ind w:left="5120"/>
        <w:spacing w:after="0"/>
        <w:rPr>
          <w:sz w:val="20"/>
          <w:szCs w:val="20"/>
          <w:color w:val="auto"/>
        </w:rPr>
      </w:pPr>
      <w:r>
        <w:rPr>
          <w:rFonts w:ascii="Arial" w:cs="Arial" w:eastAsia="Arial" w:hAnsi="Arial"/>
          <w:sz w:val="12"/>
          <w:szCs w:val="12"/>
          <w:color w:val="auto"/>
        </w:rPr>
        <w:t>_________________________</w:t>
      </w:r>
    </w:p>
    <w:p>
      <w:pPr>
        <w:spacing w:after="0" w:line="23" w:lineRule="exact"/>
        <w:rPr>
          <w:sz w:val="24"/>
          <w:szCs w:val="24"/>
          <w:color w:val="auto"/>
        </w:rPr>
      </w:pPr>
    </w:p>
    <w:p>
      <w:pPr>
        <w:jc w:val="center"/>
        <w:ind w:left="420"/>
        <w:spacing w:after="0"/>
        <w:rPr>
          <w:sz w:val="20"/>
          <w:szCs w:val="20"/>
          <w:color w:val="auto"/>
        </w:rPr>
      </w:pPr>
      <w:r>
        <w:rPr>
          <w:rFonts w:ascii="Arial" w:cs="Arial" w:eastAsia="Arial" w:hAnsi="Arial"/>
          <w:sz w:val="29"/>
          <w:szCs w:val="29"/>
          <w:b w:val="1"/>
          <w:bCs w:val="1"/>
          <w:color w:val="auto"/>
        </w:rPr>
        <w:t>Marriott Vacations Worldwide Corporation</w:t>
      </w:r>
    </w:p>
    <w:p>
      <w:pPr>
        <w:spacing w:after="0" w:line="28" w:lineRule="exact"/>
        <w:rPr>
          <w:sz w:val="24"/>
          <w:szCs w:val="24"/>
          <w:color w:val="auto"/>
        </w:rPr>
      </w:pPr>
    </w:p>
    <w:p>
      <w:pPr>
        <w:jc w:val="center"/>
        <w:ind w:left="420"/>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5" w:lineRule="exact"/>
        <w:rPr>
          <w:sz w:val="24"/>
          <w:szCs w:val="24"/>
          <w:color w:val="auto"/>
        </w:rPr>
      </w:pPr>
    </w:p>
    <w:p>
      <w:pPr>
        <w:ind w:left="5120"/>
        <w:spacing w:after="0"/>
        <w:rPr>
          <w:sz w:val="20"/>
          <w:szCs w:val="20"/>
          <w:color w:val="auto"/>
        </w:rPr>
      </w:pPr>
      <w:r>
        <w:rPr>
          <w:rFonts w:ascii="Arial" w:cs="Arial" w:eastAsia="Arial" w:hAnsi="Arial"/>
          <w:sz w:val="12"/>
          <w:szCs w:val="12"/>
          <w:color w:val="auto"/>
        </w:rPr>
        <w:t>_________________________</w:t>
      </w:r>
    </w:p>
    <w:p>
      <w:pPr>
        <w:spacing w:after="0" w:line="83" w:lineRule="exact"/>
        <w:rPr>
          <w:sz w:val="24"/>
          <w:szCs w:val="24"/>
          <w:color w:val="auto"/>
        </w:rPr>
      </w:pPr>
    </w:p>
    <w:tbl>
      <w:tblPr>
        <w:tblLayout w:type="fixed"/>
        <w:tblInd w:w="3760" w:type="dxa"/>
        <w:tblCellMar>
          <w:top w:w="0" w:type="dxa"/>
          <w:left w:w="0" w:type="dxa"/>
          <w:bottom w:w="0" w:type="dxa"/>
          <w:right w:w="0" w:type="dxa"/>
        </w:tblCellMar>
      </w:tblPr>
      <w:tr>
        <w:trPr>
          <w:trHeight w:val="157"/>
        </w:trPr>
        <w:tc>
          <w:tcPr>
            <w:tcW w:w="760" w:type="dxa"/>
            <w:vAlign w:val="bottom"/>
          </w:tcPr>
          <w:p>
            <w:pPr>
              <w:spacing w:after="0"/>
              <w:rPr>
                <w:sz w:val="13"/>
                <w:szCs w:val="13"/>
                <w:color w:val="auto"/>
              </w:rPr>
            </w:pPr>
          </w:p>
        </w:tc>
        <w:tc>
          <w:tcPr>
            <w:tcW w:w="1180" w:type="dxa"/>
            <w:vAlign w:val="bottom"/>
          </w:tcPr>
          <w:p>
            <w:pPr>
              <w:jc w:val="center"/>
              <w:ind w:right="480"/>
              <w:spacing w:after="0"/>
              <w:rPr>
                <w:sz w:val="20"/>
                <w:szCs w:val="20"/>
                <w:color w:val="auto"/>
              </w:rPr>
            </w:pPr>
            <w:r>
              <w:rPr>
                <w:rFonts w:ascii="Arial" w:cs="Arial" w:eastAsia="Arial" w:hAnsi="Arial"/>
                <w:sz w:val="12"/>
                <w:szCs w:val="12"/>
                <w:b w:val="1"/>
                <w:bCs w:val="1"/>
                <w:color w:val="auto"/>
                <w:w w:val="91"/>
              </w:rPr>
              <w:t>Delaware</w:t>
            </w:r>
          </w:p>
        </w:tc>
        <w:tc>
          <w:tcPr>
            <w:tcW w:w="900" w:type="dxa"/>
            <w:vAlign w:val="bottom"/>
          </w:tcPr>
          <w:p>
            <w:pPr>
              <w:spacing w:after="0"/>
              <w:rPr>
                <w:sz w:val="13"/>
                <w:szCs w:val="13"/>
                <w:color w:val="auto"/>
              </w:rPr>
            </w:pPr>
          </w:p>
        </w:tc>
        <w:tc>
          <w:tcPr>
            <w:tcW w:w="1620" w:type="dxa"/>
            <w:vAlign w:val="bottom"/>
          </w:tcPr>
          <w:p>
            <w:pPr>
              <w:jc w:val="right"/>
              <w:ind w:right="7"/>
              <w:spacing w:after="0"/>
              <w:rPr>
                <w:sz w:val="20"/>
                <w:szCs w:val="20"/>
                <w:color w:val="auto"/>
              </w:rPr>
            </w:pPr>
            <w:r>
              <w:rPr>
                <w:rFonts w:ascii="Arial" w:cs="Arial" w:eastAsia="Arial" w:hAnsi="Arial"/>
                <w:sz w:val="12"/>
                <w:szCs w:val="12"/>
                <w:b w:val="1"/>
                <w:bCs w:val="1"/>
                <w:color w:val="auto"/>
              </w:rPr>
              <w:t>45-2598330</w:t>
            </w:r>
          </w:p>
        </w:tc>
        <w:tc>
          <w:tcPr>
            <w:tcW w:w="0" w:type="dxa"/>
            <w:vAlign w:val="bottom"/>
          </w:tcPr>
          <w:p>
            <w:pPr>
              <w:spacing w:after="0"/>
              <w:rPr>
                <w:sz w:val="1"/>
                <w:szCs w:val="1"/>
                <w:color w:val="auto"/>
              </w:rPr>
            </w:pPr>
          </w:p>
        </w:tc>
      </w:tr>
      <w:tr>
        <w:trPr>
          <w:trHeight w:val="144"/>
        </w:trPr>
        <w:tc>
          <w:tcPr>
            <w:tcW w:w="1940" w:type="dxa"/>
            <w:vAlign w:val="bottom"/>
            <w:gridSpan w:val="2"/>
          </w:tcPr>
          <w:p>
            <w:pPr>
              <w:jc w:val="center"/>
              <w:ind w:left="167"/>
              <w:spacing w:after="0"/>
              <w:rPr>
                <w:sz w:val="20"/>
                <w:szCs w:val="20"/>
                <w:color w:val="auto"/>
              </w:rPr>
            </w:pPr>
            <w:r>
              <w:rPr>
                <w:rFonts w:ascii="Arial" w:cs="Arial" w:eastAsia="Arial" w:hAnsi="Arial"/>
                <w:sz w:val="10"/>
                <w:szCs w:val="10"/>
                <w:b w:val="1"/>
                <w:bCs w:val="1"/>
                <w:color w:val="auto"/>
                <w:w w:val="87"/>
              </w:rPr>
              <w:t>(State or other jurisdiction of</w:t>
            </w:r>
          </w:p>
        </w:tc>
        <w:tc>
          <w:tcPr>
            <w:tcW w:w="900" w:type="dxa"/>
            <w:vAlign w:val="bottom"/>
          </w:tcPr>
          <w:p>
            <w:pPr>
              <w:spacing w:after="0"/>
              <w:rPr>
                <w:sz w:val="12"/>
                <w:szCs w:val="12"/>
                <w:color w:val="auto"/>
              </w:rPr>
            </w:pPr>
          </w:p>
        </w:tc>
        <w:tc>
          <w:tcPr>
            <w:tcW w:w="1620" w:type="dxa"/>
            <w:vAlign w:val="bottom"/>
          </w:tcPr>
          <w:p>
            <w:pPr>
              <w:jc w:val="center"/>
              <w:ind w:left="867"/>
              <w:spacing w:after="0"/>
              <w:rPr>
                <w:sz w:val="20"/>
                <w:szCs w:val="20"/>
                <w:color w:val="auto"/>
              </w:rPr>
            </w:pPr>
            <w:r>
              <w:rPr>
                <w:rFonts w:ascii="Arial" w:cs="Arial" w:eastAsia="Arial" w:hAnsi="Arial"/>
                <w:sz w:val="10"/>
                <w:szCs w:val="10"/>
                <w:b w:val="1"/>
                <w:bCs w:val="1"/>
                <w:color w:val="auto"/>
                <w:w w:val="91"/>
              </w:rPr>
              <w:t>(I.R.S. Employer</w:t>
            </w:r>
          </w:p>
        </w:tc>
        <w:tc>
          <w:tcPr>
            <w:tcW w:w="0" w:type="dxa"/>
            <w:vAlign w:val="bottom"/>
          </w:tcPr>
          <w:p>
            <w:pPr>
              <w:spacing w:after="0"/>
              <w:rPr>
                <w:sz w:val="1"/>
                <w:szCs w:val="1"/>
                <w:color w:val="auto"/>
              </w:rPr>
            </w:pPr>
          </w:p>
        </w:tc>
      </w:tr>
      <w:tr>
        <w:trPr>
          <w:trHeight w:val="122"/>
        </w:trPr>
        <w:tc>
          <w:tcPr>
            <w:tcW w:w="1940" w:type="dxa"/>
            <w:vAlign w:val="bottom"/>
            <w:gridSpan w:val="2"/>
          </w:tcPr>
          <w:p>
            <w:pPr>
              <w:ind w:left="240"/>
              <w:spacing w:after="0"/>
              <w:rPr>
                <w:sz w:val="20"/>
                <w:szCs w:val="20"/>
                <w:color w:val="auto"/>
              </w:rPr>
            </w:pPr>
            <w:r>
              <w:rPr>
                <w:rFonts w:ascii="Arial" w:cs="Arial" w:eastAsia="Arial" w:hAnsi="Arial"/>
                <w:sz w:val="10"/>
                <w:szCs w:val="10"/>
                <w:b w:val="1"/>
                <w:bCs w:val="1"/>
                <w:color w:val="auto"/>
              </w:rPr>
              <w:t>incorporation or organization)</w:t>
            </w:r>
          </w:p>
        </w:tc>
        <w:tc>
          <w:tcPr>
            <w:tcW w:w="900" w:type="dxa"/>
            <w:vAlign w:val="bottom"/>
          </w:tcPr>
          <w:p>
            <w:pPr>
              <w:spacing w:after="0"/>
              <w:rPr>
                <w:sz w:val="10"/>
                <w:szCs w:val="10"/>
                <w:color w:val="auto"/>
              </w:rPr>
            </w:pPr>
          </w:p>
        </w:tc>
        <w:tc>
          <w:tcPr>
            <w:tcW w:w="1620" w:type="dxa"/>
            <w:vAlign w:val="bottom"/>
          </w:tcPr>
          <w:p>
            <w:pPr>
              <w:ind w:left="680"/>
              <w:spacing w:after="0"/>
              <w:rPr>
                <w:sz w:val="20"/>
                <w:szCs w:val="20"/>
                <w:color w:val="auto"/>
              </w:rPr>
            </w:pPr>
            <w:r>
              <w:rPr>
                <w:rFonts w:ascii="Arial" w:cs="Arial" w:eastAsia="Arial" w:hAnsi="Arial"/>
                <w:sz w:val="10"/>
                <w:szCs w:val="10"/>
                <w:b w:val="1"/>
                <w:bCs w:val="1"/>
                <w:color w:val="auto"/>
              </w:rPr>
              <w:t>Identification No.)</w:t>
            </w:r>
          </w:p>
        </w:tc>
        <w:tc>
          <w:tcPr>
            <w:tcW w:w="0" w:type="dxa"/>
            <w:vAlign w:val="bottom"/>
          </w:tcPr>
          <w:p>
            <w:pPr>
              <w:spacing w:after="0"/>
              <w:rPr>
                <w:sz w:val="1"/>
                <w:szCs w:val="1"/>
                <w:color w:val="auto"/>
              </w:rPr>
            </w:pPr>
          </w:p>
        </w:tc>
      </w:tr>
      <w:tr>
        <w:trPr>
          <w:trHeight w:val="121"/>
        </w:trPr>
        <w:tc>
          <w:tcPr>
            <w:tcW w:w="760" w:type="dxa"/>
            <w:vAlign w:val="bottom"/>
          </w:tcPr>
          <w:p>
            <w:pPr>
              <w:jc w:val="right"/>
              <w:ind w:right="27"/>
              <w:spacing w:after="0" w:line="121" w:lineRule="exact"/>
              <w:rPr>
                <w:sz w:val="20"/>
                <w:szCs w:val="20"/>
                <w:color w:val="auto"/>
              </w:rPr>
            </w:pPr>
            <w:r>
              <w:rPr>
                <w:rFonts w:ascii="Arial" w:cs="Arial" w:eastAsia="Arial" w:hAnsi="Arial"/>
                <w:sz w:val="12"/>
                <w:szCs w:val="12"/>
                <w:b w:val="1"/>
                <w:bCs w:val="1"/>
                <w:color w:val="auto"/>
              </w:rPr>
              <w:t>9002 San</w:t>
            </w:r>
          </w:p>
        </w:tc>
        <w:tc>
          <w:tcPr>
            <w:tcW w:w="1180" w:type="dxa"/>
            <w:vAlign w:val="bottom"/>
            <w:vMerge w:val="restart"/>
          </w:tcPr>
          <w:p>
            <w:pPr>
              <w:ind w:left="380"/>
              <w:spacing w:after="0"/>
              <w:rPr>
                <w:sz w:val="20"/>
                <w:szCs w:val="20"/>
                <w:color w:val="auto"/>
              </w:rPr>
            </w:pPr>
            <w:r>
              <w:rPr>
                <w:rFonts w:ascii="Arial" w:cs="Arial" w:eastAsia="Arial" w:hAnsi="Arial"/>
                <w:sz w:val="12"/>
                <w:szCs w:val="12"/>
                <w:b w:val="1"/>
                <w:bCs w:val="1"/>
                <w:color w:val="auto"/>
              </w:rPr>
              <w:t>Orlando</w:t>
            </w:r>
          </w:p>
        </w:tc>
        <w:tc>
          <w:tcPr>
            <w:tcW w:w="9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FL</w:t>
            </w:r>
          </w:p>
        </w:tc>
        <w:tc>
          <w:tcPr>
            <w:tcW w:w="1620" w:type="dxa"/>
            <w:vAlign w:val="bottom"/>
            <w:vMerge w:val="restart"/>
          </w:tcPr>
          <w:p>
            <w:pPr>
              <w:jc w:val="right"/>
              <w:ind w:right="147"/>
              <w:spacing w:after="0"/>
              <w:rPr>
                <w:sz w:val="20"/>
                <w:szCs w:val="20"/>
                <w:color w:val="auto"/>
              </w:rPr>
            </w:pPr>
            <w:r>
              <w:rPr>
                <w:rFonts w:ascii="Arial" w:cs="Arial" w:eastAsia="Arial" w:hAnsi="Arial"/>
                <w:sz w:val="12"/>
                <w:szCs w:val="12"/>
                <w:b w:val="1"/>
                <w:bCs w:val="1"/>
                <w:color w:val="auto"/>
              </w:rPr>
              <w:t>32819</w:t>
            </w:r>
          </w:p>
        </w:tc>
        <w:tc>
          <w:tcPr>
            <w:tcW w:w="0" w:type="dxa"/>
            <w:vAlign w:val="bottom"/>
          </w:tcPr>
          <w:p>
            <w:pPr>
              <w:spacing w:after="0"/>
              <w:rPr>
                <w:sz w:val="1"/>
                <w:szCs w:val="1"/>
                <w:color w:val="auto"/>
              </w:rPr>
            </w:pPr>
          </w:p>
        </w:tc>
      </w:tr>
      <w:tr>
        <w:trPr>
          <w:trHeight w:val="148"/>
        </w:trPr>
        <w:tc>
          <w:tcPr>
            <w:tcW w:w="760" w:type="dxa"/>
            <w:vAlign w:val="bottom"/>
          </w:tcPr>
          <w:p>
            <w:pPr>
              <w:jc w:val="right"/>
              <w:ind w:right="27"/>
              <w:spacing w:after="0"/>
              <w:rPr>
                <w:sz w:val="20"/>
                <w:szCs w:val="20"/>
                <w:color w:val="auto"/>
              </w:rPr>
            </w:pPr>
            <w:r>
              <w:rPr>
                <w:rFonts w:ascii="Arial" w:cs="Arial" w:eastAsia="Arial" w:hAnsi="Arial"/>
                <w:sz w:val="12"/>
                <w:szCs w:val="12"/>
                <w:b w:val="1"/>
                <w:bCs w:val="1"/>
                <w:color w:val="auto"/>
                <w:w w:val="93"/>
              </w:rPr>
              <w:t>Marco Court</w:t>
            </w:r>
          </w:p>
        </w:tc>
        <w:tc>
          <w:tcPr>
            <w:tcW w:w="118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1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940" w:type="dxa"/>
            <w:vAlign w:val="bottom"/>
            <w:gridSpan w:val="2"/>
          </w:tcPr>
          <w:p>
            <w:pPr>
              <w:jc w:val="center"/>
              <w:ind w:left="147"/>
              <w:spacing w:after="0"/>
              <w:rPr>
                <w:sz w:val="20"/>
                <w:szCs w:val="20"/>
                <w:color w:val="auto"/>
              </w:rPr>
            </w:pPr>
            <w:r>
              <w:rPr>
                <w:rFonts w:ascii="Arial" w:cs="Arial" w:eastAsia="Arial" w:hAnsi="Arial"/>
                <w:sz w:val="10"/>
                <w:szCs w:val="10"/>
                <w:b w:val="1"/>
                <w:bCs w:val="1"/>
                <w:color w:val="auto"/>
                <w:w w:val="84"/>
              </w:rPr>
              <w:t>(Address of principal executive offices)</w:t>
            </w:r>
          </w:p>
        </w:tc>
        <w:tc>
          <w:tcPr>
            <w:tcW w:w="900" w:type="dxa"/>
            <w:vAlign w:val="bottom"/>
          </w:tcPr>
          <w:p>
            <w:pPr>
              <w:spacing w:after="0"/>
              <w:rPr>
                <w:sz w:val="10"/>
                <w:szCs w:val="10"/>
                <w:color w:val="auto"/>
              </w:rPr>
            </w:pPr>
          </w:p>
        </w:tc>
        <w:tc>
          <w:tcPr>
            <w:tcW w:w="1620" w:type="dxa"/>
            <w:vAlign w:val="bottom"/>
          </w:tcPr>
          <w:p>
            <w:pPr>
              <w:jc w:val="center"/>
              <w:ind w:left="887"/>
              <w:spacing w:after="0"/>
              <w:rPr>
                <w:sz w:val="20"/>
                <w:szCs w:val="20"/>
                <w:color w:val="auto"/>
              </w:rPr>
            </w:pPr>
            <w:r>
              <w:rPr>
                <w:rFonts w:ascii="Arial" w:cs="Arial" w:eastAsia="Arial" w:hAnsi="Arial"/>
                <w:sz w:val="10"/>
                <w:szCs w:val="10"/>
                <w:b w:val="1"/>
                <w:bCs w:val="1"/>
                <w:color w:val="auto"/>
                <w:w w:val="88"/>
              </w:rPr>
              <w:t>(Zip Code)</w:t>
            </w:r>
          </w:p>
        </w:tc>
        <w:tc>
          <w:tcPr>
            <w:tcW w:w="0" w:type="dxa"/>
            <w:vAlign w:val="bottom"/>
          </w:tcPr>
          <w:p>
            <w:pPr>
              <w:spacing w:after="0"/>
              <w:rPr>
                <w:sz w:val="1"/>
                <w:szCs w:val="1"/>
                <w:color w:val="auto"/>
              </w:rPr>
            </w:pPr>
          </w:p>
        </w:tc>
      </w:tr>
    </w:tbl>
    <w:p>
      <w:pPr>
        <w:spacing w:after="0" w:line="67" w:lineRule="exact"/>
        <w:rPr>
          <w:sz w:val="24"/>
          <w:szCs w:val="24"/>
          <w:color w:val="auto"/>
        </w:rPr>
      </w:pPr>
    </w:p>
    <w:p>
      <w:pPr>
        <w:ind w:left="4680" w:hanging="292"/>
        <w:spacing w:after="0"/>
        <w:tabs>
          <w:tab w:leader="none" w:pos="4680" w:val="left"/>
        </w:tabs>
        <w:numPr>
          <w:ilvl w:val="0"/>
          <w:numId w:val="3"/>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206-6000 </w:t>
      </w:r>
      <w:r>
        <w:rPr>
          <w:rFonts w:ascii="Arial" w:cs="Arial" w:eastAsia="Arial" w:hAnsi="Arial"/>
          <w:sz w:val="9"/>
          <w:szCs w:val="9"/>
          <w:b w:val="1"/>
          <w:bCs w:val="1"/>
          <w:color w:val="auto"/>
        </w:rPr>
        <w:t>(Registrant’s telephone number, including area code)</w:t>
      </w:r>
    </w:p>
    <w:p>
      <w:pPr>
        <w:spacing w:after="0" w:line="42" w:lineRule="exact"/>
        <w:rPr>
          <w:sz w:val="24"/>
          <w:szCs w:val="24"/>
          <w:color w:val="auto"/>
        </w:rPr>
      </w:pPr>
    </w:p>
    <w:p>
      <w:pPr>
        <w:jc w:val="center"/>
        <w:ind w:left="420"/>
        <w:spacing w:after="0"/>
        <w:rPr>
          <w:sz w:val="20"/>
          <w:szCs w:val="20"/>
          <w:color w:val="auto"/>
        </w:rPr>
      </w:pPr>
      <w:r>
        <w:rPr>
          <w:rFonts w:ascii="Arial" w:cs="Arial" w:eastAsia="Arial" w:hAnsi="Arial"/>
          <w:sz w:val="12"/>
          <w:szCs w:val="12"/>
          <w:b w:val="1"/>
          <w:bCs w:val="1"/>
          <w:color w:val="auto"/>
        </w:rPr>
        <w:t>6649 Westwood Blvd., Orlando, FL 32821</w:t>
      </w:r>
    </w:p>
    <w:p>
      <w:pPr>
        <w:spacing w:after="0" w:line="13" w:lineRule="exact"/>
        <w:rPr>
          <w:sz w:val="24"/>
          <w:szCs w:val="24"/>
          <w:color w:val="auto"/>
        </w:rPr>
      </w:pPr>
    </w:p>
    <w:p>
      <w:pPr>
        <w:jc w:val="center"/>
        <w:ind w:left="420"/>
        <w:spacing w:after="0"/>
        <w:rPr>
          <w:sz w:val="20"/>
          <w:szCs w:val="20"/>
          <w:color w:val="auto"/>
        </w:rPr>
      </w:pPr>
      <w:r>
        <w:rPr>
          <w:rFonts w:ascii="Arial" w:cs="Arial" w:eastAsia="Arial" w:hAnsi="Arial"/>
          <w:sz w:val="10"/>
          <w:szCs w:val="10"/>
          <w:b w:val="1"/>
          <w:bCs w:val="1"/>
          <w:color w:val="auto"/>
        </w:rPr>
        <w:t>(Former name, former address and former fiscal year, if changed since last report)</w:t>
      </w:r>
    </w:p>
    <w:p>
      <w:pPr>
        <w:spacing w:after="0" w:line="22" w:lineRule="exact"/>
        <w:rPr>
          <w:sz w:val="24"/>
          <w:szCs w:val="24"/>
          <w:color w:val="auto"/>
        </w:rPr>
      </w:pPr>
    </w:p>
    <w:p>
      <w:pPr>
        <w:spacing w:after="0"/>
        <w:rPr>
          <w:sz w:val="20"/>
          <w:szCs w:val="20"/>
          <w:color w:val="auto"/>
        </w:rPr>
      </w:pPr>
      <w:r>
        <w:rPr>
          <w:rFonts w:ascii="Arial" w:cs="Arial" w:eastAsia="Arial" w:hAnsi="Arial"/>
          <w:sz w:val="11"/>
          <w:szCs w:val="11"/>
          <w:color w:val="auto"/>
        </w:rPr>
        <w:t>Securities registered pursuant to Section 12(b) of the Act:</w:t>
      </w:r>
    </w:p>
    <w:p>
      <w:pPr>
        <w:spacing w:after="0" w:line="82" w:lineRule="exact"/>
        <w:rPr>
          <w:sz w:val="24"/>
          <w:szCs w:val="24"/>
          <w:color w:val="auto"/>
        </w:rPr>
      </w:pPr>
    </w:p>
    <w:tbl>
      <w:tblPr>
        <w:tblLayout w:type="fixed"/>
        <w:tblInd w:w="430" w:type="dxa"/>
        <w:tblCellMar>
          <w:top w:w="0" w:type="dxa"/>
          <w:left w:w="0" w:type="dxa"/>
          <w:bottom w:w="0" w:type="dxa"/>
          <w:right w:w="0" w:type="dxa"/>
        </w:tblCellMar>
      </w:tblPr>
      <w:tr>
        <w:trPr>
          <w:trHeight w:val="134"/>
        </w:trPr>
        <w:tc>
          <w:tcPr>
            <w:tcW w:w="4000" w:type="dxa"/>
            <w:vAlign w:val="bottom"/>
            <w:tcBorders>
              <w:top w:val="single" w:sz="8" w:color="auto"/>
              <w:left w:val="single" w:sz="8" w:color="auto"/>
              <w:bottom w:val="single" w:sz="8" w:color="auto"/>
              <w:right w:val="single" w:sz="8" w:color="auto"/>
            </w:tcBorders>
          </w:tcPr>
          <w:p>
            <w:pPr>
              <w:jc w:val="center"/>
              <w:ind w:left="388"/>
              <w:spacing w:after="0"/>
              <w:rPr>
                <w:sz w:val="20"/>
                <w:szCs w:val="20"/>
                <w:color w:val="auto"/>
              </w:rPr>
            </w:pPr>
            <w:r>
              <w:rPr>
                <w:rFonts w:ascii="Arial" w:cs="Arial" w:eastAsia="Arial" w:hAnsi="Arial"/>
                <w:sz w:val="10"/>
                <w:szCs w:val="10"/>
                <w:b w:val="1"/>
                <w:bCs w:val="1"/>
                <w:color w:val="auto"/>
                <w:w w:val="83"/>
              </w:rPr>
              <w:t>Title of each class</w:t>
            </w:r>
          </w:p>
        </w:tc>
        <w:tc>
          <w:tcPr>
            <w:tcW w:w="3360" w:type="dxa"/>
            <w:vAlign w:val="bottom"/>
            <w:tcBorders>
              <w:top w:val="single" w:sz="8" w:color="auto"/>
              <w:bottom w:val="single" w:sz="8" w:color="auto"/>
              <w:right w:val="single" w:sz="8" w:color="auto"/>
            </w:tcBorders>
          </w:tcPr>
          <w:p>
            <w:pPr>
              <w:jc w:val="center"/>
              <w:ind w:left="348"/>
              <w:spacing w:after="0"/>
              <w:rPr>
                <w:sz w:val="20"/>
                <w:szCs w:val="20"/>
                <w:color w:val="auto"/>
              </w:rPr>
            </w:pPr>
            <w:r>
              <w:rPr>
                <w:rFonts w:ascii="Arial" w:cs="Arial" w:eastAsia="Arial" w:hAnsi="Arial"/>
                <w:sz w:val="10"/>
                <w:szCs w:val="10"/>
                <w:b w:val="1"/>
                <w:bCs w:val="1"/>
                <w:color w:val="auto"/>
                <w:w w:val="86"/>
              </w:rPr>
              <w:t>Trading Symbol(s)</w:t>
            </w:r>
          </w:p>
        </w:tc>
        <w:tc>
          <w:tcPr>
            <w:tcW w:w="3580" w:type="dxa"/>
            <w:vAlign w:val="bottom"/>
            <w:tcBorders>
              <w:top w:val="single" w:sz="8" w:color="auto"/>
              <w:bottom w:val="single" w:sz="8" w:color="auto"/>
            </w:tcBorders>
          </w:tcPr>
          <w:p>
            <w:pPr>
              <w:jc w:val="center"/>
              <w:ind w:left="708"/>
              <w:spacing w:after="0"/>
              <w:rPr>
                <w:sz w:val="20"/>
                <w:szCs w:val="20"/>
                <w:color w:val="auto"/>
              </w:rPr>
            </w:pPr>
            <w:r>
              <w:rPr>
                <w:rFonts w:ascii="Arial" w:cs="Arial" w:eastAsia="Arial" w:hAnsi="Arial"/>
                <w:sz w:val="10"/>
                <w:szCs w:val="10"/>
                <w:b w:val="1"/>
                <w:bCs w:val="1"/>
                <w:color w:val="auto"/>
                <w:w w:val="84"/>
              </w:rPr>
              <w:t>Name of each exchange on which registered</w:t>
            </w:r>
          </w:p>
        </w:tc>
      </w:tr>
      <w:tr>
        <w:trPr>
          <w:trHeight w:val="134"/>
        </w:trPr>
        <w:tc>
          <w:tcPr>
            <w:tcW w:w="4000" w:type="dxa"/>
            <w:vAlign w:val="bottom"/>
            <w:tcBorders>
              <w:left w:val="single" w:sz="8" w:color="auto"/>
              <w:bottom w:val="single" w:sz="8" w:color="auto"/>
              <w:right w:val="single" w:sz="8" w:color="auto"/>
            </w:tcBorders>
          </w:tcPr>
          <w:p>
            <w:pPr>
              <w:jc w:val="center"/>
              <w:ind w:left="368"/>
              <w:spacing w:after="0"/>
              <w:rPr>
                <w:sz w:val="20"/>
                <w:szCs w:val="20"/>
                <w:color w:val="auto"/>
              </w:rPr>
            </w:pPr>
            <w:r>
              <w:rPr>
                <w:rFonts w:ascii="Arial" w:cs="Arial" w:eastAsia="Arial" w:hAnsi="Arial"/>
                <w:sz w:val="11"/>
                <w:szCs w:val="11"/>
                <w:color w:val="auto"/>
                <w:w w:val="93"/>
              </w:rPr>
              <w:t>Common Stock, $0.01 Par Value</w:t>
            </w:r>
          </w:p>
        </w:tc>
        <w:tc>
          <w:tcPr>
            <w:tcW w:w="3360" w:type="dxa"/>
            <w:vAlign w:val="bottom"/>
            <w:tcBorders>
              <w:bottom w:val="single" w:sz="8" w:color="auto"/>
              <w:right w:val="single" w:sz="8" w:color="auto"/>
            </w:tcBorders>
          </w:tcPr>
          <w:p>
            <w:pPr>
              <w:jc w:val="center"/>
              <w:ind w:left="328"/>
              <w:spacing w:after="0"/>
              <w:rPr>
                <w:sz w:val="20"/>
                <w:szCs w:val="20"/>
                <w:color w:val="auto"/>
              </w:rPr>
            </w:pPr>
            <w:r>
              <w:rPr>
                <w:rFonts w:ascii="Arial" w:cs="Arial" w:eastAsia="Arial" w:hAnsi="Arial"/>
                <w:sz w:val="11"/>
                <w:szCs w:val="11"/>
                <w:color w:val="auto"/>
                <w:w w:val="97"/>
              </w:rPr>
              <w:t>VAC</w:t>
            </w:r>
          </w:p>
        </w:tc>
        <w:tc>
          <w:tcPr>
            <w:tcW w:w="3580" w:type="dxa"/>
            <w:vAlign w:val="bottom"/>
            <w:tcBorders>
              <w:bottom w:val="single" w:sz="8" w:color="auto"/>
            </w:tcBorders>
          </w:tcPr>
          <w:p>
            <w:pPr>
              <w:jc w:val="center"/>
              <w:ind w:left="708"/>
              <w:spacing w:after="0"/>
              <w:rPr>
                <w:sz w:val="20"/>
                <w:szCs w:val="20"/>
                <w:color w:val="auto"/>
              </w:rPr>
            </w:pPr>
            <w:r>
              <w:rPr>
                <w:rFonts w:ascii="Arial" w:cs="Arial" w:eastAsia="Arial" w:hAnsi="Arial"/>
                <w:sz w:val="11"/>
                <w:szCs w:val="11"/>
                <w:color w:val="auto"/>
                <w:w w:val="93"/>
              </w:rPr>
              <w:t>New York Stock Exchange</w:t>
            </w:r>
          </w:p>
        </w:tc>
      </w:tr>
    </w:tbl>
    <w:p>
      <w:pPr>
        <w:spacing w:after="0" w:line="95" w:lineRule="exact"/>
        <w:rPr>
          <w:sz w:val="24"/>
          <w:szCs w:val="24"/>
          <w:color w:val="auto"/>
        </w:rPr>
      </w:pPr>
    </w:p>
    <w:p>
      <w:pPr>
        <w:ind w:right="180"/>
        <w:spacing w:after="0" w:line="146"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50" w:lineRule="exact"/>
        <w:rPr>
          <w:sz w:val="24"/>
          <w:szCs w:val="24"/>
          <w:color w:val="auto"/>
        </w:rPr>
      </w:pPr>
    </w:p>
    <w:p>
      <w:pPr>
        <w:ind w:right="160"/>
        <w:spacing w:after="0" w:line="146" w:lineRule="exact"/>
        <w:rPr>
          <w:sz w:val="20"/>
          <w:szCs w:val="20"/>
          <w:color w:val="auto"/>
        </w:rPr>
      </w:pPr>
      <w:r>
        <w:rPr>
          <w:rFonts w:ascii="Arial" w:cs="Arial" w:eastAsia="Arial" w:hAnsi="Arial"/>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50" w:lineRule="exact"/>
        <w:rPr>
          <w:sz w:val="24"/>
          <w:szCs w:val="24"/>
          <w:color w:val="auto"/>
        </w:rPr>
      </w:pPr>
    </w:p>
    <w:p>
      <w:pPr>
        <w:ind w:right="160"/>
        <w:spacing w:after="0" w:line="292"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 w:lineRule="exact"/>
        <w:rPr>
          <w:sz w:val="24"/>
          <w:szCs w:val="24"/>
          <w:color w:val="auto"/>
        </w:rPr>
      </w:pPr>
    </w:p>
    <w:tbl>
      <w:tblPr>
        <w:tblLayout w:type="fixed"/>
        <w:tblInd w:w="480" w:type="dxa"/>
        <w:tblCellMar>
          <w:top w:w="0" w:type="dxa"/>
          <w:left w:w="0" w:type="dxa"/>
          <w:bottom w:w="0" w:type="dxa"/>
          <w:right w:w="0" w:type="dxa"/>
        </w:tblCellMar>
      </w:tblPr>
      <w:tr>
        <w:trPr>
          <w:trHeight w:val="138"/>
        </w:trPr>
        <w:tc>
          <w:tcPr>
            <w:tcW w:w="2300" w:type="dxa"/>
            <w:vAlign w:val="bottom"/>
          </w:tcPr>
          <w:p>
            <w:pPr>
              <w:spacing w:after="0"/>
              <w:rPr>
                <w:sz w:val="20"/>
                <w:szCs w:val="20"/>
                <w:color w:val="auto"/>
              </w:rPr>
            </w:pPr>
            <w:r>
              <w:rPr>
                <w:rFonts w:ascii="Arial" w:cs="Arial" w:eastAsia="Arial" w:hAnsi="Arial"/>
                <w:sz w:val="11"/>
                <w:szCs w:val="11"/>
                <w:color w:val="auto"/>
              </w:rPr>
              <w:t>Large accelerated filer</w:t>
            </w:r>
          </w:p>
        </w:tc>
        <w:tc>
          <w:tcPr>
            <w:tcW w:w="2160" w:type="dxa"/>
            <w:vAlign w:val="bottom"/>
          </w:tcPr>
          <w:p>
            <w:pPr>
              <w:ind w:left="1280"/>
              <w:spacing w:after="0" w:line="111" w:lineRule="exact"/>
              <w:rPr>
                <w:sz w:val="20"/>
                <w:szCs w:val="20"/>
                <w:color w:val="auto"/>
              </w:rPr>
            </w:pPr>
            <w:r>
              <w:rPr>
                <w:rFonts w:ascii="MS PGothic" w:cs="MS PGothic" w:eastAsia="MS PGothic" w:hAnsi="MS PGothic"/>
                <w:sz w:val="11"/>
                <w:szCs w:val="11"/>
                <w:color w:val="auto"/>
              </w:rPr>
              <w:t>☒</w:t>
            </w:r>
          </w:p>
        </w:tc>
        <w:tc>
          <w:tcPr>
            <w:tcW w:w="3180" w:type="dxa"/>
            <w:vAlign w:val="bottom"/>
          </w:tcPr>
          <w:p>
            <w:pPr>
              <w:ind w:left="760"/>
              <w:spacing w:after="0"/>
              <w:rPr>
                <w:sz w:val="20"/>
                <w:szCs w:val="20"/>
                <w:color w:val="auto"/>
              </w:rPr>
            </w:pPr>
            <w:r>
              <w:rPr>
                <w:rFonts w:ascii="Arial" w:cs="Arial" w:eastAsia="Arial" w:hAnsi="Arial"/>
                <w:sz w:val="11"/>
                <w:szCs w:val="11"/>
                <w:color w:val="auto"/>
              </w:rPr>
              <w:t>Accelerated filer</w:t>
            </w:r>
          </w:p>
        </w:tc>
        <w:tc>
          <w:tcPr>
            <w:tcW w:w="1280" w:type="dxa"/>
            <w:vAlign w:val="bottom"/>
          </w:tcPr>
          <w:p>
            <w:pPr>
              <w:ind w:left="118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53"/>
        </w:trPr>
        <w:tc>
          <w:tcPr>
            <w:tcW w:w="2300" w:type="dxa"/>
            <w:vAlign w:val="bottom"/>
          </w:tcPr>
          <w:p>
            <w:pPr>
              <w:spacing w:after="0"/>
              <w:rPr>
                <w:sz w:val="20"/>
                <w:szCs w:val="20"/>
                <w:color w:val="auto"/>
              </w:rPr>
            </w:pPr>
            <w:r>
              <w:rPr>
                <w:rFonts w:ascii="Arial" w:cs="Arial" w:eastAsia="Arial" w:hAnsi="Arial"/>
                <w:sz w:val="11"/>
                <w:szCs w:val="11"/>
                <w:color w:val="auto"/>
              </w:rPr>
              <w:t>Non-accelerated filer</w:t>
            </w:r>
          </w:p>
        </w:tc>
        <w:tc>
          <w:tcPr>
            <w:tcW w:w="2160" w:type="dxa"/>
            <w:vAlign w:val="bottom"/>
          </w:tcPr>
          <w:p>
            <w:pPr>
              <w:ind w:left="1280"/>
              <w:spacing w:after="0" w:line="111" w:lineRule="exact"/>
              <w:rPr>
                <w:sz w:val="20"/>
                <w:szCs w:val="20"/>
                <w:color w:val="auto"/>
              </w:rPr>
            </w:pPr>
            <w:r>
              <w:rPr>
                <w:rFonts w:ascii="MS PGothic" w:cs="MS PGothic" w:eastAsia="MS PGothic" w:hAnsi="MS PGothic"/>
                <w:sz w:val="11"/>
                <w:szCs w:val="11"/>
                <w:color w:val="auto"/>
              </w:rPr>
              <w:t>☐</w:t>
            </w:r>
          </w:p>
        </w:tc>
        <w:tc>
          <w:tcPr>
            <w:tcW w:w="3180" w:type="dxa"/>
            <w:vAlign w:val="bottom"/>
          </w:tcPr>
          <w:p>
            <w:pPr>
              <w:ind w:left="760"/>
              <w:spacing w:after="0"/>
              <w:rPr>
                <w:sz w:val="20"/>
                <w:szCs w:val="20"/>
                <w:color w:val="auto"/>
              </w:rPr>
            </w:pPr>
            <w:r>
              <w:rPr>
                <w:rFonts w:ascii="Arial" w:cs="Arial" w:eastAsia="Arial" w:hAnsi="Arial"/>
                <w:sz w:val="11"/>
                <w:szCs w:val="11"/>
                <w:color w:val="auto"/>
              </w:rPr>
              <w:t>Smaller reporting company</w:t>
            </w:r>
          </w:p>
        </w:tc>
        <w:tc>
          <w:tcPr>
            <w:tcW w:w="1280" w:type="dxa"/>
            <w:vAlign w:val="bottom"/>
          </w:tcPr>
          <w:p>
            <w:pPr>
              <w:ind w:left="118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87"/>
        </w:trPr>
        <w:tc>
          <w:tcPr>
            <w:tcW w:w="23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3180" w:type="dxa"/>
            <w:vAlign w:val="bottom"/>
          </w:tcPr>
          <w:p>
            <w:pPr>
              <w:ind w:left="760"/>
              <w:spacing w:after="0"/>
              <w:rPr>
                <w:sz w:val="20"/>
                <w:szCs w:val="20"/>
                <w:color w:val="auto"/>
              </w:rPr>
            </w:pPr>
            <w:r>
              <w:rPr>
                <w:rFonts w:ascii="Arial" w:cs="Arial" w:eastAsia="Arial" w:hAnsi="Arial"/>
                <w:sz w:val="11"/>
                <w:szCs w:val="11"/>
                <w:color w:val="auto"/>
              </w:rPr>
              <w:t>Emerging growth company</w:t>
            </w:r>
          </w:p>
        </w:tc>
        <w:tc>
          <w:tcPr>
            <w:tcW w:w="1280" w:type="dxa"/>
            <w:vAlign w:val="bottom"/>
          </w:tcPr>
          <w:p>
            <w:pPr>
              <w:ind w:left="118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74" w:lineRule="exact"/>
        <w:rPr>
          <w:sz w:val="24"/>
          <w:szCs w:val="24"/>
          <w:color w:val="auto"/>
        </w:rPr>
      </w:pPr>
    </w:p>
    <w:p>
      <w:pPr>
        <w:ind w:right="80"/>
        <w:spacing w:after="0" w:line="146" w:lineRule="exact"/>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37" w:lineRule="exact"/>
        <w:rPr>
          <w:sz w:val="24"/>
          <w:szCs w:val="24"/>
          <w:color w:val="auto"/>
        </w:rPr>
      </w:pPr>
    </w:p>
    <w:p>
      <w:pPr>
        <w:spacing w:after="0" w:line="127" w:lineRule="exact"/>
        <w:rPr>
          <w:sz w:val="20"/>
          <w:szCs w:val="20"/>
          <w:color w:val="auto"/>
        </w:rPr>
      </w:pPr>
      <w:r>
        <w:rPr>
          <w:rFonts w:ascii="Arial" w:cs="Arial" w:eastAsia="Arial" w:hAnsi="Arial"/>
          <w:sz w:val="11"/>
          <w:szCs w:val="11"/>
          <w:color w:val="auto"/>
        </w:rPr>
        <w:t xml:space="preserve">Indicate by check mark whether the registrant is a shell company (as defined in Rule 12b-2 of the Exchange Act). Yes </w:t>
      </w:r>
      <w:r>
        <w:rPr>
          <w:rFonts w:ascii="MS PGothic" w:cs="MS PGothic" w:eastAsia="MS PGothic" w:hAnsi="MS PGothic"/>
          <w:sz w:val="10"/>
          <w:szCs w:val="10"/>
          <w:color w:val="auto"/>
        </w:rPr>
        <w:t>☐</w:t>
      </w:r>
      <w:r>
        <w:rPr>
          <w:rFonts w:ascii="Arial" w:cs="Arial" w:eastAsia="Arial" w:hAnsi="Arial"/>
          <w:sz w:val="11"/>
          <w:szCs w:val="11"/>
          <w:color w:val="auto"/>
        </w:rPr>
        <w:t xml:space="preserve"> No </w:t>
      </w:r>
      <w:r>
        <w:rPr>
          <w:rFonts w:ascii="MS PGothic" w:cs="MS PGothic" w:eastAsia="MS PGothic" w:hAnsi="MS PGothic"/>
          <w:sz w:val="10"/>
          <w:szCs w:val="10"/>
          <w:color w:val="auto"/>
        </w:rPr>
        <w:t>☒</w:t>
      </w:r>
    </w:p>
    <w:p>
      <w:pPr>
        <w:spacing w:after="0" w:line="93" w:lineRule="exact"/>
        <w:rPr>
          <w:sz w:val="24"/>
          <w:szCs w:val="24"/>
          <w:color w:val="auto"/>
        </w:rPr>
      </w:pPr>
    </w:p>
    <w:p>
      <w:pPr>
        <w:spacing w:after="0"/>
        <w:rPr>
          <w:sz w:val="20"/>
          <w:szCs w:val="20"/>
          <w:color w:val="auto"/>
        </w:rPr>
      </w:pPr>
      <w:r>
        <w:rPr>
          <w:rFonts w:ascii="Arial" w:cs="Arial" w:eastAsia="Arial" w:hAnsi="Arial"/>
          <w:sz w:val="11"/>
          <w:szCs w:val="11"/>
          <w:color w:val="auto"/>
        </w:rPr>
        <w:t>The number of shares outstanding of the issuer’s common stock, par value $0.01 per share, as of July 30, 2021 was 42,706,878.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486410</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269240</wp:posOffset>
            </wp:positionH>
            <wp:positionV relativeFrom="paragraph">
              <wp:posOffset>81915</wp:posOffset>
            </wp:positionV>
            <wp:extent cx="694436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44360" cy="5715"/>
                    </a:xfrm>
                    <a:prstGeom prst="rect">
                      <a:avLst/>
                    </a:prstGeom>
                    <a:noFill/>
                  </pic:spPr>
                </pic:pic>
              </a:graphicData>
            </a:graphic>
          </wp:anchor>
        </w:drawing>
        <w:drawing>
          <wp:anchor simplePos="0" relativeHeight="251657728" behindDoc="1" locked="0" layoutInCell="0" allowOverlap="1">
            <wp:simplePos x="0" y="0"/>
            <wp:positionH relativeFrom="column">
              <wp:posOffset>269240</wp:posOffset>
            </wp:positionH>
            <wp:positionV relativeFrom="paragraph">
              <wp:posOffset>59055</wp:posOffset>
            </wp:positionV>
            <wp:extent cx="694436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44360" cy="5715"/>
                    </a:xfrm>
                    <a:prstGeom prst="rect">
                      <a:avLst/>
                    </a:prstGeom>
                    <a:noFill/>
                  </pic:spPr>
                </pic:pic>
              </a:graphicData>
            </a:graphic>
          </wp:anchor>
        </w:drawing>
      </w:r>
    </w:p>
    <w:p>
      <w:pPr>
        <w:sectPr>
          <w:pgSz w:w="11900" w:h="16838" w:orient="portrait"/>
          <w:cols w:equalWidth="0" w:num="1">
            <w:col w:w="11360"/>
          </w:cols>
          <w:pgMar w:left="300" w:top="976"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44"/>
        </w:trPr>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960" w:type="dxa"/>
            <w:vAlign w:val="bottom"/>
            <w:gridSpan w:val="3"/>
          </w:tcPr>
          <w:p>
            <w:pPr>
              <w:jc w:val="center"/>
              <w:ind w:right="2720"/>
              <w:spacing w:after="0"/>
              <w:rPr>
                <w:sz w:val="20"/>
                <w:szCs w:val="20"/>
                <w:color w:val="auto"/>
              </w:rPr>
            </w:pPr>
            <w:r>
              <w:rPr>
                <w:rFonts w:ascii="Arial" w:cs="Arial" w:eastAsia="Arial" w:hAnsi="Arial"/>
                <w:sz w:val="12"/>
                <w:szCs w:val="12"/>
                <w:b w:val="1"/>
                <w:bCs w:val="1"/>
                <w:color w:val="auto"/>
              </w:rPr>
              <w:t>MARRIOTT VACATIONS WORLDWIDE CORPORATION</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157"/>
        </w:trPr>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540" w:type="dxa"/>
            <w:vAlign w:val="bottom"/>
            <w:gridSpan w:val="2"/>
          </w:tcPr>
          <w:p>
            <w:pPr>
              <w:jc w:val="center"/>
              <w:ind w:right="3140"/>
              <w:spacing w:after="0"/>
              <w:rPr>
                <w:sz w:val="20"/>
                <w:szCs w:val="20"/>
                <w:color w:val="auto"/>
              </w:rPr>
            </w:pPr>
            <w:r>
              <w:rPr>
                <w:rFonts w:ascii="Arial" w:cs="Arial" w:eastAsia="Arial" w:hAnsi="Arial"/>
                <w:sz w:val="12"/>
                <w:szCs w:val="12"/>
                <w:b w:val="1"/>
                <w:bCs w:val="1"/>
                <w:color w:val="auto"/>
                <w:w w:val="98"/>
              </w:rPr>
              <w:t>FORM 10-Q TABLE OF CONTENTS</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r>
      <w:tr>
        <w:trPr>
          <w:trHeight w:val="136"/>
        </w:trPr>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110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w w:val="83"/>
              </w:rPr>
              <w:t>Page</w:t>
            </w:r>
          </w:p>
        </w:tc>
      </w:tr>
      <w:tr>
        <w:trPr>
          <w:trHeight w:val="105"/>
        </w:trPr>
        <w:tc>
          <w:tcPr>
            <w:tcW w:w="1220" w:type="dxa"/>
            <w:vAlign w:val="bottom"/>
          </w:tcPr>
          <w:p>
            <w:pPr>
              <w:spacing w:after="0" w:line="85" w:lineRule="exact"/>
              <w:rPr>
                <w:sz w:val="20"/>
                <w:szCs w:val="20"/>
                <w:color w:val="auto"/>
              </w:rPr>
            </w:pPr>
            <w:r>
              <w:rPr>
                <w:rFonts w:ascii="Arial" w:cs="Arial" w:eastAsia="Arial" w:hAnsi="Arial"/>
                <w:sz w:val="9"/>
                <w:szCs w:val="9"/>
                <w:b w:val="1"/>
                <w:bCs w:val="1"/>
                <w:color w:val="auto"/>
              </w:rPr>
              <w:t>Part I.</w:t>
            </w:r>
          </w:p>
        </w:tc>
        <w:tc>
          <w:tcPr>
            <w:tcW w:w="1520" w:type="dxa"/>
            <w:vAlign w:val="bottom"/>
            <w:tcBorders>
              <w:bottom w:val="single" w:sz="8" w:color="0000FF"/>
            </w:tcBorders>
            <w:gridSpan w:val="15"/>
          </w:tcPr>
          <w:p>
            <w:pPr>
              <w:spacing w:after="0" w:line="85" w:lineRule="exact"/>
              <w:rPr>
                <w:rFonts w:ascii="Arial" w:cs="Arial" w:eastAsia="Arial" w:hAnsi="Arial"/>
                <w:sz w:val="9"/>
                <w:szCs w:val="9"/>
                <w:b w:val="1"/>
                <w:bCs w:val="1"/>
                <w:color w:val="0000FF"/>
              </w:rPr>
            </w:pPr>
            <w:hyperlink w:anchor="page2">
              <w:r>
                <w:rPr>
                  <w:rFonts w:ascii="Arial" w:cs="Arial" w:eastAsia="Arial" w:hAnsi="Arial"/>
                  <w:sz w:val="9"/>
                  <w:szCs w:val="9"/>
                  <w:b w:val="1"/>
                  <w:bCs w:val="1"/>
                  <w:color w:val="0000FF"/>
                </w:rPr>
                <w:t>FINANCIAL INFORMATION</w:t>
              </w:r>
            </w:hyperlink>
          </w:p>
        </w:tc>
        <w:tc>
          <w:tcPr>
            <w:tcW w:w="7460" w:type="dxa"/>
            <w:vAlign w:val="bottom"/>
            <w:gridSpan w:val="17"/>
          </w:tcPr>
          <w:p>
            <w:pPr>
              <w:spacing w:after="0"/>
              <w:rPr>
                <w:sz w:val="9"/>
                <w:szCs w:val="9"/>
                <w:color w:val="auto"/>
              </w:rPr>
            </w:pPr>
          </w:p>
        </w:tc>
        <w:tc>
          <w:tcPr>
            <w:tcW w:w="600" w:type="dxa"/>
            <w:vAlign w:val="bottom"/>
            <w:gridSpan w:val="2"/>
          </w:tcPr>
          <w:p>
            <w:pPr>
              <w:jc w:val="center"/>
              <w:ind w:left="443"/>
              <w:spacing w:after="0" w:line="88" w:lineRule="exact"/>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1</w:t>
              </w:r>
            </w:hyperlink>
          </w:p>
        </w:tc>
        <w:tc>
          <w:tcPr>
            <w:tcW w:w="500" w:type="dxa"/>
            <w:vAlign w:val="bottom"/>
          </w:tcPr>
          <w:p>
            <w:pPr>
              <w:spacing w:after="0"/>
              <w:rPr>
                <w:sz w:val="9"/>
                <w:szCs w:val="9"/>
                <w:color w:val="auto"/>
              </w:rPr>
            </w:pPr>
          </w:p>
        </w:tc>
      </w:tr>
      <w:tr>
        <w:trPr>
          <w:trHeight w:val="133"/>
        </w:trPr>
        <w:tc>
          <w:tcPr>
            <w:tcW w:w="1220" w:type="dxa"/>
            <w:vAlign w:val="bottom"/>
          </w:tcPr>
          <w:p>
            <w:pPr>
              <w:ind w:left="140"/>
              <w:spacing w:after="0"/>
              <w:rPr>
                <w:sz w:val="20"/>
                <w:szCs w:val="20"/>
                <w:color w:val="auto"/>
              </w:rPr>
            </w:pPr>
            <w:r>
              <w:rPr>
                <w:rFonts w:ascii="Arial" w:cs="Arial" w:eastAsia="Arial" w:hAnsi="Arial"/>
                <w:sz w:val="11"/>
                <w:szCs w:val="11"/>
                <w:color w:val="auto"/>
              </w:rPr>
              <w:t>Item 1.</w:t>
            </w:r>
          </w:p>
        </w:tc>
        <w:tc>
          <w:tcPr>
            <w:tcW w:w="140" w:type="dxa"/>
            <w:vAlign w:val="bottom"/>
          </w:tcPr>
          <w:p>
            <w:pPr>
              <w:spacing w:after="0"/>
              <w:rPr>
                <w:sz w:val="11"/>
                <w:szCs w:val="11"/>
                <w:color w:val="auto"/>
              </w:rPr>
            </w:pPr>
          </w:p>
        </w:tc>
        <w:tc>
          <w:tcPr>
            <w:tcW w:w="8840" w:type="dxa"/>
            <w:vAlign w:val="bottom"/>
            <w:gridSpan w:val="31"/>
          </w:tcPr>
          <w:p>
            <w:pPr>
              <w:spacing w:after="0"/>
              <w:rPr>
                <w:rFonts w:ascii="Arial" w:cs="Arial" w:eastAsia="Arial" w:hAnsi="Arial"/>
                <w:sz w:val="11"/>
                <w:szCs w:val="11"/>
                <w:color w:val="0000FF"/>
              </w:rPr>
            </w:pPr>
            <w:hyperlink w:anchor="page3">
              <w:r>
                <w:rPr>
                  <w:rFonts w:ascii="Arial" w:cs="Arial" w:eastAsia="Arial" w:hAnsi="Arial"/>
                  <w:sz w:val="11"/>
                  <w:szCs w:val="11"/>
                  <w:color w:val="0000FF"/>
                </w:rPr>
                <w:t>Financial Statements</w:t>
              </w:r>
            </w:hyperlink>
          </w:p>
        </w:tc>
        <w:tc>
          <w:tcPr>
            <w:tcW w:w="600" w:type="dxa"/>
            <w:vAlign w:val="bottom"/>
            <w:gridSpan w:val="2"/>
          </w:tcPr>
          <w:p>
            <w:pPr>
              <w:jc w:val="center"/>
              <w:ind w:left="443"/>
              <w:spacing w:after="0"/>
              <w:rPr>
                <w:rFonts w:ascii="Arial" w:cs="Arial" w:eastAsia="Arial" w:hAnsi="Arial"/>
                <w:sz w:val="11"/>
                <w:szCs w:val="11"/>
                <w:u w:val="single" w:color="auto"/>
                <w:color w:val="0000FF"/>
                <w:w w:val="97"/>
              </w:rPr>
            </w:pPr>
            <w:hyperlink w:anchor="page3">
              <w:r>
                <w:rPr>
                  <w:rFonts w:ascii="Arial" w:cs="Arial" w:eastAsia="Arial" w:hAnsi="Arial"/>
                  <w:sz w:val="11"/>
                  <w:szCs w:val="11"/>
                  <w:u w:val="single" w:color="auto"/>
                  <w:color w:val="0000FF"/>
                  <w:w w:val="97"/>
                </w:rPr>
                <w:t>1</w:t>
              </w:r>
            </w:hyperlink>
          </w:p>
        </w:tc>
        <w:tc>
          <w:tcPr>
            <w:tcW w:w="500" w:type="dxa"/>
            <w:vAlign w:val="bottom"/>
          </w:tcPr>
          <w:p>
            <w:pPr>
              <w:spacing w:after="0"/>
              <w:rPr>
                <w:sz w:val="11"/>
                <w:szCs w:val="11"/>
                <w:color w:val="auto"/>
              </w:rPr>
            </w:pPr>
          </w:p>
        </w:tc>
      </w:tr>
      <w:tr>
        <w:trPr>
          <w:trHeight w:val="20"/>
        </w:trPr>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24"/>
        </w:trPr>
        <w:tc>
          <w:tcPr>
            <w:tcW w:w="1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80" w:type="dxa"/>
            <w:vAlign w:val="bottom"/>
            <w:gridSpan w:val="30"/>
          </w:tcPr>
          <w:p>
            <w:pPr>
              <w:spacing w:after="0" w:line="124" w:lineRule="exact"/>
              <w:rPr>
                <w:rFonts w:ascii="Arial" w:cs="Arial" w:eastAsia="Arial" w:hAnsi="Arial"/>
                <w:sz w:val="11"/>
                <w:szCs w:val="11"/>
                <w:color w:val="0000FF"/>
              </w:rPr>
            </w:pPr>
            <w:hyperlink w:anchor="page3">
              <w:r>
                <w:rPr>
                  <w:rFonts w:ascii="Arial" w:cs="Arial" w:eastAsia="Arial" w:hAnsi="Arial"/>
                  <w:sz w:val="11"/>
                  <w:szCs w:val="11"/>
                  <w:color w:val="0000FF"/>
                </w:rPr>
                <w:t>Interim Consolidated Statements of Income</w:t>
              </w:r>
            </w:hyperlink>
          </w:p>
        </w:tc>
        <w:tc>
          <w:tcPr>
            <w:tcW w:w="600" w:type="dxa"/>
            <w:vAlign w:val="bottom"/>
            <w:gridSpan w:val="2"/>
          </w:tcPr>
          <w:p>
            <w:pPr>
              <w:jc w:val="center"/>
              <w:ind w:left="443"/>
              <w:spacing w:after="0" w:line="124" w:lineRule="exact"/>
              <w:rPr>
                <w:rFonts w:ascii="Arial" w:cs="Arial" w:eastAsia="Arial" w:hAnsi="Arial"/>
                <w:sz w:val="11"/>
                <w:szCs w:val="11"/>
                <w:u w:val="single" w:color="auto"/>
                <w:color w:val="0000FF"/>
                <w:w w:val="97"/>
              </w:rPr>
            </w:pPr>
            <w:hyperlink w:anchor="page3">
              <w:r>
                <w:rPr>
                  <w:rFonts w:ascii="Arial" w:cs="Arial" w:eastAsia="Arial" w:hAnsi="Arial"/>
                  <w:sz w:val="11"/>
                  <w:szCs w:val="11"/>
                  <w:u w:val="single" w:color="auto"/>
                  <w:color w:val="0000FF"/>
                  <w:w w:val="97"/>
                </w:rPr>
                <w:t>1</w:t>
              </w:r>
            </w:hyperlink>
          </w:p>
        </w:tc>
        <w:tc>
          <w:tcPr>
            <w:tcW w:w="500" w:type="dxa"/>
            <w:vAlign w:val="bottom"/>
          </w:tcPr>
          <w:p>
            <w:pPr>
              <w:spacing w:after="0"/>
              <w:rPr>
                <w:sz w:val="10"/>
                <w:szCs w:val="10"/>
                <w:color w:val="auto"/>
              </w:rPr>
            </w:pPr>
          </w:p>
        </w:tc>
      </w:tr>
      <w:tr>
        <w:trPr>
          <w:trHeight w:val="20"/>
        </w:trPr>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24"/>
        </w:trPr>
        <w:tc>
          <w:tcPr>
            <w:tcW w:w="1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80" w:type="dxa"/>
            <w:vAlign w:val="bottom"/>
            <w:gridSpan w:val="30"/>
          </w:tcPr>
          <w:p>
            <w:pPr>
              <w:spacing w:after="0" w:line="124" w:lineRule="exact"/>
              <w:rPr>
                <w:rFonts w:ascii="Arial" w:cs="Arial" w:eastAsia="Arial" w:hAnsi="Arial"/>
                <w:sz w:val="11"/>
                <w:szCs w:val="11"/>
                <w:color w:val="0000FF"/>
              </w:rPr>
            </w:pPr>
            <w:hyperlink w:anchor="page3">
              <w:r>
                <w:rPr>
                  <w:rFonts w:ascii="Arial" w:cs="Arial" w:eastAsia="Arial" w:hAnsi="Arial"/>
                  <w:sz w:val="11"/>
                  <w:szCs w:val="11"/>
                  <w:color w:val="0000FF"/>
                </w:rPr>
                <w:t>Interim Consolidated Statements of Comprehensive Income</w:t>
              </w:r>
            </w:hyperlink>
          </w:p>
        </w:tc>
        <w:tc>
          <w:tcPr>
            <w:tcW w:w="600" w:type="dxa"/>
            <w:vAlign w:val="bottom"/>
            <w:gridSpan w:val="2"/>
          </w:tcPr>
          <w:p>
            <w:pPr>
              <w:jc w:val="center"/>
              <w:ind w:left="443"/>
              <w:spacing w:after="0" w:line="124" w:lineRule="exact"/>
              <w:rPr>
                <w:rFonts w:ascii="Arial" w:cs="Arial" w:eastAsia="Arial" w:hAnsi="Arial"/>
                <w:sz w:val="11"/>
                <w:szCs w:val="11"/>
                <w:u w:val="single" w:color="auto"/>
                <w:color w:val="0000FF"/>
                <w:w w:val="97"/>
              </w:rPr>
            </w:pPr>
            <w:hyperlink w:anchor="page3">
              <w:r>
                <w:rPr>
                  <w:rFonts w:ascii="Arial" w:cs="Arial" w:eastAsia="Arial" w:hAnsi="Arial"/>
                  <w:sz w:val="11"/>
                  <w:szCs w:val="11"/>
                  <w:u w:val="single" w:color="auto"/>
                  <w:color w:val="0000FF"/>
                  <w:w w:val="97"/>
                </w:rPr>
                <w:t>2</w:t>
              </w:r>
            </w:hyperlink>
          </w:p>
        </w:tc>
        <w:tc>
          <w:tcPr>
            <w:tcW w:w="500" w:type="dxa"/>
            <w:vAlign w:val="bottom"/>
          </w:tcPr>
          <w:p>
            <w:pPr>
              <w:spacing w:after="0"/>
              <w:rPr>
                <w:sz w:val="10"/>
                <w:szCs w:val="10"/>
                <w:color w:val="auto"/>
              </w:rPr>
            </w:pPr>
          </w:p>
        </w:tc>
      </w:tr>
      <w:tr>
        <w:trPr>
          <w:trHeight w:val="124"/>
        </w:trPr>
        <w:tc>
          <w:tcPr>
            <w:tcW w:w="1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00" w:type="dxa"/>
            <w:vAlign w:val="bottom"/>
            <w:tcBorders>
              <w:top w:val="single" w:sz="8" w:color="0000FF"/>
              <w:bottom w:val="single" w:sz="8" w:color="0000FF"/>
            </w:tcBorders>
            <w:gridSpan w:val="20"/>
          </w:tcPr>
          <w:p>
            <w:pPr>
              <w:spacing w:after="0" w:line="124" w:lineRule="exact"/>
              <w:rPr>
                <w:rFonts w:ascii="Arial" w:cs="Arial" w:eastAsia="Arial" w:hAnsi="Arial"/>
                <w:sz w:val="11"/>
                <w:szCs w:val="11"/>
                <w:color w:val="0000FF"/>
                <w:w w:val="92"/>
              </w:rPr>
            </w:pPr>
            <w:hyperlink w:anchor="page4">
              <w:r>
                <w:rPr>
                  <w:rFonts w:ascii="Arial" w:cs="Arial" w:eastAsia="Arial" w:hAnsi="Arial"/>
                  <w:sz w:val="11"/>
                  <w:szCs w:val="11"/>
                  <w:color w:val="0000FF"/>
                  <w:w w:val="92"/>
                </w:rPr>
                <w:t>Interim Consolidated Balance Sheets</w:t>
              </w:r>
            </w:hyperlink>
          </w:p>
        </w:tc>
        <w:tc>
          <w:tcPr>
            <w:tcW w:w="1020" w:type="dxa"/>
            <w:vAlign w:val="bottom"/>
            <w:tcBorders>
              <w:top w:val="single" w:sz="8" w:color="0000FF"/>
            </w:tcBorders>
            <w:gridSpan w:val="7"/>
          </w:tcPr>
          <w:p>
            <w:pPr>
              <w:spacing w:after="0"/>
              <w:rPr>
                <w:sz w:val="10"/>
                <w:szCs w:val="10"/>
                <w:color w:val="auto"/>
              </w:rPr>
            </w:pPr>
          </w:p>
        </w:tc>
        <w:tc>
          <w:tcPr>
            <w:tcW w:w="5960" w:type="dxa"/>
            <w:vAlign w:val="bottom"/>
            <w:gridSpan w:val="3"/>
          </w:tcPr>
          <w:p>
            <w:pPr>
              <w:spacing w:after="0"/>
              <w:rPr>
                <w:sz w:val="10"/>
                <w:szCs w:val="10"/>
                <w:color w:val="auto"/>
              </w:rPr>
            </w:pPr>
          </w:p>
        </w:tc>
        <w:tc>
          <w:tcPr>
            <w:tcW w:w="600" w:type="dxa"/>
            <w:vAlign w:val="bottom"/>
            <w:gridSpan w:val="2"/>
          </w:tcPr>
          <w:p>
            <w:pPr>
              <w:jc w:val="center"/>
              <w:ind w:left="443"/>
              <w:spacing w:after="0" w:line="124" w:lineRule="exact"/>
              <w:rPr>
                <w:rFonts w:ascii="Arial" w:cs="Arial" w:eastAsia="Arial" w:hAnsi="Arial"/>
                <w:sz w:val="11"/>
                <w:szCs w:val="11"/>
                <w:u w:val="single" w:color="auto"/>
                <w:color w:val="0000FF"/>
                <w:w w:val="97"/>
              </w:rPr>
            </w:pPr>
            <w:hyperlink w:anchor="page4">
              <w:r>
                <w:rPr>
                  <w:rFonts w:ascii="Arial" w:cs="Arial" w:eastAsia="Arial" w:hAnsi="Arial"/>
                  <w:sz w:val="11"/>
                  <w:szCs w:val="11"/>
                  <w:u w:val="single" w:color="auto"/>
                  <w:color w:val="0000FF"/>
                  <w:w w:val="97"/>
                </w:rPr>
                <w:t>3</w:t>
              </w:r>
            </w:hyperlink>
          </w:p>
        </w:tc>
        <w:tc>
          <w:tcPr>
            <w:tcW w:w="500" w:type="dxa"/>
            <w:vAlign w:val="bottom"/>
          </w:tcPr>
          <w:p>
            <w:pPr>
              <w:spacing w:after="0"/>
              <w:rPr>
                <w:sz w:val="10"/>
                <w:szCs w:val="10"/>
                <w:color w:val="auto"/>
              </w:rPr>
            </w:pPr>
          </w:p>
        </w:tc>
      </w:tr>
      <w:tr>
        <w:trPr>
          <w:trHeight w:val="124"/>
        </w:trPr>
        <w:tc>
          <w:tcPr>
            <w:tcW w:w="1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180" w:type="dxa"/>
            <w:vAlign w:val="bottom"/>
            <w:tcBorders>
              <w:bottom w:val="single" w:sz="8" w:color="0000FF"/>
            </w:tcBorders>
            <w:gridSpan w:val="23"/>
          </w:tcPr>
          <w:p>
            <w:pPr>
              <w:spacing w:after="0" w:line="124" w:lineRule="exact"/>
              <w:rPr>
                <w:rFonts w:ascii="Arial" w:cs="Arial" w:eastAsia="Arial" w:hAnsi="Arial"/>
                <w:sz w:val="11"/>
                <w:szCs w:val="11"/>
                <w:color w:val="0000FF"/>
                <w:w w:val="92"/>
              </w:rPr>
            </w:pPr>
            <w:hyperlink w:anchor="page5">
              <w:r>
                <w:rPr>
                  <w:rFonts w:ascii="Arial" w:cs="Arial" w:eastAsia="Arial" w:hAnsi="Arial"/>
                  <w:sz w:val="11"/>
                  <w:szCs w:val="11"/>
                  <w:color w:val="0000FF"/>
                  <w:w w:val="92"/>
                </w:rPr>
                <w:t>Interim Consolidated Statements of Cash Flows</w:t>
              </w:r>
            </w:hyperlink>
          </w:p>
        </w:tc>
        <w:tc>
          <w:tcPr>
            <w:tcW w:w="6500" w:type="dxa"/>
            <w:vAlign w:val="bottom"/>
            <w:gridSpan w:val="7"/>
          </w:tcPr>
          <w:p>
            <w:pPr>
              <w:spacing w:after="0"/>
              <w:rPr>
                <w:sz w:val="10"/>
                <w:szCs w:val="10"/>
                <w:color w:val="auto"/>
              </w:rPr>
            </w:pPr>
          </w:p>
        </w:tc>
        <w:tc>
          <w:tcPr>
            <w:tcW w:w="600" w:type="dxa"/>
            <w:vAlign w:val="bottom"/>
            <w:gridSpan w:val="2"/>
          </w:tcPr>
          <w:p>
            <w:pPr>
              <w:jc w:val="center"/>
              <w:ind w:left="443"/>
              <w:spacing w:after="0" w:line="124" w:lineRule="exact"/>
              <w:rPr>
                <w:rFonts w:ascii="Arial" w:cs="Arial" w:eastAsia="Arial" w:hAnsi="Arial"/>
                <w:sz w:val="11"/>
                <w:szCs w:val="11"/>
                <w:u w:val="single" w:color="auto"/>
                <w:color w:val="0000FF"/>
                <w:w w:val="97"/>
              </w:rPr>
            </w:pPr>
            <w:hyperlink w:anchor="page5">
              <w:r>
                <w:rPr>
                  <w:rFonts w:ascii="Arial" w:cs="Arial" w:eastAsia="Arial" w:hAnsi="Arial"/>
                  <w:sz w:val="11"/>
                  <w:szCs w:val="11"/>
                  <w:u w:val="single" w:color="auto"/>
                  <w:color w:val="0000FF"/>
                  <w:w w:val="97"/>
                </w:rPr>
                <w:t>4</w:t>
              </w:r>
            </w:hyperlink>
          </w:p>
        </w:tc>
        <w:tc>
          <w:tcPr>
            <w:tcW w:w="500" w:type="dxa"/>
            <w:vAlign w:val="bottom"/>
          </w:tcPr>
          <w:p>
            <w:pPr>
              <w:spacing w:after="0"/>
              <w:rPr>
                <w:sz w:val="10"/>
                <w:szCs w:val="10"/>
                <w:color w:val="auto"/>
              </w:rPr>
            </w:pPr>
          </w:p>
        </w:tc>
      </w:tr>
      <w:tr>
        <w:trPr>
          <w:trHeight w:val="124"/>
        </w:trPr>
        <w:tc>
          <w:tcPr>
            <w:tcW w:w="1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20" w:type="dxa"/>
            <w:vAlign w:val="bottom"/>
            <w:tcBorders>
              <w:bottom w:val="single" w:sz="8" w:color="0000FF"/>
            </w:tcBorders>
            <w:gridSpan w:val="26"/>
          </w:tcPr>
          <w:p>
            <w:pPr>
              <w:spacing w:after="0" w:line="124" w:lineRule="exact"/>
              <w:rPr>
                <w:rFonts w:ascii="Arial" w:cs="Arial" w:eastAsia="Arial" w:hAnsi="Arial"/>
                <w:sz w:val="11"/>
                <w:szCs w:val="11"/>
                <w:color w:val="0000FF"/>
                <w:w w:val="94"/>
              </w:rPr>
            </w:pPr>
            <w:hyperlink w:anchor="page7">
              <w:r>
                <w:rPr>
                  <w:rFonts w:ascii="Arial" w:cs="Arial" w:eastAsia="Arial" w:hAnsi="Arial"/>
                  <w:sz w:val="11"/>
                  <w:szCs w:val="11"/>
                  <w:color w:val="0000FF"/>
                  <w:w w:val="94"/>
                </w:rPr>
                <w:t>Interim Consolidated Statements of Shareholders’ Equity</w:t>
              </w:r>
            </w:hyperlink>
          </w:p>
        </w:tc>
        <w:tc>
          <w:tcPr>
            <w:tcW w:w="6060" w:type="dxa"/>
            <w:vAlign w:val="bottom"/>
            <w:gridSpan w:val="4"/>
          </w:tcPr>
          <w:p>
            <w:pPr>
              <w:spacing w:after="0"/>
              <w:rPr>
                <w:sz w:val="10"/>
                <w:szCs w:val="10"/>
                <w:color w:val="auto"/>
              </w:rPr>
            </w:pPr>
          </w:p>
        </w:tc>
        <w:tc>
          <w:tcPr>
            <w:tcW w:w="600" w:type="dxa"/>
            <w:vAlign w:val="bottom"/>
            <w:gridSpan w:val="2"/>
          </w:tcPr>
          <w:p>
            <w:pPr>
              <w:jc w:val="center"/>
              <w:ind w:left="443"/>
              <w:spacing w:after="0" w:line="124" w:lineRule="exact"/>
              <w:rPr>
                <w:rFonts w:ascii="Arial" w:cs="Arial" w:eastAsia="Arial" w:hAnsi="Arial"/>
                <w:sz w:val="11"/>
                <w:szCs w:val="11"/>
                <w:u w:val="single" w:color="auto"/>
                <w:color w:val="0000FF"/>
                <w:w w:val="97"/>
              </w:rPr>
            </w:pPr>
            <w:hyperlink w:anchor="page7">
              <w:r>
                <w:rPr>
                  <w:rFonts w:ascii="Arial" w:cs="Arial" w:eastAsia="Arial" w:hAnsi="Arial"/>
                  <w:sz w:val="11"/>
                  <w:szCs w:val="11"/>
                  <w:u w:val="single" w:color="auto"/>
                  <w:color w:val="0000FF"/>
                  <w:w w:val="97"/>
                </w:rPr>
                <w:t>6</w:t>
              </w:r>
            </w:hyperlink>
          </w:p>
        </w:tc>
        <w:tc>
          <w:tcPr>
            <w:tcW w:w="500" w:type="dxa"/>
            <w:vAlign w:val="bottom"/>
          </w:tcPr>
          <w:p>
            <w:pPr>
              <w:spacing w:after="0"/>
              <w:rPr>
                <w:sz w:val="10"/>
                <w:szCs w:val="10"/>
                <w:color w:val="auto"/>
              </w:rPr>
            </w:pPr>
          </w:p>
        </w:tc>
      </w:tr>
      <w:tr>
        <w:trPr>
          <w:trHeight w:val="124"/>
        </w:trPr>
        <w:tc>
          <w:tcPr>
            <w:tcW w:w="1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360" w:type="dxa"/>
            <w:vAlign w:val="bottom"/>
            <w:tcBorders>
              <w:bottom w:val="single" w:sz="8" w:color="0000FF"/>
            </w:tcBorders>
            <w:gridSpan w:val="25"/>
          </w:tcPr>
          <w:p>
            <w:pPr>
              <w:spacing w:after="0" w:line="124" w:lineRule="exact"/>
              <w:rPr>
                <w:rFonts w:ascii="Arial" w:cs="Arial" w:eastAsia="Arial" w:hAnsi="Arial"/>
                <w:sz w:val="11"/>
                <w:szCs w:val="11"/>
                <w:color w:val="0000FF"/>
                <w:w w:val="93"/>
              </w:rPr>
            </w:pPr>
            <w:hyperlink w:anchor="page9">
              <w:r>
                <w:rPr>
                  <w:rFonts w:ascii="Arial" w:cs="Arial" w:eastAsia="Arial" w:hAnsi="Arial"/>
                  <w:sz w:val="11"/>
                  <w:szCs w:val="11"/>
                  <w:color w:val="0000FF"/>
                  <w:w w:val="93"/>
                </w:rPr>
                <w:t>Notes to Interim Consolidated Financial Statements</w:t>
              </w:r>
            </w:hyperlink>
          </w:p>
        </w:tc>
        <w:tc>
          <w:tcPr>
            <w:tcW w:w="6480" w:type="dxa"/>
            <w:vAlign w:val="bottom"/>
            <w:gridSpan w:val="6"/>
          </w:tcPr>
          <w:p>
            <w:pPr>
              <w:spacing w:after="0"/>
              <w:rPr>
                <w:sz w:val="10"/>
                <w:szCs w:val="10"/>
                <w:color w:val="auto"/>
              </w:rPr>
            </w:pPr>
          </w:p>
        </w:tc>
        <w:tc>
          <w:tcPr>
            <w:tcW w:w="600" w:type="dxa"/>
            <w:vAlign w:val="bottom"/>
            <w:gridSpan w:val="2"/>
          </w:tcPr>
          <w:p>
            <w:pPr>
              <w:jc w:val="center"/>
              <w:ind w:left="443"/>
              <w:spacing w:after="0" w:line="124" w:lineRule="exact"/>
              <w:rPr>
                <w:rFonts w:ascii="Arial" w:cs="Arial" w:eastAsia="Arial" w:hAnsi="Arial"/>
                <w:sz w:val="11"/>
                <w:szCs w:val="11"/>
                <w:u w:val="single" w:color="auto"/>
                <w:color w:val="0000FF"/>
                <w:w w:val="97"/>
              </w:rPr>
            </w:pPr>
            <w:hyperlink w:anchor="page9">
              <w:r>
                <w:rPr>
                  <w:rFonts w:ascii="Arial" w:cs="Arial" w:eastAsia="Arial" w:hAnsi="Arial"/>
                  <w:sz w:val="11"/>
                  <w:szCs w:val="11"/>
                  <w:u w:val="single" w:color="auto"/>
                  <w:color w:val="0000FF"/>
                  <w:w w:val="97"/>
                </w:rPr>
                <w:t>8</w:t>
              </w:r>
            </w:hyperlink>
          </w:p>
        </w:tc>
        <w:tc>
          <w:tcPr>
            <w:tcW w:w="500" w:type="dxa"/>
            <w:vAlign w:val="bottom"/>
          </w:tcPr>
          <w:p>
            <w:pPr>
              <w:spacing w:after="0"/>
              <w:rPr>
                <w:sz w:val="10"/>
                <w:szCs w:val="10"/>
                <w:color w:val="auto"/>
              </w:rPr>
            </w:pPr>
          </w:p>
        </w:tc>
      </w:tr>
      <w:tr>
        <w:trPr>
          <w:trHeight w:val="124"/>
        </w:trPr>
        <w:tc>
          <w:tcPr>
            <w:tcW w:w="1220" w:type="dxa"/>
            <w:vAlign w:val="bottom"/>
          </w:tcPr>
          <w:p>
            <w:pPr>
              <w:spacing w:after="0"/>
              <w:rPr>
                <w:sz w:val="10"/>
                <w:szCs w:val="10"/>
                <w:color w:val="auto"/>
              </w:rPr>
            </w:pPr>
          </w:p>
        </w:tc>
        <w:tc>
          <w:tcPr>
            <w:tcW w:w="400" w:type="dxa"/>
            <w:vAlign w:val="bottom"/>
            <w:gridSpan w:val="3"/>
          </w:tcPr>
          <w:p>
            <w:pPr>
              <w:ind w:left="300"/>
              <w:spacing w:after="0" w:line="124" w:lineRule="exact"/>
              <w:rPr>
                <w:rFonts w:ascii="Arial" w:cs="Arial" w:eastAsia="Arial" w:hAnsi="Arial"/>
                <w:sz w:val="11"/>
                <w:szCs w:val="11"/>
                <w:color w:val="0000FF"/>
                <w:w w:val="86"/>
              </w:rPr>
            </w:pPr>
            <w:hyperlink w:anchor="page10">
              <w:r>
                <w:rPr>
                  <w:rFonts w:ascii="Arial" w:cs="Arial" w:eastAsia="Arial" w:hAnsi="Arial"/>
                  <w:sz w:val="11"/>
                  <w:szCs w:val="11"/>
                  <w:color w:val="0000FF"/>
                  <w:w w:val="86"/>
                </w:rPr>
                <w:t>1.</w:t>
              </w:r>
            </w:hyperlink>
          </w:p>
        </w:tc>
        <w:tc>
          <w:tcPr>
            <w:tcW w:w="8580" w:type="dxa"/>
            <w:vAlign w:val="bottom"/>
            <w:gridSpan w:val="29"/>
          </w:tcPr>
          <w:p>
            <w:pPr>
              <w:spacing w:after="0" w:line="124" w:lineRule="exact"/>
              <w:rPr>
                <w:rFonts w:ascii="Arial" w:cs="Arial" w:eastAsia="Arial" w:hAnsi="Arial"/>
                <w:sz w:val="11"/>
                <w:szCs w:val="11"/>
                <w:color w:val="0000FF"/>
              </w:rPr>
            </w:pPr>
            <w:hyperlink w:anchor="page10">
              <w:r>
                <w:rPr>
                  <w:rFonts w:ascii="Arial" w:cs="Arial" w:eastAsia="Arial" w:hAnsi="Arial"/>
                  <w:sz w:val="11"/>
                  <w:szCs w:val="11"/>
                  <w:color w:val="0000FF"/>
                </w:rPr>
                <w:t>Basis of Presentation</w:t>
              </w:r>
            </w:hyperlink>
          </w:p>
        </w:tc>
        <w:tc>
          <w:tcPr>
            <w:tcW w:w="600" w:type="dxa"/>
            <w:vAlign w:val="bottom"/>
            <w:gridSpan w:val="2"/>
          </w:tcPr>
          <w:p>
            <w:pPr>
              <w:jc w:val="center"/>
              <w:ind w:left="443"/>
              <w:spacing w:after="0" w:line="124" w:lineRule="exact"/>
              <w:rPr>
                <w:rFonts w:ascii="Arial" w:cs="Arial" w:eastAsia="Arial" w:hAnsi="Arial"/>
                <w:sz w:val="11"/>
                <w:szCs w:val="11"/>
                <w:u w:val="single" w:color="auto"/>
                <w:color w:val="0000FF"/>
                <w:w w:val="97"/>
              </w:rPr>
            </w:pPr>
            <w:hyperlink w:anchor="page10">
              <w:r>
                <w:rPr>
                  <w:rFonts w:ascii="Arial" w:cs="Arial" w:eastAsia="Arial" w:hAnsi="Arial"/>
                  <w:sz w:val="11"/>
                  <w:szCs w:val="11"/>
                  <w:u w:val="single" w:color="auto"/>
                  <w:color w:val="0000FF"/>
                  <w:w w:val="97"/>
                </w:rPr>
                <w:t>8</w:t>
              </w:r>
            </w:hyperlink>
          </w:p>
        </w:tc>
        <w:tc>
          <w:tcPr>
            <w:tcW w:w="500" w:type="dxa"/>
            <w:vAlign w:val="bottom"/>
          </w:tcPr>
          <w:p>
            <w:pPr>
              <w:spacing w:after="0"/>
              <w:rPr>
                <w:sz w:val="10"/>
                <w:szCs w:val="10"/>
                <w:color w:val="auto"/>
              </w:rPr>
            </w:pPr>
          </w:p>
        </w:tc>
      </w:tr>
      <w:tr>
        <w:trPr>
          <w:trHeight w:val="20"/>
        </w:trPr>
        <w:tc>
          <w:tcPr>
            <w:tcW w:w="12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24"/>
        </w:trPr>
        <w:tc>
          <w:tcPr>
            <w:tcW w:w="1220" w:type="dxa"/>
            <w:vAlign w:val="bottom"/>
          </w:tcPr>
          <w:p>
            <w:pPr>
              <w:spacing w:after="0"/>
              <w:rPr>
                <w:sz w:val="10"/>
                <w:szCs w:val="10"/>
                <w:color w:val="auto"/>
              </w:rPr>
            </w:pPr>
          </w:p>
        </w:tc>
        <w:tc>
          <w:tcPr>
            <w:tcW w:w="400" w:type="dxa"/>
            <w:vAlign w:val="bottom"/>
            <w:gridSpan w:val="3"/>
          </w:tcPr>
          <w:p>
            <w:pPr>
              <w:ind w:left="300"/>
              <w:spacing w:after="0" w:line="124" w:lineRule="exact"/>
              <w:rPr>
                <w:rFonts w:ascii="Arial" w:cs="Arial" w:eastAsia="Arial" w:hAnsi="Arial"/>
                <w:sz w:val="11"/>
                <w:szCs w:val="11"/>
                <w:color w:val="0000FF"/>
                <w:w w:val="86"/>
              </w:rPr>
            </w:pPr>
            <w:hyperlink w:anchor="page11">
              <w:r>
                <w:rPr>
                  <w:rFonts w:ascii="Arial" w:cs="Arial" w:eastAsia="Arial" w:hAnsi="Arial"/>
                  <w:sz w:val="11"/>
                  <w:szCs w:val="11"/>
                  <w:color w:val="0000FF"/>
                  <w:w w:val="86"/>
                </w:rPr>
                <w:t>2.</w:t>
              </w:r>
            </w:hyperlink>
          </w:p>
        </w:tc>
        <w:tc>
          <w:tcPr>
            <w:tcW w:w="8580" w:type="dxa"/>
            <w:vAlign w:val="bottom"/>
            <w:gridSpan w:val="29"/>
          </w:tcPr>
          <w:p>
            <w:pPr>
              <w:spacing w:after="0" w:line="124" w:lineRule="exact"/>
              <w:rPr>
                <w:rFonts w:ascii="Arial" w:cs="Arial" w:eastAsia="Arial" w:hAnsi="Arial"/>
                <w:sz w:val="11"/>
                <w:szCs w:val="11"/>
                <w:color w:val="0000FF"/>
              </w:rPr>
            </w:pPr>
            <w:hyperlink w:anchor="page11">
              <w:r>
                <w:rPr>
                  <w:rFonts w:ascii="Arial" w:cs="Arial" w:eastAsia="Arial" w:hAnsi="Arial"/>
                  <w:sz w:val="11"/>
                  <w:szCs w:val="11"/>
                  <w:color w:val="0000FF"/>
                </w:rPr>
                <w:t>Significant Accounting Policies and Recent Accounting Standards</w:t>
              </w:r>
            </w:hyperlink>
          </w:p>
        </w:tc>
        <w:tc>
          <w:tcPr>
            <w:tcW w:w="600" w:type="dxa"/>
            <w:vAlign w:val="bottom"/>
            <w:gridSpan w:val="2"/>
          </w:tcPr>
          <w:p>
            <w:pPr>
              <w:jc w:val="center"/>
              <w:ind w:left="443"/>
              <w:spacing w:after="0" w:line="124" w:lineRule="exact"/>
              <w:rPr>
                <w:rFonts w:ascii="Arial" w:cs="Arial" w:eastAsia="Arial" w:hAnsi="Arial"/>
                <w:sz w:val="11"/>
                <w:szCs w:val="11"/>
                <w:u w:val="single" w:color="auto"/>
                <w:color w:val="0000FF"/>
                <w:w w:val="97"/>
              </w:rPr>
            </w:pPr>
            <w:hyperlink w:anchor="page11">
              <w:r>
                <w:rPr>
                  <w:rFonts w:ascii="Arial" w:cs="Arial" w:eastAsia="Arial" w:hAnsi="Arial"/>
                  <w:sz w:val="11"/>
                  <w:szCs w:val="11"/>
                  <w:u w:val="single" w:color="auto"/>
                  <w:color w:val="0000FF"/>
                  <w:w w:val="97"/>
                </w:rPr>
                <w:t>9</w:t>
              </w:r>
            </w:hyperlink>
          </w:p>
        </w:tc>
        <w:tc>
          <w:tcPr>
            <w:tcW w:w="500" w:type="dxa"/>
            <w:vAlign w:val="bottom"/>
          </w:tcPr>
          <w:p>
            <w:pPr>
              <w:spacing w:after="0"/>
              <w:rPr>
                <w:sz w:val="10"/>
                <w:szCs w:val="10"/>
                <w:color w:val="auto"/>
              </w:rPr>
            </w:pPr>
          </w:p>
        </w:tc>
      </w:tr>
      <w:tr>
        <w:trPr>
          <w:trHeight w:val="20"/>
        </w:trPr>
        <w:tc>
          <w:tcPr>
            <w:tcW w:w="12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740" w:type="dxa"/>
            <w:vAlign w:val="bottom"/>
            <w:gridSpan w:val="4"/>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24"/>
        </w:trPr>
        <w:tc>
          <w:tcPr>
            <w:tcW w:w="1220" w:type="dxa"/>
            <w:vAlign w:val="bottom"/>
          </w:tcPr>
          <w:p>
            <w:pPr>
              <w:spacing w:after="0"/>
              <w:rPr>
                <w:sz w:val="10"/>
                <w:szCs w:val="10"/>
                <w:color w:val="auto"/>
              </w:rPr>
            </w:pPr>
          </w:p>
        </w:tc>
        <w:tc>
          <w:tcPr>
            <w:tcW w:w="400" w:type="dxa"/>
            <w:vAlign w:val="bottom"/>
            <w:gridSpan w:val="3"/>
          </w:tcPr>
          <w:p>
            <w:pPr>
              <w:ind w:left="300"/>
              <w:spacing w:after="0" w:line="124" w:lineRule="exact"/>
              <w:rPr>
                <w:rFonts w:ascii="Arial" w:cs="Arial" w:eastAsia="Arial" w:hAnsi="Arial"/>
                <w:sz w:val="11"/>
                <w:szCs w:val="11"/>
                <w:color w:val="0000FF"/>
                <w:w w:val="86"/>
              </w:rPr>
            </w:pPr>
            <w:hyperlink w:anchor="page11">
              <w:r>
                <w:rPr>
                  <w:rFonts w:ascii="Arial" w:cs="Arial" w:eastAsia="Arial" w:hAnsi="Arial"/>
                  <w:sz w:val="11"/>
                  <w:szCs w:val="11"/>
                  <w:color w:val="0000FF"/>
                  <w:w w:val="86"/>
                </w:rPr>
                <w:t>3.</w:t>
              </w:r>
            </w:hyperlink>
          </w:p>
        </w:tc>
        <w:tc>
          <w:tcPr>
            <w:tcW w:w="8580" w:type="dxa"/>
            <w:vAlign w:val="bottom"/>
            <w:gridSpan w:val="29"/>
          </w:tcPr>
          <w:p>
            <w:pPr>
              <w:spacing w:after="0" w:line="124" w:lineRule="exact"/>
              <w:rPr>
                <w:rFonts w:ascii="Arial" w:cs="Arial" w:eastAsia="Arial" w:hAnsi="Arial"/>
                <w:sz w:val="11"/>
                <w:szCs w:val="11"/>
                <w:color w:val="0000FF"/>
              </w:rPr>
            </w:pPr>
            <w:hyperlink w:anchor="page11">
              <w:r>
                <w:rPr>
                  <w:rFonts w:ascii="Arial" w:cs="Arial" w:eastAsia="Arial" w:hAnsi="Arial"/>
                  <w:sz w:val="11"/>
                  <w:szCs w:val="11"/>
                  <w:color w:val="0000FF"/>
                </w:rPr>
                <w:t>Acquisitions and Dispositions</w:t>
              </w:r>
            </w:hyperlink>
          </w:p>
        </w:tc>
        <w:tc>
          <w:tcPr>
            <w:tcW w:w="600" w:type="dxa"/>
            <w:vAlign w:val="bottom"/>
            <w:gridSpan w:val="2"/>
          </w:tcPr>
          <w:p>
            <w:pPr>
              <w:jc w:val="center"/>
              <w:ind w:left="443"/>
              <w:spacing w:after="0" w:line="124" w:lineRule="exact"/>
              <w:rPr>
                <w:rFonts w:ascii="Arial" w:cs="Arial" w:eastAsia="Arial" w:hAnsi="Arial"/>
                <w:sz w:val="11"/>
                <w:szCs w:val="11"/>
                <w:u w:val="single" w:color="auto"/>
                <w:color w:val="0000FF"/>
                <w:w w:val="97"/>
              </w:rPr>
            </w:pPr>
            <w:hyperlink w:anchor="page11">
              <w:r>
                <w:rPr>
                  <w:rFonts w:ascii="Arial" w:cs="Arial" w:eastAsia="Arial" w:hAnsi="Arial"/>
                  <w:sz w:val="11"/>
                  <w:szCs w:val="11"/>
                  <w:u w:val="single" w:color="auto"/>
                  <w:color w:val="0000FF"/>
                  <w:w w:val="97"/>
                </w:rPr>
                <w:t>9</w:t>
              </w:r>
            </w:hyperlink>
          </w:p>
        </w:tc>
        <w:tc>
          <w:tcPr>
            <w:tcW w:w="500" w:type="dxa"/>
            <w:vAlign w:val="bottom"/>
          </w:tcPr>
          <w:p>
            <w:pPr>
              <w:spacing w:after="0"/>
              <w:rPr>
                <w:sz w:val="10"/>
                <w:szCs w:val="10"/>
                <w:color w:val="auto"/>
              </w:rPr>
            </w:pPr>
          </w:p>
        </w:tc>
      </w:tr>
      <w:tr>
        <w:trPr>
          <w:trHeight w:val="20"/>
        </w:trPr>
        <w:tc>
          <w:tcPr>
            <w:tcW w:w="12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24"/>
        </w:trPr>
        <w:tc>
          <w:tcPr>
            <w:tcW w:w="1220" w:type="dxa"/>
            <w:vAlign w:val="bottom"/>
          </w:tcPr>
          <w:p>
            <w:pPr>
              <w:spacing w:after="0"/>
              <w:rPr>
                <w:sz w:val="10"/>
                <w:szCs w:val="10"/>
                <w:color w:val="auto"/>
              </w:rPr>
            </w:pPr>
          </w:p>
        </w:tc>
        <w:tc>
          <w:tcPr>
            <w:tcW w:w="400" w:type="dxa"/>
            <w:vAlign w:val="bottom"/>
            <w:gridSpan w:val="3"/>
          </w:tcPr>
          <w:p>
            <w:pPr>
              <w:ind w:left="300"/>
              <w:spacing w:after="0" w:line="124" w:lineRule="exact"/>
              <w:rPr>
                <w:rFonts w:ascii="Arial" w:cs="Arial" w:eastAsia="Arial" w:hAnsi="Arial"/>
                <w:sz w:val="11"/>
                <w:szCs w:val="11"/>
                <w:color w:val="0000FF"/>
                <w:w w:val="86"/>
              </w:rPr>
            </w:pPr>
            <w:hyperlink w:anchor="page13">
              <w:r>
                <w:rPr>
                  <w:rFonts w:ascii="Arial" w:cs="Arial" w:eastAsia="Arial" w:hAnsi="Arial"/>
                  <w:sz w:val="11"/>
                  <w:szCs w:val="11"/>
                  <w:color w:val="0000FF"/>
                  <w:w w:val="86"/>
                </w:rPr>
                <w:t>4.</w:t>
              </w:r>
            </w:hyperlink>
          </w:p>
        </w:tc>
        <w:tc>
          <w:tcPr>
            <w:tcW w:w="8580" w:type="dxa"/>
            <w:vAlign w:val="bottom"/>
            <w:gridSpan w:val="29"/>
          </w:tcPr>
          <w:p>
            <w:pPr>
              <w:spacing w:after="0" w:line="124" w:lineRule="exact"/>
              <w:rPr>
                <w:rFonts w:ascii="Arial" w:cs="Arial" w:eastAsia="Arial" w:hAnsi="Arial"/>
                <w:sz w:val="11"/>
                <w:szCs w:val="11"/>
                <w:color w:val="0000FF"/>
              </w:rPr>
            </w:pPr>
            <w:hyperlink w:anchor="page13">
              <w:r>
                <w:rPr>
                  <w:rFonts w:ascii="Arial" w:cs="Arial" w:eastAsia="Arial" w:hAnsi="Arial"/>
                  <w:sz w:val="11"/>
                  <w:szCs w:val="11"/>
                  <w:color w:val="0000FF"/>
                </w:rPr>
                <w:t>Revenue and Receivables</w:t>
              </w:r>
            </w:hyperlink>
          </w:p>
        </w:tc>
        <w:tc>
          <w:tcPr>
            <w:tcW w:w="600" w:type="dxa"/>
            <w:vAlign w:val="bottom"/>
            <w:gridSpan w:val="2"/>
          </w:tcPr>
          <w:p>
            <w:pPr>
              <w:jc w:val="center"/>
              <w:ind w:left="443"/>
              <w:spacing w:after="0" w:line="124" w:lineRule="exact"/>
              <w:rPr>
                <w:rFonts w:ascii="Arial" w:cs="Arial" w:eastAsia="Arial" w:hAnsi="Arial"/>
                <w:sz w:val="11"/>
                <w:szCs w:val="11"/>
                <w:color w:val="0000FF"/>
                <w:w w:val="81"/>
              </w:rPr>
            </w:pPr>
            <w:hyperlink w:anchor="page13">
              <w:r>
                <w:rPr>
                  <w:rFonts w:ascii="Arial" w:cs="Arial" w:eastAsia="Arial" w:hAnsi="Arial"/>
                  <w:sz w:val="11"/>
                  <w:szCs w:val="11"/>
                  <w:color w:val="0000FF"/>
                  <w:w w:val="81"/>
                </w:rPr>
                <w:t>12</w:t>
              </w:r>
            </w:hyperlink>
          </w:p>
        </w:tc>
        <w:tc>
          <w:tcPr>
            <w:tcW w:w="500" w:type="dxa"/>
            <w:vAlign w:val="bottom"/>
          </w:tcPr>
          <w:p>
            <w:pPr>
              <w:spacing w:after="0"/>
              <w:rPr>
                <w:sz w:val="10"/>
                <w:szCs w:val="10"/>
                <w:color w:val="auto"/>
              </w:rPr>
            </w:pPr>
          </w:p>
        </w:tc>
      </w:tr>
      <w:tr>
        <w:trPr>
          <w:trHeight w:val="20"/>
        </w:trPr>
        <w:tc>
          <w:tcPr>
            <w:tcW w:w="12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24"/>
        </w:trPr>
        <w:tc>
          <w:tcPr>
            <w:tcW w:w="1220" w:type="dxa"/>
            <w:vAlign w:val="bottom"/>
          </w:tcPr>
          <w:p>
            <w:pPr>
              <w:spacing w:after="0"/>
              <w:rPr>
                <w:sz w:val="10"/>
                <w:szCs w:val="10"/>
                <w:color w:val="auto"/>
              </w:rPr>
            </w:pPr>
          </w:p>
        </w:tc>
        <w:tc>
          <w:tcPr>
            <w:tcW w:w="400" w:type="dxa"/>
            <w:vAlign w:val="bottom"/>
            <w:gridSpan w:val="3"/>
          </w:tcPr>
          <w:p>
            <w:pPr>
              <w:ind w:left="300"/>
              <w:spacing w:after="0" w:line="124" w:lineRule="exact"/>
              <w:rPr>
                <w:rFonts w:ascii="Arial" w:cs="Arial" w:eastAsia="Arial" w:hAnsi="Arial"/>
                <w:sz w:val="11"/>
                <w:szCs w:val="11"/>
                <w:color w:val="0000FF"/>
                <w:w w:val="86"/>
              </w:rPr>
            </w:pPr>
            <w:hyperlink w:anchor="page17">
              <w:r>
                <w:rPr>
                  <w:rFonts w:ascii="Arial" w:cs="Arial" w:eastAsia="Arial" w:hAnsi="Arial"/>
                  <w:sz w:val="11"/>
                  <w:szCs w:val="11"/>
                  <w:color w:val="0000FF"/>
                  <w:w w:val="86"/>
                </w:rPr>
                <w:t>5.</w:t>
              </w:r>
            </w:hyperlink>
          </w:p>
        </w:tc>
        <w:tc>
          <w:tcPr>
            <w:tcW w:w="8580" w:type="dxa"/>
            <w:vAlign w:val="bottom"/>
            <w:gridSpan w:val="29"/>
          </w:tcPr>
          <w:p>
            <w:pPr>
              <w:spacing w:after="0" w:line="124" w:lineRule="exact"/>
              <w:rPr>
                <w:rFonts w:ascii="Arial" w:cs="Arial" w:eastAsia="Arial" w:hAnsi="Arial"/>
                <w:sz w:val="11"/>
                <w:szCs w:val="11"/>
                <w:color w:val="0000FF"/>
              </w:rPr>
            </w:pPr>
            <w:hyperlink w:anchor="page17">
              <w:r>
                <w:rPr>
                  <w:rFonts w:ascii="Arial" w:cs="Arial" w:eastAsia="Arial" w:hAnsi="Arial"/>
                  <w:sz w:val="11"/>
                  <w:szCs w:val="11"/>
                  <w:color w:val="0000FF"/>
                </w:rPr>
                <w:t>Income Taxes</w:t>
              </w:r>
            </w:hyperlink>
          </w:p>
        </w:tc>
        <w:tc>
          <w:tcPr>
            <w:tcW w:w="600" w:type="dxa"/>
            <w:vAlign w:val="bottom"/>
            <w:gridSpan w:val="2"/>
          </w:tcPr>
          <w:p>
            <w:pPr>
              <w:jc w:val="center"/>
              <w:ind w:left="443"/>
              <w:spacing w:after="0" w:line="124" w:lineRule="exact"/>
              <w:rPr>
                <w:rFonts w:ascii="Arial" w:cs="Arial" w:eastAsia="Arial" w:hAnsi="Arial"/>
                <w:sz w:val="11"/>
                <w:szCs w:val="11"/>
                <w:color w:val="0000FF"/>
                <w:w w:val="81"/>
              </w:rPr>
            </w:pPr>
            <w:hyperlink w:anchor="page17">
              <w:r>
                <w:rPr>
                  <w:rFonts w:ascii="Arial" w:cs="Arial" w:eastAsia="Arial" w:hAnsi="Arial"/>
                  <w:sz w:val="11"/>
                  <w:szCs w:val="11"/>
                  <w:color w:val="0000FF"/>
                  <w:w w:val="81"/>
                </w:rPr>
                <w:t>15</w:t>
              </w:r>
            </w:hyperlink>
          </w:p>
        </w:tc>
        <w:tc>
          <w:tcPr>
            <w:tcW w:w="500" w:type="dxa"/>
            <w:vAlign w:val="bottom"/>
          </w:tcPr>
          <w:p>
            <w:pPr>
              <w:spacing w:after="0"/>
              <w:rPr>
                <w:sz w:val="10"/>
                <w:szCs w:val="10"/>
                <w:color w:val="auto"/>
              </w:rPr>
            </w:pPr>
          </w:p>
        </w:tc>
      </w:tr>
      <w:tr>
        <w:trPr>
          <w:trHeight w:val="20"/>
        </w:trPr>
        <w:tc>
          <w:tcPr>
            <w:tcW w:w="12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24"/>
        </w:trPr>
        <w:tc>
          <w:tcPr>
            <w:tcW w:w="1220" w:type="dxa"/>
            <w:vAlign w:val="bottom"/>
          </w:tcPr>
          <w:p>
            <w:pPr>
              <w:spacing w:after="0"/>
              <w:rPr>
                <w:sz w:val="10"/>
                <w:szCs w:val="10"/>
                <w:color w:val="auto"/>
              </w:rPr>
            </w:pPr>
          </w:p>
        </w:tc>
        <w:tc>
          <w:tcPr>
            <w:tcW w:w="400" w:type="dxa"/>
            <w:vAlign w:val="bottom"/>
            <w:gridSpan w:val="3"/>
          </w:tcPr>
          <w:p>
            <w:pPr>
              <w:ind w:left="300"/>
              <w:spacing w:after="0" w:line="124" w:lineRule="exact"/>
              <w:rPr>
                <w:rFonts w:ascii="Arial" w:cs="Arial" w:eastAsia="Arial" w:hAnsi="Arial"/>
                <w:sz w:val="11"/>
                <w:szCs w:val="11"/>
                <w:color w:val="0000FF"/>
                <w:w w:val="86"/>
              </w:rPr>
            </w:pPr>
            <w:hyperlink w:anchor="page18">
              <w:r>
                <w:rPr>
                  <w:rFonts w:ascii="Arial" w:cs="Arial" w:eastAsia="Arial" w:hAnsi="Arial"/>
                  <w:sz w:val="11"/>
                  <w:szCs w:val="11"/>
                  <w:color w:val="0000FF"/>
                  <w:w w:val="86"/>
                </w:rPr>
                <w:t>6.</w:t>
              </w:r>
            </w:hyperlink>
          </w:p>
        </w:tc>
        <w:tc>
          <w:tcPr>
            <w:tcW w:w="8580" w:type="dxa"/>
            <w:vAlign w:val="bottom"/>
            <w:gridSpan w:val="29"/>
          </w:tcPr>
          <w:p>
            <w:pPr>
              <w:spacing w:after="0" w:line="124" w:lineRule="exact"/>
              <w:rPr>
                <w:rFonts w:ascii="Arial" w:cs="Arial" w:eastAsia="Arial" w:hAnsi="Arial"/>
                <w:sz w:val="11"/>
                <w:szCs w:val="11"/>
                <w:color w:val="0000FF"/>
              </w:rPr>
            </w:pPr>
            <w:hyperlink w:anchor="page18">
              <w:r>
                <w:rPr>
                  <w:rFonts w:ascii="Arial" w:cs="Arial" w:eastAsia="Arial" w:hAnsi="Arial"/>
                  <w:sz w:val="11"/>
                  <w:szCs w:val="11"/>
                  <w:color w:val="0000FF"/>
                </w:rPr>
                <w:t>Vacation Ownership Notes Receivable</w:t>
              </w:r>
            </w:hyperlink>
          </w:p>
        </w:tc>
        <w:tc>
          <w:tcPr>
            <w:tcW w:w="600" w:type="dxa"/>
            <w:vAlign w:val="bottom"/>
            <w:gridSpan w:val="2"/>
          </w:tcPr>
          <w:p>
            <w:pPr>
              <w:jc w:val="center"/>
              <w:ind w:left="443"/>
              <w:spacing w:after="0" w:line="124" w:lineRule="exact"/>
              <w:rPr>
                <w:rFonts w:ascii="Arial" w:cs="Arial" w:eastAsia="Arial" w:hAnsi="Arial"/>
                <w:sz w:val="11"/>
                <w:szCs w:val="11"/>
                <w:color w:val="0000FF"/>
                <w:w w:val="81"/>
              </w:rPr>
            </w:pPr>
            <w:hyperlink w:anchor="page18">
              <w:r>
                <w:rPr>
                  <w:rFonts w:ascii="Arial" w:cs="Arial" w:eastAsia="Arial" w:hAnsi="Arial"/>
                  <w:sz w:val="11"/>
                  <w:szCs w:val="11"/>
                  <w:color w:val="0000FF"/>
                  <w:w w:val="81"/>
                </w:rPr>
                <w:t>16</w:t>
              </w:r>
            </w:hyperlink>
          </w:p>
        </w:tc>
        <w:tc>
          <w:tcPr>
            <w:tcW w:w="500" w:type="dxa"/>
            <w:vAlign w:val="bottom"/>
          </w:tcPr>
          <w:p>
            <w:pPr>
              <w:spacing w:after="0"/>
              <w:rPr>
                <w:sz w:val="10"/>
                <w:szCs w:val="10"/>
                <w:color w:val="auto"/>
              </w:rPr>
            </w:pPr>
          </w:p>
        </w:tc>
      </w:tr>
      <w:tr>
        <w:trPr>
          <w:trHeight w:val="20"/>
        </w:trPr>
        <w:tc>
          <w:tcPr>
            <w:tcW w:w="12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24"/>
        </w:trPr>
        <w:tc>
          <w:tcPr>
            <w:tcW w:w="1220" w:type="dxa"/>
            <w:vAlign w:val="bottom"/>
          </w:tcPr>
          <w:p>
            <w:pPr>
              <w:spacing w:after="0"/>
              <w:rPr>
                <w:sz w:val="10"/>
                <w:szCs w:val="10"/>
                <w:color w:val="auto"/>
              </w:rPr>
            </w:pPr>
          </w:p>
        </w:tc>
        <w:tc>
          <w:tcPr>
            <w:tcW w:w="400" w:type="dxa"/>
            <w:vAlign w:val="bottom"/>
            <w:gridSpan w:val="3"/>
          </w:tcPr>
          <w:p>
            <w:pPr>
              <w:ind w:left="300"/>
              <w:spacing w:after="0" w:line="124" w:lineRule="exact"/>
              <w:rPr>
                <w:rFonts w:ascii="Arial" w:cs="Arial" w:eastAsia="Arial" w:hAnsi="Arial"/>
                <w:sz w:val="11"/>
                <w:szCs w:val="11"/>
                <w:color w:val="0000FF"/>
                <w:w w:val="86"/>
              </w:rPr>
            </w:pPr>
            <w:hyperlink w:anchor="page24">
              <w:r>
                <w:rPr>
                  <w:rFonts w:ascii="Arial" w:cs="Arial" w:eastAsia="Arial" w:hAnsi="Arial"/>
                  <w:sz w:val="11"/>
                  <w:szCs w:val="11"/>
                  <w:color w:val="0000FF"/>
                  <w:w w:val="86"/>
                </w:rPr>
                <w:t>7.</w:t>
              </w:r>
            </w:hyperlink>
          </w:p>
        </w:tc>
        <w:tc>
          <w:tcPr>
            <w:tcW w:w="8580" w:type="dxa"/>
            <w:vAlign w:val="bottom"/>
            <w:gridSpan w:val="29"/>
          </w:tcPr>
          <w:p>
            <w:pPr>
              <w:spacing w:after="0" w:line="124" w:lineRule="exact"/>
              <w:rPr>
                <w:rFonts w:ascii="Arial" w:cs="Arial" w:eastAsia="Arial" w:hAnsi="Arial"/>
                <w:sz w:val="11"/>
                <w:szCs w:val="11"/>
                <w:color w:val="0000FF"/>
              </w:rPr>
            </w:pPr>
            <w:hyperlink w:anchor="page24">
              <w:r>
                <w:rPr>
                  <w:rFonts w:ascii="Arial" w:cs="Arial" w:eastAsia="Arial" w:hAnsi="Arial"/>
                  <w:sz w:val="11"/>
                  <w:szCs w:val="11"/>
                  <w:color w:val="0000FF"/>
                </w:rPr>
                <w:t>Financial Instruments</w:t>
              </w:r>
            </w:hyperlink>
          </w:p>
        </w:tc>
        <w:tc>
          <w:tcPr>
            <w:tcW w:w="600" w:type="dxa"/>
            <w:vAlign w:val="bottom"/>
            <w:gridSpan w:val="2"/>
          </w:tcPr>
          <w:p>
            <w:pPr>
              <w:jc w:val="center"/>
              <w:ind w:left="443"/>
              <w:spacing w:after="0" w:line="124" w:lineRule="exact"/>
              <w:rPr>
                <w:rFonts w:ascii="Arial" w:cs="Arial" w:eastAsia="Arial" w:hAnsi="Arial"/>
                <w:sz w:val="11"/>
                <w:szCs w:val="11"/>
                <w:color w:val="0000FF"/>
                <w:w w:val="81"/>
              </w:rPr>
            </w:pPr>
            <w:hyperlink w:anchor="page24">
              <w:r>
                <w:rPr>
                  <w:rFonts w:ascii="Arial" w:cs="Arial" w:eastAsia="Arial" w:hAnsi="Arial"/>
                  <w:sz w:val="11"/>
                  <w:szCs w:val="11"/>
                  <w:color w:val="0000FF"/>
                  <w:w w:val="81"/>
                </w:rPr>
                <w:t>23</w:t>
              </w:r>
            </w:hyperlink>
          </w:p>
        </w:tc>
        <w:tc>
          <w:tcPr>
            <w:tcW w:w="500" w:type="dxa"/>
            <w:vAlign w:val="bottom"/>
          </w:tcPr>
          <w:p>
            <w:pPr>
              <w:spacing w:after="0"/>
              <w:rPr>
                <w:sz w:val="10"/>
                <w:szCs w:val="10"/>
                <w:color w:val="auto"/>
              </w:rPr>
            </w:pPr>
          </w:p>
        </w:tc>
      </w:tr>
      <w:tr>
        <w:trPr>
          <w:trHeight w:val="20"/>
        </w:trPr>
        <w:tc>
          <w:tcPr>
            <w:tcW w:w="12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24"/>
        </w:trPr>
        <w:tc>
          <w:tcPr>
            <w:tcW w:w="1220" w:type="dxa"/>
            <w:vAlign w:val="bottom"/>
          </w:tcPr>
          <w:p>
            <w:pPr>
              <w:spacing w:after="0"/>
              <w:rPr>
                <w:sz w:val="10"/>
                <w:szCs w:val="10"/>
                <w:color w:val="auto"/>
              </w:rPr>
            </w:pPr>
          </w:p>
        </w:tc>
        <w:tc>
          <w:tcPr>
            <w:tcW w:w="400" w:type="dxa"/>
            <w:vAlign w:val="bottom"/>
            <w:gridSpan w:val="3"/>
          </w:tcPr>
          <w:p>
            <w:pPr>
              <w:ind w:left="300"/>
              <w:spacing w:after="0" w:line="124" w:lineRule="exact"/>
              <w:rPr>
                <w:rFonts w:ascii="Arial" w:cs="Arial" w:eastAsia="Arial" w:hAnsi="Arial"/>
                <w:sz w:val="11"/>
                <w:szCs w:val="11"/>
                <w:color w:val="0000FF"/>
                <w:w w:val="86"/>
              </w:rPr>
            </w:pPr>
            <w:hyperlink w:anchor="page26">
              <w:r>
                <w:rPr>
                  <w:rFonts w:ascii="Arial" w:cs="Arial" w:eastAsia="Arial" w:hAnsi="Arial"/>
                  <w:sz w:val="11"/>
                  <w:szCs w:val="11"/>
                  <w:color w:val="0000FF"/>
                  <w:w w:val="86"/>
                </w:rPr>
                <w:t>8.</w:t>
              </w:r>
            </w:hyperlink>
          </w:p>
        </w:tc>
        <w:tc>
          <w:tcPr>
            <w:tcW w:w="8580" w:type="dxa"/>
            <w:vAlign w:val="bottom"/>
            <w:gridSpan w:val="29"/>
          </w:tcPr>
          <w:p>
            <w:pPr>
              <w:spacing w:after="0" w:line="124" w:lineRule="exact"/>
              <w:rPr>
                <w:rFonts w:ascii="Arial" w:cs="Arial" w:eastAsia="Arial" w:hAnsi="Arial"/>
                <w:sz w:val="11"/>
                <w:szCs w:val="11"/>
                <w:color w:val="0000FF"/>
              </w:rPr>
            </w:pPr>
            <w:hyperlink w:anchor="page26">
              <w:r>
                <w:rPr>
                  <w:rFonts w:ascii="Arial" w:cs="Arial" w:eastAsia="Arial" w:hAnsi="Arial"/>
                  <w:sz w:val="11"/>
                  <w:szCs w:val="11"/>
                  <w:color w:val="0000FF"/>
                </w:rPr>
                <w:t>Earnings Per Share</w:t>
              </w:r>
            </w:hyperlink>
          </w:p>
        </w:tc>
        <w:tc>
          <w:tcPr>
            <w:tcW w:w="600" w:type="dxa"/>
            <w:vAlign w:val="bottom"/>
            <w:gridSpan w:val="2"/>
          </w:tcPr>
          <w:p>
            <w:pPr>
              <w:jc w:val="center"/>
              <w:ind w:left="443"/>
              <w:spacing w:after="0" w:line="124" w:lineRule="exact"/>
              <w:rPr>
                <w:rFonts w:ascii="Arial" w:cs="Arial" w:eastAsia="Arial" w:hAnsi="Arial"/>
                <w:sz w:val="11"/>
                <w:szCs w:val="11"/>
                <w:color w:val="0000FF"/>
                <w:w w:val="81"/>
              </w:rPr>
            </w:pPr>
            <w:hyperlink w:anchor="page26">
              <w:r>
                <w:rPr>
                  <w:rFonts w:ascii="Arial" w:cs="Arial" w:eastAsia="Arial" w:hAnsi="Arial"/>
                  <w:sz w:val="11"/>
                  <w:szCs w:val="11"/>
                  <w:color w:val="0000FF"/>
                  <w:w w:val="81"/>
                </w:rPr>
                <w:t>25</w:t>
              </w:r>
            </w:hyperlink>
          </w:p>
        </w:tc>
        <w:tc>
          <w:tcPr>
            <w:tcW w:w="500" w:type="dxa"/>
            <w:vAlign w:val="bottom"/>
          </w:tcPr>
          <w:p>
            <w:pPr>
              <w:spacing w:after="0"/>
              <w:rPr>
                <w:sz w:val="10"/>
                <w:szCs w:val="10"/>
                <w:color w:val="auto"/>
              </w:rPr>
            </w:pPr>
          </w:p>
        </w:tc>
      </w:tr>
      <w:tr>
        <w:trPr>
          <w:trHeight w:val="20"/>
        </w:trPr>
        <w:tc>
          <w:tcPr>
            <w:tcW w:w="12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24"/>
        </w:trPr>
        <w:tc>
          <w:tcPr>
            <w:tcW w:w="1220" w:type="dxa"/>
            <w:vAlign w:val="bottom"/>
          </w:tcPr>
          <w:p>
            <w:pPr>
              <w:spacing w:after="0"/>
              <w:rPr>
                <w:sz w:val="10"/>
                <w:szCs w:val="10"/>
                <w:color w:val="auto"/>
              </w:rPr>
            </w:pPr>
          </w:p>
        </w:tc>
        <w:tc>
          <w:tcPr>
            <w:tcW w:w="400" w:type="dxa"/>
            <w:vAlign w:val="bottom"/>
            <w:gridSpan w:val="3"/>
          </w:tcPr>
          <w:p>
            <w:pPr>
              <w:ind w:left="300"/>
              <w:spacing w:after="0" w:line="124" w:lineRule="exact"/>
              <w:rPr>
                <w:rFonts w:ascii="Arial" w:cs="Arial" w:eastAsia="Arial" w:hAnsi="Arial"/>
                <w:sz w:val="11"/>
                <w:szCs w:val="11"/>
                <w:color w:val="0000FF"/>
                <w:w w:val="86"/>
              </w:rPr>
            </w:pPr>
            <w:hyperlink w:anchor="page28">
              <w:r>
                <w:rPr>
                  <w:rFonts w:ascii="Arial" w:cs="Arial" w:eastAsia="Arial" w:hAnsi="Arial"/>
                  <w:sz w:val="11"/>
                  <w:szCs w:val="11"/>
                  <w:color w:val="0000FF"/>
                  <w:w w:val="86"/>
                </w:rPr>
                <w:t>9.</w:t>
              </w:r>
            </w:hyperlink>
          </w:p>
        </w:tc>
        <w:tc>
          <w:tcPr>
            <w:tcW w:w="8580" w:type="dxa"/>
            <w:vAlign w:val="bottom"/>
            <w:gridSpan w:val="29"/>
          </w:tcPr>
          <w:p>
            <w:pPr>
              <w:spacing w:after="0" w:line="124" w:lineRule="exact"/>
              <w:rPr>
                <w:rFonts w:ascii="Arial" w:cs="Arial" w:eastAsia="Arial" w:hAnsi="Arial"/>
                <w:sz w:val="11"/>
                <w:szCs w:val="11"/>
                <w:color w:val="0000FF"/>
              </w:rPr>
            </w:pPr>
            <w:hyperlink w:anchor="page28">
              <w:r>
                <w:rPr>
                  <w:rFonts w:ascii="Arial" w:cs="Arial" w:eastAsia="Arial" w:hAnsi="Arial"/>
                  <w:sz w:val="11"/>
                  <w:szCs w:val="11"/>
                  <w:color w:val="0000FF"/>
                </w:rPr>
                <w:t>Inventory</w:t>
              </w:r>
            </w:hyperlink>
          </w:p>
        </w:tc>
        <w:tc>
          <w:tcPr>
            <w:tcW w:w="600" w:type="dxa"/>
            <w:vAlign w:val="bottom"/>
            <w:gridSpan w:val="2"/>
          </w:tcPr>
          <w:p>
            <w:pPr>
              <w:jc w:val="center"/>
              <w:ind w:left="443"/>
              <w:spacing w:after="0" w:line="124" w:lineRule="exact"/>
              <w:rPr>
                <w:rFonts w:ascii="Arial" w:cs="Arial" w:eastAsia="Arial" w:hAnsi="Arial"/>
                <w:sz w:val="11"/>
                <w:szCs w:val="11"/>
                <w:color w:val="0000FF"/>
                <w:w w:val="81"/>
              </w:rPr>
            </w:pPr>
            <w:hyperlink w:anchor="page28">
              <w:r>
                <w:rPr>
                  <w:rFonts w:ascii="Arial" w:cs="Arial" w:eastAsia="Arial" w:hAnsi="Arial"/>
                  <w:sz w:val="11"/>
                  <w:szCs w:val="11"/>
                  <w:color w:val="0000FF"/>
                  <w:w w:val="81"/>
                </w:rPr>
                <w:t>26</w:t>
              </w:r>
            </w:hyperlink>
          </w:p>
        </w:tc>
        <w:tc>
          <w:tcPr>
            <w:tcW w:w="500" w:type="dxa"/>
            <w:vAlign w:val="bottom"/>
          </w:tcPr>
          <w:p>
            <w:pPr>
              <w:spacing w:after="0"/>
              <w:rPr>
                <w:sz w:val="10"/>
                <w:szCs w:val="10"/>
                <w:color w:val="auto"/>
              </w:rPr>
            </w:pPr>
          </w:p>
        </w:tc>
      </w:tr>
      <w:tr>
        <w:trPr>
          <w:trHeight w:val="20"/>
        </w:trPr>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24"/>
        </w:trPr>
        <w:tc>
          <w:tcPr>
            <w:tcW w:w="1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20" w:type="dxa"/>
            <w:vAlign w:val="bottom"/>
            <w:gridSpan w:val="17"/>
          </w:tcPr>
          <w:p>
            <w:pPr>
              <w:spacing w:after="0" w:line="124" w:lineRule="exact"/>
              <w:rPr>
                <w:rFonts w:ascii="Arial" w:cs="Arial" w:eastAsia="Arial" w:hAnsi="Arial"/>
                <w:sz w:val="11"/>
                <w:szCs w:val="11"/>
                <w:color w:val="0000FF"/>
              </w:rPr>
            </w:pPr>
            <w:hyperlink w:anchor="page28">
              <w:r>
                <w:rPr>
                  <w:rFonts w:ascii="Arial" w:cs="Arial" w:eastAsia="Arial" w:hAnsi="Arial"/>
                  <w:sz w:val="11"/>
                  <w:szCs w:val="11"/>
                  <w:color w:val="0000FF"/>
                </w:rPr>
                <w:t>10. Goodwill and Intangibles</w:t>
              </w:r>
            </w:hyperlink>
          </w:p>
        </w:tc>
        <w:tc>
          <w:tcPr>
            <w:tcW w:w="7260" w:type="dxa"/>
            <w:vAlign w:val="bottom"/>
            <w:gridSpan w:val="13"/>
          </w:tcPr>
          <w:p>
            <w:pPr>
              <w:spacing w:after="0"/>
              <w:rPr>
                <w:sz w:val="10"/>
                <w:szCs w:val="10"/>
                <w:color w:val="auto"/>
              </w:rPr>
            </w:pPr>
          </w:p>
        </w:tc>
        <w:tc>
          <w:tcPr>
            <w:tcW w:w="600" w:type="dxa"/>
            <w:vAlign w:val="bottom"/>
            <w:gridSpan w:val="2"/>
          </w:tcPr>
          <w:p>
            <w:pPr>
              <w:jc w:val="center"/>
              <w:ind w:left="443"/>
              <w:spacing w:after="0" w:line="124" w:lineRule="exact"/>
              <w:rPr>
                <w:rFonts w:ascii="Arial" w:cs="Arial" w:eastAsia="Arial" w:hAnsi="Arial"/>
                <w:sz w:val="11"/>
                <w:szCs w:val="11"/>
                <w:color w:val="0000FF"/>
                <w:w w:val="81"/>
              </w:rPr>
            </w:pPr>
            <w:hyperlink w:anchor="page28">
              <w:r>
                <w:rPr>
                  <w:rFonts w:ascii="Arial" w:cs="Arial" w:eastAsia="Arial" w:hAnsi="Arial"/>
                  <w:sz w:val="11"/>
                  <w:szCs w:val="11"/>
                  <w:color w:val="0000FF"/>
                  <w:w w:val="81"/>
                </w:rPr>
                <w:t>26</w:t>
              </w:r>
            </w:hyperlink>
          </w:p>
        </w:tc>
        <w:tc>
          <w:tcPr>
            <w:tcW w:w="500" w:type="dxa"/>
            <w:vAlign w:val="bottom"/>
          </w:tcPr>
          <w:p>
            <w:pPr>
              <w:spacing w:after="0"/>
              <w:rPr>
                <w:sz w:val="10"/>
                <w:szCs w:val="10"/>
                <w:color w:val="auto"/>
              </w:rPr>
            </w:pPr>
          </w:p>
        </w:tc>
      </w:tr>
      <w:tr>
        <w:trPr>
          <w:trHeight w:val="20"/>
        </w:trPr>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24"/>
        </w:trPr>
        <w:tc>
          <w:tcPr>
            <w:tcW w:w="1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80" w:type="dxa"/>
            <w:vAlign w:val="bottom"/>
            <w:gridSpan w:val="30"/>
          </w:tcPr>
          <w:p>
            <w:pPr>
              <w:spacing w:after="0" w:line="124" w:lineRule="exact"/>
              <w:rPr>
                <w:rFonts w:ascii="Arial" w:cs="Arial" w:eastAsia="Arial" w:hAnsi="Arial"/>
                <w:sz w:val="11"/>
                <w:szCs w:val="11"/>
                <w:color w:val="0000FF"/>
              </w:rPr>
            </w:pPr>
            <w:hyperlink w:anchor="page29">
              <w:r>
                <w:rPr>
                  <w:rFonts w:ascii="Arial" w:cs="Arial" w:eastAsia="Arial" w:hAnsi="Arial"/>
                  <w:sz w:val="11"/>
                  <w:szCs w:val="11"/>
                  <w:color w:val="0000FF"/>
                </w:rPr>
                <w:t>11. Contingencies and Commitments</w:t>
              </w:r>
            </w:hyperlink>
          </w:p>
        </w:tc>
        <w:tc>
          <w:tcPr>
            <w:tcW w:w="600" w:type="dxa"/>
            <w:vAlign w:val="bottom"/>
            <w:gridSpan w:val="2"/>
          </w:tcPr>
          <w:p>
            <w:pPr>
              <w:jc w:val="center"/>
              <w:ind w:left="443"/>
              <w:spacing w:after="0" w:line="124" w:lineRule="exact"/>
              <w:rPr>
                <w:rFonts w:ascii="Arial" w:cs="Arial" w:eastAsia="Arial" w:hAnsi="Arial"/>
                <w:sz w:val="11"/>
                <w:szCs w:val="11"/>
                <w:color w:val="0000FF"/>
                <w:w w:val="81"/>
              </w:rPr>
            </w:pPr>
            <w:hyperlink w:anchor="page29">
              <w:r>
                <w:rPr>
                  <w:rFonts w:ascii="Arial" w:cs="Arial" w:eastAsia="Arial" w:hAnsi="Arial"/>
                  <w:sz w:val="11"/>
                  <w:szCs w:val="11"/>
                  <w:color w:val="0000FF"/>
                  <w:w w:val="81"/>
                </w:rPr>
                <w:t>27</w:t>
              </w:r>
            </w:hyperlink>
          </w:p>
        </w:tc>
        <w:tc>
          <w:tcPr>
            <w:tcW w:w="500" w:type="dxa"/>
            <w:vAlign w:val="bottom"/>
          </w:tcPr>
          <w:p>
            <w:pPr>
              <w:spacing w:after="0"/>
              <w:rPr>
                <w:sz w:val="10"/>
                <w:szCs w:val="10"/>
                <w:color w:val="auto"/>
              </w:rPr>
            </w:pPr>
          </w:p>
        </w:tc>
      </w:tr>
      <w:tr>
        <w:trPr>
          <w:trHeight w:val="20"/>
        </w:trPr>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24"/>
        </w:trPr>
        <w:tc>
          <w:tcPr>
            <w:tcW w:w="1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80" w:type="dxa"/>
            <w:vAlign w:val="bottom"/>
            <w:gridSpan w:val="19"/>
          </w:tcPr>
          <w:p>
            <w:pPr>
              <w:spacing w:after="0" w:line="124" w:lineRule="exact"/>
              <w:rPr>
                <w:rFonts w:ascii="Arial" w:cs="Arial" w:eastAsia="Arial" w:hAnsi="Arial"/>
                <w:sz w:val="11"/>
                <w:szCs w:val="11"/>
                <w:color w:val="0000FF"/>
              </w:rPr>
            </w:pPr>
            <w:hyperlink w:anchor="page31">
              <w:r>
                <w:rPr>
                  <w:rFonts w:ascii="Arial" w:cs="Arial" w:eastAsia="Arial" w:hAnsi="Arial"/>
                  <w:sz w:val="11"/>
                  <w:szCs w:val="11"/>
                  <w:color w:val="0000FF"/>
                </w:rPr>
                <w:t>12. Securitized Debt</w:t>
              </w:r>
            </w:hyperlink>
          </w:p>
        </w:tc>
        <w:tc>
          <w:tcPr>
            <w:tcW w:w="7000" w:type="dxa"/>
            <w:vAlign w:val="bottom"/>
            <w:gridSpan w:val="11"/>
          </w:tcPr>
          <w:p>
            <w:pPr>
              <w:spacing w:after="0"/>
              <w:rPr>
                <w:sz w:val="10"/>
                <w:szCs w:val="10"/>
                <w:color w:val="auto"/>
              </w:rPr>
            </w:pPr>
          </w:p>
        </w:tc>
        <w:tc>
          <w:tcPr>
            <w:tcW w:w="600" w:type="dxa"/>
            <w:vAlign w:val="bottom"/>
            <w:gridSpan w:val="2"/>
          </w:tcPr>
          <w:p>
            <w:pPr>
              <w:jc w:val="center"/>
              <w:ind w:left="443"/>
              <w:spacing w:after="0" w:line="124" w:lineRule="exact"/>
              <w:rPr>
                <w:rFonts w:ascii="Arial" w:cs="Arial" w:eastAsia="Arial" w:hAnsi="Arial"/>
                <w:sz w:val="11"/>
                <w:szCs w:val="11"/>
                <w:color w:val="0000FF"/>
                <w:w w:val="81"/>
              </w:rPr>
            </w:pPr>
            <w:hyperlink w:anchor="page31">
              <w:r>
                <w:rPr>
                  <w:rFonts w:ascii="Arial" w:cs="Arial" w:eastAsia="Arial" w:hAnsi="Arial"/>
                  <w:sz w:val="11"/>
                  <w:szCs w:val="11"/>
                  <w:color w:val="0000FF"/>
                  <w:w w:val="81"/>
                </w:rPr>
                <w:t>29</w:t>
              </w:r>
            </w:hyperlink>
          </w:p>
        </w:tc>
        <w:tc>
          <w:tcPr>
            <w:tcW w:w="500" w:type="dxa"/>
            <w:vAlign w:val="bottom"/>
          </w:tcPr>
          <w:p>
            <w:pPr>
              <w:spacing w:after="0"/>
              <w:rPr>
                <w:sz w:val="10"/>
                <w:szCs w:val="10"/>
                <w:color w:val="auto"/>
              </w:rPr>
            </w:pPr>
          </w:p>
        </w:tc>
      </w:tr>
      <w:tr>
        <w:trPr>
          <w:trHeight w:val="20"/>
        </w:trPr>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80" w:type="dxa"/>
            <w:vAlign w:val="bottom"/>
            <w:gridSpan w:val="8"/>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24"/>
        </w:trPr>
        <w:tc>
          <w:tcPr>
            <w:tcW w:w="1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7"/>
          </w:tcPr>
          <w:p>
            <w:pPr>
              <w:spacing w:after="0" w:line="124" w:lineRule="exact"/>
              <w:rPr>
                <w:rFonts w:ascii="Arial" w:cs="Arial" w:eastAsia="Arial" w:hAnsi="Arial"/>
                <w:sz w:val="11"/>
                <w:szCs w:val="11"/>
                <w:color w:val="0000FF"/>
              </w:rPr>
            </w:pPr>
            <w:hyperlink w:anchor="page32">
              <w:r>
                <w:rPr>
                  <w:rFonts w:ascii="Arial" w:cs="Arial" w:eastAsia="Arial" w:hAnsi="Arial"/>
                  <w:sz w:val="11"/>
                  <w:szCs w:val="11"/>
                  <w:color w:val="0000FF"/>
                </w:rPr>
                <w:t>13. Debt</w:t>
              </w:r>
            </w:hyperlink>
          </w:p>
        </w:tc>
        <w:tc>
          <w:tcPr>
            <w:tcW w:w="7760" w:type="dxa"/>
            <w:vAlign w:val="bottom"/>
            <w:gridSpan w:val="23"/>
          </w:tcPr>
          <w:p>
            <w:pPr>
              <w:spacing w:after="0"/>
              <w:rPr>
                <w:sz w:val="10"/>
                <w:szCs w:val="10"/>
                <w:color w:val="auto"/>
              </w:rPr>
            </w:pPr>
          </w:p>
        </w:tc>
        <w:tc>
          <w:tcPr>
            <w:tcW w:w="600" w:type="dxa"/>
            <w:vAlign w:val="bottom"/>
            <w:gridSpan w:val="2"/>
          </w:tcPr>
          <w:p>
            <w:pPr>
              <w:jc w:val="center"/>
              <w:ind w:left="443"/>
              <w:spacing w:after="0" w:line="124" w:lineRule="exact"/>
              <w:rPr>
                <w:rFonts w:ascii="Arial" w:cs="Arial" w:eastAsia="Arial" w:hAnsi="Arial"/>
                <w:sz w:val="11"/>
                <w:szCs w:val="11"/>
                <w:color w:val="0000FF"/>
                <w:w w:val="81"/>
              </w:rPr>
            </w:pPr>
            <w:hyperlink w:anchor="page32">
              <w:r>
                <w:rPr>
                  <w:rFonts w:ascii="Arial" w:cs="Arial" w:eastAsia="Arial" w:hAnsi="Arial"/>
                  <w:sz w:val="11"/>
                  <w:szCs w:val="11"/>
                  <w:color w:val="0000FF"/>
                  <w:w w:val="81"/>
                </w:rPr>
                <w:t>31</w:t>
              </w:r>
            </w:hyperlink>
          </w:p>
        </w:tc>
        <w:tc>
          <w:tcPr>
            <w:tcW w:w="500" w:type="dxa"/>
            <w:vAlign w:val="bottom"/>
          </w:tcPr>
          <w:p>
            <w:pPr>
              <w:spacing w:after="0"/>
              <w:rPr>
                <w:sz w:val="10"/>
                <w:szCs w:val="10"/>
                <w:color w:val="auto"/>
              </w:rPr>
            </w:pPr>
          </w:p>
        </w:tc>
      </w:tr>
      <w:tr>
        <w:trPr>
          <w:trHeight w:val="20"/>
        </w:trPr>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80" w:type="dxa"/>
            <w:vAlign w:val="bottom"/>
            <w:gridSpan w:val="8"/>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24"/>
        </w:trPr>
        <w:tc>
          <w:tcPr>
            <w:tcW w:w="1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gridSpan w:val="12"/>
          </w:tcPr>
          <w:p>
            <w:pPr>
              <w:spacing w:after="0" w:line="124" w:lineRule="exact"/>
              <w:rPr>
                <w:rFonts w:ascii="Arial" w:cs="Arial" w:eastAsia="Arial" w:hAnsi="Arial"/>
                <w:sz w:val="11"/>
                <w:szCs w:val="11"/>
                <w:color w:val="0000FF"/>
                <w:w w:val="93"/>
              </w:rPr>
            </w:pPr>
            <w:hyperlink w:anchor="page38">
              <w:r>
                <w:rPr>
                  <w:rFonts w:ascii="Arial" w:cs="Arial" w:eastAsia="Arial" w:hAnsi="Arial"/>
                  <w:sz w:val="11"/>
                  <w:szCs w:val="11"/>
                  <w:color w:val="0000FF"/>
                  <w:w w:val="93"/>
                </w:rPr>
                <w:t>14. Shareholders’ Equity</w:t>
              </w:r>
            </w:hyperlink>
          </w:p>
        </w:tc>
        <w:tc>
          <w:tcPr>
            <w:tcW w:w="7540" w:type="dxa"/>
            <w:vAlign w:val="bottom"/>
            <w:gridSpan w:val="18"/>
          </w:tcPr>
          <w:p>
            <w:pPr>
              <w:spacing w:after="0"/>
              <w:rPr>
                <w:sz w:val="10"/>
                <w:szCs w:val="10"/>
                <w:color w:val="auto"/>
              </w:rPr>
            </w:pPr>
          </w:p>
        </w:tc>
        <w:tc>
          <w:tcPr>
            <w:tcW w:w="600" w:type="dxa"/>
            <w:vAlign w:val="bottom"/>
            <w:gridSpan w:val="2"/>
          </w:tcPr>
          <w:p>
            <w:pPr>
              <w:jc w:val="center"/>
              <w:ind w:left="443"/>
              <w:spacing w:after="0" w:line="124" w:lineRule="exact"/>
              <w:rPr>
                <w:rFonts w:ascii="Arial" w:cs="Arial" w:eastAsia="Arial" w:hAnsi="Arial"/>
                <w:sz w:val="11"/>
                <w:szCs w:val="11"/>
                <w:color w:val="0000FF"/>
                <w:w w:val="81"/>
              </w:rPr>
            </w:pPr>
            <w:hyperlink w:anchor="page38">
              <w:r>
                <w:rPr>
                  <w:rFonts w:ascii="Arial" w:cs="Arial" w:eastAsia="Arial" w:hAnsi="Arial"/>
                  <w:sz w:val="11"/>
                  <w:szCs w:val="11"/>
                  <w:color w:val="0000FF"/>
                  <w:w w:val="81"/>
                </w:rPr>
                <w:t>36</w:t>
              </w:r>
            </w:hyperlink>
          </w:p>
        </w:tc>
        <w:tc>
          <w:tcPr>
            <w:tcW w:w="500" w:type="dxa"/>
            <w:vAlign w:val="bottom"/>
          </w:tcPr>
          <w:p>
            <w:pPr>
              <w:spacing w:after="0"/>
              <w:rPr>
                <w:sz w:val="10"/>
                <w:szCs w:val="10"/>
                <w:color w:val="auto"/>
              </w:rPr>
            </w:pPr>
          </w:p>
        </w:tc>
      </w:tr>
      <w:tr>
        <w:trPr>
          <w:trHeight w:val="20"/>
        </w:trPr>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80" w:type="dxa"/>
            <w:vAlign w:val="bottom"/>
            <w:gridSpan w:val="8"/>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24"/>
        </w:trPr>
        <w:tc>
          <w:tcPr>
            <w:tcW w:w="1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0" w:type="dxa"/>
            <w:vAlign w:val="bottom"/>
            <w:gridSpan w:val="25"/>
          </w:tcPr>
          <w:p>
            <w:pPr>
              <w:spacing w:after="0" w:line="124" w:lineRule="exact"/>
              <w:rPr>
                <w:rFonts w:ascii="Arial" w:cs="Arial" w:eastAsia="Arial" w:hAnsi="Arial"/>
                <w:sz w:val="11"/>
                <w:szCs w:val="11"/>
                <w:color w:val="0000FF"/>
              </w:rPr>
            </w:pPr>
            <w:hyperlink w:anchor="page38">
              <w:r>
                <w:rPr>
                  <w:rFonts w:ascii="Arial" w:cs="Arial" w:eastAsia="Arial" w:hAnsi="Arial"/>
                  <w:sz w:val="11"/>
                  <w:szCs w:val="11"/>
                  <w:color w:val="0000FF"/>
                </w:rPr>
                <w:t>15. Share-Based Compensation</w:t>
              </w:r>
            </w:hyperlink>
          </w:p>
        </w:tc>
        <w:tc>
          <w:tcPr>
            <w:tcW w:w="6080" w:type="dxa"/>
            <w:vAlign w:val="bottom"/>
            <w:gridSpan w:val="5"/>
          </w:tcPr>
          <w:p>
            <w:pPr>
              <w:spacing w:after="0"/>
              <w:rPr>
                <w:sz w:val="10"/>
                <w:szCs w:val="10"/>
                <w:color w:val="auto"/>
              </w:rPr>
            </w:pPr>
          </w:p>
        </w:tc>
        <w:tc>
          <w:tcPr>
            <w:tcW w:w="600" w:type="dxa"/>
            <w:vAlign w:val="bottom"/>
            <w:gridSpan w:val="2"/>
          </w:tcPr>
          <w:p>
            <w:pPr>
              <w:jc w:val="center"/>
              <w:ind w:left="443"/>
              <w:spacing w:after="0" w:line="124" w:lineRule="exact"/>
              <w:rPr>
                <w:rFonts w:ascii="Arial" w:cs="Arial" w:eastAsia="Arial" w:hAnsi="Arial"/>
                <w:sz w:val="11"/>
                <w:szCs w:val="11"/>
                <w:color w:val="0000FF"/>
                <w:w w:val="81"/>
              </w:rPr>
            </w:pPr>
            <w:hyperlink w:anchor="page38">
              <w:r>
                <w:rPr>
                  <w:rFonts w:ascii="Arial" w:cs="Arial" w:eastAsia="Arial" w:hAnsi="Arial"/>
                  <w:sz w:val="11"/>
                  <w:szCs w:val="11"/>
                  <w:color w:val="0000FF"/>
                  <w:w w:val="81"/>
                </w:rPr>
                <w:t>36</w:t>
              </w:r>
            </w:hyperlink>
          </w:p>
        </w:tc>
        <w:tc>
          <w:tcPr>
            <w:tcW w:w="500" w:type="dxa"/>
            <w:vAlign w:val="bottom"/>
          </w:tcPr>
          <w:p>
            <w:pPr>
              <w:spacing w:after="0"/>
              <w:rPr>
                <w:sz w:val="10"/>
                <w:szCs w:val="10"/>
                <w:color w:val="auto"/>
              </w:rPr>
            </w:pPr>
          </w:p>
        </w:tc>
      </w:tr>
      <w:tr>
        <w:trPr>
          <w:trHeight w:val="20"/>
        </w:trPr>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gridSpan w:val="6"/>
            <w:shd w:val="clear" w:color="auto" w:fill="0000FF"/>
          </w:tcPr>
          <w:p>
            <w:pPr>
              <w:spacing w:after="0" w:line="20" w:lineRule="exact"/>
              <w:rPr>
                <w:sz w:val="1"/>
                <w:szCs w:val="1"/>
                <w:color w:val="auto"/>
              </w:rPr>
            </w:pPr>
          </w:p>
        </w:tc>
        <w:tc>
          <w:tcPr>
            <w:tcW w:w="1300" w:type="dxa"/>
            <w:vAlign w:val="bottom"/>
            <w:gridSpan w:val="10"/>
            <w:shd w:val="clear" w:color="auto" w:fill="0000FF"/>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24"/>
        </w:trPr>
        <w:tc>
          <w:tcPr>
            <w:tcW w:w="1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gridSpan w:val="15"/>
          </w:tcPr>
          <w:p>
            <w:pPr>
              <w:spacing w:after="0" w:line="124" w:lineRule="exact"/>
              <w:rPr>
                <w:rFonts w:ascii="Arial" w:cs="Arial" w:eastAsia="Arial" w:hAnsi="Arial"/>
                <w:sz w:val="11"/>
                <w:szCs w:val="11"/>
                <w:color w:val="0000FF"/>
                <w:w w:val="93"/>
              </w:rPr>
            </w:pPr>
            <w:hyperlink w:anchor="page39">
              <w:r>
                <w:rPr>
                  <w:rFonts w:ascii="Arial" w:cs="Arial" w:eastAsia="Arial" w:hAnsi="Arial"/>
                  <w:sz w:val="11"/>
                  <w:szCs w:val="11"/>
                  <w:color w:val="0000FF"/>
                  <w:w w:val="93"/>
                </w:rPr>
                <w:t>16. Variable Interest Entities</w:t>
              </w:r>
            </w:hyperlink>
          </w:p>
        </w:tc>
        <w:tc>
          <w:tcPr>
            <w:tcW w:w="1300" w:type="dxa"/>
            <w:vAlign w:val="bottom"/>
            <w:gridSpan w:val="10"/>
          </w:tcPr>
          <w:p>
            <w:pPr>
              <w:spacing w:after="0"/>
              <w:rPr>
                <w:sz w:val="10"/>
                <w:szCs w:val="10"/>
                <w:color w:val="auto"/>
              </w:rPr>
            </w:pPr>
          </w:p>
        </w:tc>
        <w:tc>
          <w:tcPr>
            <w:tcW w:w="6080" w:type="dxa"/>
            <w:vAlign w:val="bottom"/>
            <w:gridSpan w:val="5"/>
          </w:tcPr>
          <w:p>
            <w:pPr>
              <w:spacing w:after="0"/>
              <w:rPr>
                <w:sz w:val="10"/>
                <w:szCs w:val="10"/>
                <w:color w:val="auto"/>
              </w:rPr>
            </w:pPr>
          </w:p>
        </w:tc>
        <w:tc>
          <w:tcPr>
            <w:tcW w:w="600" w:type="dxa"/>
            <w:vAlign w:val="bottom"/>
            <w:gridSpan w:val="2"/>
          </w:tcPr>
          <w:p>
            <w:pPr>
              <w:jc w:val="center"/>
              <w:ind w:left="443"/>
              <w:spacing w:after="0" w:line="124" w:lineRule="exact"/>
              <w:rPr>
                <w:rFonts w:ascii="Arial" w:cs="Arial" w:eastAsia="Arial" w:hAnsi="Arial"/>
                <w:sz w:val="11"/>
                <w:szCs w:val="11"/>
                <w:color w:val="0000FF"/>
                <w:w w:val="81"/>
              </w:rPr>
            </w:pPr>
            <w:hyperlink w:anchor="page39">
              <w:r>
                <w:rPr>
                  <w:rFonts w:ascii="Arial" w:cs="Arial" w:eastAsia="Arial" w:hAnsi="Arial"/>
                  <w:sz w:val="11"/>
                  <w:szCs w:val="11"/>
                  <w:color w:val="0000FF"/>
                  <w:w w:val="81"/>
                </w:rPr>
                <w:t>37</w:t>
              </w:r>
            </w:hyperlink>
          </w:p>
        </w:tc>
        <w:tc>
          <w:tcPr>
            <w:tcW w:w="500" w:type="dxa"/>
            <w:vAlign w:val="bottom"/>
          </w:tcPr>
          <w:p>
            <w:pPr>
              <w:spacing w:after="0"/>
              <w:rPr>
                <w:sz w:val="10"/>
                <w:szCs w:val="10"/>
                <w:color w:val="auto"/>
              </w:rPr>
            </w:pPr>
          </w:p>
        </w:tc>
      </w:tr>
      <w:tr>
        <w:trPr>
          <w:trHeight w:val="20"/>
        </w:trPr>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gridSpan w:val="6"/>
            <w:shd w:val="clear" w:color="auto" w:fill="0000FF"/>
          </w:tcPr>
          <w:p>
            <w:pPr>
              <w:spacing w:after="0" w:line="20" w:lineRule="exact"/>
              <w:rPr>
                <w:sz w:val="1"/>
                <w:szCs w:val="1"/>
                <w:color w:val="auto"/>
              </w:rPr>
            </w:pPr>
          </w:p>
        </w:tc>
        <w:tc>
          <w:tcPr>
            <w:tcW w:w="1300" w:type="dxa"/>
            <w:vAlign w:val="bottom"/>
            <w:gridSpan w:val="10"/>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24"/>
        </w:trPr>
        <w:tc>
          <w:tcPr>
            <w:tcW w:w="1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gridSpan w:val="15"/>
          </w:tcPr>
          <w:p>
            <w:pPr>
              <w:spacing w:after="0" w:line="124" w:lineRule="exact"/>
              <w:rPr>
                <w:rFonts w:ascii="Arial" w:cs="Arial" w:eastAsia="Arial" w:hAnsi="Arial"/>
                <w:sz w:val="11"/>
                <w:szCs w:val="11"/>
                <w:color w:val="0000FF"/>
              </w:rPr>
            </w:pPr>
            <w:hyperlink w:anchor="page42">
              <w:r>
                <w:rPr>
                  <w:rFonts w:ascii="Arial" w:cs="Arial" w:eastAsia="Arial" w:hAnsi="Arial"/>
                  <w:sz w:val="11"/>
                  <w:szCs w:val="11"/>
                  <w:color w:val="0000FF"/>
                </w:rPr>
                <w:t>17. Business Segments</w:t>
              </w:r>
            </w:hyperlink>
          </w:p>
        </w:tc>
        <w:tc>
          <w:tcPr>
            <w:tcW w:w="7380" w:type="dxa"/>
            <w:vAlign w:val="bottom"/>
            <w:gridSpan w:val="15"/>
          </w:tcPr>
          <w:p>
            <w:pPr>
              <w:spacing w:after="0"/>
              <w:rPr>
                <w:sz w:val="10"/>
                <w:szCs w:val="10"/>
                <w:color w:val="auto"/>
              </w:rPr>
            </w:pPr>
          </w:p>
        </w:tc>
        <w:tc>
          <w:tcPr>
            <w:tcW w:w="600" w:type="dxa"/>
            <w:vAlign w:val="bottom"/>
            <w:gridSpan w:val="2"/>
          </w:tcPr>
          <w:p>
            <w:pPr>
              <w:jc w:val="center"/>
              <w:ind w:left="443"/>
              <w:spacing w:after="0" w:line="124" w:lineRule="exact"/>
              <w:rPr>
                <w:rFonts w:ascii="Arial" w:cs="Arial" w:eastAsia="Arial" w:hAnsi="Arial"/>
                <w:sz w:val="11"/>
                <w:szCs w:val="11"/>
                <w:color w:val="0000FF"/>
                <w:w w:val="81"/>
              </w:rPr>
            </w:pPr>
            <w:hyperlink w:anchor="page42">
              <w:r>
                <w:rPr>
                  <w:rFonts w:ascii="Arial" w:cs="Arial" w:eastAsia="Arial" w:hAnsi="Arial"/>
                  <w:sz w:val="11"/>
                  <w:szCs w:val="11"/>
                  <w:color w:val="0000FF"/>
                  <w:w w:val="81"/>
                </w:rPr>
                <w:t>40</w:t>
              </w:r>
            </w:hyperlink>
          </w:p>
        </w:tc>
        <w:tc>
          <w:tcPr>
            <w:tcW w:w="500" w:type="dxa"/>
            <w:vAlign w:val="bottom"/>
          </w:tcPr>
          <w:p>
            <w:pPr>
              <w:spacing w:after="0"/>
              <w:rPr>
                <w:sz w:val="10"/>
                <w:szCs w:val="10"/>
                <w:color w:val="auto"/>
              </w:rPr>
            </w:pPr>
          </w:p>
        </w:tc>
      </w:tr>
      <w:tr>
        <w:trPr>
          <w:trHeight w:val="20"/>
        </w:trPr>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20" w:type="dxa"/>
            <w:vAlign w:val="bottom"/>
            <w:tcBorders>
              <w:left w:val="single" w:sz="8" w:color="0000FF"/>
            </w:tcBorders>
            <w:gridSpan w:val="16"/>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24"/>
        </w:trPr>
        <w:tc>
          <w:tcPr>
            <w:tcW w:w="1220" w:type="dxa"/>
            <w:vAlign w:val="bottom"/>
          </w:tcPr>
          <w:p>
            <w:pPr>
              <w:ind w:left="140"/>
              <w:spacing w:after="0" w:line="124" w:lineRule="exact"/>
              <w:rPr>
                <w:sz w:val="20"/>
                <w:szCs w:val="20"/>
                <w:color w:val="auto"/>
              </w:rPr>
            </w:pPr>
            <w:r>
              <w:rPr>
                <w:rFonts w:ascii="Arial" w:cs="Arial" w:eastAsia="Arial" w:hAnsi="Arial"/>
                <w:sz w:val="11"/>
                <w:szCs w:val="11"/>
                <w:color w:val="auto"/>
              </w:rPr>
              <w:t>Item 2.</w:t>
            </w:r>
          </w:p>
        </w:tc>
        <w:tc>
          <w:tcPr>
            <w:tcW w:w="140" w:type="dxa"/>
            <w:vAlign w:val="bottom"/>
          </w:tcPr>
          <w:p>
            <w:pPr>
              <w:spacing w:after="0"/>
              <w:rPr>
                <w:sz w:val="10"/>
                <w:szCs w:val="10"/>
                <w:color w:val="auto"/>
              </w:rPr>
            </w:pPr>
          </w:p>
        </w:tc>
        <w:tc>
          <w:tcPr>
            <w:tcW w:w="8840" w:type="dxa"/>
            <w:vAlign w:val="bottom"/>
            <w:gridSpan w:val="31"/>
          </w:tcPr>
          <w:p>
            <w:pPr>
              <w:spacing w:after="0" w:line="124" w:lineRule="exact"/>
              <w:rPr>
                <w:rFonts w:ascii="Arial" w:cs="Arial" w:eastAsia="Arial" w:hAnsi="Arial"/>
                <w:sz w:val="11"/>
                <w:szCs w:val="11"/>
                <w:color w:val="0000FF"/>
              </w:rPr>
            </w:pPr>
            <w:hyperlink w:anchor="page43">
              <w:r>
                <w:rPr>
                  <w:rFonts w:ascii="Arial" w:cs="Arial" w:eastAsia="Arial" w:hAnsi="Arial"/>
                  <w:sz w:val="11"/>
                  <w:szCs w:val="11"/>
                  <w:color w:val="0000FF"/>
                </w:rPr>
                <w:t>Management’s Discussion and Analysis of Financial Condition and Results of Operations</w:t>
              </w:r>
            </w:hyperlink>
          </w:p>
        </w:tc>
        <w:tc>
          <w:tcPr>
            <w:tcW w:w="600" w:type="dxa"/>
            <w:vAlign w:val="bottom"/>
            <w:gridSpan w:val="2"/>
          </w:tcPr>
          <w:p>
            <w:pPr>
              <w:jc w:val="center"/>
              <w:ind w:left="443"/>
              <w:spacing w:after="0" w:line="124" w:lineRule="exact"/>
              <w:rPr>
                <w:rFonts w:ascii="Arial" w:cs="Arial" w:eastAsia="Arial" w:hAnsi="Arial"/>
                <w:sz w:val="11"/>
                <w:szCs w:val="11"/>
                <w:color w:val="0000FF"/>
                <w:w w:val="81"/>
              </w:rPr>
            </w:pPr>
            <w:hyperlink w:anchor="page43">
              <w:r>
                <w:rPr>
                  <w:rFonts w:ascii="Arial" w:cs="Arial" w:eastAsia="Arial" w:hAnsi="Arial"/>
                  <w:sz w:val="11"/>
                  <w:szCs w:val="11"/>
                  <w:color w:val="0000FF"/>
                  <w:w w:val="81"/>
                </w:rPr>
                <w:t>42</w:t>
              </w:r>
            </w:hyperlink>
          </w:p>
        </w:tc>
        <w:tc>
          <w:tcPr>
            <w:tcW w:w="500" w:type="dxa"/>
            <w:vAlign w:val="bottom"/>
          </w:tcPr>
          <w:p>
            <w:pPr>
              <w:spacing w:after="0"/>
              <w:rPr>
                <w:sz w:val="10"/>
                <w:szCs w:val="10"/>
                <w:color w:val="auto"/>
              </w:rPr>
            </w:pPr>
          </w:p>
        </w:tc>
      </w:tr>
      <w:tr>
        <w:trPr>
          <w:trHeight w:val="20"/>
        </w:trPr>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20" w:type="dxa"/>
            <w:vAlign w:val="bottom"/>
            <w:tcBorders>
              <w:left w:val="single" w:sz="8" w:color="0000FF"/>
            </w:tcBorders>
            <w:gridSpan w:val="16"/>
            <w:shd w:val="clear" w:color="auto" w:fill="0000FF"/>
          </w:tcPr>
          <w:p>
            <w:pPr>
              <w:spacing w:after="0" w:line="20" w:lineRule="exact"/>
              <w:rPr>
                <w:sz w:val="1"/>
                <w:szCs w:val="1"/>
                <w:color w:val="auto"/>
              </w:rPr>
            </w:pPr>
          </w:p>
        </w:tc>
        <w:tc>
          <w:tcPr>
            <w:tcW w:w="6080" w:type="dxa"/>
            <w:vAlign w:val="bottom"/>
            <w:gridSpan w:val="5"/>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24"/>
        </w:trPr>
        <w:tc>
          <w:tcPr>
            <w:tcW w:w="1220" w:type="dxa"/>
            <w:vAlign w:val="bottom"/>
          </w:tcPr>
          <w:p>
            <w:pPr>
              <w:ind w:left="140"/>
              <w:spacing w:after="0" w:line="124" w:lineRule="exact"/>
              <w:rPr>
                <w:sz w:val="20"/>
                <w:szCs w:val="20"/>
                <w:color w:val="auto"/>
              </w:rPr>
            </w:pPr>
            <w:r>
              <w:rPr>
                <w:rFonts w:ascii="Arial" w:cs="Arial" w:eastAsia="Arial" w:hAnsi="Arial"/>
                <w:sz w:val="11"/>
                <w:szCs w:val="11"/>
                <w:color w:val="auto"/>
              </w:rPr>
              <w:t>Item 3.</w:t>
            </w:r>
          </w:p>
        </w:tc>
        <w:tc>
          <w:tcPr>
            <w:tcW w:w="140" w:type="dxa"/>
            <w:vAlign w:val="bottom"/>
          </w:tcPr>
          <w:p>
            <w:pPr>
              <w:spacing w:after="0"/>
              <w:rPr>
                <w:sz w:val="10"/>
                <w:szCs w:val="10"/>
                <w:color w:val="auto"/>
              </w:rPr>
            </w:pPr>
          </w:p>
        </w:tc>
        <w:tc>
          <w:tcPr>
            <w:tcW w:w="2760" w:type="dxa"/>
            <w:vAlign w:val="bottom"/>
            <w:gridSpan w:val="26"/>
          </w:tcPr>
          <w:p>
            <w:pPr>
              <w:spacing w:after="0" w:line="124" w:lineRule="exact"/>
              <w:rPr>
                <w:rFonts w:ascii="Arial" w:cs="Arial" w:eastAsia="Arial" w:hAnsi="Arial"/>
                <w:sz w:val="11"/>
                <w:szCs w:val="11"/>
                <w:color w:val="0000FF"/>
                <w:w w:val="95"/>
              </w:rPr>
            </w:pPr>
            <w:hyperlink w:anchor="page75">
              <w:r>
                <w:rPr>
                  <w:rFonts w:ascii="Arial" w:cs="Arial" w:eastAsia="Arial" w:hAnsi="Arial"/>
                  <w:sz w:val="11"/>
                  <w:szCs w:val="11"/>
                  <w:color w:val="0000FF"/>
                  <w:w w:val="95"/>
                </w:rPr>
                <w:t>Quantitative and Qualitative Disclosures About Market Risk</w:t>
              </w:r>
            </w:hyperlink>
          </w:p>
        </w:tc>
        <w:tc>
          <w:tcPr>
            <w:tcW w:w="6080" w:type="dxa"/>
            <w:vAlign w:val="bottom"/>
            <w:gridSpan w:val="5"/>
          </w:tcPr>
          <w:p>
            <w:pPr>
              <w:spacing w:after="0"/>
              <w:rPr>
                <w:sz w:val="10"/>
                <w:szCs w:val="10"/>
                <w:color w:val="auto"/>
              </w:rPr>
            </w:pPr>
          </w:p>
        </w:tc>
        <w:tc>
          <w:tcPr>
            <w:tcW w:w="600" w:type="dxa"/>
            <w:vAlign w:val="bottom"/>
            <w:gridSpan w:val="2"/>
          </w:tcPr>
          <w:p>
            <w:pPr>
              <w:jc w:val="center"/>
              <w:ind w:left="443"/>
              <w:spacing w:after="0" w:line="124" w:lineRule="exact"/>
              <w:rPr>
                <w:rFonts w:ascii="Arial" w:cs="Arial" w:eastAsia="Arial" w:hAnsi="Arial"/>
                <w:sz w:val="11"/>
                <w:szCs w:val="11"/>
                <w:color w:val="0000FF"/>
                <w:w w:val="81"/>
              </w:rPr>
            </w:pPr>
            <w:hyperlink w:anchor="page75">
              <w:r>
                <w:rPr>
                  <w:rFonts w:ascii="Arial" w:cs="Arial" w:eastAsia="Arial" w:hAnsi="Arial"/>
                  <w:sz w:val="11"/>
                  <w:szCs w:val="11"/>
                  <w:color w:val="0000FF"/>
                  <w:w w:val="81"/>
                </w:rPr>
                <w:t>74</w:t>
              </w:r>
            </w:hyperlink>
          </w:p>
        </w:tc>
        <w:tc>
          <w:tcPr>
            <w:tcW w:w="500" w:type="dxa"/>
            <w:vAlign w:val="bottom"/>
          </w:tcPr>
          <w:p>
            <w:pPr>
              <w:spacing w:after="0"/>
              <w:rPr>
                <w:sz w:val="10"/>
                <w:szCs w:val="10"/>
                <w:color w:val="auto"/>
              </w:rPr>
            </w:pPr>
          </w:p>
        </w:tc>
      </w:tr>
      <w:tr>
        <w:trPr>
          <w:trHeight w:val="20"/>
        </w:trPr>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20" w:type="dxa"/>
            <w:vAlign w:val="bottom"/>
            <w:tcBorders>
              <w:left w:val="single" w:sz="8" w:color="0000FF"/>
            </w:tcBorders>
            <w:gridSpan w:val="16"/>
            <w:shd w:val="clear" w:color="auto" w:fill="0000FF"/>
          </w:tcPr>
          <w:p>
            <w:pPr>
              <w:spacing w:after="0" w:line="20" w:lineRule="exact"/>
              <w:rPr>
                <w:sz w:val="1"/>
                <w:szCs w:val="1"/>
                <w:color w:val="auto"/>
              </w:rPr>
            </w:pPr>
          </w:p>
        </w:tc>
        <w:tc>
          <w:tcPr>
            <w:tcW w:w="608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24"/>
        </w:trPr>
        <w:tc>
          <w:tcPr>
            <w:tcW w:w="1220" w:type="dxa"/>
            <w:vAlign w:val="bottom"/>
          </w:tcPr>
          <w:p>
            <w:pPr>
              <w:ind w:left="140"/>
              <w:spacing w:after="0" w:line="124" w:lineRule="exact"/>
              <w:rPr>
                <w:sz w:val="20"/>
                <w:szCs w:val="20"/>
                <w:color w:val="auto"/>
              </w:rPr>
            </w:pPr>
            <w:r>
              <w:rPr>
                <w:rFonts w:ascii="Arial" w:cs="Arial" w:eastAsia="Arial" w:hAnsi="Arial"/>
                <w:sz w:val="11"/>
                <w:szCs w:val="11"/>
                <w:color w:val="auto"/>
              </w:rPr>
              <w:t>Item 4.</w:t>
            </w:r>
          </w:p>
        </w:tc>
        <w:tc>
          <w:tcPr>
            <w:tcW w:w="140" w:type="dxa"/>
            <w:vAlign w:val="bottom"/>
          </w:tcPr>
          <w:p>
            <w:pPr>
              <w:spacing w:after="0"/>
              <w:rPr>
                <w:sz w:val="10"/>
                <w:szCs w:val="10"/>
                <w:color w:val="auto"/>
              </w:rPr>
            </w:pPr>
          </w:p>
        </w:tc>
        <w:tc>
          <w:tcPr>
            <w:tcW w:w="1120" w:type="dxa"/>
            <w:vAlign w:val="bottom"/>
            <w:gridSpan w:val="9"/>
          </w:tcPr>
          <w:p>
            <w:pPr>
              <w:spacing w:after="0" w:line="124" w:lineRule="exact"/>
              <w:rPr>
                <w:rFonts w:ascii="Arial" w:cs="Arial" w:eastAsia="Arial" w:hAnsi="Arial"/>
                <w:sz w:val="11"/>
                <w:szCs w:val="11"/>
                <w:color w:val="0000FF"/>
                <w:w w:val="90"/>
              </w:rPr>
            </w:pPr>
            <w:hyperlink w:anchor="page76">
              <w:r>
                <w:rPr>
                  <w:rFonts w:ascii="Arial" w:cs="Arial" w:eastAsia="Arial" w:hAnsi="Arial"/>
                  <w:sz w:val="11"/>
                  <w:szCs w:val="11"/>
                  <w:color w:val="0000FF"/>
                  <w:w w:val="90"/>
                </w:rPr>
                <w:t>Controls and Procedures</w:t>
              </w:r>
            </w:hyperlink>
          </w:p>
        </w:tc>
        <w:tc>
          <w:tcPr>
            <w:tcW w:w="1640" w:type="dxa"/>
            <w:vAlign w:val="bottom"/>
            <w:gridSpan w:val="17"/>
          </w:tcPr>
          <w:p>
            <w:pPr>
              <w:spacing w:after="0"/>
              <w:rPr>
                <w:sz w:val="10"/>
                <w:szCs w:val="10"/>
                <w:color w:val="auto"/>
              </w:rPr>
            </w:pPr>
          </w:p>
        </w:tc>
        <w:tc>
          <w:tcPr>
            <w:tcW w:w="6080" w:type="dxa"/>
            <w:vAlign w:val="bottom"/>
            <w:gridSpan w:val="5"/>
          </w:tcPr>
          <w:p>
            <w:pPr>
              <w:spacing w:after="0"/>
              <w:rPr>
                <w:sz w:val="10"/>
                <w:szCs w:val="10"/>
                <w:color w:val="auto"/>
              </w:rPr>
            </w:pPr>
          </w:p>
        </w:tc>
        <w:tc>
          <w:tcPr>
            <w:tcW w:w="600" w:type="dxa"/>
            <w:vAlign w:val="bottom"/>
            <w:gridSpan w:val="2"/>
          </w:tcPr>
          <w:p>
            <w:pPr>
              <w:jc w:val="center"/>
              <w:ind w:left="443"/>
              <w:spacing w:after="0" w:line="124" w:lineRule="exact"/>
              <w:rPr>
                <w:rFonts w:ascii="Arial" w:cs="Arial" w:eastAsia="Arial" w:hAnsi="Arial"/>
                <w:sz w:val="11"/>
                <w:szCs w:val="11"/>
                <w:color w:val="0000FF"/>
                <w:w w:val="81"/>
              </w:rPr>
            </w:pPr>
            <w:hyperlink w:anchor="page76">
              <w:r>
                <w:rPr>
                  <w:rFonts w:ascii="Arial" w:cs="Arial" w:eastAsia="Arial" w:hAnsi="Arial"/>
                  <w:sz w:val="11"/>
                  <w:szCs w:val="11"/>
                  <w:color w:val="0000FF"/>
                  <w:w w:val="81"/>
                </w:rPr>
                <w:t>74</w:t>
              </w:r>
            </w:hyperlink>
          </w:p>
        </w:tc>
        <w:tc>
          <w:tcPr>
            <w:tcW w:w="500" w:type="dxa"/>
            <w:vAlign w:val="bottom"/>
          </w:tcPr>
          <w:p>
            <w:pPr>
              <w:spacing w:after="0"/>
              <w:rPr>
                <w:sz w:val="10"/>
                <w:szCs w:val="10"/>
                <w:color w:val="auto"/>
              </w:rPr>
            </w:pPr>
          </w:p>
        </w:tc>
      </w:tr>
      <w:tr>
        <w:trPr>
          <w:trHeight w:val="20"/>
        </w:trPr>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700" w:type="dxa"/>
            <w:vAlign w:val="bottom"/>
            <w:gridSpan w:val="21"/>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24"/>
        </w:trPr>
        <w:tc>
          <w:tcPr>
            <w:tcW w:w="1220" w:type="dxa"/>
            <w:vAlign w:val="bottom"/>
          </w:tcPr>
          <w:p>
            <w:pPr>
              <w:spacing w:after="0" w:line="124" w:lineRule="exact"/>
              <w:rPr>
                <w:sz w:val="20"/>
                <w:szCs w:val="20"/>
                <w:color w:val="auto"/>
              </w:rPr>
            </w:pPr>
            <w:r>
              <w:rPr>
                <w:rFonts w:ascii="Arial" w:cs="Arial" w:eastAsia="Arial" w:hAnsi="Arial"/>
                <w:sz w:val="11"/>
                <w:szCs w:val="11"/>
                <w:b w:val="1"/>
                <w:bCs w:val="1"/>
                <w:color w:val="auto"/>
              </w:rPr>
              <w:t>Part II.</w:t>
            </w:r>
          </w:p>
        </w:tc>
        <w:tc>
          <w:tcPr>
            <w:tcW w:w="1280" w:type="dxa"/>
            <w:vAlign w:val="bottom"/>
            <w:gridSpan w:val="11"/>
          </w:tcPr>
          <w:p>
            <w:pPr>
              <w:spacing w:after="0" w:line="124" w:lineRule="exact"/>
              <w:rPr>
                <w:rFonts w:ascii="Arial" w:cs="Arial" w:eastAsia="Arial" w:hAnsi="Arial"/>
                <w:sz w:val="11"/>
                <w:szCs w:val="11"/>
                <w:b w:val="1"/>
                <w:bCs w:val="1"/>
                <w:color w:val="0000FF"/>
              </w:rPr>
            </w:pPr>
            <w:hyperlink w:anchor="page76">
              <w:r>
                <w:rPr>
                  <w:rFonts w:ascii="Arial" w:cs="Arial" w:eastAsia="Arial" w:hAnsi="Arial"/>
                  <w:sz w:val="11"/>
                  <w:szCs w:val="11"/>
                  <w:b w:val="1"/>
                  <w:bCs w:val="1"/>
                  <w:color w:val="0000FF"/>
                </w:rPr>
                <w:t>OTHER INFORMATION</w:t>
              </w:r>
            </w:hyperlink>
          </w:p>
        </w:tc>
        <w:tc>
          <w:tcPr>
            <w:tcW w:w="7700" w:type="dxa"/>
            <w:vAlign w:val="bottom"/>
            <w:gridSpan w:val="21"/>
          </w:tcPr>
          <w:p>
            <w:pPr>
              <w:spacing w:after="0"/>
              <w:rPr>
                <w:sz w:val="10"/>
                <w:szCs w:val="10"/>
                <w:color w:val="auto"/>
              </w:rPr>
            </w:pPr>
          </w:p>
        </w:tc>
        <w:tc>
          <w:tcPr>
            <w:tcW w:w="600" w:type="dxa"/>
            <w:vAlign w:val="bottom"/>
            <w:gridSpan w:val="2"/>
          </w:tcPr>
          <w:p>
            <w:pPr>
              <w:jc w:val="center"/>
              <w:ind w:left="443"/>
              <w:spacing w:after="0" w:line="124" w:lineRule="exact"/>
              <w:rPr>
                <w:rFonts w:ascii="Arial" w:cs="Arial" w:eastAsia="Arial" w:hAnsi="Arial"/>
                <w:sz w:val="11"/>
                <w:szCs w:val="11"/>
                <w:color w:val="0000FF"/>
                <w:w w:val="81"/>
              </w:rPr>
            </w:pPr>
            <w:hyperlink w:anchor="page76">
              <w:r>
                <w:rPr>
                  <w:rFonts w:ascii="Arial" w:cs="Arial" w:eastAsia="Arial" w:hAnsi="Arial"/>
                  <w:sz w:val="11"/>
                  <w:szCs w:val="11"/>
                  <w:color w:val="0000FF"/>
                  <w:w w:val="81"/>
                </w:rPr>
                <w:t>75</w:t>
              </w:r>
            </w:hyperlink>
          </w:p>
        </w:tc>
        <w:tc>
          <w:tcPr>
            <w:tcW w:w="500" w:type="dxa"/>
            <w:vAlign w:val="bottom"/>
          </w:tcPr>
          <w:p>
            <w:pPr>
              <w:spacing w:after="0"/>
              <w:rPr>
                <w:sz w:val="10"/>
                <w:szCs w:val="10"/>
                <w:color w:val="auto"/>
              </w:rPr>
            </w:pPr>
          </w:p>
        </w:tc>
      </w:tr>
      <w:tr>
        <w:trPr>
          <w:trHeight w:val="20"/>
        </w:trPr>
        <w:tc>
          <w:tcPr>
            <w:tcW w:w="12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4"/>
            <w:shd w:val="clear" w:color="auto" w:fill="0000FF"/>
          </w:tcPr>
          <w:p>
            <w:pPr>
              <w:spacing w:after="0" w:line="20" w:lineRule="exact"/>
              <w:rPr>
                <w:sz w:val="1"/>
                <w:szCs w:val="1"/>
                <w:color w:val="auto"/>
              </w:rPr>
            </w:pPr>
          </w:p>
        </w:tc>
        <w:tc>
          <w:tcPr>
            <w:tcW w:w="7700" w:type="dxa"/>
            <w:vAlign w:val="bottom"/>
            <w:gridSpan w:val="21"/>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24"/>
        </w:trPr>
        <w:tc>
          <w:tcPr>
            <w:tcW w:w="1220" w:type="dxa"/>
            <w:vAlign w:val="bottom"/>
          </w:tcPr>
          <w:p>
            <w:pPr>
              <w:ind w:left="140"/>
              <w:spacing w:after="0" w:line="124" w:lineRule="exact"/>
              <w:rPr>
                <w:sz w:val="20"/>
                <w:szCs w:val="20"/>
                <w:color w:val="auto"/>
              </w:rPr>
            </w:pPr>
            <w:r>
              <w:rPr>
                <w:rFonts w:ascii="Arial" w:cs="Arial" w:eastAsia="Arial" w:hAnsi="Arial"/>
                <w:sz w:val="11"/>
                <w:szCs w:val="11"/>
                <w:color w:val="auto"/>
              </w:rPr>
              <w:t>Item 1.</w:t>
            </w:r>
          </w:p>
        </w:tc>
        <w:tc>
          <w:tcPr>
            <w:tcW w:w="140" w:type="dxa"/>
            <w:vAlign w:val="bottom"/>
          </w:tcPr>
          <w:p>
            <w:pPr>
              <w:spacing w:after="0"/>
              <w:rPr>
                <w:sz w:val="10"/>
                <w:szCs w:val="10"/>
                <w:color w:val="auto"/>
              </w:rPr>
            </w:pPr>
          </w:p>
        </w:tc>
        <w:tc>
          <w:tcPr>
            <w:tcW w:w="840" w:type="dxa"/>
            <w:vAlign w:val="bottom"/>
            <w:gridSpan w:val="6"/>
          </w:tcPr>
          <w:p>
            <w:pPr>
              <w:spacing w:after="0" w:line="124" w:lineRule="exact"/>
              <w:rPr>
                <w:rFonts w:ascii="Arial" w:cs="Arial" w:eastAsia="Arial" w:hAnsi="Arial"/>
                <w:sz w:val="11"/>
                <w:szCs w:val="11"/>
                <w:color w:val="0000FF"/>
                <w:w w:val="87"/>
              </w:rPr>
            </w:pPr>
            <w:hyperlink w:anchor="page77">
              <w:r>
                <w:rPr>
                  <w:rFonts w:ascii="Arial" w:cs="Arial" w:eastAsia="Arial" w:hAnsi="Arial"/>
                  <w:sz w:val="11"/>
                  <w:szCs w:val="11"/>
                  <w:color w:val="0000FF"/>
                  <w:w w:val="87"/>
                </w:rPr>
                <w:t>Legal Proceedings</w:t>
              </w:r>
            </w:hyperlink>
          </w:p>
        </w:tc>
        <w:tc>
          <w:tcPr>
            <w:tcW w:w="300" w:type="dxa"/>
            <w:vAlign w:val="bottom"/>
            <w:gridSpan w:val="4"/>
          </w:tcPr>
          <w:p>
            <w:pPr>
              <w:spacing w:after="0"/>
              <w:rPr>
                <w:sz w:val="10"/>
                <w:szCs w:val="10"/>
                <w:color w:val="auto"/>
              </w:rPr>
            </w:pPr>
          </w:p>
        </w:tc>
        <w:tc>
          <w:tcPr>
            <w:tcW w:w="7700" w:type="dxa"/>
            <w:vAlign w:val="bottom"/>
            <w:gridSpan w:val="21"/>
          </w:tcPr>
          <w:p>
            <w:pPr>
              <w:spacing w:after="0"/>
              <w:rPr>
                <w:sz w:val="10"/>
                <w:szCs w:val="10"/>
                <w:color w:val="auto"/>
              </w:rPr>
            </w:pPr>
          </w:p>
        </w:tc>
        <w:tc>
          <w:tcPr>
            <w:tcW w:w="600" w:type="dxa"/>
            <w:vAlign w:val="bottom"/>
            <w:gridSpan w:val="2"/>
          </w:tcPr>
          <w:p>
            <w:pPr>
              <w:jc w:val="center"/>
              <w:ind w:left="443"/>
              <w:spacing w:after="0" w:line="124" w:lineRule="exact"/>
              <w:rPr>
                <w:rFonts w:ascii="Arial" w:cs="Arial" w:eastAsia="Arial" w:hAnsi="Arial"/>
                <w:sz w:val="11"/>
                <w:szCs w:val="11"/>
                <w:color w:val="0000FF"/>
                <w:w w:val="81"/>
              </w:rPr>
            </w:pPr>
            <w:hyperlink w:anchor="page77">
              <w:r>
                <w:rPr>
                  <w:rFonts w:ascii="Arial" w:cs="Arial" w:eastAsia="Arial" w:hAnsi="Arial"/>
                  <w:sz w:val="11"/>
                  <w:szCs w:val="11"/>
                  <w:color w:val="0000FF"/>
                  <w:w w:val="81"/>
                </w:rPr>
                <w:t>75</w:t>
              </w:r>
            </w:hyperlink>
          </w:p>
        </w:tc>
        <w:tc>
          <w:tcPr>
            <w:tcW w:w="500" w:type="dxa"/>
            <w:vAlign w:val="bottom"/>
          </w:tcPr>
          <w:p>
            <w:pPr>
              <w:spacing w:after="0"/>
              <w:rPr>
                <w:sz w:val="10"/>
                <w:szCs w:val="10"/>
                <w:color w:val="auto"/>
              </w:rPr>
            </w:pPr>
          </w:p>
        </w:tc>
      </w:tr>
      <w:tr>
        <w:trPr>
          <w:trHeight w:val="20"/>
        </w:trPr>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8000" w:type="dxa"/>
            <w:vAlign w:val="bottom"/>
            <w:gridSpan w:val="2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24"/>
        </w:trPr>
        <w:tc>
          <w:tcPr>
            <w:tcW w:w="1220" w:type="dxa"/>
            <w:vAlign w:val="bottom"/>
          </w:tcPr>
          <w:p>
            <w:pPr>
              <w:ind w:left="140"/>
              <w:spacing w:after="0" w:line="124" w:lineRule="exact"/>
              <w:rPr>
                <w:sz w:val="20"/>
                <w:szCs w:val="20"/>
                <w:color w:val="auto"/>
              </w:rPr>
            </w:pPr>
            <w:r>
              <w:rPr>
                <w:rFonts w:ascii="Arial" w:cs="Arial" w:eastAsia="Arial" w:hAnsi="Arial"/>
                <w:sz w:val="11"/>
                <w:szCs w:val="11"/>
                <w:color w:val="auto"/>
              </w:rPr>
              <w:t>Item 1A.</w:t>
            </w:r>
          </w:p>
        </w:tc>
        <w:tc>
          <w:tcPr>
            <w:tcW w:w="140" w:type="dxa"/>
            <w:vAlign w:val="bottom"/>
          </w:tcPr>
          <w:p>
            <w:pPr>
              <w:spacing w:after="0"/>
              <w:rPr>
                <w:sz w:val="10"/>
                <w:szCs w:val="10"/>
                <w:color w:val="auto"/>
              </w:rPr>
            </w:pPr>
          </w:p>
        </w:tc>
        <w:tc>
          <w:tcPr>
            <w:tcW w:w="840" w:type="dxa"/>
            <w:vAlign w:val="bottom"/>
            <w:gridSpan w:val="6"/>
          </w:tcPr>
          <w:p>
            <w:pPr>
              <w:spacing w:after="0" w:line="124" w:lineRule="exact"/>
              <w:rPr>
                <w:rFonts w:ascii="Arial" w:cs="Arial" w:eastAsia="Arial" w:hAnsi="Arial"/>
                <w:sz w:val="11"/>
                <w:szCs w:val="11"/>
                <w:color w:val="0000FF"/>
              </w:rPr>
            </w:pPr>
            <w:hyperlink w:anchor="page77">
              <w:r>
                <w:rPr>
                  <w:rFonts w:ascii="Arial" w:cs="Arial" w:eastAsia="Arial" w:hAnsi="Arial"/>
                  <w:sz w:val="11"/>
                  <w:szCs w:val="11"/>
                  <w:color w:val="0000FF"/>
                </w:rPr>
                <w:t>Risk Factors</w:t>
              </w:r>
            </w:hyperlink>
          </w:p>
        </w:tc>
        <w:tc>
          <w:tcPr>
            <w:tcW w:w="8000" w:type="dxa"/>
            <w:vAlign w:val="bottom"/>
            <w:gridSpan w:val="25"/>
          </w:tcPr>
          <w:p>
            <w:pPr>
              <w:spacing w:after="0"/>
              <w:rPr>
                <w:sz w:val="10"/>
                <w:szCs w:val="10"/>
                <w:color w:val="auto"/>
              </w:rPr>
            </w:pPr>
          </w:p>
        </w:tc>
        <w:tc>
          <w:tcPr>
            <w:tcW w:w="600" w:type="dxa"/>
            <w:vAlign w:val="bottom"/>
            <w:gridSpan w:val="2"/>
          </w:tcPr>
          <w:p>
            <w:pPr>
              <w:jc w:val="center"/>
              <w:ind w:left="443"/>
              <w:spacing w:after="0" w:line="124" w:lineRule="exact"/>
              <w:rPr>
                <w:rFonts w:ascii="Arial" w:cs="Arial" w:eastAsia="Arial" w:hAnsi="Arial"/>
                <w:sz w:val="11"/>
                <w:szCs w:val="11"/>
                <w:color w:val="0000FF"/>
                <w:w w:val="81"/>
              </w:rPr>
            </w:pPr>
            <w:hyperlink w:anchor="page77">
              <w:r>
                <w:rPr>
                  <w:rFonts w:ascii="Arial" w:cs="Arial" w:eastAsia="Arial" w:hAnsi="Arial"/>
                  <w:sz w:val="11"/>
                  <w:szCs w:val="11"/>
                  <w:color w:val="0000FF"/>
                  <w:w w:val="81"/>
                </w:rPr>
                <w:t>75</w:t>
              </w:r>
            </w:hyperlink>
          </w:p>
        </w:tc>
        <w:tc>
          <w:tcPr>
            <w:tcW w:w="500" w:type="dxa"/>
            <w:vAlign w:val="bottom"/>
          </w:tcPr>
          <w:p>
            <w:pPr>
              <w:spacing w:after="0"/>
              <w:rPr>
                <w:sz w:val="10"/>
                <w:szCs w:val="10"/>
                <w:color w:val="auto"/>
              </w:rPr>
            </w:pPr>
          </w:p>
        </w:tc>
      </w:tr>
      <w:tr>
        <w:trPr>
          <w:trHeight w:val="20"/>
        </w:trPr>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300" w:type="dxa"/>
            <w:vAlign w:val="bottom"/>
            <w:tcBorders>
              <w:left w:val="single" w:sz="8" w:color="0000FF"/>
            </w:tcBorders>
            <w:gridSpan w:val="27"/>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24"/>
        </w:trPr>
        <w:tc>
          <w:tcPr>
            <w:tcW w:w="1220" w:type="dxa"/>
            <w:vAlign w:val="bottom"/>
          </w:tcPr>
          <w:p>
            <w:pPr>
              <w:ind w:left="140"/>
              <w:spacing w:after="0" w:line="124" w:lineRule="exact"/>
              <w:rPr>
                <w:sz w:val="20"/>
                <w:szCs w:val="20"/>
                <w:color w:val="auto"/>
              </w:rPr>
            </w:pPr>
            <w:r>
              <w:rPr>
                <w:rFonts w:ascii="Arial" w:cs="Arial" w:eastAsia="Arial" w:hAnsi="Arial"/>
                <w:sz w:val="11"/>
                <w:szCs w:val="11"/>
                <w:color w:val="auto"/>
              </w:rPr>
              <w:t>Item 6.</w:t>
            </w:r>
          </w:p>
        </w:tc>
        <w:tc>
          <w:tcPr>
            <w:tcW w:w="140" w:type="dxa"/>
            <w:vAlign w:val="bottom"/>
          </w:tcPr>
          <w:p>
            <w:pPr>
              <w:spacing w:after="0"/>
              <w:rPr>
                <w:sz w:val="10"/>
                <w:szCs w:val="10"/>
                <w:color w:val="auto"/>
              </w:rPr>
            </w:pPr>
          </w:p>
        </w:tc>
        <w:tc>
          <w:tcPr>
            <w:tcW w:w="380" w:type="dxa"/>
            <w:vAlign w:val="bottom"/>
            <w:gridSpan w:val="3"/>
          </w:tcPr>
          <w:p>
            <w:pPr>
              <w:spacing w:after="0" w:line="124" w:lineRule="exact"/>
              <w:rPr>
                <w:rFonts w:ascii="Arial" w:cs="Arial" w:eastAsia="Arial" w:hAnsi="Arial"/>
                <w:sz w:val="11"/>
                <w:szCs w:val="11"/>
                <w:color w:val="0000FF"/>
                <w:w w:val="93"/>
              </w:rPr>
            </w:pPr>
            <w:hyperlink w:anchor="page77">
              <w:r>
                <w:rPr>
                  <w:rFonts w:ascii="Arial" w:cs="Arial" w:eastAsia="Arial" w:hAnsi="Arial"/>
                  <w:sz w:val="11"/>
                  <w:szCs w:val="11"/>
                  <w:color w:val="0000FF"/>
                  <w:w w:val="93"/>
                </w:rPr>
                <w:t>Exhibits</w:t>
              </w:r>
            </w:hyperlink>
          </w:p>
        </w:tc>
        <w:tc>
          <w:tcPr>
            <w:tcW w:w="160" w:type="dxa"/>
            <w:vAlign w:val="bottom"/>
          </w:tcPr>
          <w:p>
            <w:pPr>
              <w:spacing w:after="0"/>
              <w:rPr>
                <w:sz w:val="10"/>
                <w:szCs w:val="10"/>
                <w:color w:val="auto"/>
              </w:rPr>
            </w:pPr>
          </w:p>
        </w:tc>
        <w:tc>
          <w:tcPr>
            <w:tcW w:w="8300" w:type="dxa"/>
            <w:vAlign w:val="bottom"/>
            <w:gridSpan w:val="27"/>
          </w:tcPr>
          <w:p>
            <w:pPr>
              <w:spacing w:after="0"/>
              <w:rPr>
                <w:sz w:val="10"/>
                <w:szCs w:val="10"/>
                <w:color w:val="auto"/>
              </w:rPr>
            </w:pPr>
          </w:p>
        </w:tc>
        <w:tc>
          <w:tcPr>
            <w:tcW w:w="600" w:type="dxa"/>
            <w:vAlign w:val="bottom"/>
            <w:gridSpan w:val="2"/>
          </w:tcPr>
          <w:p>
            <w:pPr>
              <w:jc w:val="center"/>
              <w:ind w:left="443"/>
              <w:spacing w:after="0" w:line="124" w:lineRule="exact"/>
              <w:rPr>
                <w:rFonts w:ascii="Arial" w:cs="Arial" w:eastAsia="Arial" w:hAnsi="Arial"/>
                <w:sz w:val="11"/>
                <w:szCs w:val="11"/>
                <w:color w:val="0000FF"/>
                <w:w w:val="81"/>
              </w:rPr>
            </w:pPr>
            <w:hyperlink w:anchor="page77">
              <w:r>
                <w:rPr>
                  <w:rFonts w:ascii="Arial" w:cs="Arial" w:eastAsia="Arial" w:hAnsi="Arial"/>
                  <w:sz w:val="11"/>
                  <w:szCs w:val="11"/>
                  <w:color w:val="0000FF"/>
                  <w:w w:val="81"/>
                </w:rPr>
                <w:t>75</w:t>
              </w:r>
            </w:hyperlink>
          </w:p>
        </w:tc>
        <w:tc>
          <w:tcPr>
            <w:tcW w:w="500" w:type="dxa"/>
            <w:vAlign w:val="bottom"/>
          </w:tcPr>
          <w:p>
            <w:pPr>
              <w:spacing w:after="0"/>
              <w:rPr>
                <w:sz w:val="10"/>
                <w:szCs w:val="10"/>
                <w:color w:val="auto"/>
              </w:rPr>
            </w:pPr>
          </w:p>
        </w:tc>
      </w:tr>
      <w:tr>
        <w:trPr>
          <w:trHeight w:val="20"/>
        </w:trPr>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300" w:type="dxa"/>
            <w:vAlign w:val="bottom"/>
            <w:gridSpan w:val="27"/>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24"/>
        </w:trPr>
        <w:tc>
          <w:tcPr>
            <w:tcW w:w="1220" w:type="dxa"/>
            <w:vAlign w:val="bottom"/>
          </w:tcPr>
          <w:p>
            <w:pPr>
              <w:spacing w:after="0"/>
              <w:rPr>
                <w:sz w:val="10"/>
                <w:szCs w:val="10"/>
                <w:color w:val="auto"/>
              </w:rPr>
            </w:pPr>
          </w:p>
        </w:tc>
        <w:tc>
          <w:tcPr>
            <w:tcW w:w="680" w:type="dxa"/>
            <w:vAlign w:val="bottom"/>
            <w:gridSpan w:val="5"/>
          </w:tcPr>
          <w:p>
            <w:pPr>
              <w:spacing w:after="0" w:line="124" w:lineRule="exact"/>
              <w:rPr>
                <w:rFonts w:ascii="Arial" w:cs="Arial" w:eastAsia="Arial" w:hAnsi="Arial"/>
                <w:sz w:val="11"/>
                <w:szCs w:val="11"/>
                <w:color w:val="0000FF"/>
                <w:w w:val="89"/>
              </w:rPr>
            </w:pPr>
            <w:hyperlink w:anchor="page79">
              <w:r>
                <w:rPr>
                  <w:rFonts w:ascii="Arial" w:cs="Arial" w:eastAsia="Arial" w:hAnsi="Arial"/>
                  <w:sz w:val="11"/>
                  <w:szCs w:val="11"/>
                  <w:color w:val="0000FF"/>
                  <w:w w:val="89"/>
                </w:rPr>
                <w:t>SIGNATURES</w:t>
              </w:r>
            </w:hyperlink>
          </w:p>
        </w:tc>
        <w:tc>
          <w:tcPr>
            <w:tcW w:w="8300" w:type="dxa"/>
            <w:vAlign w:val="bottom"/>
            <w:gridSpan w:val="27"/>
          </w:tcPr>
          <w:p>
            <w:pPr>
              <w:spacing w:after="0"/>
              <w:rPr>
                <w:sz w:val="10"/>
                <w:szCs w:val="10"/>
                <w:color w:val="auto"/>
              </w:rPr>
            </w:pPr>
          </w:p>
        </w:tc>
        <w:tc>
          <w:tcPr>
            <w:tcW w:w="600" w:type="dxa"/>
            <w:vAlign w:val="bottom"/>
            <w:gridSpan w:val="2"/>
          </w:tcPr>
          <w:p>
            <w:pPr>
              <w:jc w:val="center"/>
              <w:ind w:left="443"/>
              <w:spacing w:after="0" w:line="124" w:lineRule="exact"/>
              <w:rPr>
                <w:rFonts w:ascii="Arial" w:cs="Arial" w:eastAsia="Arial" w:hAnsi="Arial"/>
                <w:sz w:val="11"/>
                <w:szCs w:val="11"/>
                <w:color w:val="0000FF"/>
                <w:w w:val="81"/>
              </w:rPr>
            </w:pPr>
            <w:hyperlink w:anchor="page79">
              <w:r>
                <w:rPr>
                  <w:rFonts w:ascii="Arial" w:cs="Arial" w:eastAsia="Arial" w:hAnsi="Arial"/>
                  <w:sz w:val="11"/>
                  <w:szCs w:val="11"/>
                  <w:color w:val="0000FF"/>
                  <w:w w:val="81"/>
                </w:rPr>
                <w:t>78</w:t>
              </w:r>
            </w:hyperlink>
          </w:p>
        </w:tc>
        <w:tc>
          <w:tcPr>
            <w:tcW w:w="500" w:type="dxa"/>
            <w:vAlign w:val="bottom"/>
          </w:tcPr>
          <w:p>
            <w:pPr>
              <w:spacing w:after="0"/>
              <w:rPr>
                <w:sz w:val="10"/>
                <w:szCs w:val="10"/>
                <w:color w:val="auto"/>
              </w:rPr>
            </w:pPr>
          </w:p>
        </w:tc>
      </w:tr>
      <w:tr>
        <w:trPr>
          <w:trHeight w:val="20"/>
        </w:trPr>
        <w:tc>
          <w:tcPr>
            <w:tcW w:w="12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153" w:lineRule="exact"/>
        <w:rPr>
          <w:sz w:val="20"/>
          <w:szCs w:val="20"/>
          <w:color w:val="auto"/>
        </w:rPr>
      </w:pPr>
    </w:p>
    <w:p>
      <w:pPr>
        <w:ind w:right="140" w:firstLine="432"/>
        <w:spacing w:after="0" w:line="268" w:lineRule="auto"/>
        <w:rPr>
          <w:sz w:val="20"/>
          <w:szCs w:val="20"/>
          <w:color w:val="auto"/>
        </w:rPr>
      </w:pPr>
      <w:r>
        <w:rPr>
          <w:rFonts w:ascii="Arial" w:cs="Arial" w:eastAsia="Arial" w:hAnsi="Arial"/>
          <w:sz w:val="11"/>
          <w:szCs w:val="11"/>
          <w:color w:val="auto"/>
        </w:rPr>
        <w:t xml:space="preserve">Throughout this report, we refer to Marriott Vacations Worldwide Corporation, together with its consolidated subsidiaries, as “Marriott Vacations Worldwide,” “MVW,” “we,” “us,” or “the Company.” We also refer to brands that we own, as well as those brands that we license, as our brands. All brand names, trademarks, service marks and trade names cited in this report are the property of their respective owners, including those of other companies and organizations. Solely for convenience, trademarks, trade names and service marks referred to in this report may appear without the </w:t>
      </w:r>
      <w:r>
        <w:rPr>
          <w:rFonts w:ascii="Arial" w:cs="Arial" w:eastAsia="Arial" w:hAnsi="Arial"/>
          <w:sz w:val="14"/>
          <w:szCs w:val="14"/>
          <w:color w:val="auto"/>
          <w:vertAlign w:val="superscript"/>
        </w:rPr>
        <w:t>®</w:t>
      </w:r>
      <w:r>
        <w:rPr>
          <w:rFonts w:ascii="Arial" w:cs="Arial" w:eastAsia="Arial" w:hAnsi="Arial"/>
          <w:sz w:val="11"/>
          <w:szCs w:val="11"/>
          <w:color w:val="auto"/>
        </w:rPr>
        <w:t xml:space="preserve"> or </w:t>
      </w:r>
      <w:r>
        <w:rPr>
          <w:rFonts w:ascii="Arial" w:cs="Arial" w:eastAsia="Arial" w:hAnsi="Arial"/>
          <w:sz w:val="6"/>
          <w:szCs w:val="6"/>
          <w:color w:val="auto"/>
        </w:rPr>
        <w:t>TM</w:t>
      </w:r>
      <w:r>
        <w:rPr>
          <w:rFonts w:ascii="Arial" w:cs="Arial" w:eastAsia="Arial" w:hAnsi="Arial"/>
          <w:sz w:val="11"/>
          <w:szCs w:val="11"/>
          <w:color w:val="auto"/>
        </w:rPr>
        <w:t xml:space="preserve"> symbols, however such references are not intended to indicate in any way that MVW or the owner, as applicable, will not assert, to the fullest extent under applicable law, all rights to such trademarks, trade names and service marks.</w:t>
      </w:r>
    </w:p>
    <w:p>
      <w:pPr>
        <w:spacing w:after="0" w:line="45" w:lineRule="exact"/>
        <w:rPr>
          <w:sz w:val="20"/>
          <w:szCs w:val="20"/>
          <w:color w:val="auto"/>
        </w:rPr>
      </w:pPr>
    </w:p>
    <w:p>
      <w:pPr>
        <w:ind w:right="120" w:firstLine="432"/>
        <w:spacing w:after="0" w:line="276" w:lineRule="auto"/>
        <w:rPr>
          <w:sz w:val="20"/>
          <w:szCs w:val="20"/>
          <w:color w:val="auto"/>
        </w:rPr>
      </w:pPr>
      <w:r>
        <w:rPr>
          <w:rFonts w:ascii="Arial" w:cs="Arial" w:eastAsia="Arial" w:hAnsi="Arial"/>
          <w:sz w:val="12"/>
          <w:szCs w:val="12"/>
          <w:color w:val="auto"/>
        </w:rPr>
        <w:t>Capitalized terms used and not specifically defined herein have the same meanings given those terms in our Annual Report on Form 10-K for the year ended December 31, 2020 (the “2020 Annual Report”). When discussing our properties or markets, we refer to the United States, Mexico, Central America and the Caribbean as “North America.”</w:t>
      </w:r>
    </w:p>
    <w:p>
      <w:pPr>
        <w:spacing w:after="0" w:line="43" w:lineRule="exact"/>
        <w:rPr>
          <w:sz w:val="20"/>
          <w:szCs w:val="20"/>
          <w:color w:val="auto"/>
        </w:rPr>
      </w:pPr>
    </w:p>
    <w:p>
      <w:pPr>
        <w:ind w:right="20" w:firstLine="432"/>
        <w:spacing w:after="0" w:line="323" w:lineRule="auto"/>
        <w:rPr>
          <w:sz w:val="20"/>
          <w:szCs w:val="20"/>
          <w:color w:val="auto"/>
        </w:rPr>
      </w:pPr>
      <w:r>
        <w:rPr>
          <w:rFonts w:ascii="Arial" w:cs="Arial" w:eastAsia="Arial" w:hAnsi="Arial"/>
          <w:sz w:val="11"/>
          <w:szCs w:val="11"/>
          <w:color w:val="auto"/>
        </w:rPr>
        <w:t>COVID-19 has caused significant disruptions in international and U.S. economies and markets, and has also had an unprecedented impact on the travel and hospitality industries, as well as the Company. We discuss the impacts of the COVID-19 pandemic and its potential future implications throughout this report; however, the COVID-19 pandemic is evolving and its potential impact on our business in the future remains uncertain.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347980</wp:posOffset>
            </wp:positionV>
            <wp:extent cx="7203440"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595" w:right="299" w:bottom="1440" w:gutter="0" w:footer="0" w:header="0"/>
        </w:sectPr>
      </w:pPr>
    </w:p>
    <w:bookmarkStart w:id="2" w:name="page3"/>
    <w:bookmarkEnd w:id="2"/>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PART I. FINANCIAL INFORMATION</w:t>
      </w:r>
    </w:p>
    <w:p>
      <w:pPr>
        <w:spacing w:after="0" w:line="78"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b w:val="1"/>
          <w:bCs w:val="1"/>
          <w:color w:val="auto"/>
        </w:rPr>
        <w:t>Item 1.</w:t>
      </w:r>
      <w:r>
        <w:rPr>
          <w:sz w:val="20"/>
          <w:szCs w:val="20"/>
          <w:color w:val="auto"/>
        </w:rPr>
        <w:tab/>
      </w:r>
      <w:r>
        <w:rPr>
          <w:rFonts w:ascii="Arial" w:cs="Arial" w:eastAsia="Arial" w:hAnsi="Arial"/>
          <w:sz w:val="10"/>
          <w:szCs w:val="10"/>
          <w:b w:val="1"/>
          <w:bCs w:val="1"/>
          <w:color w:val="auto"/>
        </w:rPr>
        <w:t>Financial Statements</w:t>
      </w:r>
    </w:p>
    <w:p>
      <w:pPr>
        <w:spacing w:after="0" w:line="78"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color w:val="auto"/>
        </w:rPr>
        <w:t>MARRIOTT VACATIONS WORLDWIDE CORPORATION</w:t>
      </w:r>
    </w:p>
    <w:p>
      <w:pPr>
        <w:spacing w:after="0" w:line="19"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color w:val="auto"/>
        </w:rPr>
        <w:t>INTERIM CONSOLIDATED STATEMENTS OF INCOME</w:t>
      </w:r>
    </w:p>
    <w:p>
      <w:pPr>
        <w:spacing w:after="0" w:line="6"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(In millions, except per share amounts)</w:t>
      </w:r>
    </w:p>
    <w:p>
      <w:pPr>
        <w:spacing w:after="0" w:line="6"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(Unaudited)</w:t>
      </w:r>
    </w:p>
    <w:p>
      <w:pPr>
        <w:spacing w:after="0" w:line="87" w:lineRule="exact"/>
        <w:rPr>
          <w:sz w:val="20"/>
          <w:szCs w:val="20"/>
          <w:color w:val="auto"/>
        </w:rPr>
      </w:pPr>
    </w:p>
    <w:tbl>
      <w:tblPr>
        <w:tblLayout w:type="fixed"/>
        <w:tblInd w:w="420" w:type="dxa"/>
        <w:tblCellMar>
          <w:top w:w="0" w:type="dxa"/>
          <w:left w:w="0" w:type="dxa"/>
          <w:bottom w:w="0" w:type="dxa"/>
          <w:right w:w="0" w:type="dxa"/>
        </w:tblCellMar>
      </w:tblPr>
      <w:tr>
        <w:trPr>
          <w:trHeight w:val="142"/>
        </w:trPr>
        <w:tc>
          <w:tcPr>
            <w:tcW w:w="4560" w:type="dxa"/>
            <w:vAlign w:val="bottom"/>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1"/>
              </w:rPr>
              <w:t>Three Months Ended</w:t>
            </w:r>
          </w:p>
        </w:tc>
        <w:tc>
          <w:tcPr>
            <w:tcW w:w="9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360" w:type="dxa"/>
            <w:vAlign w:val="bottom"/>
            <w:tcBorders>
              <w:bottom w:val="single" w:sz="8" w:color="auto"/>
            </w:tcBorders>
            <w:gridSpan w:val="3"/>
          </w:tcPr>
          <w:p>
            <w:pPr>
              <w:jc w:val="right"/>
              <w:ind w:right="601"/>
              <w:spacing w:after="0"/>
              <w:rPr>
                <w:sz w:val="20"/>
                <w:szCs w:val="20"/>
                <w:color w:val="auto"/>
              </w:rPr>
            </w:pPr>
            <w:r>
              <w:rPr>
                <w:rFonts w:ascii="Arial" w:cs="Arial" w:eastAsia="Arial" w:hAnsi="Arial"/>
                <w:sz w:val="11"/>
                <w:szCs w:val="11"/>
                <w:b w:val="1"/>
                <w:bCs w:val="1"/>
                <w:color w:val="auto"/>
              </w:rPr>
              <w:t>Six Months Ended</w:t>
            </w:r>
          </w:p>
        </w:tc>
        <w:tc>
          <w:tcPr>
            <w:tcW w:w="0" w:type="dxa"/>
            <w:vAlign w:val="bottom"/>
          </w:tcPr>
          <w:p>
            <w:pPr>
              <w:spacing w:after="0"/>
              <w:rPr>
                <w:sz w:val="1"/>
                <w:szCs w:val="1"/>
                <w:color w:val="auto"/>
              </w:rPr>
            </w:pPr>
          </w:p>
        </w:tc>
      </w:tr>
      <w:tr>
        <w:trPr>
          <w:trHeight w:val="133"/>
        </w:trPr>
        <w:tc>
          <w:tcPr>
            <w:tcW w:w="4560" w:type="dxa"/>
            <w:vAlign w:val="bottom"/>
          </w:tcPr>
          <w:p>
            <w:pPr>
              <w:spacing w:after="0"/>
              <w:rPr>
                <w:sz w:val="11"/>
                <w:szCs w:val="11"/>
                <w:color w:val="auto"/>
              </w:rPr>
            </w:pPr>
          </w:p>
        </w:tc>
        <w:tc>
          <w:tcPr>
            <w:tcW w:w="1360" w:type="dxa"/>
            <w:vAlign w:val="bottom"/>
          </w:tcPr>
          <w:p>
            <w:pPr>
              <w:jc w:val="right"/>
              <w:spacing w:after="0"/>
              <w:rPr>
                <w:sz w:val="20"/>
                <w:szCs w:val="20"/>
                <w:color w:val="auto"/>
              </w:rPr>
            </w:pPr>
            <w:r>
              <w:rPr>
                <w:rFonts w:ascii="Arial" w:cs="Arial" w:eastAsia="Arial" w:hAnsi="Arial"/>
                <w:sz w:val="11"/>
                <w:szCs w:val="11"/>
                <w:b w:val="1"/>
                <w:bCs w:val="1"/>
                <w:color w:val="auto"/>
              </w:rPr>
              <w:t>June 30, 2021</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jc w:val="right"/>
              <w:ind w:right="220"/>
              <w:spacing w:after="0"/>
              <w:rPr>
                <w:sz w:val="20"/>
                <w:szCs w:val="20"/>
                <w:color w:val="auto"/>
              </w:rPr>
            </w:pPr>
            <w:r>
              <w:rPr>
                <w:rFonts w:ascii="Arial" w:cs="Arial" w:eastAsia="Arial" w:hAnsi="Arial"/>
                <w:sz w:val="11"/>
                <w:szCs w:val="11"/>
                <w:b w:val="1"/>
                <w:bCs w:val="1"/>
                <w:color w:val="auto"/>
                <w:w w:val="86"/>
              </w:rPr>
              <w:t>June 30, 2020</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2"/>
          </w:tcPr>
          <w:p>
            <w:pPr>
              <w:ind w:left="120"/>
              <w:spacing w:after="0"/>
              <w:rPr>
                <w:sz w:val="20"/>
                <w:szCs w:val="20"/>
                <w:color w:val="auto"/>
              </w:rPr>
            </w:pPr>
            <w:r>
              <w:rPr>
                <w:rFonts w:ascii="Arial" w:cs="Arial" w:eastAsia="Arial" w:hAnsi="Arial"/>
                <w:sz w:val="11"/>
                <w:szCs w:val="11"/>
                <w:b w:val="1"/>
                <w:bCs w:val="1"/>
                <w:color w:val="auto"/>
              </w:rPr>
              <w:t>June 30, 2021</w:t>
            </w:r>
          </w:p>
        </w:tc>
        <w:tc>
          <w:tcPr>
            <w:tcW w:w="1260" w:type="dxa"/>
            <w:vAlign w:val="bottom"/>
          </w:tcPr>
          <w:p>
            <w:pPr>
              <w:jc w:val="right"/>
              <w:spacing w:after="0"/>
              <w:rPr>
                <w:sz w:val="20"/>
                <w:szCs w:val="20"/>
                <w:color w:val="auto"/>
              </w:rPr>
            </w:pPr>
            <w:r>
              <w:rPr>
                <w:rFonts w:ascii="Arial" w:cs="Arial" w:eastAsia="Arial" w:hAnsi="Arial"/>
                <w:sz w:val="11"/>
                <w:szCs w:val="11"/>
                <w:b w:val="1"/>
                <w:bCs w:val="1"/>
                <w:color w:val="auto"/>
              </w:rPr>
              <w:t>June 30, 20</w:t>
            </w:r>
          </w:p>
        </w:tc>
        <w:tc>
          <w:tcPr>
            <w:tcW w:w="0" w:type="dxa"/>
            <w:vAlign w:val="bottom"/>
          </w:tcPr>
          <w:p>
            <w:pPr>
              <w:spacing w:after="0"/>
              <w:rPr>
                <w:sz w:val="1"/>
                <w:szCs w:val="1"/>
                <w:color w:val="auto"/>
              </w:rPr>
            </w:pPr>
          </w:p>
        </w:tc>
      </w:tr>
      <w:tr>
        <w:trPr>
          <w:trHeight w:val="135"/>
        </w:trPr>
        <w:tc>
          <w:tcPr>
            <w:tcW w:w="4560" w:type="dxa"/>
            <w:vAlign w:val="bottom"/>
            <w:tcBorders>
              <w:top w:val="single" w:sz="8" w:color="CCEEFF"/>
            </w:tcBorders>
            <w:shd w:val="clear" w:color="auto" w:fill="CCEEFF"/>
          </w:tcPr>
          <w:p>
            <w:pPr>
              <w:ind w:left="440"/>
              <w:spacing w:after="0" w:line="135" w:lineRule="exact"/>
              <w:rPr>
                <w:sz w:val="20"/>
                <w:szCs w:val="20"/>
                <w:color w:val="auto"/>
              </w:rPr>
            </w:pPr>
            <w:r>
              <w:rPr>
                <w:rFonts w:ascii="Arial" w:cs="Arial" w:eastAsia="Arial" w:hAnsi="Arial"/>
                <w:sz w:val="12"/>
                <w:szCs w:val="12"/>
                <w:b w:val="1"/>
                <w:bCs w:val="1"/>
                <w:color w:val="auto"/>
              </w:rPr>
              <w:t>REVENUES</w:t>
            </w:r>
          </w:p>
        </w:tc>
        <w:tc>
          <w:tcPr>
            <w:tcW w:w="13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560" w:type="dxa"/>
            <w:vAlign w:val="bottom"/>
          </w:tcPr>
          <w:p>
            <w:pPr>
              <w:ind w:left="580"/>
              <w:spacing w:after="0"/>
              <w:rPr>
                <w:sz w:val="20"/>
                <w:szCs w:val="20"/>
                <w:color w:val="auto"/>
              </w:rPr>
            </w:pPr>
            <w:r>
              <w:rPr>
                <w:rFonts w:ascii="Arial" w:cs="Arial" w:eastAsia="Arial" w:hAnsi="Arial"/>
                <w:sz w:val="12"/>
                <w:szCs w:val="12"/>
                <w:color w:val="auto"/>
              </w:rPr>
              <w:t>Sale of vacation ownership products</w:t>
            </w:r>
          </w:p>
        </w:tc>
        <w:tc>
          <w:tcPr>
            <w:tcW w:w="1360" w:type="dxa"/>
            <w:vAlign w:val="bottom"/>
          </w:tcPr>
          <w:p>
            <w:pPr>
              <w:jc w:val="right"/>
              <w:ind w:right="781"/>
              <w:spacing w:after="0"/>
              <w:rPr>
                <w:sz w:val="20"/>
                <w:szCs w:val="20"/>
                <w:color w:val="auto"/>
              </w:rPr>
            </w:pPr>
            <w:r>
              <w:rPr>
                <w:rFonts w:ascii="Arial" w:cs="Arial" w:eastAsia="Arial" w:hAnsi="Arial"/>
                <w:sz w:val="12"/>
                <w:szCs w:val="12"/>
                <w:color w:val="auto"/>
              </w:rPr>
              <w:t>$</w:t>
            </w:r>
          </w:p>
        </w:tc>
        <w:tc>
          <w:tcPr>
            <w:tcW w:w="260" w:type="dxa"/>
            <w:vAlign w:val="bottom"/>
          </w:tcPr>
          <w:p>
            <w:pPr>
              <w:jc w:val="right"/>
              <w:spacing w:after="0"/>
              <w:rPr>
                <w:sz w:val="20"/>
                <w:szCs w:val="20"/>
                <w:color w:val="auto"/>
              </w:rPr>
            </w:pPr>
            <w:r>
              <w:rPr>
                <w:rFonts w:ascii="Arial" w:cs="Arial" w:eastAsia="Arial" w:hAnsi="Arial"/>
                <w:sz w:val="12"/>
                <w:szCs w:val="12"/>
                <w:color w:val="auto"/>
                <w:w w:val="99"/>
              </w:rPr>
              <w:t>296</w:t>
            </w:r>
          </w:p>
        </w:tc>
        <w:tc>
          <w:tcPr>
            <w:tcW w:w="80" w:type="dxa"/>
            <w:vAlign w:val="bottom"/>
          </w:tcPr>
          <w:p>
            <w:pPr>
              <w:spacing w:after="0"/>
              <w:rPr>
                <w:sz w:val="13"/>
                <w:szCs w:val="13"/>
                <w:color w:val="auto"/>
              </w:rPr>
            </w:pPr>
          </w:p>
        </w:tc>
        <w:tc>
          <w:tcPr>
            <w:tcW w:w="70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53</w:t>
            </w:r>
          </w:p>
        </w:tc>
        <w:tc>
          <w:tcPr>
            <w:tcW w:w="100" w:type="dxa"/>
            <w:vAlign w:val="bottom"/>
          </w:tcPr>
          <w:p>
            <w:pPr>
              <w:spacing w:after="0"/>
              <w:rPr>
                <w:sz w:val="13"/>
                <w:szCs w:val="13"/>
                <w:color w:val="auto"/>
              </w:rPr>
            </w:pPr>
          </w:p>
        </w:tc>
        <w:tc>
          <w:tcPr>
            <w:tcW w:w="60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459</w:t>
            </w:r>
          </w:p>
        </w:tc>
        <w:tc>
          <w:tcPr>
            <w:tcW w:w="80" w:type="dxa"/>
            <w:vAlign w:val="bottom"/>
          </w:tcPr>
          <w:p>
            <w:pPr>
              <w:spacing w:after="0"/>
              <w:rPr>
                <w:sz w:val="13"/>
                <w:szCs w:val="13"/>
                <w:color w:val="auto"/>
              </w:rPr>
            </w:pPr>
          </w:p>
        </w:tc>
        <w:tc>
          <w:tcPr>
            <w:tcW w:w="1260" w:type="dxa"/>
            <w:vAlign w:val="bottom"/>
          </w:tcPr>
          <w:p>
            <w:pPr>
              <w:jc w:val="right"/>
              <w:ind w:right="68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4560" w:type="dxa"/>
            <w:vAlign w:val="bottom"/>
            <w:shd w:val="clear" w:color="auto" w:fill="CCEEFF"/>
          </w:tcPr>
          <w:p>
            <w:pPr>
              <w:ind w:left="580"/>
              <w:spacing w:after="0"/>
              <w:rPr>
                <w:sz w:val="20"/>
                <w:szCs w:val="20"/>
                <w:color w:val="auto"/>
              </w:rPr>
            </w:pPr>
            <w:r>
              <w:rPr>
                <w:rFonts w:ascii="Arial" w:cs="Arial" w:eastAsia="Arial" w:hAnsi="Arial"/>
                <w:sz w:val="12"/>
                <w:szCs w:val="12"/>
                <w:color w:val="auto"/>
              </w:rPr>
              <w:t>Management and exchange</w:t>
            </w:r>
          </w:p>
        </w:tc>
        <w:tc>
          <w:tcPr>
            <w:tcW w:w="136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220</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145</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413</w:t>
            </w: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560" w:type="dxa"/>
            <w:vAlign w:val="bottom"/>
          </w:tcPr>
          <w:p>
            <w:pPr>
              <w:ind w:left="580"/>
              <w:spacing w:after="0"/>
              <w:rPr>
                <w:sz w:val="20"/>
                <w:szCs w:val="20"/>
                <w:color w:val="auto"/>
              </w:rPr>
            </w:pPr>
            <w:r>
              <w:rPr>
                <w:rFonts w:ascii="Arial" w:cs="Arial" w:eastAsia="Arial" w:hAnsi="Arial"/>
                <w:sz w:val="12"/>
                <w:szCs w:val="12"/>
                <w:color w:val="auto"/>
              </w:rPr>
              <w:t>Rental</w:t>
            </w:r>
          </w:p>
        </w:tc>
        <w:tc>
          <w:tcPr>
            <w:tcW w:w="136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w w:val="99"/>
              </w:rPr>
              <w:t>121</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18</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210</w:t>
            </w: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560" w:type="dxa"/>
            <w:vAlign w:val="bottom"/>
            <w:shd w:val="clear" w:color="auto" w:fill="CCEEFF"/>
          </w:tcPr>
          <w:p>
            <w:pPr>
              <w:ind w:left="580"/>
              <w:spacing w:after="0"/>
              <w:rPr>
                <w:sz w:val="20"/>
                <w:szCs w:val="20"/>
                <w:color w:val="auto"/>
              </w:rPr>
            </w:pPr>
            <w:r>
              <w:rPr>
                <w:rFonts w:ascii="Arial" w:cs="Arial" w:eastAsia="Arial" w:hAnsi="Arial"/>
                <w:sz w:val="12"/>
                <w:szCs w:val="12"/>
                <w:color w:val="auto"/>
              </w:rPr>
              <w:t>Financing</w:t>
            </w:r>
          </w:p>
        </w:tc>
        <w:tc>
          <w:tcPr>
            <w:tcW w:w="136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127</w:t>
            </w: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560" w:type="dxa"/>
            <w:vAlign w:val="bottom"/>
            <w:tcBorders>
              <w:bottom w:val="single" w:sz="8" w:color="CCEEFF"/>
            </w:tcBorders>
          </w:tcPr>
          <w:p>
            <w:pPr>
              <w:ind w:left="580"/>
              <w:spacing w:after="0"/>
              <w:rPr>
                <w:sz w:val="20"/>
                <w:szCs w:val="20"/>
                <w:color w:val="auto"/>
              </w:rPr>
            </w:pPr>
            <w:r>
              <w:rPr>
                <w:rFonts w:ascii="Arial" w:cs="Arial" w:eastAsia="Arial" w:hAnsi="Arial"/>
                <w:sz w:val="12"/>
                <w:szCs w:val="12"/>
                <w:color w:val="auto"/>
              </w:rPr>
              <w:t>Cost reimbursements</w:t>
            </w:r>
          </w:p>
        </w:tc>
        <w:tc>
          <w:tcPr>
            <w:tcW w:w="13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274</w:t>
            </w:r>
          </w:p>
        </w:tc>
        <w:tc>
          <w:tcPr>
            <w:tcW w:w="8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194</w:t>
            </w:r>
          </w:p>
        </w:tc>
        <w:tc>
          <w:tcPr>
            <w:tcW w:w="10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529</w:t>
            </w:r>
          </w:p>
        </w:tc>
        <w:tc>
          <w:tcPr>
            <w:tcW w:w="80" w:type="dxa"/>
            <w:vAlign w:val="bottom"/>
            <w:tcBorders>
              <w:bottom w:val="single" w:sz="8" w:color="CCEEFF"/>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560" w:type="dxa"/>
            <w:vAlign w:val="bottom"/>
            <w:shd w:val="clear" w:color="auto" w:fill="CCEEFF"/>
          </w:tcPr>
          <w:p>
            <w:pPr>
              <w:ind w:left="740"/>
              <w:spacing w:after="0" w:line="137" w:lineRule="exact"/>
              <w:rPr>
                <w:sz w:val="20"/>
                <w:szCs w:val="20"/>
                <w:color w:val="auto"/>
              </w:rPr>
            </w:pPr>
            <w:r>
              <w:rPr>
                <w:rFonts w:ascii="Arial" w:cs="Arial" w:eastAsia="Arial" w:hAnsi="Arial"/>
                <w:sz w:val="12"/>
                <w:szCs w:val="12"/>
                <w:b w:val="1"/>
                <w:bCs w:val="1"/>
                <w:color w:val="auto"/>
              </w:rPr>
              <w:t>TOTAL REVENUES</w:t>
            </w:r>
          </w:p>
        </w:tc>
        <w:tc>
          <w:tcPr>
            <w:tcW w:w="136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9"/>
              </w:rPr>
              <w:t>979</w:t>
            </w:r>
          </w:p>
        </w:tc>
        <w:tc>
          <w:tcPr>
            <w:tcW w:w="80" w:type="dxa"/>
            <w:vAlign w:val="bottom"/>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480</w:t>
            </w:r>
          </w:p>
        </w:tc>
        <w:tc>
          <w:tcPr>
            <w:tcW w:w="100" w:type="dxa"/>
            <w:vAlign w:val="bottom"/>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1,738</w:t>
            </w:r>
          </w:p>
        </w:tc>
        <w:tc>
          <w:tcPr>
            <w:tcW w:w="80" w:type="dxa"/>
            <w:vAlign w:val="bottom"/>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56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EXPENSES</w:t>
            </w:r>
          </w:p>
        </w:tc>
        <w:tc>
          <w:tcPr>
            <w:tcW w:w="1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560" w:type="dxa"/>
            <w:vAlign w:val="bottom"/>
            <w:shd w:val="clear" w:color="auto" w:fill="CCEEFF"/>
          </w:tcPr>
          <w:p>
            <w:pPr>
              <w:ind w:left="580"/>
              <w:spacing w:after="0"/>
              <w:rPr>
                <w:sz w:val="20"/>
                <w:szCs w:val="20"/>
                <w:color w:val="auto"/>
              </w:rPr>
            </w:pPr>
            <w:r>
              <w:rPr>
                <w:rFonts w:ascii="Arial" w:cs="Arial" w:eastAsia="Arial" w:hAnsi="Arial"/>
                <w:sz w:val="12"/>
                <w:szCs w:val="12"/>
                <w:color w:val="auto"/>
              </w:rPr>
              <w:t>Cost of vacation ownership products</w:t>
            </w:r>
          </w:p>
        </w:tc>
        <w:tc>
          <w:tcPr>
            <w:tcW w:w="136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107</w:t>
            </w: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560" w:type="dxa"/>
            <w:vAlign w:val="bottom"/>
          </w:tcPr>
          <w:p>
            <w:pPr>
              <w:ind w:left="580"/>
              <w:spacing w:after="0"/>
              <w:rPr>
                <w:sz w:val="20"/>
                <w:szCs w:val="20"/>
                <w:color w:val="auto"/>
              </w:rPr>
            </w:pPr>
            <w:r>
              <w:rPr>
                <w:rFonts w:ascii="Arial" w:cs="Arial" w:eastAsia="Arial" w:hAnsi="Arial"/>
                <w:sz w:val="12"/>
                <w:szCs w:val="12"/>
                <w:color w:val="auto"/>
              </w:rPr>
              <w:t>Marketing and sales</w:t>
            </w:r>
          </w:p>
        </w:tc>
        <w:tc>
          <w:tcPr>
            <w:tcW w:w="136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w w:val="99"/>
              </w:rPr>
              <w:t>164</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49</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273</w:t>
            </w: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560" w:type="dxa"/>
            <w:vAlign w:val="bottom"/>
            <w:shd w:val="clear" w:color="auto" w:fill="CCEEFF"/>
          </w:tcPr>
          <w:p>
            <w:pPr>
              <w:ind w:left="580"/>
              <w:spacing w:after="0"/>
              <w:rPr>
                <w:sz w:val="20"/>
                <w:szCs w:val="20"/>
                <w:color w:val="auto"/>
              </w:rPr>
            </w:pPr>
            <w:r>
              <w:rPr>
                <w:rFonts w:ascii="Arial" w:cs="Arial" w:eastAsia="Arial" w:hAnsi="Arial"/>
                <w:sz w:val="12"/>
                <w:szCs w:val="12"/>
                <w:color w:val="auto"/>
              </w:rPr>
              <w:t>Management and exchange</w:t>
            </w:r>
          </w:p>
        </w:tc>
        <w:tc>
          <w:tcPr>
            <w:tcW w:w="136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126</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243</w:t>
            </w: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560" w:type="dxa"/>
            <w:vAlign w:val="bottom"/>
          </w:tcPr>
          <w:p>
            <w:pPr>
              <w:ind w:left="580"/>
              <w:spacing w:after="0"/>
              <w:rPr>
                <w:sz w:val="20"/>
                <w:szCs w:val="20"/>
                <w:color w:val="auto"/>
              </w:rPr>
            </w:pPr>
            <w:r>
              <w:rPr>
                <w:rFonts w:ascii="Arial" w:cs="Arial" w:eastAsia="Arial" w:hAnsi="Arial"/>
                <w:sz w:val="12"/>
                <w:szCs w:val="12"/>
                <w:color w:val="auto"/>
              </w:rPr>
              <w:t>Rental</w:t>
            </w:r>
          </w:p>
        </w:tc>
        <w:tc>
          <w:tcPr>
            <w:tcW w:w="136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81</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73</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163</w:t>
            </w: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560" w:type="dxa"/>
            <w:vAlign w:val="bottom"/>
            <w:shd w:val="clear" w:color="auto" w:fill="CCEEFF"/>
          </w:tcPr>
          <w:p>
            <w:pPr>
              <w:ind w:left="580"/>
              <w:spacing w:after="0"/>
              <w:rPr>
                <w:sz w:val="20"/>
                <w:szCs w:val="20"/>
                <w:color w:val="auto"/>
              </w:rPr>
            </w:pPr>
            <w:r>
              <w:rPr>
                <w:rFonts w:ascii="Arial" w:cs="Arial" w:eastAsia="Arial" w:hAnsi="Arial"/>
                <w:sz w:val="12"/>
                <w:szCs w:val="12"/>
                <w:color w:val="auto"/>
              </w:rPr>
              <w:t>Financing</w:t>
            </w:r>
          </w:p>
        </w:tc>
        <w:tc>
          <w:tcPr>
            <w:tcW w:w="136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w:t>
            </w: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560" w:type="dxa"/>
            <w:vAlign w:val="bottom"/>
          </w:tcPr>
          <w:p>
            <w:pPr>
              <w:ind w:left="580"/>
              <w:spacing w:after="0"/>
              <w:rPr>
                <w:sz w:val="20"/>
                <w:szCs w:val="20"/>
                <w:color w:val="auto"/>
              </w:rPr>
            </w:pPr>
            <w:r>
              <w:rPr>
                <w:rFonts w:ascii="Arial" w:cs="Arial" w:eastAsia="Arial" w:hAnsi="Arial"/>
                <w:sz w:val="12"/>
                <w:szCs w:val="12"/>
                <w:color w:val="auto"/>
              </w:rPr>
              <w:t>General and administrative</w:t>
            </w:r>
          </w:p>
        </w:tc>
        <w:tc>
          <w:tcPr>
            <w:tcW w:w="136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66</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19</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112</w:t>
            </w: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560" w:type="dxa"/>
            <w:vAlign w:val="bottom"/>
            <w:shd w:val="clear" w:color="auto" w:fill="CCEEFF"/>
          </w:tcPr>
          <w:p>
            <w:pPr>
              <w:ind w:left="580"/>
              <w:spacing w:after="0"/>
              <w:rPr>
                <w:sz w:val="20"/>
                <w:szCs w:val="20"/>
                <w:color w:val="auto"/>
              </w:rPr>
            </w:pPr>
            <w:r>
              <w:rPr>
                <w:rFonts w:ascii="Arial" w:cs="Arial" w:eastAsia="Arial" w:hAnsi="Arial"/>
                <w:sz w:val="12"/>
                <w:szCs w:val="12"/>
                <w:color w:val="auto"/>
              </w:rPr>
              <w:t>Depreciation and amortization</w:t>
            </w:r>
          </w:p>
        </w:tc>
        <w:tc>
          <w:tcPr>
            <w:tcW w:w="136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w:t>
            </w: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560" w:type="dxa"/>
            <w:vAlign w:val="bottom"/>
          </w:tcPr>
          <w:p>
            <w:pPr>
              <w:ind w:left="580"/>
              <w:spacing w:after="0"/>
              <w:rPr>
                <w:sz w:val="20"/>
                <w:szCs w:val="20"/>
                <w:color w:val="auto"/>
              </w:rPr>
            </w:pPr>
            <w:r>
              <w:rPr>
                <w:rFonts w:ascii="Arial" w:cs="Arial" w:eastAsia="Arial" w:hAnsi="Arial"/>
                <w:sz w:val="12"/>
                <w:szCs w:val="12"/>
                <w:color w:val="auto"/>
              </w:rPr>
              <w:t>Litigation charges</w:t>
            </w:r>
          </w:p>
        </w:tc>
        <w:tc>
          <w:tcPr>
            <w:tcW w:w="136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3</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6</w:t>
            </w: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560" w:type="dxa"/>
            <w:vAlign w:val="bottom"/>
            <w:shd w:val="clear" w:color="auto" w:fill="CCEEFF"/>
          </w:tcPr>
          <w:p>
            <w:pPr>
              <w:ind w:left="580"/>
              <w:spacing w:after="0"/>
              <w:rPr>
                <w:sz w:val="20"/>
                <w:szCs w:val="20"/>
                <w:color w:val="auto"/>
              </w:rPr>
            </w:pPr>
            <w:r>
              <w:rPr>
                <w:rFonts w:ascii="Arial" w:cs="Arial" w:eastAsia="Arial" w:hAnsi="Arial"/>
                <w:sz w:val="12"/>
                <w:szCs w:val="12"/>
                <w:color w:val="auto"/>
              </w:rPr>
              <w:t>Royalty fee</w:t>
            </w:r>
          </w:p>
        </w:tc>
        <w:tc>
          <w:tcPr>
            <w:tcW w:w="136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w:t>
            </w: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560" w:type="dxa"/>
            <w:vAlign w:val="bottom"/>
          </w:tcPr>
          <w:p>
            <w:pPr>
              <w:ind w:left="580"/>
              <w:spacing w:after="0"/>
              <w:rPr>
                <w:sz w:val="20"/>
                <w:szCs w:val="20"/>
                <w:color w:val="auto"/>
              </w:rPr>
            </w:pPr>
            <w:r>
              <w:rPr>
                <w:rFonts w:ascii="Arial" w:cs="Arial" w:eastAsia="Arial" w:hAnsi="Arial"/>
                <w:sz w:val="12"/>
                <w:szCs w:val="12"/>
                <w:color w:val="auto"/>
              </w:rPr>
              <w:t>Impairment</w:t>
            </w:r>
          </w:p>
        </w:tc>
        <w:tc>
          <w:tcPr>
            <w:tcW w:w="136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5</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5</w:t>
            </w: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560" w:type="dxa"/>
            <w:vAlign w:val="bottom"/>
            <w:shd w:val="clear" w:color="auto" w:fill="CCEEFF"/>
          </w:tcPr>
          <w:p>
            <w:pPr>
              <w:ind w:left="580"/>
              <w:spacing w:after="0"/>
              <w:rPr>
                <w:sz w:val="20"/>
                <w:szCs w:val="20"/>
                <w:color w:val="auto"/>
              </w:rPr>
            </w:pPr>
            <w:r>
              <w:rPr>
                <w:rFonts w:ascii="Arial" w:cs="Arial" w:eastAsia="Arial" w:hAnsi="Arial"/>
                <w:sz w:val="12"/>
                <w:szCs w:val="12"/>
                <w:color w:val="auto"/>
              </w:rPr>
              <w:t>Cost reimbursements</w:t>
            </w:r>
          </w:p>
        </w:tc>
        <w:tc>
          <w:tcPr>
            <w:tcW w:w="136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9"/>
              </w:rPr>
              <w:t>274</w:t>
            </w:r>
          </w:p>
        </w:tc>
        <w:tc>
          <w:tcPr>
            <w:tcW w:w="80" w:type="dxa"/>
            <w:vAlign w:val="bottom"/>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194</w:t>
            </w:r>
          </w:p>
        </w:tc>
        <w:tc>
          <w:tcPr>
            <w:tcW w:w="100" w:type="dxa"/>
            <w:vAlign w:val="bottom"/>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529</w:t>
            </w:r>
          </w:p>
        </w:tc>
        <w:tc>
          <w:tcPr>
            <w:tcW w:w="80" w:type="dxa"/>
            <w:vAlign w:val="bottom"/>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560" w:type="dxa"/>
            <w:vAlign w:val="bottom"/>
            <w:tcBorders>
              <w:bottom w:val="single" w:sz="8" w:color="CCEEFF"/>
            </w:tcBorders>
          </w:tcPr>
          <w:p>
            <w:pPr>
              <w:ind w:left="740"/>
              <w:spacing w:after="0" w:line="137" w:lineRule="exact"/>
              <w:rPr>
                <w:sz w:val="20"/>
                <w:szCs w:val="20"/>
                <w:color w:val="auto"/>
              </w:rPr>
            </w:pPr>
            <w:r>
              <w:rPr>
                <w:rFonts w:ascii="Arial" w:cs="Arial" w:eastAsia="Arial" w:hAnsi="Arial"/>
                <w:sz w:val="12"/>
                <w:szCs w:val="12"/>
                <w:b w:val="1"/>
                <w:bCs w:val="1"/>
                <w:color w:val="auto"/>
              </w:rPr>
              <w:t>TOTAL EXPENSES</w:t>
            </w:r>
          </w:p>
        </w:tc>
        <w:tc>
          <w:tcPr>
            <w:tcW w:w="13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870</w:t>
            </w:r>
          </w:p>
        </w:tc>
        <w:tc>
          <w:tcPr>
            <w:tcW w:w="8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521</w:t>
            </w:r>
          </w:p>
        </w:tc>
        <w:tc>
          <w:tcPr>
            <w:tcW w:w="10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1,609</w:t>
            </w:r>
          </w:p>
        </w:tc>
        <w:tc>
          <w:tcPr>
            <w:tcW w:w="80" w:type="dxa"/>
            <w:vAlign w:val="bottom"/>
            <w:tcBorders>
              <w:bottom w:val="single" w:sz="8" w:color="CCEEFF"/>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60" w:type="dxa"/>
            <w:vAlign w:val="bottom"/>
            <w:shd w:val="clear" w:color="auto" w:fill="CCEEFF"/>
          </w:tcPr>
          <w:p>
            <w:pPr>
              <w:ind w:left="580"/>
              <w:spacing w:after="0" w:line="133" w:lineRule="exact"/>
              <w:rPr>
                <w:sz w:val="20"/>
                <w:szCs w:val="20"/>
                <w:color w:val="auto"/>
              </w:rPr>
            </w:pPr>
            <w:r>
              <w:rPr>
                <w:rFonts w:ascii="Arial" w:cs="Arial" w:eastAsia="Arial" w:hAnsi="Arial"/>
                <w:sz w:val="12"/>
                <w:szCs w:val="12"/>
                <w:color w:val="auto"/>
              </w:rPr>
              <w:t>(Losses) gains and other (expense) income, net</w:t>
            </w:r>
          </w:p>
        </w:tc>
        <w:tc>
          <w:tcPr>
            <w:tcW w:w="136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560" w:type="dxa"/>
            <w:vAlign w:val="bottom"/>
          </w:tcPr>
          <w:p>
            <w:pPr>
              <w:ind w:left="580"/>
              <w:spacing w:after="0"/>
              <w:rPr>
                <w:sz w:val="20"/>
                <w:szCs w:val="20"/>
                <w:color w:val="auto"/>
              </w:rPr>
            </w:pPr>
            <w:r>
              <w:rPr>
                <w:rFonts w:ascii="Arial" w:cs="Arial" w:eastAsia="Arial" w:hAnsi="Arial"/>
                <w:sz w:val="12"/>
                <w:szCs w:val="12"/>
                <w:color w:val="auto"/>
              </w:rPr>
              <w:t>Interest expense</w:t>
            </w:r>
          </w:p>
        </w:tc>
        <w:tc>
          <w:tcPr>
            <w:tcW w:w="136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(44)</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(42)</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(87)</w:t>
            </w: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560" w:type="dxa"/>
            <w:vAlign w:val="bottom"/>
            <w:shd w:val="clear" w:color="auto" w:fill="CCEEFF"/>
          </w:tcPr>
          <w:p>
            <w:pPr>
              <w:ind w:left="580"/>
              <w:spacing w:after="0"/>
              <w:rPr>
                <w:sz w:val="20"/>
                <w:szCs w:val="20"/>
                <w:color w:val="auto"/>
              </w:rPr>
            </w:pPr>
            <w:r>
              <w:rPr>
                <w:rFonts w:ascii="Arial" w:cs="Arial" w:eastAsia="Arial" w:hAnsi="Arial"/>
                <w:sz w:val="12"/>
                <w:szCs w:val="12"/>
                <w:color w:val="auto"/>
              </w:rPr>
              <w:t>Transaction and integration costs</w:t>
            </w:r>
          </w:p>
        </w:tc>
        <w:tc>
          <w:tcPr>
            <w:tcW w:w="136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w:t>
            </w: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560" w:type="dxa"/>
            <w:vAlign w:val="bottom"/>
          </w:tcPr>
          <w:p>
            <w:pPr>
              <w:ind w:left="580"/>
              <w:spacing w:after="0"/>
              <w:rPr>
                <w:sz w:val="20"/>
                <w:szCs w:val="20"/>
                <w:color w:val="auto"/>
              </w:rPr>
            </w:pPr>
            <w:r>
              <w:rPr>
                <w:rFonts w:ascii="Arial" w:cs="Arial" w:eastAsia="Arial" w:hAnsi="Arial"/>
                <w:sz w:val="12"/>
                <w:szCs w:val="12"/>
                <w:color w:val="auto"/>
              </w:rPr>
              <w:t>Other</w:t>
            </w:r>
          </w:p>
        </w:tc>
        <w:tc>
          <w:tcPr>
            <w:tcW w:w="136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4560" w:type="dxa"/>
            <w:vAlign w:val="bottom"/>
            <w:tcBorders>
              <w:top w:val="single" w:sz="8" w:color="CCEEFF"/>
            </w:tcBorders>
            <w:shd w:val="clear" w:color="auto" w:fill="CCEEFF"/>
          </w:tcPr>
          <w:p>
            <w:pPr>
              <w:ind w:left="440"/>
              <w:spacing w:after="0" w:line="97" w:lineRule="exact"/>
              <w:rPr>
                <w:sz w:val="20"/>
                <w:szCs w:val="20"/>
                <w:color w:val="auto"/>
              </w:rPr>
            </w:pPr>
            <w:r>
              <w:rPr>
                <w:rFonts w:ascii="Arial" w:cs="Arial" w:eastAsia="Arial" w:hAnsi="Arial"/>
                <w:sz w:val="11"/>
                <w:szCs w:val="11"/>
                <w:b w:val="1"/>
                <w:bCs w:val="1"/>
                <w:color w:val="auto"/>
              </w:rPr>
              <w:t>INCOME (LOSS) BEFORE INCOME TAXES AND NONCONTROLLING</w:t>
            </w:r>
          </w:p>
        </w:tc>
        <w:tc>
          <w:tcPr>
            <w:tcW w:w="136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35</w:t>
            </w:r>
          </w:p>
        </w:tc>
        <w:tc>
          <w:tcPr>
            <w:tcW w:w="8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(81)</w:t>
            </w:r>
          </w:p>
        </w:tc>
        <w:tc>
          <w:tcPr>
            <w:tcW w:w="10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tcBorders>
              <w:top w:val="single" w:sz="8" w:color="CCEEFF"/>
            </w:tcBorders>
            <w:shd w:val="clear" w:color="auto" w:fill="CCEEFF"/>
          </w:tcPr>
          <w:p>
            <w:pPr>
              <w:spacing w:after="0"/>
              <w:rPr>
                <w:sz w:val="8"/>
                <w:szCs w:val="8"/>
                <w:color w:val="auto"/>
              </w:rPr>
            </w:pPr>
          </w:p>
        </w:tc>
        <w:tc>
          <w:tcPr>
            <w:tcW w:w="126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45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INTERESTS</w:t>
            </w:r>
          </w:p>
        </w:tc>
        <w:tc>
          <w:tcPr>
            <w:tcW w:w="1360" w:type="dxa"/>
            <w:vAlign w:val="bottom"/>
            <w:shd w:val="clear" w:color="auto" w:fill="CCEEFF"/>
          </w:tcPr>
          <w:p>
            <w:pPr>
              <w:spacing w:after="0"/>
              <w:rPr>
                <w:sz w:val="13"/>
                <w:szCs w:val="13"/>
                <w:color w:val="auto"/>
              </w:rPr>
            </w:pPr>
          </w:p>
        </w:tc>
        <w:tc>
          <w:tcPr>
            <w:tcW w:w="2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9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560" w:type="dxa"/>
            <w:vAlign w:val="bottom"/>
            <w:tcBorders>
              <w:bottom w:val="single" w:sz="8" w:color="CCEEFF"/>
            </w:tcBorders>
          </w:tcPr>
          <w:p>
            <w:pPr>
              <w:ind w:left="440"/>
              <w:spacing w:after="0"/>
              <w:rPr>
                <w:sz w:val="20"/>
                <w:szCs w:val="20"/>
                <w:color w:val="auto"/>
              </w:rPr>
            </w:pPr>
            <w:r>
              <w:rPr>
                <w:rFonts w:ascii="Arial" w:cs="Arial" w:eastAsia="Arial" w:hAnsi="Arial"/>
                <w:sz w:val="12"/>
                <w:szCs w:val="12"/>
                <w:color w:val="auto"/>
              </w:rPr>
              <w:t>(Provision for) benefit from income taxes</w:t>
            </w:r>
          </w:p>
        </w:tc>
        <w:tc>
          <w:tcPr>
            <w:tcW w:w="13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w:t>
            </w:r>
          </w:p>
        </w:tc>
        <w:tc>
          <w:tcPr>
            <w:tcW w:w="8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w:t>
            </w:r>
          </w:p>
        </w:tc>
        <w:tc>
          <w:tcPr>
            <w:tcW w:w="10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w:t>
            </w:r>
          </w:p>
        </w:tc>
        <w:tc>
          <w:tcPr>
            <w:tcW w:w="80" w:type="dxa"/>
            <w:vAlign w:val="bottom"/>
            <w:tcBorders>
              <w:bottom w:val="single" w:sz="8" w:color="CCEEFF"/>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560" w:type="dxa"/>
            <w:vAlign w:val="bottom"/>
            <w:shd w:val="clear" w:color="auto" w:fill="CCEEFF"/>
          </w:tcPr>
          <w:p>
            <w:pPr>
              <w:ind w:left="440"/>
              <w:spacing w:after="0" w:line="137" w:lineRule="exact"/>
              <w:rPr>
                <w:sz w:val="20"/>
                <w:szCs w:val="20"/>
                <w:color w:val="auto"/>
              </w:rPr>
            </w:pPr>
            <w:r>
              <w:rPr>
                <w:rFonts w:ascii="Arial" w:cs="Arial" w:eastAsia="Arial" w:hAnsi="Arial"/>
                <w:sz w:val="12"/>
                <w:szCs w:val="12"/>
                <w:b w:val="1"/>
                <w:bCs w:val="1"/>
                <w:color w:val="auto"/>
              </w:rPr>
              <w:t>NET INCOME (LOSS)</w:t>
            </w:r>
          </w:p>
        </w:tc>
        <w:tc>
          <w:tcPr>
            <w:tcW w:w="136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w:t>
            </w:r>
          </w:p>
        </w:tc>
        <w:tc>
          <w:tcPr>
            <w:tcW w:w="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560" w:type="dxa"/>
            <w:vAlign w:val="bottom"/>
            <w:tcBorders>
              <w:bottom w:val="single" w:sz="8" w:color="CCEEFF"/>
            </w:tcBorders>
          </w:tcPr>
          <w:p>
            <w:pPr>
              <w:ind w:left="440"/>
              <w:spacing w:after="0"/>
              <w:rPr>
                <w:sz w:val="20"/>
                <w:szCs w:val="20"/>
                <w:color w:val="auto"/>
              </w:rPr>
            </w:pPr>
            <w:r>
              <w:rPr>
                <w:rFonts w:ascii="Arial" w:cs="Arial" w:eastAsia="Arial" w:hAnsi="Arial"/>
                <w:sz w:val="12"/>
                <w:szCs w:val="12"/>
                <w:color w:val="auto"/>
              </w:rPr>
              <w:t>Net income attributable to noncontrolling interests</w:t>
            </w:r>
          </w:p>
        </w:tc>
        <w:tc>
          <w:tcPr>
            <w:tcW w:w="13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w:t>
            </w:r>
          </w:p>
        </w:tc>
        <w:tc>
          <w:tcPr>
            <w:tcW w:w="8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w:t>
            </w:r>
          </w:p>
        </w:tc>
        <w:tc>
          <w:tcPr>
            <w:tcW w:w="10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w:t>
            </w:r>
          </w:p>
        </w:tc>
        <w:tc>
          <w:tcPr>
            <w:tcW w:w="80" w:type="dxa"/>
            <w:vAlign w:val="bottom"/>
            <w:tcBorders>
              <w:bottom w:val="single" w:sz="8" w:color="CCEEFF"/>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2"/>
                <w:szCs w:val="12"/>
                <w:b w:val="1"/>
                <w:bCs w:val="1"/>
                <w:color w:val="auto"/>
              </w:rPr>
              <w:t>NET INCOME (LOSS) ATTRIBUTABLE TO COMMON SHAREHOLDERS</w:t>
            </w:r>
          </w:p>
        </w:tc>
        <w:tc>
          <w:tcPr>
            <w:tcW w:w="1360" w:type="dxa"/>
            <w:vAlign w:val="bottom"/>
            <w:tcBorders>
              <w:bottom w:val="single" w:sz="8" w:color="auto"/>
            </w:tcBorders>
            <w:shd w:val="clear" w:color="auto" w:fill="CCEEFF"/>
          </w:tcPr>
          <w:p>
            <w:pPr>
              <w:jc w:val="right"/>
              <w:ind w:right="781"/>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8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(70)</w:t>
            </w:r>
          </w:p>
        </w:tc>
        <w:tc>
          <w:tcPr>
            <w:tcW w:w="1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w:t>
            </w:r>
          </w:p>
        </w:tc>
        <w:tc>
          <w:tcPr>
            <w:tcW w:w="8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ind w:right="68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45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4560" w:type="dxa"/>
            <w:vAlign w:val="bottom"/>
            <w:shd w:val="clear" w:color="auto" w:fill="CCEEFF"/>
          </w:tcPr>
          <w:p>
            <w:pPr>
              <w:ind w:left="440"/>
              <w:spacing w:after="0" w:line="117" w:lineRule="exact"/>
              <w:rPr>
                <w:sz w:val="20"/>
                <w:szCs w:val="20"/>
                <w:color w:val="auto"/>
              </w:rPr>
            </w:pPr>
            <w:r>
              <w:rPr>
                <w:rFonts w:ascii="Arial" w:cs="Arial" w:eastAsia="Arial" w:hAnsi="Arial"/>
                <w:sz w:val="12"/>
                <w:szCs w:val="12"/>
                <w:b w:val="1"/>
                <w:bCs w:val="1"/>
                <w:color w:val="auto"/>
              </w:rPr>
              <w:t>EARNINGS (LOSS) PER SHARE ATTRIBUTABLE TO COMMON</w:t>
            </w:r>
          </w:p>
        </w:tc>
        <w:tc>
          <w:tcPr>
            <w:tcW w:w="13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5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SHAREHOLDERS</w:t>
            </w:r>
          </w:p>
        </w:tc>
        <w:tc>
          <w:tcPr>
            <w:tcW w:w="13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560" w:type="dxa"/>
            <w:vAlign w:val="bottom"/>
          </w:tcPr>
          <w:p>
            <w:pPr>
              <w:ind w:left="580"/>
              <w:spacing w:after="0"/>
              <w:rPr>
                <w:sz w:val="20"/>
                <w:szCs w:val="20"/>
                <w:color w:val="auto"/>
              </w:rPr>
            </w:pPr>
            <w:r>
              <w:rPr>
                <w:rFonts w:ascii="Arial" w:cs="Arial" w:eastAsia="Arial" w:hAnsi="Arial"/>
                <w:sz w:val="12"/>
                <w:szCs w:val="12"/>
                <w:color w:val="auto"/>
              </w:rPr>
              <w:t>Basic</w:t>
            </w:r>
          </w:p>
        </w:tc>
        <w:tc>
          <w:tcPr>
            <w:tcW w:w="1360" w:type="dxa"/>
            <w:vAlign w:val="bottom"/>
          </w:tcPr>
          <w:p>
            <w:pPr>
              <w:jc w:val="right"/>
              <w:ind w:right="781"/>
              <w:spacing w:after="0"/>
              <w:rPr>
                <w:sz w:val="20"/>
                <w:szCs w:val="20"/>
                <w:color w:val="auto"/>
              </w:rPr>
            </w:pPr>
            <w:r>
              <w:rPr>
                <w:rFonts w:ascii="Arial" w:cs="Arial" w:eastAsia="Arial" w:hAnsi="Arial"/>
                <w:sz w:val="12"/>
                <w:szCs w:val="12"/>
                <w:color w:val="auto"/>
              </w:rPr>
              <w:t>$</w:t>
            </w:r>
          </w:p>
        </w:tc>
        <w:tc>
          <w:tcPr>
            <w:tcW w:w="260" w:type="dxa"/>
            <w:vAlign w:val="bottom"/>
          </w:tcPr>
          <w:p>
            <w:pPr>
              <w:jc w:val="right"/>
              <w:spacing w:after="0"/>
              <w:rPr>
                <w:sz w:val="20"/>
                <w:szCs w:val="20"/>
                <w:color w:val="auto"/>
              </w:rPr>
            </w:pPr>
            <w:r>
              <w:rPr>
                <w:rFonts w:ascii="Arial" w:cs="Arial" w:eastAsia="Arial" w:hAnsi="Arial"/>
                <w:sz w:val="12"/>
                <w:szCs w:val="12"/>
                <w:color w:val="auto"/>
                <w:w w:val="85"/>
              </w:rPr>
              <w:t>0.15</w:t>
            </w:r>
          </w:p>
        </w:tc>
        <w:tc>
          <w:tcPr>
            <w:tcW w:w="80" w:type="dxa"/>
            <w:vAlign w:val="bottom"/>
          </w:tcPr>
          <w:p>
            <w:pPr>
              <w:spacing w:after="0"/>
              <w:rPr>
                <w:sz w:val="13"/>
                <w:szCs w:val="13"/>
                <w:color w:val="auto"/>
              </w:rPr>
            </w:pPr>
          </w:p>
        </w:tc>
        <w:tc>
          <w:tcPr>
            <w:tcW w:w="70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(1.68)</w:t>
            </w:r>
          </w:p>
        </w:tc>
        <w:tc>
          <w:tcPr>
            <w:tcW w:w="100" w:type="dxa"/>
            <w:vAlign w:val="bottom"/>
          </w:tcPr>
          <w:p>
            <w:pPr>
              <w:spacing w:after="0"/>
              <w:rPr>
                <w:sz w:val="13"/>
                <w:szCs w:val="13"/>
                <w:color w:val="auto"/>
              </w:rPr>
            </w:pPr>
          </w:p>
        </w:tc>
        <w:tc>
          <w:tcPr>
            <w:tcW w:w="60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(0.52)</w:t>
            </w:r>
          </w:p>
        </w:tc>
        <w:tc>
          <w:tcPr>
            <w:tcW w:w="80" w:type="dxa"/>
            <w:vAlign w:val="bottom"/>
          </w:tcPr>
          <w:p>
            <w:pPr>
              <w:spacing w:after="0"/>
              <w:rPr>
                <w:sz w:val="13"/>
                <w:szCs w:val="13"/>
                <w:color w:val="auto"/>
              </w:rPr>
            </w:pPr>
          </w:p>
        </w:tc>
        <w:tc>
          <w:tcPr>
            <w:tcW w:w="1260" w:type="dxa"/>
            <w:vAlign w:val="bottom"/>
          </w:tcPr>
          <w:p>
            <w:pPr>
              <w:jc w:val="right"/>
              <w:ind w:right="68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4560" w:type="dxa"/>
            <w:vAlign w:val="bottom"/>
            <w:shd w:val="clear" w:color="auto" w:fill="CCEEFF"/>
          </w:tcPr>
          <w:p>
            <w:pPr>
              <w:ind w:left="580"/>
              <w:spacing w:after="0"/>
              <w:rPr>
                <w:sz w:val="20"/>
                <w:szCs w:val="20"/>
                <w:color w:val="auto"/>
              </w:rPr>
            </w:pPr>
            <w:r>
              <w:rPr>
                <w:rFonts w:ascii="Arial" w:cs="Arial" w:eastAsia="Arial" w:hAnsi="Arial"/>
                <w:sz w:val="12"/>
                <w:szCs w:val="12"/>
                <w:color w:val="auto"/>
              </w:rPr>
              <w:t>Diluted</w:t>
            </w:r>
          </w:p>
        </w:tc>
        <w:tc>
          <w:tcPr>
            <w:tcW w:w="1360" w:type="dxa"/>
            <w:vAlign w:val="bottom"/>
            <w:shd w:val="clear" w:color="auto" w:fill="CCEEFF"/>
          </w:tcPr>
          <w:p>
            <w:pPr>
              <w:jc w:val="right"/>
              <w:ind w:right="781"/>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5"/>
              </w:rPr>
              <w:t>0.15</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(1.68)</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(0.52)</w:t>
            </w: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68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0"/>
        </w:trPr>
        <w:tc>
          <w:tcPr>
            <w:tcW w:w="45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4560" w:type="dxa"/>
            <w:vAlign w:val="bottom"/>
            <w:shd w:val="clear" w:color="auto" w:fill="CCEEFF"/>
          </w:tcPr>
          <w:p>
            <w:pPr>
              <w:ind w:left="440"/>
              <w:spacing w:after="0"/>
              <w:rPr>
                <w:sz w:val="20"/>
                <w:szCs w:val="20"/>
                <w:color w:val="auto"/>
              </w:rPr>
            </w:pPr>
            <w:r>
              <w:rPr>
                <w:rFonts w:ascii="Arial" w:cs="Arial" w:eastAsia="Arial" w:hAnsi="Arial"/>
                <w:sz w:val="12"/>
                <w:szCs w:val="12"/>
                <w:b w:val="1"/>
                <w:bCs w:val="1"/>
                <w:color w:val="auto"/>
              </w:rPr>
              <w:t>CASH DIVIDENDS DECLARED PER SHARE</w:t>
            </w:r>
          </w:p>
        </w:tc>
        <w:tc>
          <w:tcPr>
            <w:tcW w:w="1360" w:type="dxa"/>
            <w:vAlign w:val="bottom"/>
            <w:shd w:val="clear" w:color="auto" w:fill="CCEEFF"/>
          </w:tcPr>
          <w:p>
            <w:pPr>
              <w:jc w:val="right"/>
              <w:ind w:right="781"/>
              <w:spacing w:after="0"/>
              <w:rPr>
                <w:sz w:val="20"/>
                <w:szCs w:val="20"/>
                <w:color w:val="auto"/>
              </w:rPr>
            </w:pPr>
            <w:r>
              <w:rPr>
                <w:rFonts w:ascii="Arial" w:cs="Arial" w:eastAsia="Arial" w:hAnsi="Arial"/>
                <w:sz w:val="12"/>
                <w:szCs w:val="12"/>
                <w:color w:val="auto"/>
              </w:rPr>
              <w:t>$</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260" w:type="dxa"/>
            <w:vAlign w:val="bottom"/>
            <w:shd w:val="clear" w:color="auto" w:fill="CCEEFF"/>
          </w:tcPr>
          <w:p>
            <w:pPr>
              <w:jc w:val="right"/>
              <w:ind w:right="68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bl>
    <w:p>
      <w:pPr>
        <w:spacing w:after="0" w:line="95" w:lineRule="exact"/>
        <w:rPr>
          <w:sz w:val="20"/>
          <w:szCs w:val="20"/>
          <w:color w:val="auto"/>
        </w:rPr>
      </w:pPr>
    </w:p>
    <w:p>
      <w:pPr>
        <w:jc w:val="center"/>
        <w:ind w:left="420"/>
        <w:spacing w:after="0"/>
        <w:rPr>
          <w:sz w:val="20"/>
          <w:szCs w:val="20"/>
          <w:color w:val="auto"/>
        </w:rPr>
      </w:pPr>
      <w:r>
        <w:rPr>
          <w:rFonts w:ascii="Arial" w:cs="Arial" w:eastAsia="Arial" w:hAnsi="Arial"/>
          <w:sz w:val="12"/>
          <w:szCs w:val="12"/>
          <w:b w:val="1"/>
          <w:bCs w:val="1"/>
          <w:color w:val="auto"/>
        </w:rPr>
        <w:t>See Notes to Interim Consolidated Financial Statements</w:t>
      </w:r>
    </w:p>
    <w:p>
      <w:pPr>
        <w:spacing w:after="0" w:line="145" w:lineRule="exact"/>
        <w:rPr>
          <w:sz w:val="20"/>
          <w:szCs w:val="20"/>
          <w:color w:val="auto"/>
        </w:rPr>
      </w:pPr>
    </w:p>
    <w:p>
      <w:pPr>
        <w:jc w:val="center"/>
        <w:ind w:left="420"/>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191135</wp:posOffset>
            </wp:positionV>
            <wp:extent cx="720344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60"/>
          </w:cols>
          <w:pgMar w:left="300" w:top="203" w:right="239" w:bottom="1440" w:gutter="0" w:footer="0" w:header="0"/>
        </w:sectPr>
      </w:pPr>
    </w:p>
    <w:bookmarkStart w:id="3" w:name="page4"/>
    <w:bookmarkEnd w:id="3"/>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5"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color w:val="auto"/>
        </w:rPr>
        <w:t>MARRIOTT VACATIONS WORLDWIDE CORPORATION</w:t>
      </w:r>
    </w:p>
    <w:p>
      <w:pPr>
        <w:spacing w:after="0" w:line="19"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color w:val="auto"/>
        </w:rPr>
        <w:t>INTERIM CONSOLIDATED STATEMENTS OF COMPREHENSIVE INCOME</w:t>
      </w:r>
    </w:p>
    <w:p>
      <w:pPr>
        <w:spacing w:after="0" w:line="6" w:lineRule="exact"/>
        <w:rPr>
          <w:sz w:val="20"/>
          <w:szCs w:val="20"/>
          <w:color w:val="auto"/>
        </w:rPr>
      </w:pPr>
    </w:p>
    <w:p>
      <w:pPr>
        <w:ind w:left="5340"/>
        <w:spacing w:after="0"/>
        <w:rPr>
          <w:sz w:val="20"/>
          <w:szCs w:val="20"/>
          <w:color w:val="auto"/>
        </w:rPr>
      </w:pPr>
      <w:r>
        <w:rPr>
          <w:rFonts w:ascii="Arial" w:cs="Arial" w:eastAsia="Arial" w:hAnsi="Arial"/>
          <w:sz w:val="12"/>
          <w:szCs w:val="12"/>
          <w:color w:val="auto"/>
        </w:rPr>
        <w:t>(In millions)</w:t>
      </w:r>
    </w:p>
    <w:p>
      <w:pPr>
        <w:spacing w:after="0" w:line="6" w:lineRule="exact"/>
        <w:rPr>
          <w:sz w:val="20"/>
          <w:szCs w:val="20"/>
          <w:color w:val="auto"/>
        </w:rPr>
      </w:pPr>
    </w:p>
    <w:p>
      <w:pPr>
        <w:ind w:left="5360"/>
        <w:spacing w:after="0"/>
        <w:rPr>
          <w:sz w:val="20"/>
          <w:szCs w:val="20"/>
          <w:color w:val="auto"/>
        </w:rPr>
      </w:pPr>
      <w:r>
        <w:rPr>
          <w:rFonts w:ascii="Arial" w:cs="Arial" w:eastAsia="Arial" w:hAnsi="Arial"/>
          <w:sz w:val="12"/>
          <w:szCs w:val="12"/>
          <w:color w:val="auto"/>
        </w:rPr>
        <w:t>(Unaudited)</w:t>
      </w:r>
    </w:p>
    <w:p>
      <w:pPr>
        <w:spacing w:after="0" w:line="231" w:lineRule="exact"/>
        <w:rPr>
          <w:sz w:val="20"/>
          <w:szCs w:val="20"/>
          <w:color w:val="auto"/>
        </w:rPr>
      </w:pPr>
    </w:p>
    <w:tbl>
      <w:tblPr>
        <w:tblLayout w:type="fixed"/>
        <w:tblInd w:w="420" w:type="dxa"/>
        <w:tblCellMar>
          <w:top w:w="0" w:type="dxa"/>
          <w:left w:w="0" w:type="dxa"/>
          <w:bottom w:w="0" w:type="dxa"/>
          <w:right w:w="0" w:type="dxa"/>
        </w:tblCellMar>
      </w:tblPr>
      <w:tr>
        <w:trPr>
          <w:trHeight w:val="142"/>
        </w:trPr>
        <w:tc>
          <w:tcPr>
            <w:tcW w:w="4640" w:type="dxa"/>
            <w:vAlign w:val="bottom"/>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0"/>
              </w:rPr>
              <w:t>Three Months Ended</w:t>
            </w:r>
          </w:p>
        </w:tc>
        <w:tc>
          <w:tcPr>
            <w:tcW w:w="9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3"/>
          </w:tcPr>
          <w:p>
            <w:pPr>
              <w:jc w:val="right"/>
              <w:ind w:right="582"/>
              <w:spacing w:after="0"/>
              <w:rPr>
                <w:sz w:val="20"/>
                <w:szCs w:val="20"/>
                <w:color w:val="auto"/>
              </w:rPr>
            </w:pPr>
            <w:r>
              <w:rPr>
                <w:rFonts w:ascii="Arial" w:cs="Arial" w:eastAsia="Arial" w:hAnsi="Arial"/>
                <w:sz w:val="11"/>
                <w:szCs w:val="11"/>
                <w:b w:val="1"/>
                <w:bCs w:val="1"/>
                <w:color w:val="auto"/>
                <w:w w:val="96"/>
              </w:rPr>
              <w:t>Six Months Ended</w:t>
            </w:r>
          </w:p>
        </w:tc>
        <w:tc>
          <w:tcPr>
            <w:tcW w:w="0" w:type="dxa"/>
            <w:vAlign w:val="bottom"/>
          </w:tcPr>
          <w:p>
            <w:pPr>
              <w:spacing w:after="0"/>
              <w:rPr>
                <w:sz w:val="1"/>
                <w:szCs w:val="1"/>
                <w:color w:val="auto"/>
              </w:rPr>
            </w:pPr>
          </w:p>
        </w:tc>
      </w:tr>
      <w:tr>
        <w:trPr>
          <w:trHeight w:val="133"/>
        </w:trPr>
        <w:tc>
          <w:tcPr>
            <w:tcW w:w="4640" w:type="dxa"/>
            <w:vAlign w:val="bottom"/>
            <w:tcBorders>
              <w:bottom w:val="single" w:sz="8" w:color="CCEEFF"/>
            </w:tcBorders>
          </w:tcPr>
          <w:p>
            <w:pPr>
              <w:spacing w:after="0"/>
              <w:rPr>
                <w:sz w:val="11"/>
                <w:szCs w:val="1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June 30, 2021</w:t>
            </w:r>
          </w:p>
        </w:tc>
        <w:tc>
          <w:tcPr>
            <w:tcW w:w="2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221"/>
              <w:spacing w:after="0"/>
              <w:rPr>
                <w:sz w:val="20"/>
                <w:szCs w:val="20"/>
                <w:color w:val="auto"/>
              </w:rPr>
            </w:pPr>
            <w:r>
              <w:rPr>
                <w:rFonts w:ascii="Arial" w:cs="Arial" w:eastAsia="Arial" w:hAnsi="Arial"/>
                <w:sz w:val="11"/>
                <w:szCs w:val="11"/>
                <w:b w:val="1"/>
                <w:bCs w:val="1"/>
                <w:color w:val="auto"/>
                <w:w w:val="86"/>
              </w:rPr>
              <w:t>June 30, 2020</w:t>
            </w:r>
          </w:p>
        </w:tc>
        <w:tc>
          <w:tcPr>
            <w:tcW w:w="80" w:type="dxa"/>
            <w:vAlign w:val="bottom"/>
            <w:tcBorders>
              <w:bottom w:val="single" w:sz="8" w:color="CCEEFF"/>
            </w:tcBorders>
          </w:tcPr>
          <w:p>
            <w:pPr>
              <w:spacing w:after="0"/>
              <w:rPr>
                <w:sz w:val="11"/>
                <w:szCs w:val="1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June 30, 2021</w:t>
            </w:r>
          </w:p>
        </w:tc>
        <w:tc>
          <w:tcPr>
            <w:tcW w:w="2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June 30, 20</w:t>
            </w:r>
          </w:p>
        </w:tc>
        <w:tc>
          <w:tcPr>
            <w:tcW w:w="0" w:type="dxa"/>
            <w:vAlign w:val="bottom"/>
          </w:tcPr>
          <w:p>
            <w:pPr>
              <w:spacing w:after="0"/>
              <w:rPr>
                <w:sz w:val="1"/>
                <w:szCs w:val="1"/>
                <w:color w:val="auto"/>
              </w:rPr>
            </w:pPr>
          </w:p>
        </w:tc>
      </w:tr>
      <w:tr>
        <w:trPr>
          <w:trHeight w:val="144"/>
        </w:trPr>
        <w:tc>
          <w:tcPr>
            <w:tcW w:w="4640" w:type="dxa"/>
            <w:vAlign w:val="bottom"/>
            <w:shd w:val="clear" w:color="auto" w:fill="CCEEFF"/>
          </w:tcPr>
          <w:p>
            <w:pPr>
              <w:ind w:left="440"/>
              <w:spacing w:after="0"/>
              <w:rPr>
                <w:sz w:val="20"/>
                <w:szCs w:val="20"/>
                <w:color w:val="auto"/>
              </w:rPr>
            </w:pPr>
            <w:r>
              <w:rPr>
                <w:rFonts w:ascii="Arial" w:cs="Arial" w:eastAsia="Arial" w:hAnsi="Arial"/>
                <w:sz w:val="12"/>
                <w:szCs w:val="12"/>
                <w:b w:val="1"/>
                <w:bCs w:val="1"/>
                <w:color w:val="auto"/>
              </w:rPr>
              <w:t>NET INCOME (LOSS)</w:t>
            </w:r>
          </w:p>
        </w:tc>
        <w:tc>
          <w:tcPr>
            <w:tcW w:w="1340" w:type="dxa"/>
            <w:vAlign w:val="bottom"/>
            <w:shd w:val="clear" w:color="auto" w:fill="CCEEFF"/>
          </w:tcPr>
          <w:p>
            <w:pPr>
              <w:jc w:val="right"/>
              <w:ind w:right="782"/>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w:t>
            </w:r>
          </w:p>
        </w:tc>
        <w:tc>
          <w:tcPr>
            <w:tcW w:w="80" w:type="dxa"/>
            <w:vAlign w:val="bottom"/>
            <w:shd w:val="clear" w:color="auto" w:fill="CCEEFF"/>
          </w:tcPr>
          <w:p>
            <w:pPr>
              <w:spacing w:after="0"/>
              <w:rPr>
                <w:sz w:val="12"/>
                <w:szCs w:val="12"/>
                <w:color w:val="auto"/>
              </w:rPr>
            </w:pPr>
          </w:p>
        </w:tc>
        <w:tc>
          <w:tcPr>
            <w:tcW w:w="1360" w:type="dxa"/>
            <w:vAlign w:val="bottom"/>
            <w:shd w:val="clear" w:color="auto" w:fill="CCEEFF"/>
          </w:tcPr>
          <w:p>
            <w:pPr>
              <w:jc w:val="right"/>
              <w:ind w:right="802"/>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(17)</w:t>
            </w: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68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0"/>
        </w:trPr>
        <w:tc>
          <w:tcPr>
            <w:tcW w:w="46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4640" w:type="dxa"/>
            <w:vAlign w:val="bottom"/>
            <w:shd w:val="clear" w:color="auto" w:fill="CCEEFF"/>
          </w:tcPr>
          <w:p>
            <w:pPr>
              <w:ind w:left="580"/>
              <w:spacing w:after="0"/>
              <w:rPr>
                <w:sz w:val="20"/>
                <w:szCs w:val="20"/>
                <w:color w:val="auto"/>
              </w:rPr>
            </w:pPr>
            <w:r>
              <w:rPr>
                <w:rFonts w:ascii="Arial" w:cs="Arial" w:eastAsia="Arial" w:hAnsi="Arial"/>
                <w:sz w:val="12"/>
                <w:szCs w:val="12"/>
                <w:color w:val="auto"/>
              </w:rPr>
              <w:t>Foreign currency translation adjustments</w:t>
            </w:r>
          </w:p>
        </w:tc>
        <w:tc>
          <w:tcPr>
            <w:tcW w:w="134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w:t>
            </w:r>
          </w:p>
        </w:tc>
        <w:tc>
          <w:tcPr>
            <w:tcW w:w="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640" w:type="dxa"/>
            <w:vAlign w:val="bottom"/>
            <w:tcBorders>
              <w:bottom w:val="single" w:sz="8" w:color="CCEEFF"/>
            </w:tcBorders>
          </w:tcPr>
          <w:p>
            <w:pPr>
              <w:ind w:left="580"/>
              <w:spacing w:after="0"/>
              <w:rPr>
                <w:sz w:val="20"/>
                <w:szCs w:val="20"/>
                <w:color w:val="auto"/>
              </w:rPr>
            </w:pPr>
            <w:r>
              <w:rPr>
                <w:rFonts w:ascii="Arial" w:cs="Arial" w:eastAsia="Arial" w:hAnsi="Arial"/>
                <w:sz w:val="12"/>
                <w:szCs w:val="12"/>
                <w:color w:val="auto"/>
              </w:rPr>
              <w:t>Derivative instrument adjustment, net of tax</w:t>
            </w:r>
          </w:p>
        </w:tc>
        <w:tc>
          <w:tcPr>
            <w:tcW w:w="13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w:t>
            </w:r>
          </w:p>
        </w:tc>
        <w:tc>
          <w:tcPr>
            <w:tcW w:w="10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w:t>
            </w:r>
          </w:p>
        </w:tc>
        <w:tc>
          <w:tcPr>
            <w:tcW w:w="80" w:type="dxa"/>
            <w:vAlign w:val="bottom"/>
            <w:tcBorders>
              <w:bottom w:val="single" w:sz="8" w:color="CCEEFF"/>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w:t>
            </w:r>
          </w:p>
        </w:tc>
        <w:tc>
          <w:tcPr>
            <w:tcW w:w="100" w:type="dxa"/>
            <w:vAlign w:val="bottom"/>
            <w:tcBorders>
              <w:bottom w:val="single" w:sz="8" w:color="CCEEFF"/>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640" w:type="dxa"/>
            <w:vAlign w:val="bottom"/>
            <w:shd w:val="clear" w:color="auto" w:fill="CCEEFF"/>
          </w:tcPr>
          <w:p>
            <w:pPr>
              <w:ind w:left="440"/>
              <w:spacing w:after="0" w:line="137" w:lineRule="exact"/>
              <w:rPr>
                <w:sz w:val="20"/>
                <w:szCs w:val="20"/>
                <w:color w:val="auto"/>
              </w:rPr>
            </w:pPr>
            <w:r>
              <w:rPr>
                <w:rFonts w:ascii="Arial" w:cs="Arial" w:eastAsia="Arial" w:hAnsi="Arial"/>
                <w:sz w:val="12"/>
                <w:szCs w:val="12"/>
                <w:b w:val="1"/>
                <w:bCs w:val="1"/>
                <w:color w:val="auto"/>
              </w:rPr>
              <w:t>OTHER COMPREHENSIVE GAIN (LOSS), NET OF TAX</w:t>
            </w:r>
          </w:p>
        </w:tc>
        <w:tc>
          <w:tcPr>
            <w:tcW w:w="134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100" w:type="dxa"/>
            <w:vAlign w:val="bottom"/>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w:t>
            </w:r>
          </w:p>
        </w:tc>
        <w:tc>
          <w:tcPr>
            <w:tcW w:w="80" w:type="dxa"/>
            <w:vAlign w:val="bottom"/>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100" w:type="dxa"/>
            <w:vAlign w:val="bottom"/>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6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640" w:type="dxa"/>
            <w:vAlign w:val="bottom"/>
            <w:shd w:val="clear" w:color="auto" w:fill="CCEEFF"/>
          </w:tcPr>
          <w:p>
            <w:pPr>
              <w:ind w:left="580"/>
              <w:spacing w:after="0"/>
              <w:rPr>
                <w:sz w:val="20"/>
                <w:szCs w:val="20"/>
                <w:color w:val="auto"/>
              </w:rPr>
            </w:pPr>
            <w:r>
              <w:rPr>
                <w:rFonts w:ascii="Arial" w:cs="Arial" w:eastAsia="Arial" w:hAnsi="Arial"/>
                <w:sz w:val="12"/>
                <w:szCs w:val="12"/>
                <w:color w:val="auto"/>
              </w:rPr>
              <w:t>Net income attributable to noncontrolling interests</w:t>
            </w:r>
          </w:p>
        </w:tc>
        <w:tc>
          <w:tcPr>
            <w:tcW w:w="134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w:t>
            </w:r>
          </w:p>
        </w:tc>
        <w:tc>
          <w:tcPr>
            <w:tcW w:w="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640" w:type="dxa"/>
            <w:vAlign w:val="bottom"/>
          </w:tcPr>
          <w:p>
            <w:pPr>
              <w:ind w:left="580"/>
              <w:spacing w:after="0"/>
              <w:rPr>
                <w:sz w:val="20"/>
                <w:szCs w:val="20"/>
                <w:color w:val="auto"/>
              </w:rPr>
            </w:pPr>
            <w:r>
              <w:rPr>
                <w:rFonts w:ascii="Arial" w:cs="Arial" w:eastAsia="Arial" w:hAnsi="Arial"/>
                <w:sz w:val="12"/>
                <w:szCs w:val="12"/>
                <w:color w:val="auto"/>
              </w:rPr>
              <w:t>Other comprehensive income attributable to noncontrolling interests</w:t>
            </w:r>
          </w:p>
        </w:tc>
        <w:tc>
          <w:tcPr>
            <w:tcW w:w="1340" w:type="dxa"/>
            <w:vAlign w:val="bottom"/>
          </w:tcPr>
          <w:p>
            <w:pPr>
              <w:spacing w:after="0"/>
              <w:rPr>
                <w:sz w:val="13"/>
                <w:szCs w:val="13"/>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8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360" w:type="dxa"/>
            <w:vAlign w:val="bottom"/>
          </w:tcPr>
          <w:p>
            <w:pPr>
              <w:spacing w:after="0"/>
              <w:rPr>
                <w:sz w:val="13"/>
                <w:szCs w:val="13"/>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4640" w:type="dxa"/>
            <w:vAlign w:val="bottom"/>
            <w:tcBorders>
              <w:top w:val="single" w:sz="8" w:color="CCEEFF"/>
            </w:tcBorders>
            <w:shd w:val="clear" w:color="auto" w:fill="CCEEFF"/>
          </w:tcPr>
          <w:p>
            <w:pPr>
              <w:ind w:left="440"/>
              <w:spacing w:after="0" w:line="97" w:lineRule="exact"/>
              <w:rPr>
                <w:sz w:val="20"/>
                <w:szCs w:val="20"/>
                <w:color w:val="auto"/>
              </w:rPr>
            </w:pPr>
            <w:r>
              <w:rPr>
                <w:rFonts w:ascii="Arial" w:cs="Arial" w:eastAsia="Arial" w:hAnsi="Arial"/>
                <w:sz w:val="11"/>
                <w:szCs w:val="11"/>
                <w:b w:val="1"/>
                <w:bCs w:val="1"/>
                <w:color w:val="auto"/>
              </w:rPr>
              <w:t>COMPREHENSIVE INCOME ATTRIBUTABLE TO NONCONTROLLING</w:t>
            </w:r>
          </w:p>
        </w:tc>
        <w:tc>
          <w:tcPr>
            <w:tcW w:w="134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(8)</w:t>
            </w:r>
          </w:p>
        </w:tc>
        <w:tc>
          <w:tcPr>
            <w:tcW w:w="80" w:type="dxa"/>
            <w:vAlign w:val="bottom"/>
            <w:tcBorders>
              <w:top w:val="single" w:sz="8" w:color="CCEEFF"/>
            </w:tcBorders>
            <w:shd w:val="clear" w:color="auto" w:fill="CCEEFF"/>
          </w:tcPr>
          <w:p>
            <w:pPr>
              <w:spacing w:after="0"/>
              <w:rPr>
                <w:sz w:val="8"/>
                <w:szCs w:val="8"/>
                <w:color w:val="auto"/>
              </w:rPr>
            </w:pPr>
          </w:p>
        </w:tc>
        <w:tc>
          <w:tcPr>
            <w:tcW w:w="136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00" w:type="dxa"/>
            <w:vAlign w:val="bottom"/>
            <w:tcBorders>
              <w:top w:val="single" w:sz="8" w:color="CCEEFF"/>
            </w:tcBorders>
            <w:shd w:val="clear" w:color="auto" w:fill="CCEEFF"/>
          </w:tcPr>
          <w:p>
            <w:pPr>
              <w:spacing w:after="0"/>
              <w:rPr>
                <w:sz w:val="8"/>
                <w:szCs w:val="8"/>
                <w:color w:val="auto"/>
              </w:rPr>
            </w:pPr>
          </w:p>
        </w:tc>
        <w:tc>
          <w:tcPr>
            <w:tcW w:w="124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464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INTERESTS</w:t>
            </w:r>
          </w:p>
        </w:tc>
        <w:tc>
          <w:tcPr>
            <w:tcW w:w="134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640" w:type="dxa"/>
            <w:vAlign w:val="bottom"/>
            <w:tcBorders>
              <w:bottom w:val="single" w:sz="8" w:color="CCEEFF"/>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4640" w:type="dxa"/>
            <w:vAlign w:val="bottom"/>
            <w:shd w:val="clear" w:color="auto" w:fill="CCEEFF"/>
          </w:tcPr>
          <w:p>
            <w:pPr>
              <w:ind w:left="440"/>
              <w:spacing w:after="0" w:line="97" w:lineRule="exact"/>
              <w:rPr>
                <w:sz w:val="20"/>
                <w:szCs w:val="20"/>
                <w:color w:val="auto"/>
              </w:rPr>
            </w:pPr>
            <w:r>
              <w:rPr>
                <w:rFonts w:ascii="Arial" w:cs="Arial" w:eastAsia="Arial" w:hAnsi="Arial"/>
                <w:sz w:val="11"/>
                <w:szCs w:val="11"/>
                <w:b w:val="1"/>
                <w:bCs w:val="1"/>
                <w:color w:val="auto"/>
              </w:rPr>
              <w:t>COMPREHENSIVE INCOME (LOSS) ATTRIBUTABLE TO COMMON</w:t>
            </w:r>
          </w:p>
        </w:tc>
        <w:tc>
          <w:tcPr>
            <w:tcW w:w="1340" w:type="dxa"/>
            <w:vAlign w:val="bottom"/>
            <w:vMerge w:val="restart"/>
            <w:shd w:val="clear" w:color="auto" w:fill="CCEEFF"/>
          </w:tcPr>
          <w:p>
            <w:pPr>
              <w:jc w:val="right"/>
              <w:ind w:right="782"/>
              <w:spacing w:after="0"/>
              <w:rPr>
                <w:sz w:val="20"/>
                <w:szCs w:val="20"/>
                <w:color w:val="auto"/>
              </w:rPr>
            </w:pPr>
            <w:r>
              <w:rPr>
                <w:rFonts w:ascii="Arial" w:cs="Arial" w:eastAsia="Arial" w:hAnsi="Arial"/>
                <w:sz w:val="12"/>
                <w:szCs w:val="12"/>
                <w:color w:val="auto"/>
              </w:rPr>
              <w:t>$</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100" w:type="dxa"/>
            <w:vAlign w:val="bottom"/>
            <w:shd w:val="clear" w:color="auto" w:fill="CCEEFF"/>
          </w:tcPr>
          <w:p>
            <w:pPr>
              <w:spacing w:after="0"/>
              <w:rPr>
                <w:sz w:val="8"/>
                <w:szCs w:val="8"/>
                <w:color w:val="auto"/>
              </w:rPr>
            </w:pPr>
          </w:p>
        </w:tc>
        <w:tc>
          <w:tcPr>
            <w:tcW w:w="680" w:type="dxa"/>
            <w:vAlign w:val="bottom"/>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(68)</w:t>
            </w:r>
          </w:p>
        </w:tc>
        <w:tc>
          <w:tcPr>
            <w:tcW w:w="80" w:type="dxa"/>
            <w:vAlign w:val="bottom"/>
            <w:shd w:val="clear" w:color="auto" w:fill="CCEEFF"/>
          </w:tcPr>
          <w:p>
            <w:pPr>
              <w:spacing w:after="0"/>
              <w:rPr>
                <w:sz w:val="8"/>
                <w:szCs w:val="8"/>
                <w:color w:val="auto"/>
              </w:rPr>
            </w:pPr>
          </w:p>
        </w:tc>
        <w:tc>
          <w:tcPr>
            <w:tcW w:w="1360" w:type="dxa"/>
            <w:vAlign w:val="bottom"/>
            <w:vMerge w:val="restart"/>
            <w:shd w:val="clear" w:color="auto" w:fill="CCEEFF"/>
          </w:tcPr>
          <w:p>
            <w:pPr>
              <w:jc w:val="right"/>
              <w:ind w:right="802"/>
              <w:spacing w:after="0"/>
              <w:rPr>
                <w:sz w:val="20"/>
                <w:szCs w:val="20"/>
                <w:color w:val="auto"/>
              </w:rPr>
            </w:pPr>
            <w:r>
              <w:rPr>
                <w:rFonts w:ascii="Arial" w:cs="Arial" w:eastAsia="Arial" w:hAnsi="Arial"/>
                <w:sz w:val="12"/>
                <w:szCs w:val="12"/>
                <w:color w:val="auto"/>
              </w:rPr>
              <w:t>$</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93"/>
              </w:rPr>
              <w:t>(12)</w:t>
            </w:r>
          </w:p>
        </w:tc>
        <w:tc>
          <w:tcPr>
            <w:tcW w:w="100" w:type="dxa"/>
            <w:vAlign w:val="bottom"/>
            <w:shd w:val="clear" w:color="auto" w:fill="CCEEFF"/>
          </w:tcPr>
          <w:p>
            <w:pPr>
              <w:spacing w:after="0"/>
              <w:rPr>
                <w:sz w:val="8"/>
                <w:szCs w:val="8"/>
                <w:color w:val="auto"/>
              </w:rPr>
            </w:pPr>
          </w:p>
        </w:tc>
        <w:tc>
          <w:tcPr>
            <w:tcW w:w="1240" w:type="dxa"/>
            <w:vAlign w:val="bottom"/>
            <w:vMerge w:val="restart"/>
            <w:shd w:val="clear" w:color="auto" w:fill="CCEEFF"/>
          </w:tcPr>
          <w:p>
            <w:pPr>
              <w:jc w:val="right"/>
              <w:ind w:right="68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4640" w:type="dxa"/>
            <w:vAlign w:val="bottom"/>
            <w:tcBorders>
              <w:bottom w:val="single" w:sz="8" w:color="CCEEFF"/>
            </w:tcBorders>
            <w:shd w:val="clear" w:color="auto" w:fill="CCEEFF"/>
          </w:tcPr>
          <w:p>
            <w:pPr>
              <w:ind w:left="20"/>
              <w:spacing w:after="0" w:line="135" w:lineRule="exact"/>
              <w:rPr>
                <w:sz w:val="20"/>
                <w:szCs w:val="20"/>
                <w:color w:val="auto"/>
              </w:rPr>
            </w:pPr>
            <w:r>
              <w:rPr>
                <w:rFonts w:ascii="Arial" w:cs="Arial" w:eastAsia="Arial" w:hAnsi="Arial"/>
                <w:sz w:val="12"/>
                <w:szCs w:val="12"/>
                <w:b w:val="1"/>
                <w:bCs w:val="1"/>
                <w:color w:val="auto"/>
              </w:rPr>
              <w:t>SHAREHOLDERS</w:t>
            </w:r>
          </w:p>
        </w:tc>
        <w:tc>
          <w:tcPr>
            <w:tcW w:w="1340" w:type="dxa"/>
            <w:vAlign w:val="bottom"/>
            <w:tcBorders>
              <w:bottom w:val="single" w:sz="8" w:color="auto"/>
            </w:tcBorders>
            <w:vMerge w:val="continue"/>
            <w:shd w:val="clear" w:color="auto" w:fill="CCEEFF"/>
          </w:tcPr>
          <w:p>
            <w:pPr>
              <w:spacing w:after="0"/>
              <w:rPr>
                <w:sz w:val="13"/>
                <w:szCs w:val="13"/>
                <w:color w:val="auto"/>
              </w:rPr>
            </w:pPr>
          </w:p>
        </w:tc>
        <w:tc>
          <w:tcPr>
            <w:tcW w:w="24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auto"/>
            </w:tcBorders>
            <w:vMerge w:val="continue"/>
            <w:shd w:val="clear" w:color="auto" w:fill="CCEEFF"/>
          </w:tcPr>
          <w:p>
            <w:pPr>
              <w:spacing w:after="0"/>
              <w:rPr>
                <w:sz w:val="13"/>
                <w:szCs w:val="13"/>
                <w:color w:val="auto"/>
              </w:rPr>
            </w:pPr>
          </w:p>
        </w:tc>
        <w:tc>
          <w:tcPr>
            <w:tcW w:w="92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360" w:type="dxa"/>
            <w:vAlign w:val="bottom"/>
            <w:tcBorders>
              <w:bottom w:val="single" w:sz="8" w:color="auto"/>
            </w:tcBorders>
            <w:vMerge w:val="continue"/>
            <w:shd w:val="clear" w:color="auto" w:fill="CCEEFF"/>
          </w:tcPr>
          <w:p>
            <w:pPr>
              <w:spacing w:after="0"/>
              <w:rPr>
                <w:sz w:val="13"/>
                <w:szCs w:val="13"/>
                <w:color w:val="auto"/>
              </w:rPr>
            </w:pPr>
          </w:p>
        </w:tc>
        <w:tc>
          <w:tcPr>
            <w:tcW w:w="24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jc w:val="center"/>
        <w:ind w:left="420"/>
        <w:spacing w:after="0"/>
        <w:rPr>
          <w:sz w:val="20"/>
          <w:szCs w:val="20"/>
          <w:color w:val="auto"/>
        </w:rPr>
      </w:pPr>
      <w:r>
        <w:rPr>
          <w:rFonts w:ascii="Arial" w:cs="Arial" w:eastAsia="Arial" w:hAnsi="Arial"/>
          <w:sz w:val="12"/>
          <w:szCs w:val="12"/>
          <w:b w:val="1"/>
          <w:bCs w:val="1"/>
          <w:color w:val="auto"/>
        </w:rPr>
        <w:t>See Notes to the Interim Consolidated Financial Statements</w:t>
      </w:r>
    </w:p>
    <w:p>
      <w:pPr>
        <w:spacing w:after="0" w:line="200" w:lineRule="exact"/>
        <w:rPr>
          <w:sz w:val="20"/>
          <w:szCs w:val="20"/>
          <w:color w:val="auto"/>
        </w:rPr>
      </w:pPr>
    </w:p>
    <w:p>
      <w:pPr>
        <w:spacing w:after="0" w:line="251" w:lineRule="exact"/>
        <w:rPr>
          <w:sz w:val="20"/>
          <w:szCs w:val="20"/>
          <w:color w:val="auto"/>
        </w:rPr>
      </w:pPr>
    </w:p>
    <w:p>
      <w:pPr>
        <w:jc w:val="center"/>
        <w:ind w:left="420"/>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191135</wp:posOffset>
            </wp:positionV>
            <wp:extent cx="720344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60"/>
          </w:cols>
          <w:pgMar w:left="300" w:top="203" w:right="239" w:bottom="1440" w:gutter="0" w:footer="0" w:header="0"/>
        </w:sectPr>
      </w:pPr>
    </w:p>
    <w:bookmarkStart w:id="4" w:name="page5"/>
    <w:bookmarkEnd w:id="4"/>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371"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color w:val="auto"/>
        </w:rPr>
        <w:t>MARRIOTT VACATIONS WORLDWIDE CORPORATION</w:t>
      </w:r>
    </w:p>
    <w:p>
      <w:pPr>
        <w:spacing w:after="0" w:line="19"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color w:val="auto"/>
        </w:rPr>
        <w:t>INTERIM CONSOLIDATED BALANCE SHEETS</w:t>
      </w:r>
    </w:p>
    <w:p>
      <w:pPr>
        <w:spacing w:after="0" w:line="6"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(In millions, except share and per share data)</w:t>
      </w:r>
    </w:p>
    <w:p>
      <w:pPr>
        <w:spacing w:after="0" w:line="87" w:lineRule="exact"/>
        <w:rPr>
          <w:sz w:val="20"/>
          <w:szCs w:val="20"/>
          <w:color w:val="auto"/>
        </w:rPr>
      </w:pPr>
    </w:p>
    <w:tbl>
      <w:tblPr>
        <w:tblLayout w:type="fixed"/>
        <w:tblInd w:w="420" w:type="dxa"/>
        <w:tblCellMar>
          <w:top w:w="0" w:type="dxa"/>
          <w:left w:w="0" w:type="dxa"/>
          <w:bottom w:w="0" w:type="dxa"/>
          <w:right w:w="0" w:type="dxa"/>
        </w:tblCellMar>
      </w:tblPr>
      <w:tr>
        <w:trPr>
          <w:trHeight w:val="140"/>
        </w:trPr>
        <w:tc>
          <w:tcPr>
            <w:tcW w:w="6880" w:type="dxa"/>
            <w:vAlign w:val="bottom"/>
          </w:tcPr>
          <w:p>
            <w:pPr>
              <w:spacing w:after="0"/>
              <w:rPr>
                <w:sz w:val="12"/>
                <w:szCs w:val="12"/>
                <w:color w:val="auto"/>
              </w:rPr>
            </w:pPr>
          </w:p>
        </w:tc>
        <w:tc>
          <w:tcPr>
            <w:tcW w:w="1700" w:type="dxa"/>
            <w:vAlign w:val="bottom"/>
          </w:tcPr>
          <w:p>
            <w:pPr>
              <w:jc w:val="right"/>
              <w:ind w:right="102"/>
              <w:spacing w:after="0"/>
              <w:rPr>
                <w:sz w:val="20"/>
                <w:szCs w:val="20"/>
                <w:color w:val="auto"/>
              </w:rPr>
            </w:pPr>
            <w:r>
              <w:rPr>
                <w:rFonts w:ascii="Arial" w:cs="Arial" w:eastAsia="Arial" w:hAnsi="Arial"/>
                <w:sz w:val="11"/>
                <w:szCs w:val="11"/>
                <w:b w:val="1"/>
                <w:bCs w:val="1"/>
                <w:color w:val="auto"/>
              </w:rPr>
              <w:t>Unaudited</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tcPr>
          <w:p>
            <w:pPr>
              <w:spacing w:after="0"/>
              <w:rPr>
                <w:sz w:val="12"/>
                <w:szCs w:val="12"/>
                <w:color w:val="auto"/>
              </w:rPr>
            </w:pPr>
          </w:p>
        </w:tc>
      </w:tr>
      <w:tr>
        <w:trPr>
          <w:trHeight w:val="146"/>
        </w:trPr>
        <w:tc>
          <w:tcPr>
            <w:tcW w:w="6880" w:type="dxa"/>
            <w:vAlign w:val="bottom"/>
            <w:tcBorders>
              <w:bottom w:val="single" w:sz="8" w:color="CCEEFF"/>
            </w:tcBorders>
          </w:tcPr>
          <w:p>
            <w:pPr>
              <w:spacing w:after="0"/>
              <w:rPr>
                <w:sz w:val="12"/>
                <w:szCs w:val="12"/>
                <w:color w:val="auto"/>
              </w:rPr>
            </w:pPr>
          </w:p>
        </w:tc>
        <w:tc>
          <w:tcPr>
            <w:tcW w:w="1700" w:type="dxa"/>
            <w:vAlign w:val="bottom"/>
            <w:tcBorders>
              <w:bottom w:val="single" w:sz="8" w:color="auto"/>
            </w:tcBorders>
          </w:tcPr>
          <w:p>
            <w:pPr>
              <w:jc w:val="right"/>
              <w:ind w:right="22"/>
              <w:spacing w:after="0"/>
              <w:rPr>
                <w:sz w:val="20"/>
                <w:szCs w:val="20"/>
                <w:color w:val="auto"/>
              </w:rPr>
            </w:pPr>
            <w:r>
              <w:rPr>
                <w:rFonts w:ascii="Arial" w:cs="Arial" w:eastAsia="Arial" w:hAnsi="Arial"/>
                <w:sz w:val="11"/>
                <w:szCs w:val="11"/>
                <w:b w:val="1"/>
                <w:bCs w:val="1"/>
                <w:color w:val="auto"/>
              </w:rPr>
              <w:t>June 30, 2021</w:t>
            </w: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0" w:type="dxa"/>
            <w:vAlign w:val="bottom"/>
            <w:tcBorders>
              <w:bottom w:val="single" w:sz="8" w:color="auto"/>
            </w:tcBorders>
          </w:tcPr>
          <w:p>
            <w:pPr>
              <w:jc w:val="right"/>
              <w:ind w:right="1"/>
              <w:spacing w:after="0"/>
              <w:rPr>
                <w:sz w:val="20"/>
                <w:szCs w:val="20"/>
                <w:color w:val="auto"/>
              </w:rPr>
            </w:pPr>
            <w:r>
              <w:rPr>
                <w:rFonts w:ascii="Arial" w:cs="Arial" w:eastAsia="Arial" w:hAnsi="Arial"/>
                <w:sz w:val="11"/>
                <w:szCs w:val="11"/>
                <w:b w:val="1"/>
                <w:bCs w:val="1"/>
                <w:color w:val="auto"/>
              </w:rPr>
              <w:t>December 31, 2020</w:t>
            </w:r>
          </w:p>
        </w:tc>
      </w:tr>
      <w:tr>
        <w:trPr>
          <w:trHeight w:val="135"/>
        </w:trPr>
        <w:tc>
          <w:tcPr>
            <w:tcW w:w="6880" w:type="dxa"/>
            <w:vAlign w:val="bottom"/>
            <w:shd w:val="clear" w:color="auto" w:fill="CCEEFF"/>
          </w:tcPr>
          <w:p>
            <w:pPr>
              <w:ind w:left="440"/>
              <w:spacing w:after="0" w:line="135" w:lineRule="exact"/>
              <w:rPr>
                <w:sz w:val="20"/>
                <w:szCs w:val="20"/>
                <w:color w:val="auto"/>
              </w:rPr>
            </w:pPr>
            <w:r>
              <w:rPr>
                <w:rFonts w:ascii="Arial" w:cs="Arial" w:eastAsia="Arial" w:hAnsi="Arial"/>
                <w:sz w:val="12"/>
                <w:szCs w:val="12"/>
                <w:b w:val="1"/>
                <w:bCs w:val="1"/>
                <w:color w:val="auto"/>
              </w:rPr>
              <w:t>ASSETS</w:t>
            </w:r>
          </w:p>
        </w:tc>
        <w:tc>
          <w:tcPr>
            <w:tcW w:w="17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r>
      <w:tr>
        <w:trPr>
          <w:trHeight w:val="153"/>
        </w:trPr>
        <w:tc>
          <w:tcPr>
            <w:tcW w:w="6880" w:type="dxa"/>
            <w:vAlign w:val="bottom"/>
          </w:tcPr>
          <w:p>
            <w:pPr>
              <w:ind w:left="440"/>
              <w:spacing w:after="0"/>
              <w:rPr>
                <w:sz w:val="20"/>
                <w:szCs w:val="20"/>
                <w:color w:val="auto"/>
              </w:rPr>
            </w:pPr>
            <w:r>
              <w:rPr>
                <w:rFonts w:ascii="Arial" w:cs="Arial" w:eastAsia="Arial" w:hAnsi="Arial"/>
                <w:sz w:val="12"/>
                <w:szCs w:val="12"/>
                <w:color w:val="auto"/>
              </w:rPr>
              <w:t>Cash and cash equivalents</w:t>
            </w:r>
          </w:p>
        </w:tc>
        <w:tc>
          <w:tcPr>
            <w:tcW w:w="1700" w:type="dxa"/>
            <w:vAlign w:val="bottom"/>
          </w:tcPr>
          <w:p>
            <w:pPr>
              <w:jc w:val="right"/>
              <w:ind w:right="1142"/>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1,312</w:t>
            </w:r>
          </w:p>
        </w:tc>
        <w:tc>
          <w:tcPr>
            <w:tcW w:w="100" w:type="dxa"/>
            <w:vAlign w:val="bottom"/>
          </w:tcPr>
          <w:p>
            <w:pPr>
              <w:spacing w:after="0"/>
              <w:rPr>
                <w:sz w:val="13"/>
                <w:szCs w:val="13"/>
                <w:color w:val="auto"/>
              </w:rPr>
            </w:pPr>
          </w:p>
        </w:tc>
        <w:tc>
          <w:tcPr>
            <w:tcW w:w="1800" w:type="dxa"/>
            <w:vAlign w:val="bottom"/>
          </w:tcPr>
          <w:p>
            <w:pPr>
              <w:jc w:val="right"/>
              <w:ind w:right="1241"/>
              <w:spacing w:after="0"/>
              <w:rPr>
                <w:sz w:val="20"/>
                <w:szCs w:val="20"/>
                <w:color w:val="auto"/>
              </w:rPr>
            </w:pPr>
            <w:r>
              <w:rPr>
                <w:rFonts w:ascii="Arial" w:cs="Arial" w:eastAsia="Arial" w:hAnsi="Arial"/>
                <w:sz w:val="12"/>
                <w:szCs w:val="12"/>
                <w:color w:val="auto"/>
              </w:rPr>
              <w:t>$</w:t>
            </w:r>
          </w:p>
        </w:tc>
      </w:tr>
      <w:tr>
        <w:trPr>
          <w:trHeight w:val="153"/>
        </w:trPr>
        <w:tc>
          <w:tcPr>
            <w:tcW w:w="6880" w:type="dxa"/>
            <w:vAlign w:val="bottom"/>
            <w:shd w:val="clear" w:color="auto" w:fill="CCEEFF"/>
          </w:tcPr>
          <w:p>
            <w:pPr>
              <w:ind w:left="440"/>
              <w:spacing w:after="0"/>
              <w:rPr>
                <w:sz w:val="20"/>
                <w:szCs w:val="20"/>
                <w:color w:val="auto"/>
              </w:rPr>
            </w:pPr>
            <w:r>
              <w:rPr>
                <w:rFonts w:ascii="Arial" w:cs="Arial" w:eastAsia="Arial" w:hAnsi="Arial"/>
                <w:sz w:val="12"/>
                <w:szCs w:val="12"/>
                <w:color w:val="auto"/>
              </w:rPr>
              <w:t>Restricted cash (including $70 and $68 from VIEs, respectively)</w:t>
            </w:r>
          </w:p>
        </w:tc>
        <w:tc>
          <w:tcPr>
            <w:tcW w:w="17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368</w:t>
            </w:r>
          </w:p>
        </w:tc>
        <w:tc>
          <w:tcPr>
            <w:tcW w:w="10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r>
      <w:tr>
        <w:trPr>
          <w:trHeight w:val="153"/>
        </w:trPr>
        <w:tc>
          <w:tcPr>
            <w:tcW w:w="6880" w:type="dxa"/>
            <w:vAlign w:val="bottom"/>
          </w:tcPr>
          <w:p>
            <w:pPr>
              <w:ind w:left="440"/>
              <w:spacing w:after="0"/>
              <w:rPr>
                <w:sz w:val="20"/>
                <w:szCs w:val="20"/>
                <w:color w:val="auto"/>
              </w:rPr>
            </w:pPr>
            <w:r>
              <w:rPr>
                <w:rFonts w:ascii="Arial" w:cs="Arial" w:eastAsia="Arial" w:hAnsi="Arial"/>
                <w:sz w:val="12"/>
                <w:szCs w:val="12"/>
                <w:color w:val="auto"/>
              </w:rPr>
              <w:t>Accounts receivable, net (including $11 and $11 from VIEs, respectively)</w:t>
            </w:r>
          </w:p>
        </w:tc>
        <w:tc>
          <w:tcPr>
            <w:tcW w:w="17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217</w:t>
            </w:r>
          </w:p>
        </w:tc>
        <w:tc>
          <w:tcPr>
            <w:tcW w:w="100" w:type="dxa"/>
            <w:vAlign w:val="bottom"/>
          </w:tcPr>
          <w:p>
            <w:pPr>
              <w:spacing w:after="0"/>
              <w:rPr>
                <w:sz w:val="13"/>
                <w:szCs w:val="13"/>
                <w:color w:val="auto"/>
              </w:rPr>
            </w:pPr>
          </w:p>
        </w:tc>
        <w:tc>
          <w:tcPr>
            <w:tcW w:w="1800" w:type="dxa"/>
            <w:vAlign w:val="bottom"/>
          </w:tcPr>
          <w:p>
            <w:pPr>
              <w:spacing w:after="0"/>
              <w:rPr>
                <w:sz w:val="13"/>
                <w:szCs w:val="13"/>
                <w:color w:val="auto"/>
              </w:rPr>
            </w:pPr>
          </w:p>
        </w:tc>
      </w:tr>
      <w:tr>
        <w:trPr>
          <w:trHeight w:val="153"/>
        </w:trPr>
        <w:tc>
          <w:tcPr>
            <w:tcW w:w="6880" w:type="dxa"/>
            <w:vAlign w:val="bottom"/>
            <w:shd w:val="clear" w:color="auto" w:fill="CCEEFF"/>
          </w:tcPr>
          <w:p>
            <w:pPr>
              <w:ind w:left="440"/>
              <w:spacing w:after="0"/>
              <w:rPr>
                <w:sz w:val="20"/>
                <w:szCs w:val="20"/>
                <w:color w:val="auto"/>
              </w:rPr>
            </w:pPr>
            <w:r>
              <w:rPr>
                <w:rFonts w:ascii="Arial" w:cs="Arial" w:eastAsia="Arial" w:hAnsi="Arial"/>
                <w:sz w:val="12"/>
                <w:szCs w:val="12"/>
                <w:color w:val="auto"/>
              </w:rPr>
              <w:t>Vacation ownership notes receivable, net (including $1,645 and $1,493 from VIEs, respectively)</w:t>
            </w:r>
          </w:p>
        </w:tc>
        <w:tc>
          <w:tcPr>
            <w:tcW w:w="17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1,991</w:t>
            </w:r>
          </w:p>
        </w:tc>
        <w:tc>
          <w:tcPr>
            <w:tcW w:w="10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r>
      <w:tr>
        <w:trPr>
          <w:trHeight w:val="153"/>
        </w:trPr>
        <w:tc>
          <w:tcPr>
            <w:tcW w:w="6880" w:type="dxa"/>
            <w:vAlign w:val="bottom"/>
          </w:tcPr>
          <w:p>
            <w:pPr>
              <w:ind w:left="440"/>
              <w:spacing w:after="0"/>
              <w:rPr>
                <w:sz w:val="20"/>
                <w:szCs w:val="20"/>
                <w:color w:val="auto"/>
              </w:rPr>
            </w:pPr>
            <w:r>
              <w:rPr>
                <w:rFonts w:ascii="Arial" w:cs="Arial" w:eastAsia="Arial" w:hAnsi="Arial"/>
                <w:sz w:val="12"/>
                <w:szCs w:val="12"/>
                <w:color w:val="auto"/>
              </w:rPr>
              <w:t>Inventory</w:t>
            </w:r>
          </w:p>
        </w:tc>
        <w:tc>
          <w:tcPr>
            <w:tcW w:w="17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833</w:t>
            </w:r>
          </w:p>
        </w:tc>
        <w:tc>
          <w:tcPr>
            <w:tcW w:w="100" w:type="dxa"/>
            <w:vAlign w:val="bottom"/>
          </w:tcPr>
          <w:p>
            <w:pPr>
              <w:spacing w:after="0"/>
              <w:rPr>
                <w:sz w:val="13"/>
                <w:szCs w:val="13"/>
                <w:color w:val="auto"/>
              </w:rPr>
            </w:pPr>
          </w:p>
        </w:tc>
        <w:tc>
          <w:tcPr>
            <w:tcW w:w="1800" w:type="dxa"/>
            <w:vAlign w:val="bottom"/>
          </w:tcPr>
          <w:p>
            <w:pPr>
              <w:spacing w:after="0"/>
              <w:rPr>
                <w:sz w:val="13"/>
                <w:szCs w:val="13"/>
                <w:color w:val="auto"/>
              </w:rPr>
            </w:pPr>
          </w:p>
        </w:tc>
      </w:tr>
      <w:tr>
        <w:trPr>
          <w:trHeight w:val="153"/>
        </w:trPr>
        <w:tc>
          <w:tcPr>
            <w:tcW w:w="6880" w:type="dxa"/>
            <w:vAlign w:val="bottom"/>
            <w:shd w:val="clear" w:color="auto" w:fill="CCEEFF"/>
          </w:tcPr>
          <w:p>
            <w:pPr>
              <w:ind w:left="440"/>
              <w:spacing w:after="0"/>
              <w:rPr>
                <w:sz w:val="20"/>
                <w:szCs w:val="20"/>
                <w:color w:val="auto"/>
              </w:rPr>
            </w:pPr>
            <w:r>
              <w:rPr>
                <w:rFonts w:ascii="Arial" w:cs="Arial" w:eastAsia="Arial" w:hAnsi="Arial"/>
                <w:sz w:val="12"/>
                <w:szCs w:val="12"/>
                <w:color w:val="auto"/>
              </w:rPr>
              <w:t>Property and equipment, net</w:t>
            </w:r>
          </w:p>
        </w:tc>
        <w:tc>
          <w:tcPr>
            <w:tcW w:w="17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1,026</w:t>
            </w:r>
          </w:p>
        </w:tc>
        <w:tc>
          <w:tcPr>
            <w:tcW w:w="10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r>
      <w:tr>
        <w:trPr>
          <w:trHeight w:val="153"/>
        </w:trPr>
        <w:tc>
          <w:tcPr>
            <w:tcW w:w="6880" w:type="dxa"/>
            <w:vAlign w:val="bottom"/>
          </w:tcPr>
          <w:p>
            <w:pPr>
              <w:ind w:left="440"/>
              <w:spacing w:after="0"/>
              <w:rPr>
                <w:sz w:val="20"/>
                <w:szCs w:val="20"/>
                <w:color w:val="auto"/>
              </w:rPr>
            </w:pPr>
            <w:r>
              <w:rPr>
                <w:rFonts w:ascii="Arial" w:cs="Arial" w:eastAsia="Arial" w:hAnsi="Arial"/>
                <w:sz w:val="12"/>
                <w:szCs w:val="12"/>
                <w:color w:val="auto"/>
              </w:rPr>
              <w:t>Goodwill</w:t>
            </w:r>
          </w:p>
        </w:tc>
        <w:tc>
          <w:tcPr>
            <w:tcW w:w="17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3,116</w:t>
            </w:r>
          </w:p>
        </w:tc>
        <w:tc>
          <w:tcPr>
            <w:tcW w:w="100" w:type="dxa"/>
            <w:vAlign w:val="bottom"/>
          </w:tcPr>
          <w:p>
            <w:pPr>
              <w:spacing w:after="0"/>
              <w:rPr>
                <w:sz w:val="13"/>
                <w:szCs w:val="13"/>
                <w:color w:val="auto"/>
              </w:rPr>
            </w:pPr>
          </w:p>
        </w:tc>
        <w:tc>
          <w:tcPr>
            <w:tcW w:w="1800" w:type="dxa"/>
            <w:vAlign w:val="bottom"/>
          </w:tcPr>
          <w:p>
            <w:pPr>
              <w:spacing w:after="0"/>
              <w:rPr>
                <w:sz w:val="13"/>
                <w:szCs w:val="13"/>
                <w:color w:val="auto"/>
              </w:rPr>
            </w:pPr>
          </w:p>
        </w:tc>
      </w:tr>
      <w:tr>
        <w:trPr>
          <w:trHeight w:val="153"/>
        </w:trPr>
        <w:tc>
          <w:tcPr>
            <w:tcW w:w="6880" w:type="dxa"/>
            <w:vAlign w:val="bottom"/>
            <w:shd w:val="clear" w:color="auto" w:fill="CCEEFF"/>
          </w:tcPr>
          <w:p>
            <w:pPr>
              <w:ind w:left="440"/>
              <w:spacing w:after="0"/>
              <w:rPr>
                <w:sz w:val="20"/>
                <w:szCs w:val="20"/>
                <w:color w:val="auto"/>
              </w:rPr>
            </w:pPr>
            <w:r>
              <w:rPr>
                <w:rFonts w:ascii="Arial" w:cs="Arial" w:eastAsia="Arial" w:hAnsi="Arial"/>
                <w:sz w:val="12"/>
                <w:szCs w:val="12"/>
                <w:color w:val="auto"/>
              </w:rPr>
              <w:t>Intangibles, net</w:t>
            </w:r>
          </w:p>
        </w:tc>
        <w:tc>
          <w:tcPr>
            <w:tcW w:w="17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1,017</w:t>
            </w:r>
          </w:p>
        </w:tc>
        <w:tc>
          <w:tcPr>
            <w:tcW w:w="10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r>
      <w:tr>
        <w:trPr>
          <w:trHeight w:val="153"/>
        </w:trPr>
        <w:tc>
          <w:tcPr>
            <w:tcW w:w="6880" w:type="dxa"/>
            <w:vAlign w:val="bottom"/>
            <w:tcBorders>
              <w:bottom w:val="single" w:sz="8" w:color="CCEEFF"/>
            </w:tcBorders>
          </w:tcPr>
          <w:p>
            <w:pPr>
              <w:ind w:left="440"/>
              <w:spacing w:after="0"/>
              <w:rPr>
                <w:sz w:val="20"/>
                <w:szCs w:val="20"/>
                <w:color w:val="auto"/>
              </w:rPr>
            </w:pPr>
            <w:r>
              <w:rPr>
                <w:rFonts w:ascii="Arial" w:cs="Arial" w:eastAsia="Arial" w:hAnsi="Arial"/>
                <w:sz w:val="12"/>
                <w:szCs w:val="12"/>
                <w:color w:val="auto"/>
              </w:rPr>
              <w:t>Other (including $67 and $54 from VIEs, respectively)</w:t>
            </w:r>
          </w:p>
        </w:tc>
        <w:tc>
          <w:tcPr>
            <w:tcW w:w="17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534</w:t>
            </w:r>
          </w:p>
        </w:tc>
        <w:tc>
          <w:tcPr>
            <w:tcW w:w="100" w:type="dxa"/>
            <w:vAlign w:val="bottom"/>
            <w:tcBorders>
              <w:bottom w:val="single" w:sz="8" w:color="CCEEFF"/>
            </w:tcBorders>
          </w:tcPr>
          <w:p>
            <w:pPr>
              <w:spacing w:after="0"/>
              <w:rPr>
                <w:sz w:val="13"/>
                <w:szCs w:val="13"/>
                <w:color w:val="auto"/>
              </w:rPr>
            </w:pPr>
          </w:p>
        </w:tc>
        <w:tc>
          <w:tcPr>
            <w:tcW w:w="1800" w:type="dxa"/>
            <w:vAlign w:val="bottom"/>
            <w:tcBorders>
              <w:bottom w:val="single" w:sz="8" w:color="auto"/>
            </w:tcBorders>
          </w:tcPr>
          <w:p>
            <w:pPr>
              <w:spacing w:after="0"/>
              <w:rPr>
                <w:sz w:val="13"/>
                <w:szCs w:val="13"/>
                <w:color w:val="auto"/>
              </w:rPr>
            </w:pPr>
          </w:p>
        </w:tc>
      </w:tr>
      <w:tr>
        <w:trPr>
          <w:trHeight w:val="158"/>
        </w:trPr>
        <w:tc>
          <w:tcPr>
            <w:tcW w:w="688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2"/>
                <w:szCs w:val="12"/>
                <w:b w:val="1"/>
                <w:bCs w:val="1"/>
                <w:color w:val="auto"/>
              </w:rPr>
              <w:t>TOTAL ASSETS</w:t>
            </w:r>
          </w:p>
        </w:tc>
        <w:tc>
          <w:tcPr>
            <w:tcW w:w="1700" w:type="dxa"/>
            <w:vAlign w:val="bottom"/>
            <w:tcBorders>
              <w:bottom w:val="single" w:sz="8" w:color="auto"/>
            </w:tcBorders>
            <w:shd w:val="clear" w:color="auto" w:fill="CCEEFF"/>
          </w:tcPr>
          <w:p>
            <w:pPr>
              <w:jc w:val="right"/>
              <w:ind w:right="1142"/>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10,414</w:t>
            </w:r>
          </w:p>
        </w:tc>
        <w:tc>
          <w:tcPr>
            <w:tcW w:w="100" w:type="dxa"/>
            <w:vAlign w:val="bottom"/>
            <w:tcBorders>
              <w:bottom w:val="single" w:sz="8" w:color="CCEEFF"/>
            </w:tcBorders>
            <w:shd w:val="clear" w:color="auto" w:fill="CCEEFF"/>
          </w:tcPr>
          <w:p>
            <w:pPr>
              <w:spacing w:after="0"/>
              <w:rPr>
                <w:sz w:val="13"/>
                <w:szCs w:val="13"/>
                <w:color w:val="auto"/>
              </w:rPr>
            </w:pPr>
          </w:p>
        </w:tc>
        <w:tc>
          <w:tcPr>
            <w:tcW w:w="1800" w:type="dxa"/>
            <w:vAlign w:val="bottom"/>
            <w:tcBorders>
              <w:bottom w:val="single" w:sz="8" w:color="auto"/>
            </w:tcBorders>
            <w:shd w:val="clear" w:color="auto" w:fill="CCEEFF"/>
          </w:tcPr>
          <w:p>
            <w:pPr>
              <w:jc w:val="right"/>
              <w:ind w:right="1241"/>
              <w:spacing w:after="0"/>
              <w:rPr>
                <w:sz w:val="20"/>
                <w:szCs w:val="20"/>
                <w:color w:val="auto"/>
              </w:rPr>
            </w:pPr>
            <w:r>
              <w:rPr>
                <w:rFonts w:ascii="Arial" w:cs="Arial" w:eastAsia="Arial" w:hAnsi="Arial"/>
                <w:sz w:val="12"/>
                <w:szCs w:val="12"/>
                <w:color w:val="auto"/>
              </w:rPr>
              <w:t>$</w:t>
            </w:r>
          </w:p>
        </w:tc>
      </w:tr>
      <w:tr>
        <w:trPr>
          <w:trHeight w:val="153"/>
        </w:trPr>
        <w:tc>
          <w:tcPr>
            <w:tcW w:w="68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tcPr>
          <w:p>
            <w:pPr>
              <w:spacing w:after="0"/>
              <w:rPr>
                <w:sz w:val="13"/>
                <w:szCs w:val="13"/>
                <w:color w:val="auto"/>
              </w:rPr>
            </w:pPr>
          </w:p>
        </w:tc>
      </w:tr>
      <w:tr>
        <w:trPr>
          <w:trHeight w:val="153"/>
        </w:trPr>
        <w:tc>
          <w:tcPr>
            <w:tcW w:w="6880" w:type="dxa"/>
            <w:vAlign w:val="bottom"/>
            <w:shd w:val="clear" w:color="auto" w:fill="CCEEFF"/>
          </w:tcPr>
          <w:p>
            <w:pPr>
              <w:ind w:left="440"/>
              <w:spacing w:after="0"/>
              <w:rPr>
                <w:sz w:val="20"/>
                <w:szCs w:val="20"/>
                <w:color w:val="auto"/>
              </w:rPr>
            </w:pPr>
            <w:r>
              <w:rPr>
                <w:rFonts w:ascii="Arial" w:cs="Arial" w:eastAsia="Arial" w:hAnsi="Arial"/>
                <w:sz w:val="12"/>
                <w:szCs w:val="12"/>
                <w:b w:val="1"/>
                <w:bCs w:val="1"/>
                <w:color w:val="auto"/>
              </w:rPr>
              <w:t>LIABILITIES AND EQUITY</w:t>
            </w:r>
          </w:p>
        </w:tc>
        <w:tc>
          <w:tcPr>
            <w:tcW w:w="17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r>
      <w:tr>
        <w:trPr>
          <w:trHeight w:val="153"/>
        </w:trPr>
        <w:tc>
          <w:tcPr>
            <w:tcW w:w="6880" w:type="dxa"/>
            <w:vAlign w:val="bottom"/>
          </w:tcPr>
          <w:p>
            <w:pPr>
              <w:ind w:left="440"/>
              <w:spacing w:after="0"/>
              <w:rPr>
                <w:sz w:val="20"/>
                <w:szCs w:val="20"/>
                <w:color w:val="auto"/>
              </w:rPr>
            </w:pPr>
            <w:r>
              <w:rPr>
                <w:rFonts w:ascii="Arial" w:cs="Arial" w:eastAsia="Arial" w:hAnsi="Arial"/>
                <w:sz w:val="12"/>
                <w:szCs w:val="12"/>
                <w:color w:val="auto"/>
              </w:rPr>
              <w:t>Accounts payable</w:t>
            </w:r>
          </w:p>
        </w:tc>
        <w:tc>
          <w:tcPr>
            <w:tcW w:w="1700" w:type="dxa"/>
            <w:vAlign w:val="bottom"/>
          </w:tcPr>
          <w:p>
            <w:pPr>
              <w:jc w:val="right"/>
              <w:ind w:right="1142"/>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192</w:t>
            </w:r>
          </w:p>
        </w:tc>
        <w:tc>
          <w:tcPr>
            <w:tcW w:w="100" w:type="dxa"/>
            <w:vAlign w:val="bottom"/>
          </w:tcPr>
          <w:p>
            <w:pPr>
              <w:spacing w:after="0"/>
              <w:rPr>
                <w:sz w:val="13"/>
                <w:szCs w:val="13"/>
                <w:color w:val="auto"/>
              </w:rPr>
            </w:pPr>
          </w:p>
        </w:tc>
        <w:tc>
          <w:tcPr>
            <w:tcW w:w="1800" w:type="dxa"/>
            <w:vAlign w:val="bottom"/>
          </w:tcPr>
          <w:p>
            <w:pPr>
              <w:jc w:val="right"/>
              <w:ind w:right="1241"/>
              <w:spacing w:after="0"/>
              <w:rPr>
                <w:sz w:val="20"/>
                <w:szCs w:val="20"/>
                <w:color w:val="auto"/>
              </w:rPr>
            </w:pPr>
            <w:r>
              <w:rPr>
                <w:rFonts w:ascii="Arial" w:cs="Arial" w:eastAsia="Arial" w:hAnsi="Arial"/>
                <w:sz w:val="12"/>
                <w:szCs w:val="12"/>
                <w:color w:val="auto"/>
              </w:rPr>
              <w:t>$</w:t>
            </w:r>
          </w:p>
        </w:tc>
      </w:tr>
      <w:tr>
        <w:trPr>
          <w:trHeight w:val="153"/>
        </w:trPr>
        <w:tc>
          <w:tcPr>
            <w:tcW w:w="6880" w:type="dxa"/>
            <w:vAlign w:val="bottom"/>
            <w:shd w:val="clear" w:color="auto" w:fill="CCEEFF"/>
          </w:tcPr>
          <w:p>
            <w:pPr>
              <w:ind w:left="440"/>
              <w:spacing w:after="0"/>
              <w:rPr>
                <w:sz w:val="20"/>
                <w:szCs w:val="20"/>
                <w:color w:val="auto"/>
              </w:rPr>
            </w:pPr>
            <w:r>
              <w:rPr>
                <w:rFonts w:ascii="Arial" w:cs="Arial" w:eastAsia="Arial" w:hAnsi="Arial"/>
                <w:sz w:val="12"/>
                <w:szCs w:val="12"/>
                <w:color w:val="auto"/>
              </w:rPr>
              <w:t>Advance deposits</w:t>
            </w:r>
          </w:p>
        </w:tc>
        <w:tc>
          <w:tcPr>
            <w:tcW w:w="17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176</w:t>
            </w:r>
          </w:p>
        </w:tc>
        <w:tc>
          <w:tcPr>
            <w:tcW w:w="10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r>
      <w:tr>
        <w:trPr>
          <w:trHeight w:val="153"/>
        </w:trPr>
        <w:tc>
          <w:tcPr>
            <w:tcW w:w="6880" w:type="dxa"/>
            <w:vAlign w:val="bottom"/>
          </w:tcPr>
          <w:p>
            <w:pPr>
              <w:ind w:left="440"/>
              <w:spacing w:after="0"/>
              <w:rPr>
                <w:sz w:val="20"/>
                <w:szCs w:val="20"/>
                <w:color w:val="auto"/>
              </w:rPr>
            </w:pPr>
            <w:r>
              <w:rPr>
                <w:rFonts w:ascii="Arial" w:cs="Arial" w:eastAsia="Arial" w:hAnsi="Arial"/>
                <w:sz w:val="12"/>
                <w:szCs w:val="12"/>
                <w:color w:val="auto"/>
              </w:rPr>
              <w:t>Accrued liabilities (including $2 and $1 from VIEs, respectively)</w:t>
            </w:r>
          </w:p>
        </w:tc>
        <w:tc>
          <w:tcPr>
            <w:tcW w:w="17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375</w:t>
            </w:r>
          </w:p>
        </w:tc>
        <w:tc>
          <w:tcPr>
            <w:tcW w:w="100" w:type="dxa"/>
            <w:vAlign w:val="bottom"/>
          </w:tcPr>
          <w:p>
            <w:pPr>
              <w:spacing w:after="0"/>
              <w:rPr>
                <w:sz w:val="13"/>
                <w:szCs w:val="13"/>
                <w:color w:val="auto"/>
              </w:rPr>
            </w:pPr>
          </w:p>
        </w:tc>
        <w:tc>
          <w:tcPr>
            <w:tcW w:w="1800" w:type="dxa"/>
            <w:vAlign w:val="bottom"/>
          </w:tcPr>
          <w:p>
            <w:pPr>
              <w:spacing w:after="0"/>
              <w:rPr>
                <w:sz w:val="13"/>
                <w:szCs w:val="13"/>
                <w:color w:val="auto"/>
              </w:rPr>
            </w:pPr>
          </w:p>
        </w:tc>
      </w:tr>
      <w:tr>
        <w:trPr>
          <w:trHeight w:val="153"/>
        </w:trPr>
        <w:tc>
          <w:tcPr>
            <w:tcW w:w="6880" w:type="dxa"/>
            <w:vAlign w:val="bottom"/>
            <w:shd w:val="clear" w:color="auto" w:fill="CCEEFF"/>
          </w:tcPr>
          <w:p>
            <w:pPr>
              <w:ind w:left="440"/>
              <w:spacing w:after="0"/>
              <w:rPr>
                <w:sz w:val="20"/>
                <w:szCs w:val="20"/>
                <w:color w:val="auto"/>
              </w:rPr>
            </w:pPr>
            <w:r>
              <w:rPr>
                <w:rFonts w:ascii="Arial" w:cs="Arial" w:eastAsia="Arial" w:hAnsi="Arial"/>
                <w:sz w:val="12"/>
                <w:szCs w:val="12"/>
                <w:color w:val="auto"/>
              </w:rPr>
              <w:t>Deferred revenue</w:t>
            </w:r>
          </w:p>
        </w:tc>
        <w:tc>
          <w:tcPr>
            <w:tcW w:w="17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474</w:t>
            </w:r>
          </w:p>
        </w:tc>
        <w:tc>
          <w:tcPr>
            <w:tcW w:w="10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r>
      <w:tr>
        <w:trPr>
          <w:trHeight w:val="153"/>
        </w:trPr>
        <w:tc>
          <w:tcPr>
            <w:tcW w:w="6880" w:type="dxa"/>
            <w:vAlign w:val="bottom"/>
          </w:tcPr>
          <w:p>
            <w:pPr>
              <w:ind w:left="440"/>
              <w:spacing w:after="0"/>
              <w:rPr>
                <w:sz w:val="20"/>
                <w:szCs w:val="20"/>
                <w:color w:val="auto"/>
              </w:rPr>
            </w:pPr>
            <w:r>
              <w:rPr>
                <w:rFonts w:ascii="Arial" w:cs="Arial" w:eastAsia="Arial" w:hAnsi="Arial"/>
                <w:sz w:val="12"/>
                <w:szCs w:val="12"/>
                <w:color w:val="auto"/>
              </w:rPr>
              <w:t>Payroll and benefits liability</w:t>
            </w:r>
          </w:p>
        </w:tc>
        <w:tc>
          <w:tcPr>
            <w:tcW w:w="17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205</w:t>
            </w:r>
          </w:p>
        </w:tc>
        <w:tc>
          <w:tcPr>
            <w:tcW w:w="100" w:type="dxa"/>
            <w:vAlign w:val="bottom"/>
          </w:tcPr>
          <w:p>
            <w:pPr>
              <w:spacing w:after="0"/>
              <w:rPr>
                <w:sz w:val="13"/>
                <w:szCs w:val="13"/>
                <w:color w:val="auto"/>
              </w:rPr>
            </w:pPr>
          </w:p>
        </w:tc>
        <w:tc>
          <w:tcPr>
            <w:tcW w:w="1800" w:type="dxa"/>
            <w:vAlign w:val="bottom"/>
          </w:tcPr>
          <w:p>
            <w:pPr>
              <w:spacing w:after="0"/>
              <w:rPr>
                <w:sz w:val="13"/>
                <w:szCs w:val="13"/>
                <w:color w:val="auto"/>
              </w:rPr>
            </w:pPr>
          </w:p>
        </w:tc>
      </w:tr>
      <w:tr>
        <w:trPr>
          <w:trHeight w:val="153"/>
        </w:trPr>
        <w:tc>
          <w:tcPr>
            <w:tcW w:w="6880" w:type="dxa"/>
            <w:vAlign w:val="bottom"/>
            <w:shd w:val="clear" w:color="auto" w:fill="CCEEFF"/>
          </w:tcPr>
          <w:p>
            <w:pPr>
              <w:ind w:left="440"/>
              <w:spacing w:after="0"/>
              <w:rPr>
                <w:sz w:val="20"/>
                <w:szCs w:val="20"/>
                <w:color w:val="auto"/>
              </w:rPr>
            </w:pPr>
            <w:r>
              <w:rPr>
                <w:rFonts w:ascii="Arial" w:cs="Arial" w:eastAsia="Arial" w:hAnsi="Arial"/>
                <w:sz w:val="12"/>
                <w:szCs w:val="12"/>
                <w:color w:val="auto"/>
              </w:rPr>
              <w:t>Deferred compensation liability</w:t>
            </w:r>
          </w:p>
        </w:tc>
        <w:tc>
          <w:tcPr>
            <w:tcW w:w="17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131</w:t>
            </w:r>
          </w:p>
        </w:tc>
        <w:tc>
          <w:tcPr>
            <w:tcW w:w="10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r>
      <w:tr>
        <w:trPr>
          <w:trHeight w:val="153"/>
        </w:trPr>
        <w:tc>
          <w:tcPr>
            <w:tcW w:w="6880" w:type="dxa"/>
            <w:vAlign w:val="bottom"/>
          </w:tcPr>
          <w:p>
            <w:pPr>
              <w:ind w:left="440"/>
              <w:spacing w:after="0"/>
              <w:rPr>
                <w:sz w:val="20"/>
                <w:szCs w:val="20"/>
                <w:color w:val="auto"/>
              </w:rPr>
            </w:pPr>
            <w:r>
              <w:rPr>
                <w:rFonts w:ascii="Arial" w:cs="Arial" w:eastAsia="Arial" w:hAnsi="Arial"/>
                <w:sz w:val="12"/>
                <w:szCs w:val="12"/>
                <w:color w:val="auto"/>
              </w:rPr>
              <w:t>Securitized debt, net (including $1,794 and $1,604 from VIEs, respectively)</w:t>
            </w:r>
          </w:p>
        </w:tc>
        <w:tc>
          <w:tcPr>
            <w:tcW w:w="17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1,775</w:t>
            </w:r>
          </w:p>
        </w:tc>
        <w:tc>
          <w:tcPr>
            <w:tcW w:w="100" w:type="dxa"/>
            <w:vAlign w:val="bottom"/>
          </w:tcPr>
          <w:p>
            <w:pPr>
              <w:spacing w:after="0"/>
              <w:rPr>
                <w:sz w:val="13"/>
                <w:szCs w:val="13"/>
                <w:color w:val="auto"/>
              </w:rPr>
            </w:pPr>
          </w:p>
        </w:tc>
        <w:tc>
          <w:tcPr>
            <w:tcW w:w="1800" w:type="dxa"/>
            <w:vAlign w:val="bottom"/>
          </w:tcPr>
          <w:p>
            <w:pPr>
              <w:spacing w:after="0"/>
              <w:rPr>
                <w:sz w:val="13"/>
                <w:szCs w:val="13"/>
                <w:color w:val="auto"/>
              </w:rPr>
            </w:pPr>
          </w:p>
        </w:tc>
      </w:tr>
      <w:tr>
        <w:trPr>
          <w:trHeight w:val="153"/>
        </w:trPr>
        <w:tc>
          <w:tcPr>
            <w:tcW w:w="6880" w:type="dxa"/>
            <w:vAlign w:val="bottom"/>
            <w:shd w:val="clear" w:color="auto" w:fill="CCEEFF"/>
          </w:tcPr>
          <w:p>
            <w:pPr>
              <w:ind w:left="440"/>
              <w:spacing w:after="0"/>
              <w:rPr>
                <w:sz w:val="20"/>
                <w:szCs w:val="20"/>
                <w:color w:val="auto"/>
              </w:rPr>
            </w:pPr>
            <w:r>
              <w:rPr>
                <w:rFonts w:ascii="Arial" w:cs="Arial" w:eastAsia="Arial" w:hAnsi="Arial"/>
                <w:sz w:val="12"/>
                <w:szCs w:val="12"/>
                <w:color w:val="auto"/>
              </w:rPr>
              <w:t>Debt, net</w:t>
            </w:r>
          </w:p>
        </w:tc>
        <w:tc>
          <w:tcPr>
            <w:tcW w:w="17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3,528</w:t>
            </w:r>
          </w:p>
        </w:tc>
        <w:tc>
          <w:tcPr>
            <w:tcW w:w="10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r>
      <w:tr>
        <w:trPr>
          <w:trHeight w:val="153"/>
        </w:trPr>
        <w:tc>
          <w:tcPr>
            <w:tcW w:w="6880" w:type="dxa"/>
            <w:vAlign w:val="bottom"/>
          </w:tcPr>
          <w:p>
            <w:pPr>
              <w:ind w:left="440"/>
              <w:spacing w:after="0"/>
              <w:rPr>
                <w:sz w:val="20"/>
                <w:szCs w:val="20"/>
                <w:color w:val="auto"/>
              </w:rPr>
            </w:pPr>
            <w:r>
              <w:rPr>
                <w:rFonts w:ascii="Arial" w:cs="Arial" w:eastAsia="Arial" w:hAnsi="Arial"/>
                <w:sz w:val="12"/>
                <w:szCs w:val="12"/>
                <w:color w:val="auto"/>
              </w:rPr>
              <w:t>Other</w:t>
            </w:r>
          </w:p>
        </w:tc>
        <w:tc>
          <w:tcPr>
            <w:tcW w:w="17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199</w:t>
            </w:r>
          </w:p>
        </w:tc>
        <w:tc>
          <w:tcPr>
            <w:tcW w:w="100" w:type="dxa"/>
            <w:vAlign w:val="bottom"/>
          </w:tcPr>
          <w:p>
            <w:pPr>
              <w:spacing w:after="0"/>
              <w:rPr>
                <w:sz w:val="13"/>
                <w:szCs w:val="13"/>
                <w:color w:val="auto"/>
              </w:rPr>
            </w:pPr>
          </w:p>
        </w:tc>
        <w:tc>
          <w:tcPr>
            <w:tcW w:w="1800" w:type="dxa"/>
            <w:vAlign w:val="bottom"/>
          </w:tcPr>
          <w:p>
            <w:pPr>
              <w:spacing w:after="0"/>
              <w:rPr>
                <w:sz w:val="13"/>
                <w:szCs w:val="13"/>
                <w:color w:val="auto"/>
              </w:rPr>
            </w:pPr>
          </w:p>
        </w:tc>
      </w:tr>
      <w:tr>
        <w:trPr>
          <w:trHeight w:val="153"/>
        </w:trPr>
        <w:tc>
          <w:tcPr>
            <w:tcW w:w="6880" w:type="dxa"/>
            <w:vAlign w:val="bottom"/>
            <w:shd w:val="clear" w:color="auto" w:fill="CCEEFF"/>
          </w:tcPr>
          <w:p>
            <w:pPr>
              <w:ind w:left="440"/>
              <w:spacing w:after="0"/>
              <w:rPr>
                <w:sz w:val="20"/>
                <w:szCs w:val="20"/>
                <w:color w:val="auto"/>
              </w:rPr>
            </w:pPr>
            <w:r>
              <w:rPr>
                <w:rFonts w:ascii="Arial" w:cs="Arial" w:eastAsia="Arial" w:hAnsi="Arial"/>
                <w:sz w:val="12"/>
                <w:szCs w:val="12"/>
                <w:color w:val="auto"/>
              </w:rPr>
              <w:t>Deferred taxes</w:t>
            </w:r>
          </w:p>
        </w:tc>
        <w:tc>
          <w:tcPr>
            <w:tcW w:w="170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347</w:t>
            </w:r>
          </w:p>
        </w:tc>
        <w:tc>
          <w:tcPr>
            <w:tcW w:w="100" w:type="dxa"/>
            <w:vAlign w:val="bottom"/>
            <w:shd w:val="clear" w:color="auto" w:fill="CCEEFF"/>
          </w:tcPr>
          <w:p>
            <w:pPr>
              <w:spacing w:after="0"/>
              <w:rPr>
                <w:sz w:val="13"/>
                <w:szCs w:val="13"/>
                <w:color w:val="auto"/>
              </w:rPr>
            </w:pPr>
          </w:p>
        </w:tc>
        <w:tc>
          <w:tcPr>
            <w:tcW w:w="1800" w:type="dxa"/>
            <w:vAlign w:val="bottom"/>
            <w:tcBorders>
              <w:bottom w:val="single" w:sz="8" w:color="auto"/>
            </w:tcBorders>
            <w:shd w:val="clear" w:color="auto" w:fill="CCEEFF"/>
          </w:tcPr>
          <w:p>
            <w:pPr>
              <w:spacing w:after="0"/>
              <w:rPr>
                <w:sz w:val="13"/>
                <w:szCs w:val="13"/>
                <w:color w:val="auto"/>
              </w:rPr>
            </w:pPr>
          </w:p>
        </w:tc>
      </w:tr>
      <w:tr>
        <w:trPr>
          <w:trHeight w:val="142"/>
        </w:trPr>
        <w:tc>
          <w:tcPr>
            <w:tcW w:w="6880" w:type="dxa"/>
            <w:vAlign w:val="bottom"/>
            <w:tcBorders>
              <w:bottom w:val="single" w:sz="8" w:color="CCEEFF"/>
            </w:tcBorders>
          </w:tcPr>
          <w:p>
            <w:pPr>
              <w:ind w:left="740"/>
              <w:spacing w:after="0"/>
              <w:rPr>
                <w:sz w:val="20"/>
                <w:szCs w:val="20"/>
                <w:color w:val="auto"/>
              </w:rPr>
            </w:pPr>
            <w:r>
              <w:rPr>
                <w:rFonts w:ascii="Arial" w:cs="Arial" w:eastAsia="Arial" w:hAnsi="Arial"/>
                <w:sz w:val="12"/>
                <w:szCs w:val="12"/>
                <w:b w:val="1"/>
                <w:bCs w:val="1"/>
                <w:color w:val="auto"/>
              </w:rPr>
              <w:t>TOTAL LIABILITIES</w:t>
            </w:r>
          </w:p>
        </w:tc>
        <w:tc>
          <w:tcPr>
            <w:tcW w:w="17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7,402</w:t>
            </w:r>
          </w:p>
        </w:tc>
        <w:tc>
          <w:tcPr>
            <w:tcW w:w="100" w:type="dxa"/>
            <w:vAlign w:val="bottom"/>
            <w:tcBorders>
              <w:bottom w:val="single" w:sz="8" w:color="CCEEFF"/>
            </w:tcBorders>
          </w:tcPr>
          <w:p>
            <w:pPr>
              <w:spacing w:after="0"/>
              <w:rPr>
                <w:sz w:val="12"/>
                <w:szCs w:val="12"/>
                <w:color w:val="auto"/>
              </w:rPr>
            </w:pPr>
          </w:p>
        </w:tc>
        <w:tc>
          <w:tcPr>
            <w:tcW w:w="1800" w:type="dxa"/>
            <w:vAlign w:val="bottom"/>
            <w:tcBorders>
              <w:bottom w:val="single" w:sz="8" w:color="auto"/>
            </w:tcBorders>
          </w:tcPr>
          <w:p>
            <w:pPr>
              <w:spacing w:after="0"/>
              <w:rPr>
                <w:sz w:val="12"/>
                <w:szCs w:val="12"/>
                <w:color w:val="auto"/>
              </w:rPr>
            </w:pPr>
          </w:p>
        </w:tc>
      </w:tr>
      <w:tr>
        <w:trPr>
          <w:trHeight w:val="133"/>
        </w:trPr>
        <w:tc>
          <w:tcPr>
            <w:tcW w:w="6880" w:type="dxa"/>
            <w:vAlign w:val="bottom"/>
            <w:shd w:val="clear" w:color="auto" w:fill="CCEEFF"/>
          </w:tcPr>
          <w:p>
            <w:pPr>
              <w:ind w:left="440"/>
              <w:spacing w:after="0" w:line="133" w:lineRule="exact"/>
              <w:rPr>
                <w:sz w:val="20"/>
                <w:szCs w:val="20"/>
                <w:color w:val="auto"/>
              </w:rPr>
            </w:pPr>
            <w:r>
              <w:rPr>
                <w:rFonts w:ascii="Arial" w:cs="Arial" w:eastAsia="Arial" w:hAnsi="Arial"/>
                <w:sz w:val="12"/>
                <w:szCs w:val="12"/>
                <w:color w:val="auto"/>
              </w:rPr>
              <w:t>Contingencies and Commitments (Note 11)</w:t>
            </w:r>
          </w:p>
        </w:tc>
        <w:tc>
          <w:tcPr>
            <w:tcW w:w="17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r>
      <w:tr>
        <w:trPr>
          <w:trHeight w:val="153"/>
        </w:trPr>
        <w:tc>
          <w:tcPr>
            <w:tcW w:w="6880" w:type="dxa"/>
            <w:vAlign w:val="bottom"/>
          </w:tcPr>
          <w:p>
            <w:pPr>
              <w:ind w:left="440"/>
              <w:spacing w:after="0"/>
              <w:rPr>
                <w:sz w:val="20"/>
                <w:szCs w:val="20"/>
                <w:color w:val="auto"/>
              </w:rPr>
            </w:pPr>
            <w:r>
              <w:rPr>
                <w:rFonts w:ascii="Arial" w:cs="Arial" w:eastAsia="Arial" w:hAnsi="Arial"/>
                <w:sz w:val="12"/>
                <w:szCs w:val="12"/>
                <w:color w:val="auto"/>
              </w:rPr>
              <w:t>Preferred stock — $0.01 par value; 2,000,000 shares authorized; none issued or outstanding</w:t>
            </w:r>
          </w:p>
        </w:tc>
        <w:tc>
          <w:tcPr>
            <w:tcW w:w="170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0" w:type="dxa"/>
            <w:vAlign w:val="bottom"/>
          </w:tcPr>
          <w:p>
            <w:pPr>
              <w:spacing w:after="0"/>
              <w:rPr>
                <w:sz w:val="13"/>
                <w:szCs w:val="13"/>
                <w:color w:val="auto"/>
              </w:rPr>
            </w:pPr>
          </w:p>
        </w:tc>
      </w:tr>
      <w:tr>
        <w:trPr>
          <w:trHeight w:val="153"/>
        </w:trPr>
        <w:tc>
          <w:tcPr>
            <w:tcW w:w="6880" w:type="dxa"/>
            <w:vAlign w:val="bottom"/>
            <w:shd w:val="clear" w:color="auto" w:fill="CCEEFF"/>
          </w:tcPr>
          <w:p>
            <w:pPr>
              <w:ind w:left="440"/>
              <w:spacing w:after="0"/>
              <w:rPr>
                <w:sz w:val="20"/>
                <w:szCs w:val="20"/>
                <w:color w:val="auto"/>
              </w:rPr>
            </w:pPr>
            <w:r>
              <w:rPr>
                <w:rFonts w:ascii="Arial" w:cs="Arial" w:eastAsia="Arial" w:hAnsi="Arial"/>
                <w:sz w:val="12"/>
                <w:szCs w:val="12"/>
                <w:color w:val="auto"/>
                <w:w w:val="98"/>
              </w:rPr>
              <w:t>Common stock — $0.01 par value; 100,000,000 shares authorized; 75,457,876 and 75,279,061 shares issued, respectively</w:t>
            </w:r>
          </w:p>
        </w:tc>
        <w:tc>
          <w:tcPr>
            <w:tcW w:w="17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r>
      <w:tr>
        <w:trPr>
          <w:trHeight w:val="153"/>
        </w:trPr>
        <w:tc>
          <w:tcPr>
            <w:tcW w:w="6880" w:type="dxa"/>
            <w:vAlign w:val="bottom"/>
          </w:tcPr>
          <w:p>
            <w:pPr>
              <w:ind w:left="440"/>
              <w:spacing w:after="0"/>
              <w:rPr>
                <w:sz w:val="20"/>
                <w:szCs w:val="20"/>
                <w:color w:val="auto"/>
              </w:rPr>
            </w:pPr>
            <w:r>
              <w:rPr>
                <w:rFonts w:ascii="Arial" w:cs="Arial" w:eastAsia="Arial" w:hAnsi="Arial"/>
                <w:sz w:val="12"/>
                <w:szCs w:val="12"/>
                <w:color w:val="auto"/>
              </w:rPr>
              <w:t>Treasury stock — at cost; 32,751,166 and 34,184,813 shares, respectively</w:t>
            </w:r>
          </w:p>
        </w:tc>
        <w:tc>
          <w:tcPr>
            <w:tcW w:w="17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(1,278)</w:t>
            </w:r>
          </w:p>
        </w:tc>
        <w:tc>
          <w:tcPr>
            <w:tcW w:w="100" w:type="dxa"/>
            <w:vAlign w:val="bottom"/>
          </w:tcPr>
          <w:p>
            <w:pPr>
              <w:spacing w:after="0"/>
              <w:rPr>
                <w:sz w:val="13"/>
                <w:szCs w:val="13"/>
                <w:color w:val="auto"/>
              </w:rPr>
            </w:pPr>
          </w:p>
        </w:tc>
        <w:tc>
          <w:tcPr>
            <w:tcW w:w="1800" w:type="dxa"/>
            <w:vAlign w:val="bottom"/>
          </w:tcPr>
          <w:p>
            <w:pPr>
              <w:spacing w:after="0"/>
              <w:rPr>
                <w:sz w:val="13"/>
                <w:szCs w:val="13"/>
                <w:color w:val="auto"/>
              </w:rPr>
            </w:pPr>
          </w:p>
        </w:tc>
      </w:tr>
      <w:tr>
        <w:trPr>
          <w:trHeight w:val="153"/>
        </w:trPr>
        <w:tc>
          <w:tcPr>
            <w:tcW w:w="6880" w:type="dxa"/>
            <w:vAlign w:val="bottom"/>
            <w:shd w:val="clear" w:color="auto" w:fill="CCEEFF"/>
          </w:tcPr>
          <w:p>
            <w:pPr>
              <w:ind w:left="440"/>
              <w:spacing w:after="0"/>
              <w:rPr>
                <w:sz w:val="20"/>
                <w:szCs w:val="20"/>
                <w:color w:val="auto"/>
              </w:rPr>
            </w:pPr>
            <w:r>
              <w:rPr>
                <w:rFonts w:ascii="Arial" w:cs="Arial" w:eastAsia="Arial" w:hAnsi="Arial"/>
                <w:sz w:val="12"/>
                <w:szCs w:val="12"/>
                <w:color w:val="auto"/>
              </w:rPr>
              <w:t>Additional paid-in capital</w:t>
            </w:r>
          </w:p>
        </w:tc>
        <w:tc>
          <w:tcPr>
            <w:tcW w:w="17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4,047</w:t>
            </w:r>
          </w:p>
        </w:tc>
        <w:tc>
          <w:tcPr>
            <w:tcW w:w="10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r>
      <w:tr>
        <w:trPr>
          <w:trHeight w:val="153"/>
        </w:trPr>
        <w:tc>
          <w:tcPr>
            <w:tcW w:w="6880" w:type="dxa"/>
            <w:vAlign w:val="bottom"/>
          </w:tcPr>
          <w:p>
            <w:pPr>
              <w:ind w:left="440"/>
              <w:spacing w:after="0"/>
              <w:rPr>
                <w:sz w:val="20"/>
                <w:szCs w:val="20"/>
                <w:color w:val="auto"/>
              </w:rPr>
            </w:pPr>
            <w:r>
              <w:rPr>
                <w:rFonts w:ascii="Arial" w:cs="Arial" w:eastAsia="Arial" w:hAnsi="Arial"/>
                <w:sz w:val="12"/>
                <w:szCs w:val="12"/>
                <w:color w:val="auto"/>
              </w:rPr>
              <w:t>Accumulated other comprehensive loss</w:t>
            </w:r>
          </w:p>
        </w:tc>
        <w:tc>
          <w:tcPr>
            <w:tcW w:w="17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(38)</w:t>
            </w:r>
          </w:p>
        </w:tc>
        <w:tc>
          <w:tcPr>
            <w:tcW w:w="100" w:type="dxa"/>
            <w:vAlign w:val="bottom"/>
          </w:tcPr>
          <w:p>
            <w:pPr>
              <w:spacing w:after="0"/>
              <w:rPr>
                <w:sz w:val="13"/>
                <w:szCs w:val="13"/>
                <w:color w:val="auto"/>
              </w:rPr>
            </w:pPr>
          </w:p>
        </w:tc>
        <w:tc>
          <w:tcPr>
            <w:tcW w:w="1800" w:type="dxa"/>
            <w:vAlign w:val="bottom"/>
          </w:tcPr>
          <w:p>
            <w:pPr>
              <w:spacing w:after="0"/>
              <w:rPr>
                <w:sz w:val="13"/>
                <w:szCs w:val="13"/>
                <w:color w:val="auto"/>
              </w:rPr>
            </w:pPr>
          </w:p>
        </w:tc>
      </w:tr>
      <w:tr>
        <w:trPr>
          <w:trHeight w:val="153"/>
        </w:trPr>
        <w:tc>
          <w:tcPr>
            <w:tcW w:w="6880" w:type="dxa"/>
            <w:vAlign w:val="bottom"/>
            <w:shd w:val="clear" w:color="auto" w:fill="CCEEFF"/>
          </w:tcPr>
          <w:p>
            <w:pPr>
              <w:ind w:left="440"/>
              <w:spacing w:after="0"/>
              <w:rPr>
                <w:sz w:val="20"/>
                <w:szCs w:val="20"/>
                <w:color w:val="auto"/>
              </w:rPr>
            </w:pPr>
            <w:r>
              <w:rPr>
                <w:rFonts w:ascii="Arial" w:cs="Arial" w:eastAsia="Arial" w:hAnsi="Arial"/>
                <w:sz w:val="12"/>
                <w:szCs w:val="12"/>
                <w:color w:val="auto"/>
              </w:rPr>
              <w:t>Retained earnings</w:t>
            </w:r>
          </w:p>
        </w:tc>
        <w:tc>
          <w:tcPr>
            <w:tcW w:w="170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250</w:t>
            </w:r>
          </w:p>
        </w:tc>
        <w:tc>
          <w:tcPr>
            <w:tcW w:w="100" w:type="dxa"/>
            <w:vAlign w:val="bottom"/>
            <w:shd w:val="clear" w:color="auto" w:fill="CCEEFF"/>
          </w:tcPr>
          <w:p>
            <w:pPr>
              <w:spacing w:after="0"/>
              <w:rPr>
                <w:sz w:val="13"/>
                <w:szCs w:val="13"/>
                <w:color w:val="auto"/>
              </w:rPr>
            </w:pPr>
          </w:p>
        </w:tc>
        <w:tc>
          <w:tcPr>
            <w:tcW w:w="1800" w:type="dxa"/>
            <w:vAlign w:val="bottom"/>
            <w:tcBorders>
              <w:bottom w:val="single" w:sz="8" w:color="auto"/>
            </w:tcBorders>
            <w:shd w:val="clear" w:color="auto" w:fill="CCEEFF"/>
          </w:tcPr>
          <w:p>
            <w:pPr>
              <w:spacing w:after="0"/>
              <w:rPr>
                <w:sz w:val="13"/>
                <w:szCs w:val="13"/>
                <w:color w:val="auto"/>
              </w:rPr>
            </w:pPr>
          </w:p>
        </w:tc>
      </w:tr>
      <w:tr>
        <w:trPr>
          <w:trHeight w:val="142"/>
        </w:trPr>
        <w:tc>
          <w:tcPr>
            <w:tcW w:w="6880" w:type="dxa"/>
            <w:vAlign w:val="bottom"/>
          </w:tcPr>
          <w:p>
            <w:pPr>
              <w:ind w:left="740"/>
              <w:spacing w:after="0"/>
              <w:rPr>
                <w:sz w:val="20"/>
                <w:szCs w:val="20"/>
                <w:color w:val="auto"/>
              </w:rPr>
            </w:pPr>
            <w:r>
              <w:rPr>
                <w:rFonts w:ascii="Arial" w:cs="Arial" w:eastAsia="Arial" w:hAnsi="Arial"/>
                <w:sz w:val="12"/>
                <w:szCs w:val="12"/>
                <w:b w:val="1"/>
                <w:bCs w:val="1"/>
                <w:color w:val="auto"/>
              </w:rPr>
              <w:t>TOTAL MVW SHAREHOLDERS' EQUITY</w:t>
            </w:r>
          </w:p>
        </w:tc>
        <w:tc>
          <w:tcPr>
            <w:tcW w:w="17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2,982</w:t>
            </w:r>
          </w:p>
        </w:tc>
        <w:tc>
          <w:tcPr>
            <w:tcW w:w="100" w:type="dxa"/>
            <w:vAlign w:val="bottom"/>
          </w:tcPr>
          <w:p>
            <w:pPr>
              <w:spacing w:after="0"/>
              <w:rPr>
                <w:sz w:val="12"/>
                <w:szCs w:val="12"/>
                <w:color w:val="auto"/>
              </w:rPr>
            </w:pPr>
          </w:p>
        </w:tc>
        <w:tc>
          <w:tcPr>
            <w:tcW w:w="1800" w:type="dxa"/>
            <w:vAlign w:val="bottom"/>
          </w:tcPr>
          <w:p>
            <w:pPr>
              <w:spacing w:after="0"/>
              <w:rPr>
                <w:sz w:val="12"/>
                <w:szCs w:val="12"/>
                <w:color w:val="auto"/>
              </w:rPr>
            </w:pPr>
          </w:p>
        </w:tc>
      </w:tr>
      <w:tr>
        <w:trPr>
          <w:trHeight w:val="153"/>
        </w:trPr>
        <w:tc>
          <w:tcPr>
            <w:tcW w:w="6880" w:type="dxa"/>
            <w:vAlign w:val="bottom"/>
            <w:shd w:val="clear" w:color="auto" w:fill="CCEEFF"/>
          </w:tcPr>
          <w:p>
            <w:pPr>
              <w:ind w:left="440"/>
              <w:spacing w:after="0"/>
              <w:rPr>
                <w:sz w:val="20"/>
                <w:szCs w:val="20"/>
                <w:color w:val="auto"/>
              </w:rPr>
            </w:pPr>
            <w:r>
              <w:rPr>
                <w:rFonts w:ascii="Arial" w:cs="Arial" w:eastAsia="Arial" w:hAnsi="Arial"/>
                <w:sz w:val="12"/>
                <w:szCs w:val="12"/>
                <w:color w:val="auto"/>
              </w:rPr>
              <w:t>Noncontrolling interests</w:t>
            </w:r>
          </w:p>
        </w:tc>
        <w:tc>
          <w:tcPr>
            <w:tcW w:w="170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w:t>
            </w:r>
          </w:p>
        </w:tc>
        <w:tc>
          <w:tcPr>
            <w:tcW w:w="100" w:type="dxa"/>
            <w:vAlign w:val="bottom"/>
            <w:shd w:val="clear" w:color="auto" w:fill="CCEEFF"/>
          </w:tcPr>
          <w:p>
            <w:pPr>
              <w:spacing w:after="0"/>
              <w:rPr>
                <w:sz w:val="13"/>
                <w:szCs w:val="13"/>
                <w:color w:val="auto"/>
              </w:rPr>
            </w:pPr>
          </w:p>
        </w:tc>
        <w:tc>
          <w:tcPr>
            <w:tcW w:w="1800" w:type="dxa"/>
            <w:vAlign w:val="bottom"/>
            <w:tcBorders>
              <w:bottom w:val="single" w:sz="8" w:color="auto"/>
            </w:tcBorders>
            <w:shd w:val="clear" w:color="auto" w:fill="CCEEFF"/>
          </w:tcPr>
          <w:p>
            <w:pPr>
              <w:spacing w:after="0"/>
              <w:rPr>
                <w:sz w:val="13"/>
                <w:szCs w:val="13"/>
                <w:color w:val="auto"/>
              </w:rPr>
            </w:pPr>
          </w:p>
        </w:tc>
      </w:tr>
      <w:tr>
        <w:trPr>
          <w:trHeight w:val="142"/>
        </w:trPr>
        <w:tc>
          <w:tcPr>
            <w:tcW w:w="6880" w:type="dxa"/>
            <w:vAlign w:val="bottom"/>
            <w:tcBorders>
              <w:bottom w:val="single" w:sz="8" w:color="CCEEFF"/>
            </w:tcBorders>
          </w:tcPr>
          <w:p>
            <w:pPr>
              <w:ind w:left="740"/>
              <w:spacing w:after="0"/>
              <w:rPr>
                <w:sz w:val="20"/>
                <w:szCs w:val="20"/>
                <w:color w:val="auto"/>
              </w:rPr>
            </w:pPr>
            <w:r>
              <w:rPr>
                <w:rFonts w:ascii="Arial" w:cs="Arial" w:eastAsia="Arial" w:hAnsi="Arial"/>
                <w:sz w:val="12"/>
                <w:szCs w:val="12"/>
                <w:b w:val="1"/>
                <w:bCs w:val="1"/>
                <w:color w:val="auto"/>
              </w:rPr>
              <w:t>TOTAL EQUITY</w:t>
            </w:r>
          </w:p>
        </w:tc>
        <w:tc>
          <w:tcPr>
            <w:tcW w:w="17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3,012</w:t>
            </w:r>
          </w:p>
        </w:tc>
        <w:tc>
          <w:tcPr>
            <w:tcW w:w="100" w:type="dxa"/>
            <w:vAlign w:val="bottom"/>
            <w:tcBorders>
              <w:bottom w:val="single" w:sz="8" w:color="CCEEFF"/>
            </w:tcBorders>
          </w:tcPr>
          <w:p>
            <w:pPr>
              <w:spacing w:after="0"/>
              <w:rPr>
                <w:sz w:val="12"/>
                <w:szCs w:val="12"/>
                <w:color w:val="auto"/>
              </w:rPr>
            </w:pPr>
          </w:p>
        </w:tc>
        <w:tc>
          <w:tcPr>
            <w:tcW w:w="1800" w:type="dxa"/>
            <w:vAlign w:val="bottom"/>
            <w:tcBorders>
              <w:bottom w:val="single" w:sz="8" w:color="auto"/>
            </w:tcBorders>
          </w:tcPr>
          <w:p>
            <w:pPr>
              <w:spacing w:after="0"/>
              <w:rPr>
                <w:sz w:val="12"/>
                <w:szCs w:val="12"/>
                <w:color w:val="auto"/>
              </w:rPr>
            </w:pPr>
          </w:p>
        </w:tc>
      </w:tr>
      <w:tr>
        <w:trPr>
          <w:trHeight w:val="158"/>
        </w:trPr>
        <w:tc>
          <w:tcPr>
            <w:tcW w:w="688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2"/>
                <w:szCs w:val="12"/>
                <w:b w:val="1"/>
                <w:bCs w:val="1"/>
                <w:color w:val="auto"/>
              </w:rPr>
              <w:t>TOTAL LIABILITIES AND EQUITY</w:t>
            </w:r>
          </w:p>
        </w:tc>
        <w:tc>
          <w:tcPr>
            <w:tcW w:w="1700" w:type="dxa"/>
            <w:vAlign w:val="bottom"/>
            <w:tcBorders>
              <w:bottom w:val="single" w:sz="8" w:color="auto"/>
            </w:tcBorders>
            <w:shd w:val="clear" w:color="auto" w:fill="CCEEFF"/>
          </w:tcPr>
          <w:p>
            <w:pPr>
              <w:jc w:val="right"/>
              <w:ind w:right="1142"/>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10,414</w:t>
            </w:r>
          </w:p>
        </w:tc>
        <w:tc>
          <w:tcPr>
            <w:tcW w:w="100" w:type="dxa"/>
            <w:vAlign w:val="bottom"/>
            <w:tcBorders>
              <w:bottom w:val="single" w:sz="8" w:color="CCEEFF"/>
            </w:tcBorders>
            <w:shd w:val="clear" w:color="auto" w:fill="CCEEFF"/>
          </w:tcPr>
          <w:p>
            <w:pPr>
              <w:spacing w:after="0"/>
              <w:rPr>
                <w:sz w:val="13"/>
                <w:szCs w:val="13"/>
                <w:color w:val="auto"/>
              </w:rPr>
            </w:pPr>
          </w:p>
        </w:tc>
        <w:tc>
          <w:tcPr>
            <w:tcW w:w="1800" w:type="dxa"/>
            <w:vAlign w:val="bottom"/>
            <w:tcBorders>
              <w:bottom w:val="single" w:sz="8" w:color="auto"/>
            </w:tcBorders>
            <w:shd w:val="clear" w:color="auto" w:fill="CCEEFF"/>
          </w:tcPr>
          <w:p>
            <w:pPr>
              <w:jc w:val="right"/>
              <w:ind w:right="1241"/>
              <w:spacing w:after="0"/>
              <w:rPr>
                <w:sz w:val="20"/>
                <w:szCs w:val="20"/>
                <w:color w:val="auto"/>
              </w:rPr>
            </w:pPr>
            <w:r>
              <w:rPr>
                <w:rFonts w:ascii="Arial" w:cs="Arial" w:eastAsia="Arial" w:hAnsi="Arial"/>
                <w:sz w:val="12"/>
                <w:szCs w:val="12"/>
                <w:color w:val="auto"/>
              </w:rPr>
              <w:t>$</w:t>
            </w:r>
          </w:p>
        </w:tc>
      </w:tr>
    </w:tbl>
    <w:p>
      <w:pPr>
        <w:spacing w:after="0" w:line="10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The abbreviation VIEs above means Variable Interest Entities.</w:t>
      </w:r>
    </w:p>
    <w:p>
      <w:pPr>
        <w:spacing w:after="0" w:line="146" w:lineRule="exact"/>
        <w:rPr>
          <w:sz w:val="20"/>
          <w:szCs w:val="20"/>
          <w:color w:val="auto"/>
        </w:rPr>
      </w:pPr>
    </w:p>
    <w:p>
      <w:pPr>
        <w:ind w:left="4220"/>
        <w:spacing w:after="0"/>
        <w:rPr>
          <w:sz w:val="20"/>
          <w:szCs w:val="20"/>
          <w:color w:val="auto"/>
        </w:rPr>
      </w:pPr>
      <w:r>
        <w:rPr>
          <w:rFonts w:ascii="Arial" w:cs="Arial" w:eastAsia="Arial" w:hAnsi="Arial"/>
          <w:sz w:val="12"/>
          <w:szCs w:val="12"/>
          <w:b w:val="1"/>
          <w:bCs w:val="1"/>
          <w:color w:val="auto"/>
        </w:rPr>
        <w:t>See Notes to Interim Consolidated Financial Statements</w:t>
      </w:r>
    </w:p>
    <w:p>
      <w:pPr>
        <w:spacing w:after="0" w:line="145" w:lineRule="exact"/>
        <w:rPr>
          <w:sz w:val="20"/>
          <w:szCs w:val="20"/>
          <w:color w:val="auto"/>
        </w:rPr>
      </w:pPr>
    </w:p>
    <w:p>
      <w:pPr>
        <w:ind w:left="5840"/>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191135</wp:posOffset>
            </wp:positionV>
            <wp:extent cx="7203440"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60"/>
          </w:cols>
          <w:pgMar w:left="300" w:top="203" w:right="239" w:bottom="1440" w:gutter="0" w:footer="0" w:header="0"/>
        </w:sectPr>
      </w:pPr>
    </w:p>
    <w:bookmarkStart w:id="5" w:name="page6"/>
    <w:bookmarkEnd w:id="5"/>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371" w:lineRule="exact"/>
        <w:rPr>
          <w:sz w:val="20"/>
          <w:szCs w:val="20"/>
          <w:color w:val="auto"/>
        </w:rPr>
      </w:pPr>
    </w:p>
    <w:p>
      <w:pPr>
        <w:jc w:val="center"/>
        <w:ind w:left="420"/>
        <w:spacing w:after="0"/>
        <w:rPr>
          <w:sz w:val="20"/>
          <w:szCs w:val="20"/>
          <w:color w:val="auto"/>
        </w:rPr>
      </w:pPr>
      <w:r>
        <w:rPr>
          <w:rFonts w:ascii="Arial" w:cs="Arial" w:eastAsia="Arial" w:hAnsi="Arial"/>
          <w:sz w:val="12"/>
          <w:szCs w:val="12"/>
          <w:b w:val="1"/>
          <w:bCs w:val="1"/>
          <w:color w:val="auto"/>
        </w:rPr>
        <w:t>MARRIOTT VACATIONS WORLDWIDE CORPORATION</w:t>
      </w:r>
    </w:p>
    <w:p>
      <w:pPr>
        <w:spacing w:after="0" w:line="19" w:lineRule="exact"/>
        <w:rPr>
          <w:sz w:val="20"/>
          <w:szCs w:val="20"/>
          <w:color w:val="auto"/>
        </w:rPr>
      </w:pPr>
    </w:p>
    <w:p>
      <w:pPr>
        <w:jc w:val="center"/>
        <w:ind w:left="420"/>
        <w:spacing w:after="0"/>
        <w:rPr>
          <w:sz w:val="20"/>
          <w:szCs w:val="20"/>
          <w:color w:val="auto"/>
        </w:rPr>
      </w:pPr>
      <w:r>
        <w:rPr>
          <w:rFonts w:ascii="Arial" w:cs="Arial" w:eastAsia="Arial" w:hAnsi="Arial"/>
          <w:sz w:val="12"/>
          <w:szCs w:val="12"/>
          <w:b w:val="1"/>
          <w:bCs w:val="1"/>
          <w:color w:val="auto"/>
        </w:rPr>
        <w:t>INTERIM CONSOLIDATED STATEMENTS OF CASH FLOWS</w:t>
      </w:r>
    </w:p>
    <w:p>
      <w:pPr>
        <w:spacing w:after="0" w:line="6" w:lineRule="exact"/>
        <w:rPr>
          <w:sz w:val="20"/>
          <w:szCs w:val="20"/>
          <w:color w:val="auto"/>
        </w:rPr>
      </w:pPr>
    </w:p>
    <w:p>
      <w:pPr>
        <w:jc w:val="center"/>
        <w:ind w:left="420"/>
        <w:spacing w:after="0"/>
        <w:rPr>
          <w:sz w:val="20"/>
          <w:szCs w:val="20"/>
          <w:color w:val="auto"/>
        </w:rPr>
      </w:pPr>
      <w:r>
        <w:rPr>
          <w:rFonts w:ascii="Arial" w:cs="Arial" w:eastAsia="Arial" w:hAnsi="Arial"/>
          <w:sz w:val="12"/>
          <w:szCs w:val="12"/>
          <w:color w:val="auto"/>
        </w:rPr>
        <w:t>(In millions)</w:t>
      </w:r>
    </w:p>
    <w:p>
      <w:pPr>
        <w:spacing w:after="0" w:line="6" w:lineRule="exact"/>
        <w:rPr>
          <w:sz w:val="20"/>
          <w:szCs w:val="20"/>
          <w:color w:val="auto"/>
        </w:rPr>
      </w:pPr>
    </w:p>
    <w:p>
      <w:pPr>
        <w:jc w:val="center"/>
        <w:ind w:left="420"/>
        <w:spacing w:after="0"/>
        <w:rPr>
          <w:sz w:val="20"/>
          <w:szCs w:val="20"/>
          <w:color w:val="auto"/>
        </w:rPr>
      </w:pPr>
      <w:r>
        <w:rPr>
          <w:rFonts w:ascii="Arial" w:cs="Arial" w:eastAsia="Arial" w:hAnsi="Arial"/>
          <w:sz w:val="12"/>
          <w:szCs w:val="12"/>
          <w:color w:val="auto"/>
        </w:rPr>
        <w:t>(Unaudited)</w:t>
      </w:r>
    </w:p>
    <w:p>
      <w:pPr>
        <w:spacing w:after="0" w:line="96" w:lineRule="exact"/>
        <w:rPr>
          <w:sz w:val="20"/>
          <w:szCs w:val="20"/>
          <w:color w:val="auto"/>
        </w:rPr>
      </w:pPr>
    </w:p>
    <w:tbl>
      <w:tblPr>
        <w:tblLayout w:type="fixed"/>
        <w:tblInd w:w="420" w:type="dxa"/>
        <w:tblCellMar>
          <w:top w:w="0" w:type="dxa"/>
          <w:left w:w="0" w:type="dxa"/>
          <w:bottom w:w="0" w:type="dxa"/>
          <w:right w:w="0" w:type="dxa"/>
        </w:tblCellMar>
      </w:tblPr>
      <w:tr>
        <w:trPr>
          <w:trHeight w:val="142"/>
        </w:trPr>
        <w:tc>
          <w:tcPr>
            <w:tcW w:w="7460" w:type="dxa"/>
            <w:vAlign w:val="bottom"/>
          </w:tcPr>
          <w:p>
            <w:pPr>
              <w:spacing w:after="0"/>
              <w:rPr>
                <w:sz w:val="12"/>
                <w:szCs w:val="12"/>
                <w:color w:val="auto"/>
              </w:rPr>
            </w:pPr>
          </w:p>
        </w:tc>
        <w:tc>
          <w:tcPr>
            <w:tcW w:w="154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gridSpan w:val="3"/>
          </w:tcPr>
          <w:p>
            <w:pPr>
              <w:jc w:val="right"/>
              <w:ind w:right="863"/>
              <w:spacing w:after="0"/>
              <w:rPr>
                <w:sz w:val="20"/>
                <w:szCs w:val="20"/>
                <w:color w:val="auto"/>
              </w:rPr>
            </w:pPr>
            <w:r>
              <w:rPr>
                <w:rFonts w:ascii="Arial" w:cs="Arial" w:eastAsia="Arial" w:hAnsi="Arial"/>
                <w:sz w:val="11"/>
                <w:szCs w:val="11"/>
                <w:b w:val="1"/>
                <w:bCs w:val="1"/>
                <w:color w:val="auto"/>
              </w:rPr>
              <w:t>Six Months Ended</w:t>
            </w:r>
          </w:p>
        </w:tc>
      </w:tr>
      <w:tr>
        <w:trPr>
          <w:trHeight w:val="133"/>
        </w:trPr>
        <w:tc>
          <w:tcPr>
            <w:tcW w:w="7460" w:type="dxa"/>
            <w:vAlign w:val="bottom"/>
            <w:tcBorders>
              <w:bottom w:val="single" w:sz="8" w:color="CCEEFF"/>
            </w:tcBorders>
          </w:tcPr>
          <w:p>
            <w:pPr>
              <w:spacing w:after="0"/>
              <w:rPr>
                <w:sz w:val="11"/>
                <w:szCs w:val="11"/>
                <w:color w:val="auto"/>
              </w:rPr>
            </w:pPr>
          </w:p>
        </w:tc>
        <w:tc>
          <w:tcPr>
            <w:tcW w:w="15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June 30, 2021</w:t>
            </w:r>
          </w:p>
        </w:tc>
        <w:tc>
          <w:tcPr>
            <w:tcW w:w="34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June 30, 2020</w:t>
            </w:r>
          </w:p>
        </w:tc>
      </w:tr>
      <w:tr>
        <w:trPr>
          <w:trHeight w:val="135"/>
        </w:trPr>
        <w:tc>
          <w:tcPr>
            <w:tcW w:w="7460" w:type="dxa"/>
            <w:vAlign w:val="bottom"/>
            <w:shd w:val="clear" w:color="auto" w:fill="CCEEFF"/>
          </w:tcPr>
          <w:p>
            <w:pPr>
              <w:ind w:left="440"/>
              <w:spacing w:after="0" w:line="135" w:lineRule="exact"/>
              <w:rPr>
                <w:sz w:val="20"/>
                <w:szCs w:val="20"/>
                <w:color w:val="auto"/>
              </w:rPr>
            </w:pPr>
            <w:r>
              <w:rPr>
                <w:rFonts w:ascii="Arial" w:cs="Arial" w:eastAsia="Arial" w:hAnsi="Arial"/>
                <w:sz w:val="12"/>
                <w:szCs w:val="12"/>
                <w:b w:val="1"/>
                <w:bCs w:val="1"/>
                <w:color w:val="auto"/>
              </w:rPr>
              <w:t>OPERATING ACTIVITIES</w:t>
            </w:r>
          </w:p>
        </w:tc>
        <w:tc>
          <w:tcPr>
            <w:tcW w:w="15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r>
      <w:tr>
        <w:trPr>
          <w:trHeight w:val="153"/>
        </w:trPr>
        <w:tc>
          <w:tcPr>
            <w:tcW w:w="7460" w:type="dxa"/>
            <w:vAlign w:val="bottom"/>
          </w:tcPr>
          <w:p>
            <w:pPr>
              <w:ind w:left="440"/>
              <w:spacing w:after="0"/>
              <w:rPr>
                <w:sz w:val="20"/>
                <w:szCs w:val="20"/>
                <w:color w:val="auto"/>
              </w:rPr>
            </w:pPr>
            <w:r>
              <w:rPr>
                <w:rFonts w:ascii="Arial" w:cs="Arial" w:eastAsia="Arial" w:hAnsi="Arial"/>
                <w:sz w:val="12"/>
                <w:szCs w:val="12"/>
                <w:color w:val="auto"/>
              </w:rPr>
              <w:t>Net loss</w:t>
            </w:r>
          </w:p>
        </w:tc>
        <w:tc>
          <w:tcPr>
            <w:tcW w:w="1540" w:type="dxa"/>
            <w:vAlign w:val="bottom"/>
          </w:tcPr>
          <w:p>
            <w:pPr>
              <w:jc w:val="right"/>
              <w:ind w:right="983"/>
              <w:spacing w:after="0"/>
              <w:rPr>
                <w:sz w:val="20"/>
                <w:szCs w:val="20"/>
                <w:color w:val="auto"/>
              </w:rPr>
            </w:pPr>
            <w:r>
              <w:rPr>
                <w:rFonts w:ascii="Arial" w:cs="Arial" w:eastAsia="Arial" w:hAnsi="Arial"/>
                <w:sz w:val="12"/>
                <w:szCs w:val="12"/>
                <w:color w:val="auto"/>
              </w:rPr>
              <w:t>$</w:t>
            </w:r>
          </w:p>
        </w:tc>
        <w:tc>
          <w:tcPr>
            <w:tcW w:w="340" w:type="dxa"/>
            <w:vAlign w:val="bottom"/>
          </w:tcPr>
          <w:p>
            <w:pPr>
              <w:jc w:val="right"/>
              <w:spacing w:after="0"/>
              <w:rPr>
                <w:sz w:val="20"/>
                <w:szCs w:val="20"/>
                <w:color w:val="auto"/>
              </w:rPr>
            </w:pPr>
            <w:r>
              <w:rPr>
                <w:rFonts w:ascii="Arial" w:cs="Arial" w:eastAsia="Arial" w:hAnsi="Arial"/>
                <w:sz w:val="12"/>
                <w:szCs w:val="12"/>
                <w:color w:val="auto"/>
              </w:rPr>
              <w:t>(17)</w:t>
            </w:r>
          </w:p>
        </w:tc>
        <w:tc>
          <w:tcPr>
            <w:tcW w:w="80" w:type="dxa"/>
            <w:vAlign w:val="bottom"/>
          </w:tcPr>
          <w:p>
            <w:pPr>
              <w:spacing w:after="0"/>
              <w:rPr>
                <w:sz w:val="13"/>
                <w:szCs w:val="13"/>
                <w:color w:val="auto"/>
              </w:rPr>
            </w:pPr>
          </w:p>
        </w:tc>
        <w:tc>
          <w:tcPr>
            <w:tcW w:w="1520" w:type="dxa"/>
            <w:vAlign w:val="bottom"/>
          </w:tcPr>
          <w:p>
            <w:pPr>
              <w:jc w:val="right"/>
              <w:ind w:right="943"/>
              <w:spacing w:after="0"/>
              <w:rPr>
                <w:sz w:val="20"/>
                <w:szCs w:val="20"/>
                <w:color w:val="auto"/>
              </w:rPr>
            </w:pPr>
            <w:r>
              <w:rPr>
                <w:rFonts w:ascii="Arial" w:cs="Arial" w:eastAsia="Arial" w:hAnsi="Arial"/>
                <w:sz w:val="12"/>
                <w:szCs w:val="12"/>
                <w:color w:val="auto"/>
              </w:rPr>
              <w:t>$</w:t>
            </w:r>
          </w:p>
        </w:tc>
      </w:tr>
      <w:tr>
        <w:trPr>
          <w:trHeight w:val="153"/>
        </w:trPr>
        <w:tc>
          <w:tcPr>
            <w:tcW w:w="7460" w:type="dxa"/>
            <w:vAlign w:val="bottom"/>
            <w:shd w:val="clear" w:color="auto" w:fill="CCEEFF"/>
          </w:tcPr>
          <w:p>
            <w:pPr>
              <w:ind w:left="440"/>
              <w:spacing w:after="0"/>
              <w:rPr>
                <w:sz w:val="20"/>
                <w:szCs w:val="20"/>
                <w:color w:val="auto"/>
              </w:rPr>
            </w:pPr>
            <w:r>
              <w:rPr>
                <w:rFonts w:ascii="Arial" w:cs="Arial" w:eastAsia="Arial" w:hAnsi="Arial"/>
                <w:sz w:val="12"/>
                <w:szCs w:val="12"/>
                <w:color w:val="auto"/>
              </w:rPr>
              <w:t>Adjustments to reconcile net loss to net cash, cash equivalents and restricted cash used by operating activities:</w:t>
            </w:r>
          </w:p>
        </w:tc>
        <w:tc>
          <w:tcPr>
            <w:tcW w:w="15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r>
      <w:tr>
        <w:trPr>
          <w:trHeight w:val="153"/>
        </w:trPr>
        <w:tc>
          <w:tcPr>
            <w:tcW w:w="7460" w:type="dxa"/>
            <w:vAlign w:val="bottom"/>
          </w:tcPr>
          <w:p>
            <w:pPr>
              <w:ind w:left="580"/>
              <w:spacing w:after="0"/>
              <w:rPr>
                <w:sz w:val="20"/>
                <w:szCs w:val="20"/>
                <w:color w:val="auto"/>
              </w:rPr>
            </w:pPr>
            <w:r>
              <w:rPr>
                <w:rFonts w:ascii="Arial" w:cs="Arial" w:eastAsia="Arial" w:hAnsi="Arial"/>
                <w:sz w:val="12"/>
                <w:szCs w:val="12"/>
                <w:color w:val="auto"/>
              </w:rPr>
              <w:t>Depreciation and amortization of intangibles</w:t>
            </w:r>
          </w:p>
        </w:tc>
        <w:tc>
          <w:tcPr>
            <w:tcW w:w="154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77</w:t>
            </w:r>
          </w:p>
        </w:tc>
        <w:tc>
          <w:tcPr>
            <w:tcW w:w="8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153"/>
        </w:trPr>
        <w:tc>
          <w:tcPr>
            <w:tcW w:w="7460" w:type="dxa"/>
            <w:vAlign w:val="bottom"/>
            <w:shd w:val="clear" w:color="auto" w:fill="CCEEFF"/>
          </w:tcPr>
          <w:p>
            <w:pPr>
              <w:ind w:left="580"/>
              <w:spacing w:after="0"/>
              <w:rPr>
                <w:sz w:val="20"/>
                <w:szCs w:val="20"/>
                <w:color w:val="auto"/>
              </w:rPr>
            </w:pPr>
            <w:r>
              <w:rPr>
                <w:rFonts w:ascii="Arial" w:cs="Arial" w:eastAsia="Arial" w:hAnsi="Arial"/>
                <w:sz w:val="12"/>
                <w:szCs w:val="12"/>
                <w:color w:val="auto"/>
              </w:rPr>
              <w:t>Amortization of debt discount and issuance costs</w:t>
            </w:r>
          </w:p>
        </w:tc>
        <w:tc>
          <w:tcPr>
            <w:tcW w:w="154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w:t>
            </w:r>
          </w:p>
        </w:tc>
        <w:tc>
          <w:tcPr>
            <w:tcW w:w="8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r>
      <w:tr>
        <w:trPr>
          <w:trHeight w:val="153"/>
        </w:trPr>
        <w:tc>
          <w:tcPr>
            <w:tcW w:w="7460" w:type="dxa"/>
            <w:vAlign w:val="bottom"/>
          </w:tcPr>
          <w:p>
            <w:pPr>
              <w:ind w:left="580"/>
              <w:spacing w:after="0"/>
              <w:rPr>
                <w:sz w:val="20"/>
                <w:szCs w:val="20"/>
                <w:color w:val="auto"/>
              </w:rPr>
            </w:pPr>
            <w:r>
              <w:rPr>
                <w:rFonts w:ascii="Arial" w:cs="Arial" w:eastAsia="Arial" w:hAnsi="Arial"/>
                <w:sz w:val="12"/>
                <w:szCs w:val="12"/>
                <w:color w:val="auto"/>
              </w:rPr>
              <w:t>Vacation ownership notes receivable reserve</w:t>
            </w:r>
          </w:p>
        </w:tc>
        <w:tc>
          <w:tcPr>
            <w:tcW w:w="154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42</w:t>
            </w:r>
          </w:p>
        </w:tc>
        <w:tc>
          <w:tcPr>
            <w:tcW w:w="8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153"/>
        </w:trPr>
        <w:tc>
          <w:tcPr>
            <w:tcW w:w="7460" w:type="dxa"/>
            <w:vAlign w:val="bottom"/>
            <w:shd w:val="clear" w:color="auto" w:fill="CCEEFF"/>
          </w:tcPr>
          <w:p>
            <w:pPr>
              <w:ind w:left="580"/>
              <w:spacing w:after="0"/>
              <w:rPr>
                <w:sz w:val="20"/>
                <w:szCs w:val="20"/>
                <w:color w:val="auto"/>
              </w:rPr>
            </w:pPr>
            <w:r>
              <w:rPr>
                <w:rFonts w:ascii="Arial" w:cs="Arial" w:eastAsia="Arial" w:hAnsi="Arial"/>
                <w:sz w:val="12"/>
                <w:szCs w:val="12"/>
                <w:color w:val="auto"/>
              </w:rPr>
              <w:t>Share-based compensation</w:t>
            </w:r>
          </w:p>
        </w:tc>
        <w:tc>
          <w:tcPr>
            <w:tcW w:w="154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w:t>
            </w:r>
          </w:p>
        </w:tc>
        <w:tc>
          <w:tcPr>
            <w:tcW w:w="8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r>
      <w:tr>
        <w:trPr>
          <w:trHeight w:val="153"/>
        </w:trPr>
        <w:tc>
          <w:tcPr>
            <w:tcW w:w="7460" w:type="dxa"/>
            <w:vAlign w:val="bottom"/>
          </w:tcPr>
          <w:p>
            <w:pPr>
              <w:ind w:left="580"/>
              <w:spacing w:after="0"/>
              <w:rPr>
                <w:sz w:val="20"/>
                <w:szCs w:val="20"/>
                <w:color w:val="auto"/>
              </w:rPr>
            </w:pPr>
            <w:r>
              <w:rPr>
                <w:rFonts w:ascii="Arial" w:cs="Arial" w:eastAsia="Arial" w:hAnsi="Arial"/>
                <w:sz w:val="12"/>
                <w:szCs w:val="12"/>
                <w:color w:val="auto"/>
              </w:rPr>
              <w:t>Impairment charges</w:t>
            </w:r>
          </w:p>
        </w:tc>
        <w:tc>
          <w:tcPr>
            <w:tcW w:w="154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5</w:t>
            </w:r>
          </w:p>
        </w:tc>
        <w:tc>
          <w:tcPr>
            <w:tcW w:w="8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153"/>
        </w:trPr>
        <w:tc>
          <w:tcPr>
            <w:tcW w:w="7460" w:type="dxa"/>
            <w:vAlign w:val="bottom"/>
            <w:shd w:val="clear" w:color="auto" w:fill="CCEEFF"/>
          </w:tcPr>
          <w:p>
            <w:pPr>
              <w:ind w:left="580"/>
              <w:spacing w:after="0"/>
              <w:rPr>
                <w:sz w:val="20"/>
                <w:szCs w:val="20"/>
                <w:color w:val="auto"/>
              </w:rPr>
            </w:pPr>
            <w:r>
              <w:rPr>
                <w:rFonts w:ascii="Arial" w:cs="Arial" w:eastAsia="Arial" w:hAnsi="Arial"/>
                <w:sz w:val="12"/>
                <w:szCs w:val="12"/>
                <w:color w:val="auto"/>
              </w:rPr>
              <w:t>Deferred income taxes</w:t>
            </w:r>
          </w:p>
        </w:tc>
        <w:tc>
          <w:tcPr>
            <w:tcW w:w="154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w:t>
            </w:r>
          </w:p>
        </w:tc>
        <w:tc>
          <w:tcPr>
            <w:tcW w:w="8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r>
      <w:tr>
        <w:trPr>
          <w:trHeight w:val="153"/>
        </w:trPr>
        <w:tc>
          <w:tcPr>
            <w:tcW w:w="7460" w:type="dxa"/>
            <w:vAlign w:val="bottom"/>
          </w:tcPr>
          <w:p>
            <w:pPr>
              <w:ind w:left="580"/>
              <w:spacing w:after="0"/>
              <w:rPr>
                <w:sz w:val="20"/>
                <w:szCs w:val="20"/>
                <w:color w:val="auto"/>
              </w:rPr>
            </w:pPr>
            <w:r>
              <w:rPr>
                <w:rFonts w:ascii="Arial" w:cs="Arial" w:eastAsia="Arial" w:hAnsi="Arial"/>
                <w:sz w:val="12"/>
                <w:szCs w:val="12"/>
                <w:color w:val="auto"/>
              </w:rPr>
              <w:t>Net change in assets and liabilities:</w:t>
            </w:r>
          </w:p>
        </w:tc>
        <w:tc>
          <w:tcPr>
            <w:tcW w:w="1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153"/>
        </w:trPr>
        <w:tc>
          <w:tcPr>
            <w:tcW w:w="7460" w:type="dxa"/>
            <w:vAlign w:val="bottom"/>
            <w:shd w:val="clear" w:color="auto" w:fill="CCEEFF"/>
          </w:tcPr>
          <w:p>
            <w:pPr>
              <w:ind w:left="740"/>
              <w:spacing w:after="0"/>
              <w:rPr>
                <w:sz w:val="20"/>
                <w:szCs w:val="20"/>
                <w:color w:val="auto"/>
              </w:rPr>
            </w:pPr>
            <w:r>
              <w:rPr>
                <w:rFonts w:ascii="Arial" w:cs="Arial" w:eastAsia="Arial" w:hAnsi="Arial"/>
                <w:sz w:val="12"/>
                <w:szCs w:val="12"/>
                <w:color w:val="auto"/>
              </w:rPr>
              <w:t>Accounts receivable</w:t>
            </w:r>
          </w:p>
        </w:tc>
        <w:tc>
          <w:tcPr>
            <w:tcW w:w="154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w:t>
            </w:r>
          </w:p>
        </w:tc>
        <w:tc>
          <w:tcPr>
            <w:tcW w:w="8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r>
      <w:tr>
        <w:trPr>
          <w:trHeight w:val="153"/>
        </w:trPr>
        <w:tc>
          <w:tcPr>
            <w:tcW w:w="7460" w:type="dxa"/>
            <w:vAlign w:val="bottom"/>
          </w:tcPr>
          <w:p>
            <w:pPr>
              <w:ind w:left="740"/>
              <w:spacing w:after="0"/>
              <w:rPr>
                <w:sz w:val="20"/>
                <w:szCs w:val="20"/>
                <w:color w:val="auto"/>
              </w:rPr>
            </w:pPr>
            <w:r>
              <w:rPr>
                <w:rFonts w:ascii="Arial" w:cs="Arial" w:eastAsia="Arial" w:hAnsi="Arial"/>
                <w:sz w:val="12"/>
                <w:szCs w:val="12"/>
                <w:color w:val="auto"/>
              </w:rPr>
              <w:t>Vacation ownership notes receivable originations</w:t>
            </w:r>
          </w:p>
        </w:tc>
        <w:tc>
          <w:tcPr>
            <w:tcW w:w="154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(320)</w:t>
            </w:r>
          </w:p>
        </w:tc>
        <w:tc>
          <w:tcPr>
            <w:tcW w:w="8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153"/>
        </w:trPr>
        <w:tc>
          <w:tcPr>
            <w:tcW w:w="7460" w:type="dxa"/>
            <w:vAlign w:val="bottom"/>
            <w:shd w:val="clear" w:color="auto" w:fill="CCEEFF"/>
          </w:tcPr>
          <w:p>
            <w:pPr>
              <w:ind w:left="740"/>
              <w:spacing w:after="0"/>
              <w:rPr>
                <w:sz w:val="20"/>
                <w:szCs w:val="20"/>
                <w:color w:val="auto"/>
              </w:rPr>
            </w:pPr>
            <w:r>
              <w:rPr>
                <w:rFonts w:ascii="Arial" w:cs="Arial" w:eastAsia="Arial" w:hAnsi="Arial"/>
                <w:sz w:val="12"/>
                <w:szCs w:val="12"/>
                <w:color w:val="auto"/>
              </w:rPr>
              <w:t>Vacation ownership notes receivable collections</w:t>
            </w:r>
          </w:p>
        </w:tc>
        <w:tc>
          <w:tcPr>
            <w:tcW w:w="154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362</w:t>
            </w:r>
          </w:p>
        </w:tc>
        <w:tc>
          <w:tcPr>
            <w:tcW w:w="8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r>
      <w:tr>
        <w:trPr>
          <w:trHeight w:val="153"/>
        </w:trPr>
        <w:tc>
          <w:tcPr>
            <w:tcW w:w="7460" w:type="dxa"/>
            <w:vAlign w:val="bottom"/>
          </w:tcPr>
          <w:p>
            <w:pPr>
              <w:ind w:left="740"/>
              <w:spacing w:after="0"/>
              <w:rPr>
                <w:sz w:val="20"/>
                <w:szCs w:val="20"/>
                <w:color w:val="auto"/>
              </w:rPr>
            </w:pPr>
            <w:r>
              <w:rPr>
                <w:rFonts w:ascii="Arial" w:cs="Arial" w:eastAsia="Arial" w:hAnsi="Arial"/>
                <w:sz w:val="12"/>
                <w:szCs w:val="12"/>
                <w:color w:val="auto"/>
              </w:rPr>
              <w:t>Inventory</w:t>
            </w:r>
          </w:p>
        </w:tc>
        <w:tc>
          <w:tcPr>
            <w:tcW w:w="154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14</w:t>
            </w:r>
          </w:p>
        </w:tc>
        <w:tc>
          <w:tcPr>
            <w:tcW w:w="8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153"/>
        </w:trPr>
        <w:tc>
          <w:tcPr>
            <w:tcW w:w="7460" w:type="dxa"/>
            <w:vAlign w:val="bottom"/>
            <w:shd w:val="clear" w:color="auto" w:fill="CCEEFF"/>
          </w:tcPr>
          <w:p>
            <w:pPr>
              <w:ind w:left="740"/>
              <w:spacing w:after="0"/>
              <w:rPr>
                <w:sz w:val="20"/>
                <w:szCs w:val="20"/>
                <w:color w:val="auto"/>
              </w:rPr>
            </w:pPr>
            <w:r>
              <w:rPr>
                <w:rFonts w:ascii="Arial" w:cs="Arial" w:eastAsia="Arial" w:hAnsi="Arial"/>
                <w:sz w:val="12"/>
                <w:szCs w:val="12"/>
                <w:color w:val="auto"/>
              </w:rPr>
              <w:t>Other assets</w:t>
            </w:r>
          </w:p>
        </w:tc>
        <w:tc>
          <w:tcPr>
            <w:tcW w:w="154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w:t>
            </w:r>
          </w:p>
        </w:tc>
        <w:tc>
          <w:tcPr>
            <w:tcW w:w="8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r>
      <w:tr>
        <w:trPr>
          <w:trHeight w:val="153"/>
        </w:trPr>
        <w:tc>
          <w:tcPr>
            <w:tcW w:w="7460" w:type="dxa"/>
            <w:vAlign w:val="bottom"/>
          </w:tcPr>
          <w:p>
            <w:pPr>
              <w:ind w:left="740"/>
              <w:spacing w:after="0"/>
              <w:rPr>
                <w:sz w:val="20"/>
                <w:szCs w:val="20"/>
                <w:color w:val="auto"/>
              </w:rPr>
            </w:pPr>
            <w:r>
              <w:rPr>
                <w:rFonts w:ascii="Arial" w:cs="Arial" w:eastAsia="Arial" w:hAnsi="Arial"/>
                <w:sz w:val="12"/>
                <w:szCs w:val="12"/>
                <w:color w:val="auto"/>
              </w:rPr>
              <w:t>Accounts payable, advance deposits and accrued liabilities</w:t>
            </w:r>
          </w:p>
        </w:tc>
        <w:tc>
          <w:tcPr>
            <w:tcW w:w="154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(9)</w:t>
            </w:r>
          </w:p>
        </w:tc>
        <w:tc>
          <w:tcPr>
            <w:tcW w:w="8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153"/>
        </w:trPr>
        <w:tc>
          <w:tcPr>
            <w:tcW w:w="7460" w:type="dxa"/>
            <w:vAlign w:val="bottom"/>
            <w:shd w:val="clear" w:color="auto" w:fill="CCEEFF"/>
          </w:tcPr>
          <w:p>
            <w:pPr>
              <w:ind w:left="740"/>
              <w:spacing w:after="0"/>
              <w:rPr>
                <w:sz w:val="20"/>
                <w:szCs w:val="20"/>
                <w:color w:val="auto"/>
              </w:rPr>
            </w:pPr>
            <w:r>
              <w:rPr>
                <w:rFonts w:ascii="Arial" w:cs="Arial" w:eastAsia="Arial" w:hAnsi="Arial"/>
                <w:sz w:val="12"/>
                <w:szCs w:val="12"/>
                <w:color w:val="auto"/>
              </w:rPr>
              <w:t>Deferred revenue</w:t>
            </w:r>
          </w:p>
        </w:tc>
        <w:tc>
          <w:tcPr>
            <w:tcW w:w="154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w:t>
            </w:r>
          </w:p>
        </w:tc>
        <w:tc>
          <w:tcPr>
            <w:tcW w:w="8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r>
      <w:tr>
        <w:trPr>
          <w:trHeight w:val="153"/>
        </w:trPr>
        <w:tc>
          <w:tcPr>
            <w:tcW w:w="7460" w:type="dxa"/>
            <w:vAlign w:val="bottom"/>
          </w:tcPr>
          <w:p>
            <w:pPr>
              <w:ind w:left="740"/>
              <w:spacing w:after="0"/>
              <w:rPr>
                <w:sz w:val="20"/>
                <w:szCs w:val="20"/>
                <w:color w:val="auto"/>
              </w:rPr>
            </w:pPr>
            <w:r>
              <w:rPr>
                <w:rFonts w:ascii="Arial" w:cs="Arial" w:eastAsia="Arial" w:hAnsi="Arial"/>
                <w:sz w:val="12"/>
                <w:szCs w:val="12"/>
                <w:color w:val="auto"/>
              </w:rPr>
              <w:t>Payroll and benefit liabilities</w:t>
            </w:r>
          </w:p>
        </w:tc>
        <w:tc>
          <w:tcPr>
            <w:tcW w:w="154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35</w:t>
            </w:r>
          </w:p>
        </w:tc>
        <w:tc>
          <w:tcPr>
            <w:tcW w:w="8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153"/>
        </w:trPr>
        <w:tc>
          <w:tcPr>
            <w:tcW w:w="7460" w:type="dxa"/>
            <w:vAlign w:val="bottom"/>
            <w:shd w:val="clear" w:color="auto" w:fill="CCEEFF"/>
          </w:tcPr>
          <w:p>
            <w:pPr>
              <w:ind w:left="740"/>
              <w:spacing w:after="0"/>
              <w:rPr>
                <w:sz w:val="20"/>
                <w:szCs w:val="20"/>
                <w:color w:val="auto"/>
              </w:rPr>
            </w:pPr>
            <w:r>
              <w:rPr>
                <w:rFonts w:ascii="Arial" w:cs="Arial" w:eastAsia="Arial" w:hAnsi="Arial"/>
                <w:sz w:val="12"/>
                <w:szCs w:val="12"/>
                <w:color w:val="auto"/>
              </w:rPr>
              <w:t>Deferred compensation liability</w:t>
            </w:r>
          </w:p>
        </w:tc>
        <w:tc>
          <w:tcPr>
            <w:tcW w:w="154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8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r>
      <w:tr>
        <w:trPr>
          <w:trHeight w:val="153"/>
        </w:trPr>
        <w:tc>
          <w:tcPr>
            <w:tcW w:w="7460" w:type="dxa"/>
            <w:vAlign w:val="bottom"/>
          </w:tcPr>
          <w:p>
            <w:pPr>
              <w:ind w:left="740"/>
              <w:spacing w:after="0"/>
              <w:rPr>
                <w:sz w:val="20"/>
                <w:szCs w:val="20"/>
                <w:color w:val="auto"/>
              </w:rPr>
            </w:pPr>
            <w:r>
              <w:rPr>
                <w:rFonts w:ascii="Arial" w:cs="Arial" w:eastAsia="Arial" w:hAnsi="Arial"/>
                <w:sz w:val="12"/>
                <w:szCs w:val="12"/>
                <w:color w:val="auto"/>
              </w:rPr>
              <w:t>Other liabilities</w:t>
            </w:r>
          </w:p>
        </w:tc>
        <w:tc>
          <w:tcPr>
            <w:tcW w:w="154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4</w:t>
            </w:r>
          </w:p>
        </w:tc>
        <w:tc>
          <w:tcPr>
            <w:tcW w:w="8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153"/>
        </w:trPr>
        <w:tc>
          <w:tcPr>
            <w:tcW w:w="7460" w:type="dxa"/>
            <w:vAlign w:val="bottom"/>
            <w:shd w:val="clear" w:color="auto" w:fill="CCEEFF"/>
          </w:tcPr>
          <w:p>
            <w:pPr>
              <w:ind w:left="600"/>
              <w:spacing w:after="0"/>
              <w:rPr>
                <w:sz w:val="20"/>
                <w:szCs w:val="20"/>
                <w:color w:val="auto"/>
              </w:rPr>
            </w:pPr>
            <w:r>
              <w:rPr>
                <w:rFonts w:ascii="Arial" w:cs="Arial" w:eastAsia="Arial" w:hAnsi="Arial"/>
                <w:sz w:val="12"/>
                <w:szCs w:val="12"/>
                <w:color w:val="auto"/>
              </w:rPr>
              <w:t>Deconsolidation of certain Consolidated Property Owners' Associations</w:t>
            </w:r>
          </w:p>
        </w:tc>
        <w:tc>
          <w:tcPr>
            <w:tcW w:w="154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w:t>
            </w:r>
          </w:p>
        </w:tc>
        <w:tc>
          <w:tcPr>
            <w:tcW w:w="8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r>
      <w:tr>
        <w:trPr>
          <w:trHeight w:val="153"/>
        </w:trPr>
        <w:tc>
          <w:tcPr>
            <w:tcW w:w="7460" w:type="dxa"/>
            <w:vAlign w:val="bottom"/>
          </w:tcPr>
          <w:p>
            <w:pPr>
              <w:ind w:left="600"/>
              <w:spacing w:after="0"/>
              <w:rPr>
                <w:sz w:val="20"/>
                <w:szCs w:val="20"/>
                <w:color w:val="auto"/>
              </w:rPr>
            </w:pPr>
            <w:r>
              <w:rPr>
                <w:rFonts w:ascii="Arial" w:cs="Arial" w:eastAsia="Arial" w:hAnsi="Arial"/>
                <w:sz w:val="12"/>
                <w:szCs w:val="12"/>
                <w:color w:val="auto"/>
              </w:rPr>
              <w:t>Purchase of vacation ownership units for future transfer to inventory</w:t>
            </w:r>
          </w:p>
        </w:tc>
        <w:tc>
          <w:tcPr>
            <w:tcW w:w="154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(99)</w:t>
            </w:r>
          </w:p>
        </w:tc>
        <w:tc>
          <w:tcPr>
            <w:tcW w:w="8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153"/>
        </w:trPr>
        <w:tc>
          <w:tcPr>
            <w:tcW w:w="7460" w:type="dxa"/>
            <w:vAlign w:val="bottom"/>
            <w:shd w:val="clear" w:color="auto" w:fill="CCEEFF"/>
          </w:tcPr>
          <w:p>
            <w:pPr>
              <w:ind w:left="580"/>
              <w:spacing w:after="0"/>
              <w:rPr>
                <w:sz w:val="20"/>
                <w:szCs w:val="20"/>
                <w:color w:val="auto"/>
              </w:rPr>
            </w:pPr>
            <w:r>
              <w:rPr>
                <w:rFonts w:ascii="Arial" w:cs="Arial" w:eastAsia="Arial" w:hAnsi="Arial"/>
                <w:sz w:val="12"/>
                <w:szCs w:val="12"/>
                <w:color w:val="auto"/>
              </w:rPr>
              <w:t>Other, net</w:t>
            </w:r>
          </w:p>
        </w:tc>
        <w:tc>
          <w:tcPr>
            <w:tcW w:w="154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w:t>
            </w:r>
          </w:p>
        </w:tc>
        <w:tc>
          <w:tcPr>
            <w:tcW w:w="80" w:type="dxa"/>
            <w:vAlign w:val="bottom"/>
            <w:shd w:val="clear" w:color="auto" w:fill="CCEEFF"/>
          </w:tcPr>
          <w:p>
            <w:pPr>
              <w:spacing w:after="0"/>
              <w:rPr>
                <w:sz w:val="13"/>
                <w:szCs w:val="13"/>
                <w:color w:val="auto"/>
              </w:rPr>
            </w:pPr>
          </w:p>
        </w:tc>
        <w:tc>
          <w:tcPr>
            <w:tcW w:w="1520" w:type="dxa"/>
            <w:vAlign w:val="bottom"/>
            <w:tcBorders>
              <w:bottom w:val="single" w:sz="8" w:color="auto"/>
            </w:tcBorders>
            <w:shd w:val="clear" w:color="auto" w:fill="CCEEFF"/>
          </w:tcPr>
          <w:p>
            <w:pPr>
              <w:spacing w:after="0"/>
              <w:rPr>
                <w:sz w:val="13"/>
                <w:szCs w:val="13"/>
                <w:color w:val="auto"/>
              </w:rPr>
            </w:pPr>
          </w:p>
        </w:tc>
      </w:tr>
      <w:tr>
        <w:trPr>
          <w:trHeight w:val="142"/>
        </w:trPr>
        <w:tc>
          <w:tcPr>
            <w:tcW w:w="7460" w:type="dxa"/>
            <w:vAlign w:val="bottom"/>
            <w:tcBorders>
              <w:bottom w:val="single" w:sz="8" w:color="CCEEFF"/>
            </w:tcBorders>
          </w:tcPr>
          <w:p>
            <w:pPr>
              <w:ind w:left="880"/>
              <w:spacing w:after="0"/>
              <w:rPr>
                <w:sz w:val="20"/>
                <w:szCs w:val="20"/>
                <w:color w:val="auto"/>
              </w:rPr>
            </w:pPr>
            <w:r>
              <w:rPr>
                <w:rFonts w:ascii="Arial" w:cs="Arial" w:eastAsia="Arial" w:hAnsi="Arial"/>
                <w:sz w:val="12"/>
                <w:szCs w:val="12"/>
                <w:color w:val="auto"/>
              </w:rPr>
              <w:t>Net cash, cash equivalents and restricted cash provided by (used in) operating activities</w:t>
            </w:r>
          </w:p>
        </w:tc>
        <w:tc>
          <w:tcPr>
            <w:tcW w:w="15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148</w:t>
            </w:r>
          </w:p>
        </w:tc>
        <w:tc>
          <w:tcPr>
            <w:tcW w:w="80" w:type="dxa"/>
            <w:vAlign w:val="bottom"/>
            <w:tcBorders>
              <w:bottom w:val="single" w:sz="8" w:color="CCEEFF"/>
            </w:tcBorders>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r>
      <w:tr>
        <w:trPr>
          <w:trHeight w:val="133"/>
        </w:trPr>
        <w:tc>
          <w:tcPr>
            <w:tcW w:w="7460" w:type="dxa"/>
            <w:vAlign w:val="bottom"/>
            <w:shd w:val="clear" w:color="auto" w:fill="CCEEFF"/>
          </w:tcPr>
          <w:p>
            <w:pPr>
              <w:ind w:left="440"/>
              <w:spacing w:after="0" w:line="133" w:lineRule="exact"/>
              <w:rPr>
                <w:sz w:val="20"/>
                <w:szCs w:val="20"/>
                <w:color w:val="auto"/>
              </w:rPr>
            </w:pPr>
            <w:r>
              <w:rPr>
                <w:rFonts w:ascii="Arial" w:cs="Arial" w:eastAsia="Arial" w:hAnsi="Arial"/>
                <w:sz w:val="12"/>
                <w:szCs w:val="12"/>
                <w:b w:val="1"/>
                <w:bCs w:val="1"/>
                <w:color w:val="auto"/>
              </w:rPr>
              <w:t>INVESTING ACTIVITIES</w:t>
            </w:r>
          </w:p>
        </w:tc>
        <w:tc>
          <w:tcPr>
            <w:tcW w:w="15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r>
      <w:tr>
        <w:trPr>
          <w:trHeight w:val="153"/>
        </w:trPr>
        <w:tc>
          <w:tcPr>
            <w:tcW w:w="7460" w:type="dxa"/>
            <w:vAlign w:val="bottom"/>
          </w:tcPr>
          <w:p>
            <w:pPr>
              <w:ind w:left="580"/>
              <w:spacing w:after="0"/>
              <w:rPr>
                <w:sz w:val="20"/>
                <w:szCs w:val="20"/>
                <w:color w:val="auto"/>
              </w:rPr>
            </w:pPr>
            <w:r>
              <w:rPr>
                <w:rFonts w:ascii="Arial" w:cs="Arial" w:eastAsia="Arial" w:hAnsi="Arial"/>
                <w:sz w:val="12"/>
                <w:szCs w:val="12"/>
                <w:color w:val="auto"/>
              </w:rPr>
              <w:t>Acquisition of a business, net of cash and restricted cash acquired</w:t>
            </w:r>
          </w:p>
        </w:tc>
        <w:tc>
          <w:tcPr>
            <w:tcW w:w="154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(157)</w:t>
            </w:r>
          </w:p>
        </w:tc>
        <w:tc>
          <w:tcPr>
            <w:tcW w:w="8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153"/>
        </w:trPr>
        <w:tc>
          <w:tcPr>
            <w:tcW w:w="7460" w:type="dxa"/>
            <w:vAlign w:val="bottom"/>
            <w:shd w:val="clear" w:color="auto" w:fill="CCEEFF"/>
          </w:tcPr>
          <w:p>
            <w:pPr>
              <w:ind w:left="580"/>
              <w:spacing w:after="0"/>
              <w:rPr>
                <w:sz w:val="20"/>
                <w:szCs w:val="20"/>
                <w:color w:val="auto"/>
              </w:rPr>
            </w:pPr>
            <w:r>
              <w:rPr>
                <w:rFonts w:ascii="Arial" w:cs="Arial" w:eastAsia="Arial" w:hAnsi="Arial"/>
                <w:sz w:val="12"/>
                <w:szCs w:val="12"/>
                <w:color w:val="auto"/>
              </w:rPr>
              <w:t>Capital expenditures for property and equipment (excluding inventory)</w:t>
            </w:r>
          </w:p>
        </w:tc>
        <w:tc>
          <w:tcPr>
            <w:tcW w:w="154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8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r>
      <w:tr>
        <w:trPr>
          <w:trHeight w:val="153"/>
        </w:trPr>
        <w:tc>
          <w:tcPr>
            <w:tcW w:w="7460" w:type="dxa"/>
            <w:vAlign w:val="bottom"/>
            <w:tcBorders>
              <w:bottom w:val="single" w:sz="8" w:color="CCEEFF"/>
            </w:tcBorders>
          </w:tcPr>
          <w:p>
            <w:pPr>
              <w:ind w:left="580"/>
              <w:spacing w:after="0"/>
              <w:rPr>
                <w:sz w:val="20"/>
                <w:szCs w:val="20"/>
                <w:color w:val="auto"/>
              </w:rPr>
            </w:pPr>
            <w:r>
              <w:rPr>
                <w:rFonts w:ascii="Arial" w:cs="Arial" w:eastAsia="Arial" w:hAnsi="Arial"/>
                <w:sz w:val="12"/>
                <w:szCs w:val="12"/>
                <w:color w:val="auto"/>
              </w:rPr>
              <w:t>Purchase of company owned life insurance</w:t>
            </w:r>
          </w:p>
        </w:tc>
        <w:tc>
          <w:tcPr>
            <w:tcW w:w="15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w:t>
            </w:r>
          </w:p>
        </w:tc>
        <w:tc>
          <w:tcPr>
            <w:tcW w:w="80" w:type="dxa"/>
            <w:vAlign w:val="bottom"/>
            <w:tcBorders>
              <w:bottom w:val="single" w:sz="8" w:color="CCEEFF"/>
            </w:tcBorders>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r>
      <w:tr>
        <w:trPr>
          <w:trHeight w:val="142"/>
        </w:trPr>
        <w:tc>
          <w:tcPr>
            <w:tcW w:w="7460" w:type="dxa"/>
            <w:vAlign w:val="bottom"/>
            <w:shd w:val="clear" w:color="auto" w:fill="CCEEFF"/>
          </w:tcPr>
          <w:p>
            <w:pPr>
              <w:ind w:left="880"/>
              <w:spacing w:after="0"/>
              <w:rPr>
                <w:sz w:val="20"/>
                <w:szCs w:val="20"/>
                <w:color w:val="auto"/>
              </w:rPr>
            </w:pPr>
            <w:r>
              <w:rPr>
                <w:rFonts w:ascii="Arial" w:cs="Arial" w:eastAsia="Arial" w:hAnsi="Arial"/>
                <w:sz w:val="12"/>
                <w:szCs w:val="12"/>
                <w:color w:val="auto"/>
              </w:rPr>
              <w:t>Net cash, cash equivalents and restricted cash used in investing activities</w:t>
            </w:r>
          </w:p>
        </w:tc>
        <w:tc>
          <w:tcPr>
            <w:tcW w:w="154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(176)</w:t>
            </w:r>
          </w:p>
        </w:tc>
        <w:tc>
          <w:tcPr>
            <w:tcW w:w="80" w:type="dxa"/>
            <w:vAlign w:val="bottom"/>
            <w:shd w:val="clear" w:color="auto" w:fill="CCEEFF"/>
          </w:tcPr>
          <w:p>
            <w:pPr>
              <w:spacing w:after="0"/>
              <w:rPr>
                <w:sz w:val="12"/>
                <w:szCs w:val="12"/>
                <w:color w:val="auto"/>
              </w:rPr>
            </w:pPr>
          </w:p>
        </w:tc>
        <w:tc>
          <w:tcPr>
            <w:tcW w:w="1520" w:type="dxa"/>
            <w:vAlign w:val="bottom"/>
            <w:tcBorders>
              <w:bottom w:val="single" w:sz="8" w:color="auto"/>
            </w:tcBorders>
            <w:shd w:val="clear" w:color="auto" w:fill="CCEEFF"/>
          </w:tcPr>
          <w:p>
            <w:pPr>
              <w:spacing w:after="0"/>
              <w:rPr>
                <w:sz w:val="12"/>
                <w:szCs w:val="12"/>
                <w:color w:val="auto"/>
              </w:rPr>
            </w:pPr>
          </w:p>
        </w:tc>
      </w:tr>
    </w:tbl>
    <w:p>
      <w:pPr>
        <w:spacing w:after="0" w:line="356"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color w:val="auto"/>
        </w:rPr>
        <w:t>Continued</w:t>
      </w:r>
    </w:p>
    <w:p>
      <w:pPr>
        <w:spacing w:after="0" w:line="312" w:lineRule="exact"/>
        <w:rPr>
          <w:sz w:val="20"/>
          <w:szCs w:val="20"/>
          <w:color w:val="auto"/>
        </w:rPr>
      </w:pPr>
    </w:p>
    <w:p>
      <w:pPr>
        <w:ind w:left="4220"/>
        <w:spacing w:after="0"/>
        <w:rPr>
          <w:sz w:val="20"/>
          <w:szCs w:val="20"/>
          <w:color w:val="auto"/>
        </w:rPr>
      </w:pPr>
      <w:r>
        <w:rPr>
          <w:rFonts w:ascii="Arial" w:cs="Arial" w:eastAsia="Arial" w:hAnsi="Arial"/>
          <w:sz w:val="12"/>
          <w:szCs w:val="12"/>
          <w:b w:val="1"/>
          <w:bCs w:val="1"/>
          <w:color w:val="auto"/>
        </w:rPr>
        <w:t>See Notes to Interim Consolidated Financial Statements</w:t>
      </w:r>
    </w:p>
    <w:p>
      <w:pPr>
        <w:spacing w:after="0" w:line="145" w:lineRule="exact"/>
        <w:rPr>
          <w:sz w:val="20"/>
          <w:szCs w:val="20"/>
          <w:color w:val="auto"/>
        </w:rPr>
      </w:pPr>
    </w:p>
    <w:p>
      <w:pPr>
        <w:ind w:left="5840"/>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191135</wp:posOffset>
            </wp:positionV>
            <wp:extent cx="720344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60"/>
          </w:cols>
          <w:pgMar w:left="300" w:top="203" w:right="239" w:bottom="1440" w:gutter="0" w:footer="0" w:header="0"/>
        </w:sectPr>
      </w:pPr>
    </w:p>
    <w:bookmarkStart w:id="6" w:name="page7"/>
    <w:bookmarkEnd w:id="6"/>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371"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color w:val="auto"/>
        </w:rPr>
        <w:t>MARRIOTT VACATIONS WORLDWIDE CORPORATION</w:t>
      </w:r>
    </w:p>
    <w:p>
      <w:pPr>
        <w:spacing w:after="0" w:line="19"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color w:val="auto"/>
        </w:rPr>
        <w:t>INTERIM CONSOLIDATED STATEMENTS OF CASH FLOWS (CONTINUED)</w:t>
      </w:r>
    </w:p>
    <w:p>
      <w:pPr>
        <w:spacing w:after="0" w:line="6" w:lineRule="exact"/>
        <w:rPr>
          <w:sz w:val="20"/>
          <w:szCs w:val="20"/>
          <w:color w:val="auto"/>
        </w:rPr>
      </w:pPr>
    </w:p>
    <w:p>
      <w:pPr>
        <w:ind w:left="5340"/>
        <w:spacing w:after="0"/>
        <w:rPr>
          <w:sz w:val="20"/>
          <w:szCs w:val="20"/>
          <w:color w:val="auto"/>
        </w:rPr>
      </w:pPr>
      <w:r>
        <w:rPr>
          <w:rFonts w:ascii="Arial" w:cs="Arial" w:eastAsia="Arial" w:hAnsi="Arial"/>
          <w:sz w:val="12"/>
          <w:szCs w:val="12"/>
          <w:color w:val="auto"/>
        </w:rPr>
        <w:t>(In millions)</w:t>
      </w:r>
    </w:p>
    <w:p>
      <w:pPr>
        <w:spacing w:after="0" w:line="6" w:lineRule="exact"/>
        <w:rPr>
          <w:sz w:val="20"/>
          <w:szCs w:val="20"/>
          <w:color w:val="auto"/>
        </w:rPr>
      </w:pPr>
    </w:p>
    <w:p>
      <w:pPr>
        <w:ind w:left="5360"/>
        <w:spacing w:after="0"/>
        <w:rPr>
          <w:sz w:val="20"/>
          <w:szCs w:val="20"/>
          <w:color w:val="auto"/>
        </w:rPr>
      </w:pPr>
      <w:r>
        <w:rPr>
          <w:rFonts w:ascii="Arial" w:cs="Arial" w:eastAsia="Arial" w:hAnsi="Arial"/>
          <w:sz w:val="12"/>
          <w:szCs w:val="12"/>
          <w:color w:val="auto"/>
        </w:rPr>
        <w:t>(Unaudited)</w:t>
      </w:r>
    </w:p>
    <w:p>
      <w:pPr>
        <w:spacing w:after="0" w:line="159" w:lineRule="exact"/>
        <w:rPr>
          <w:sz w:val="20"/>
          <w:szCs w:val="20"/>
          <w:color w:val="auto"/>
        </w:rPr>
      </w:pPr>
    </w:p>
    <w:tbl>
      <w:tblPr>
        <w:tblLayout w:type="fixed"/>
        <w:tblInd w:w="420" w:type="dxa"/>
        <w:tblCellMar>
          <w:top w:w="0" w:type="dxa"/>
          <w:left w:w="0" w:type="dxa"/>
          <w:bottom w:w="0" w:type="dxa"/>
          <w:right w:w="0" w:type="dxa"/>
        </w:tblCellMar>
      </w:tblPr>
      <w:tr>
        <w:trPr>
          <w:trHeight w:val="142"/>
        </w:trPr>
        <w:tc>
          <w:tcPr>
            <w:tcW w:w="7460" w:type="dxa"/>
            <w:vAlign w:val="bottom"/>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gridSpan w:val="3"/>
          </w:tcPr>
          <w:p>
            <w:pPr>
              <w:jc w:val="right"/>
              <w:ind w:right="862"/>
              <w:spacing w:after="0"/>
              <w:rPr>
                <w:sz w:val="20"/>
                <w:szCs w:val="20"/>
                <w:color w:val="auto"/>
              </w:rPr>
            </w:pPr>
            <w:r>
              <w:rPr>
                <w:rFonts w:ascii="Arial" w:cs="Arial" w:eastAsia="Arial" w:hAnsi="Arial"/>
                <w:sz w:val="11"/>
                <w:szCs w:val="11"/>
                <w:b w:val="1"/>
                <w:bCs w:val="1"/>
                <w:color w:val="auto"/>
              </w:rPr>
              <w:t>Six Months Ended</w:t>
            </w:r>
          </w:p>
        </w:tc>
      </w:tr>
      <w:tr>
        <w:trPr>
          <w:trHeight w:val="133"/>
        </w:trPr>
        <w:tc>
          <w:tcPr>
            <w:tcW w:w="7460" w:type="dxa"/>
            <w:vAlign w:val="bottom"/>
            <w:tcBorders>
              <w:bottom w:val="single" w:sz="8" w:color="CCEEFF"/>
            </w:tcBorders>
          </w:tcPr>
          <w:p>
            <w:pPr>
              <w:spacing w:after="0"/>
              <w:rPr>
                <w:sz w:val="11"/>
                <w:szCs w:val="1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June 30, 2021</w:t>
            </w:r>
          </w:p>
        </w:tc>
        <w:tc>
          <w:tcPr>
            <w:tcW w:w="3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June 30, 2020</w:t>
            </w:r>
          </w:p>
        </w:tc>
      </w:tr>
      <w:tr>
        <w:trPr>
          <w:trHeight w:val="135"/>
        </w:trPr>
        <w:tc>
          <w:tcPr>
            <w:tcW w:w="7460" w:type="dxa"/>
            <w:vAlign w:val="bottom"/>
            <w:shd w:val="clear" w:color="auto" w:fill="CCEEFF"/>
          </w:tcPr>
          <w:p>
            <w:pPr>
              <w:ind w:left="440"/>
              <w:spacing w:after="0" w:line="135" w:lineRule="exact"/>
              <w:rPr>
                <w:sz w:val="20"/>
                <w:szCs w:val="20"/>
                <w:color w:val="auto"/>
              </w:rPr>
            </w:pPr>
            <w:r>
              <w:rPr>
                <w:rFonts w:ascii="Arial" w:cs="Arial" w:eastAsia="Arial" w:hAnsi="Arial"/>
                <w:sz w:val="12"/>
                <w:szCs w:val="12"/>
                <w:b w:val="1"/>
                <w:bCs w:val="1"/>
                <w:color w:val="auto"/>
              </w:rPr>
              <w:t>FINANCING ACTIVITIES</w:t>
            </w:r>
          </w:p>
        </w:tc>
        <w:tc>
          <w:tcPr>
            <w:tcW w:w="15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r>
      <w:tr>
        <w:trPr>
          <w:trHeight w:val="153"/>
        </w:trPr>
        <w:tc>
          <w:tcPr>
            <w:tcW w:w="7460" w:type="dxa"/>
            <w:vAlign w:val="bottom"/>
          </w:tcPr>
          <w:p>
            <w:pPr>
              <w:ind w:left="580"/>
              <w:spacing w:after="0"/>
              <w:rPr>
                <w:sz w:val="20"/>
                <w:szCs w:val="20"/>
                <w:color w:val="auto"/>
              </w:rPr>
            </w:pPr>
            <w:r>
              <w:rPr>
                <w:rFonts w:ascii="Arial" w:cs="Arial" w:eastAsia="Arial" w:hAnsi="Arial"/>
                <w:sz w:val="12"/>
                <w:szCs w:val="12"/>
                <w:color w:val="auto"/>
              </w:rPr>
              <w:t>Borrowings from securitization transactions</w:t>
            </w:r>
          </w:p>
        </w:tc>
        <w:tc>
          <w:tcPr>
            <w:tcW w:w="15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425</w:t>
            </w: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r>
      <w:tr>
        <w:trPr>
          <w:trHeight w:val="153"/>
        </w:trPr>
        <w:tc>
          <w:tcPr>
            <w:tcW w:w="7460" w:type="dxa"/>
            <w:vAlign w:val="bottom"/>
            <w:shd w:val="clear" w:color="auto" w:fill="CCEEFF"/>
          </w:tcPr>
          <w:p>
            <w:pPr>
              <w:ind w:left="580"/>
              <w:spacing w:after="0"/>
              <w:rPr>
                <w:sz w:val="20"/>
                <w:szCs w:val="20"/>
                <w:color w:val="auto"/>
              </w:rPr>
            </w:pPr>
            <w:r>
              <w:rPr>
                <w:rFonts w:ascii="Arial" w:cs="Arial" w:eastAsia="Arial" w:hAnsi="Arial"/>
                <w:sz w:val="12"/>
                <w:szCs w:val="12"/>
                <w:color w:val="auto"/>
              </w:rPr>
              <w:t>Repayment of debt related to securitization transactions</w:t>
            </w:r>
          </w:p>
        </w:tc>
        <w:tc>
          <w:tcPr>
            <w:tcW w:w="15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(420)</w:t>
            </w:r>
          </w:p>
        </w:tc>
        <w:tc>
          <w:tcPr>
            <w:tcW w:w="10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r>
      <w:tr>
        <w:trPr>
          <w:trHeight w:val="153"/>
        </w:trPr>
        <w:tc>
          <w:tcPr>
            <w:tcW w:w="7460" w:type="dxa"/>
            <w:vAlign w:val="bottom"/>
          </w:tcPr>
          <w:p>
            <w:pPr>
              <w:ind w:left="580"/>
              <w:spacing w:after="0"/>
              <w:rPr>
                <w:sz w:val="20"/>
                <w:szCs w:val="20"/>
                <w:color w:val="auto"/>
              </w:rPr>
            </w:pPr>
            <w:r>
              <w:rPr>
                <w:rFonts w:ascii="Arial" w:cs="Arial" w:eastAsia="Arial" w:hAnsi="Arial"/>
                <w:sz w:val="12"/>
                <w:szCs w:val="12"/>
                <w:color w:val="auto"/>
              </w:rPr>
              <w:t>Proceeds from debt</w:t>
            </w:r>
          </w:p>
        </w:tc>
        <w:tc>
          <w:tcPr>
            <w:tcW w:w="15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w w:val="99"/>
              </w:rPr>
              <w:t>1,061</w:t>
            </w: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r>
      <w:tr>
        <w:trPr>
          <w:trHeight w:val="153"/>
        </w:trPr>
        <w:tc>
          <w:tcPr>
            <w:tcW w:w="7460" w:type="dxa"/>
            <w:vAlign w:val="bottom"/>
            <w:shd w:val="clear" w:color="auto" w:fill="CCEEFF"/>
          </w:tcPr>
          <w:p>
            <w:pPr>
              <w:ind w:left="580"/>
              <w:spacing w:after="0"/>
              <w:rPr>
                <w:sz w:val="20"/>
                <w:szCs w:val="20"/>
                <w:color w:val="auto"/>
              </w:rPr>
            </w:pPr>
            <w:r>
              <w:rPr>
                <w:rFonts w:ascii="Arial" w:cs="Arial" w:eastAsia="Arial" w:hAnsi="Arial"/>
                <w:sz w:val="12"/>
                <w:szCs w:val="12"/>
                <w:color w:val="auto"/>
              </w:rPr>
              <w:t>Repayments of debt</w:t>
            </w:r>
          </w:p>
        </w:tc>
        <w:tc>
          <w:tcPr>
            <w:tcW w:w="15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(289)</w:t>
            </w:r>
          </w:p>
        </w:tc>
        <w:tc>
          <w:tcPr>
            <w:tcW w:w="10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r>
      <w:tr>
        <w:trPr>
          <w:trHeight w:val="153"/>
        </w:trPr>
        <w:tc>
          <w:tcPr>
            <w:tcW w:w="7460" w:type="dxa"/>
            <w:vAlign w:val="bottom"/>
          </w:tcPr>
          <w:p>
            <w:pPr>
              <w:ind w:left="580"/>
              <w:spacing w:after="0"/>
              <w:rPr>
                <w:sz w:val="20"/>
                <w:szCs w:val="20"/>
                <w:color w:val="auto"/>
              </w:rPr>
            </w:pPr>
            <w:r>
              <w:rPr>
                <w:rFonts w:ascii="Arial" w:cs="Arial" w:eastAsia="Arial" w:hAnsi="Arial"/>
                <w:sz w:val="12"/>
                <w:szCs w:val="12"/>
                <w:color w:val="auto"/>
              </w:rPr>
              <w:t>Purchase of convertible note hedges</w:t>
            </w:r>
          </w:p>
        </w:tc>
        <w:tc>
          <w:tcPr>
            <w:tcW w:w="15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(100)</w:t>
            </w: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r>
      <w:tr>
        <w:trPr>
          <w:trHeight w:val="153"/>
        </w:trPr>
        <w:tc>
          <w:tcPr>
            <w:tcW w:w="7460" w:type="dxa"/>
            <w:vAlign w:val="bottom"/>
            <w:shd w:val="clear" w:color="auto" w:fill="CCEEFF"/>
          </w:tcPr>
          <w:p>
            <w:pPr>
              <w:ind w:left="580"/>
              <w:spacing w:after="0"/>
              <w:rPr>
                <w:sz w:val="20"/>
                <w:szCs w:val="20"/>
                <w:color w:val="auto"/>
              </w:rPr>
            </w:pPr>
            <w:r>
              <w:rPr>
                <w:rFonts w:ascii="Arial" w:cs="Arial" w:eastAsia="Arial" w:hAnsi="Arial"/>
                <w:sz w:val="12"/>
                <w:szCs w:val="12"/>
                <w:color w:val="auto"/>
              </w:rPr>
              <w:t>Proceeds from issuance of warrants</w:t>
            </w:r>
          </w:p>
        </w:tc>
        <w:tc>
          <w:tcPr>
            <w:tcW w:w="15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w:t>
            </w:r>
          </w:p>
        </w:tc>
        <w:tc>
          <w:tcPr>
            <w:tcW w:w="10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r>
      <w:tr>
        <w:trPr>
          <w:trHeight w:val="153"/>
        </w:trPr>
        <w:tc>
          <w:tcPr>
            <w:tcW w:w="7460" w:type="dxa"/>
            <w:vAlign w:val="bottom"/>
          </w:tcPr>
          <w:p>
            <w:pPr>
              <w:ind w:left="580"/>
              <w:spacing w:after="0"/>
              <w:rPr>
                <w:sz w:val="20"/>
                <w:szCs w:val="20"/>
                <w:color w:val="auto"/>
              </w:rPr>
            </w:pPr>
            <w:r>
              <w:rPr>
                <w:rFonts w:ascii="Arial" w:cs="Arial" w:eastAsia="Arial" w:hAnsi="Arial"/>
                <w:sz w:val="12"/>
                <w:szCs w:val="12"/>
                <w:color w:val="auto"/>
              </w:rPr>
              <w:t>Finance lease payment</w:t>
            </w:r>
          </w:p>
        </w:tc>
        <w:tc>
          <w:tcPr>
            <w:tcW w:w="15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r>
      <w:tr>
        <w:trPr>
          <w:trHeight w:val="153"/>
        </w:trPr>
        <w:tc>
          <w:tcPr>
            <w:tcW w:w="7460" w:type="dxa"/>
            <w:vAlign w:val="bottom"/>
            <w:shd w:val="clear" w:color="auto" w:fill="CCEEFF"/>
          </w:tcPr>
          <w:p>
            <w:pPr>
              <w:ind w:left="580"/>
              <w:spacing w:after="0"/>
              <w:rPr>
                <w:sz w:val="20"/>
                <w:szCs w:val="20"/>
                <w:color w:val="auto"/>
              </w:rPr>
            </w:pPr>
            <w:r>
              <w:rPr>
                <w:rFonts w:ascii="Arial" w:cs="Arial" w:eastAsia="Arial" w:hAnsi="Arial"/>
                <w:sz w:val="12"/>
                <w:szCs w:val="12"/>
                <w:color w:val="auto"/>
              </w:rPr>
              <w:t>Debt issuance costs</w:t>
            </w:r>
          </w:p>
        </w:tc>
        <w:tc>
          <w:tcPr>
            <w:tcW w:w="15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w:t>
            </w:r>
          </w:p>
        </w:tc>
        <w:tc>
          <w:tcPr>
            <w:tcW w:w="10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r>
      <w:tr>
        <w:trPr>
          <w:trHeight w:val="153"/>
        </w:trPr>
        <w:tc>
          <w:tcPr>
            <w:tcW w:w="7460" w:type="dxa"/>
            <w:vAlign w:val="bottom"/>
          </w:tcPr>
          <w:p>
            <w:pPr>
              <w:ind w:left="580"/>
              <w:spacing w:after="0"/>
              <w:rPr>
                <w:sz w:val="20"/>
                <w:szCs w:val="20"/>
                <w:color w:val="auto"/>
              </w:rPr>
            </w:pPr>
            <w:r>
              <w:rPr>
                <w:rFonts w:ascii="Arial" w:cs="Arial" w:eastAsia="Arial" w:hAnsi="Arial"/>
                <w:sz w:val="12"/>
                <w:szCs w:val="12"/>
                <w:color w:val="auto"/>
              </w:rPr>
              <w:t>Repurchase of common stock</w:t>
            </w:r>
          </w:p>
        </w:tc>
        <w:tc>
          <w:tcPr>
            <w:tcW w:w="1520" w:type="dxa"/>
            <w:vAlign w:val="bottom"/>
          </w:tcPr>
          <w:p>
            <w:pPr>
              <w:spacing w:after="0"/>
              <w:rPr>
                <w:sz w:val="13"/>
                <w:szCs w:val="13"/>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500" w:type="dxa"/>
            <w:vAlign w:val="bottom"/>
          </w:tcPr>
          <w:p>
            <w:pPr>
              <w:spacing w:after="0"/>
              <w:rPr>
                <w:sz w:val="13"/>
                <w:szCs w:val="13"/>
                <w:color w:val="auto"/>
              </w:rPr>
            </w:pPr>
          </w:p>
        </w:tc>
      </w:tr>
      <w:tr>
        <w:trPr>
          <w:trHeight w:val="153"/>
        </w:trPr>
        <w:tc>
          <w:tcPr>
            <w:tcW w:w="7460" w:type="dxa"/>
            <w:vAlign w:val="bottom"/>
            <w:shd w:val="clear" w:color="auto" w:fill="CCEEFF"/>
          </w:tcPr>
          <w:p>
            <w:pPr>
              <w:ind w:left="580"/>
              <w:spacing w:after="0"/>
              <w:rPr>
                <w:sz w:val="20"/>
                <w:szCs w:val="20"/>
                <w:color w:val="auto"/>
              </w:rPr>
            </w:pPr>
            <w:r>
              <w:rPr>
                <w:rFonts w:ascii="Arial" w:cs="Arial" w:eastAsia="Arial" w:hAnsi="Arial"/>
                <w:sz w:val="12"/>
                <w:szCs w:val="12"/>
                <w:color w:val="auto"/>
              </w:rPr>
              <w:t>Payment of dividends</w:t>
            </w:r>
          </w:p>
        </w:tc>
        <w:tc>
          <w:tcPr>
            <w:tcW w:w="15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500" w:type="dxa"/>
            <w:vAlign w:val="bottom"/>
            <w:shd w:val="clear" w:color="auto" w:fill="CCEEFF"/>
          </w:tcPr>
          <w:p>
            <w:pPr>
              <w:spacing w:after="0"/>
              <w:rPr>
                <w:sz w:val="13"/>
                <w:szCs w:val="13"/>
                <w:color w:val="auto"/>
              </w:rPr>
            </w:pPr>
          </w:p>
        </w:tc>
      </w:tr>
      <w:tr>
        <w:trPr>
          <w:trHeight w:val="153"/>
        </w:trPr>
        <w:tc>
          <w:tcPr>
            <w:tcW w:w="7460" w:type="dxa"/>
            <w:vAlign w:val="bottom"/>
            <w:tcBorders>
              <w:bottom w:val="single" w:sz="8" w:color="CCEEFF"/>
            </w:tcBorders>
          </w:tcPr>
          <w:p>
            <w:pPr>
              <w:ind w:left="580"/>
              <w:spacing w:after="0"/>
              <w:rPr>
                <w:sz w:val="20"/>
                <w:szCs w:val="20"/>
                <w:color w:val="auto"/>
              </w:rPr>
            </w:pPr>
            <w:r>
              <w:rPr>
                <w:rFonts w:ascii="Arial" w:cs="Arial" w:eastAsia="Arial" w:hAnsi="Arial"/>
                <w:sz w:val="12"/>
                <w:szCs w:val="12"/>
                <w:color w:val="auto"/>
              </w:rPr>
              <w:t>Payment of withholding taxes on vesting of restricted stock units</w:t>
            </w:r>
          </w:p>
        </w:tc>
        <w:tc>
          <w:tcPr>
            <w:tcW w:w="15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w:t>
            </w:r>
          </w:p>
        </w:tc>
        <w:tc>
          <w:tcPr>
            <w:tcW w:w="100" w:type="dxa"/>
            <w:vAlign w:val="bottom"/>
            <w:tcBorders>
              <w:bottom w:val="single" w:sz="8" w:color="CCEEFF"/>
            </w:tcBorders>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r>
      <w:tr>
        <w:trPr>
          <w:trHeight w:val="142"/>
        </w:trPr>
        <w:tc>
          <w:tcPr>
            <w:tcW w:w="7460" w:type="dxa"/>
            <w:vAlign w:val="bottom"/>
            <w:shd w:val="clear" w:color="auto" w:fill="CCEEFF"/>
          </w:tcPr>
          <w:p>
            <w:pPr>
              <w:ind w:left="880"/>
              <w:spacing w:after="0"/>
              <w:rPr>
                <w:sz w:val="20"/>
                <w:szCs w:val="20"/>
                <w:color w:val="auto"/>
              </w:rPr>
            </w:pPr>
            <w:r>
              <w:rPr>
                <w:rFonts w:ascii="Arial" w:cs="Arial" w:eastAsia="Arial" w:hAnsi="Arial"/>
                <w:sz w:val="12"/>
                <w:szCs w:val="12"/>
                <w:color w:val="auto"/>
              </w:rPr>
              <w:t>Net cash, cash equivalents and restricted cash provided by financing activities</w:t>
            </w:r>
          </w:p>
        </w:tc>
        <w:tc>
          <w:tcPr>
            <w:tcW w:w="152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716</w:t>
            </w:r>
          </w:p>
        </w:tc>
        <w:tc>
          <w:tcPr>
            <w:tcW w:w="100" w:type="dxa"/>
            <w:vAlign w:val="bottom"/>
            <w:shd w:val="clear" w:color="auto" w:fill="CCEEFF"/>
          </w:tcPr>
          <w:p>
            <w:pPr>
              <w:spacing w:after="0"/>
              <w:rPr>
                <w:sz w:val="12"/>
                <w:szCs w:val="12"/>
                <w:color w:val="auto"/>
              </w:rPr>
            </w:pPr>
          </w:p>
        </w:tc>
        <w:tc>
          <w:tcPr>
            <w:tcW w:w="1500" w:type="dxa"/>
            <w:vAlign w:val="bottom"/>
            <w:tcBorders>
              <w:bottom w:val="single" w:sz="8" w:color="auto"/>
            </w:tcBorders>
            <w:shd w:val="clear" w:color="auto" w:fill="CCEEFF"/>
          </w:tcPr>
          <w:p>
            <w:pPr>
              <w:spacing w:after="0"/>
              <w:rPr>
                <w:sz w:val="12"/>
                <w:szCs w:val="12"/>
                <w:color w:val="auto"/>
              </w:rPr>
            </w:pPr>
          </w:p>
        </w:tc>
      </w:tr>
      <w:tr>
        <w:trPr>
          <w:trHeight w:val="142"/>
        </w:trPr>
        <w:tc>
          <w:tcPr>
            <w:tcW w:w="7460" w:type="dxa"/>
            <w:vAlign w:val="bottom"/>
          </w:tcPr>
          <w:p>
            <w:pPr>
              <w:ind w:left="580"/>
              <w:spacing w:after="0"/>
              <w:rPr>
                <w:sz w:val="20"/>
                <w:szCs w:val="20"/>
                <w:color w:val="auto"/>
              </w:rPr>
            </w:pPr>
            <w:r>
              <w:rPr>
                <w:rFonts w:ascii="Arial" w:cs="Arial" w:eastAsia="Arial" w:hAnsi="Arial"/>
                <w:sz w:val="12"/>
                <w:szCs w:val="12"/>
                <w:color w:val="auto"/>
              </w:rPr>
              <w:t>Effect of changes in exchange rates on cash, cash equivalents and restricted cash</w:t>
            </w:r>
          </w:p>
        </w:tc>
        <w:tc>
          <w:tcPr>
            <w:tcW w:w="1520" w:type="dxa"/>
            <w:vAlign w:val="bottom"/>
          </w:tcPr>
          <w:p>
            <w:pPr>
              <w:spacing w:after="0"/>
              <w:rPr>
                <w:sz w:val="12"/>
                <w:szCs w:val="12"/>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500" w:type="dxa"/>
            <w:vAlign w:val="bottom"/>
          </w:tcPr>
          <w:p>
            <w:pPr>
              <w:spacing w:after="0"/>
              <w:rPr>
                <w:sz w:val="12"/>
                <w:szCs w:val="12"/>
                <w:color w:val="auto"/>
              </w:rPr>
            </w:pPr>
          </w:p>
        </w:tc>
      </w:tr>
      <w:tr>
        <w:trPr>
          <w:trHeight w:val="153"/>
        </w:trPr>
        <w:tc>
          <w:tcPr>
            <w:tcW w:w="7460" w:type="dxa"/>
            <w:vAlign w:val="bottom"/>
            <w:shd w:val="clear" w:color="auto" w:fill="CCEEFF"/>
          </w:tcPr>
          <w:p>
            <w:pPr>
              <w:ind w:left="440"/>
              <w:spacing w:after="0"/>
              <w:rPr>
                <w:sz w:val="20"/>
                <w:szCs w:val="20"/>
                <w:color w:val="auto"/>
              </w:rPr>
            </w:pPr>
            <w:r>
              <w:rPr>
                <w:rFonts w:ascii="Arial" w:cs="Arial" w:eastAsia="Arial" w:hAnsi="Arial"/>
                <w:sz w:val="12"/>
                <w:szCs w:val="12"/>
                <w:color w:val="auto"/>
              </w:rPr>
              <w:t>Change in cash, cash equivalents and restricted cash</w:t>
            </w:r>
          </w:p>
        </w:tc>
        <w:tc>
          <w:tcPr>
            <w:tcW w:w="15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688</w:t>
            </w:r>
          </w:p>
        </w:tc>
        <w:tc>
          <w:tcPr>
            <w:tcW w:w="10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r>
      <w:tr>
        <w:trPr>
          <w:trHeight w:val="153"/>
        </w:trPr>
        <w:tc>
          <w:tcPr>
            <w:tcW w:w="7460" w:type="dxa"/>
            <w:vAlign w:val="bottom"/>
            <w:tcBorders>
              <w:bottom w:val="single" w:sz="8" w:color="CCEEFF"/>
            </w:tcBorders>
          </w:tcPr>
          <w:p>
            <w:pPr>
              <w:ind w:left="440"/>
              <w:spacing w:after="0"/>
              <w:rPr>
                <w:sz w:val="20"/>
                <w:szCs w:val="20"/>
                <w:color w:val="auto"/>
              </w:rPr>
            </w:pPr>
            <w:r>
              <w:rPr>
                <w:rFonts w:ascii="Arial" w:cs="Arial" w:eastAsia="Arial" w:hAnsi="Arial"/>
                <w:sz w:val="12"/>
                <w:szCs w:val="12"/>
                <w:color w:val="auto"/>
              </w:rPr>
              <w:t>Cash, cash equivalents and restricted cash, beginning of period</w:t>
            </w:r>
          </w:p>
        </w:tc>
        <w:tc>
          <w:tcPr>
            <w:tcW w:w="15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992</w:t>
            </w:r>
          </w:p>
        </w:tc>
        <w:tc>
          <w:tcPr>
            <w:tcW w:w="100" w:type="dxa"/>
            <w:vAlign w:val="bottom"/>
            <w:tcBorders>
              <w:bottom w:val="single" w:sz="8" w:color="CCEEFF"/>
            </w:tcBorders>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r>
      <w:tr>
        <w:trPr>
          <w:trHeight w:val="158"/>
        </w:trPr>
        <w:tc>
          <w:tcPr>
            <w:tcW w:w="74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2"/>
                <w:szCs w:val="12"/>
                <w:color w:val="auto"/>
              </w:rPr>
              <w:t>Cash, cash equivalents and restricted cash, end of period</w:t>
            </w:r>
          </w:p>
        </w:tc>
        <w:tc>
          <w:tcPr>
            <w:tcW w:w="1520" w:type="dxa"/>
            <w:vAlign w:val="bottom"/>
            <w:tcBorders>
              <w:bottom w:val="single" w:sz="8" w:color="auto"/>
            </w:tcBorders>
            <w:shd w:val="clear" w:color="auto" w:fill="CCEEFF"/>
          </w:tcPr>
          <w:p>
            <w:pPr>
              <w:jc w:val="right"/>
              <w:ind w:right="962"/>
              <w:spacing w:after="0"/>
              <w:rPr>
                <w:sz w:val="20"/>
                <w:szCs w:val="20"/>
                <w:color w:val="auto"/>
              </w:rPr>
            </w:pPr>
            <w:r>
              <w:rPr>
                <w:rFonts w:ascii="Arial" w:cs="Arial" w:eastAsia="Arial" w:hAnsi="Arial"/>
                <w:sz w:val="12"/>
                <w:szCs w:val="12"/>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9"/>
              </w:rPr>
              <w:t>1,680</w:t>
            </w:r>
          </w:p>
        </w:tc>
        <w:tc>
          <w:tcPr>
            <w:tcW w:w="100" w:type="dxa"/>
            <w:vAlign w:val="bottom"/>
            <w:tcBorders>
              <w:bottom w:val="single" w:sz="8" w:color="CCEEFF"/>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jc w:val="right"/>
              <w:ind w:right="942"/>
              <w:spacing w:after="0"/>
              <w:rPr>
                <w:sz w:val="20"/>
                <w:szCs w:val="20"/>
                <w:color w:val="auto"/>
              </w:rPr>
            </w:pPr>
            <w:r>
              <w:rPr>
                <w:rFonts w:ascii="Arial" w:cs="Arial" w:eastAsia="Arial" w:hAnsi="Arial"/>
                <w:sz w:val="12"/>
                <w:szCs w:val="12"/>
                <w:color w:val="auto"/>
              </w:rPr>
              <w:t>$</w:t>
            </w:r>
          </w:p>
        </w:tc>
      </w:tr>
      <w:tr>
        <w:trPr>
          <w:trHeight w:val="153"/>
        </w:trPr>
        <w:tc>
          <w:tcPr>
            <w:tcW w:w="74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r>
      <w:tr>
        <w:trPr>
          <w:trHeight w:val="153"/>
        </w:trPr>
        <w:tc>
          <w:tcPr>
            <w:tcW w:w="7460" w:type="dxa"/>
            <w:vAlign w:val="bottom"/>
            <w:shd w:val="clear" w:color="auto" w:fill="CCEEFF"/>
          </w:tcPr>
          <w:p>
            <w:pPr>
              <w:ind w:left="440"/>
              <w:spacing w:after="0"/>
              <w:rPr>
                <w:sz w:val="20"/>
                <w:szCs w:val="20"/>
                <w:color w:val="auto"/>
              </w:rPr>
            </w:pPr>
            <w:r>
              <w:rPr>
                <w:rFonts w:ascii="Arial" w:cs="Arial" w:eastAsia="Arial" w:hAnsi="Arial"/>
                <w:sz w:val="12"/>
                <w:szCs w:val="12"/>
                <w:b w:val="1"/>
                <w:bCs w:val="1"/>
                <w:color w:val="auto"/>
              </w:rPr>
              <w:t>SUPPLEMENTAL DISCLOSURES</w:t>
            </w:r>
          </w:p>
        </w:tc>
        <w:tc>
          <w:tcPr>
            <w:tcW w:w="15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r>
      <w:tr>
        <w:trPr>
          <w:trHeight w:val="153"/>
        </w:trPr>
        <w:tc>
          <w:tcPr>
            <w:tcW w:w="7460" w:type="dxa"/>
            <w:vAlign w:val="bottom"/>
          </w:tcPr>
          <w:p>
            <w:pPr>
              <w:ind w:left="580"/>
              <w:spacing w:after="0"/>
              <w:rPr>
                <w:sz w:val="20"/>
                <w:szCs w:val="20"/>
                <w:color w:val="auto"/>
              </w:rPr>
            </w:pPr>
            <w:r>
              <w:rPr>
                <w:rFonts w:ascii="Arial" w:cs="Arial" w:eastAsia="Arial" w:hAnsi="Arial"/>
                <w:sz w:val="12"/>
                <w:szCs w:val="12"/>
                <w:color w:val="auto"/>
              </w:rPr>
              <w:t>Non-cash issuance of treasury stock in connection with Welk Acquisition</w:t>
            </w:r>
          </w:p>
        </w:tc>
        <w:tc>
          <w:tcPr>
            <w:tcW w:w="1520" w:type="dxa"/>
            <w:vAlign w:val="bottom"/>
          </w:tcPr>
          <w:p>
            <w:pPr>
              <w:jc w:val="right"/>
              <w:ind w:right="962"/>
              <w:spacing w:after="0"/>
              <w:rPr>
                <w:sz w:val="20"/>
                <w:szCs w:val="20"/>
                <w:color w:val="auto"/>
              </w:rPr>
            </w:pPr>
            <w:r>
              <w:rPr>
                <w:rFonts w:ascii="Arial" w:cs="Arial" w:eastAsia="Arial" w:hAnsi="Arial"/>
                <w:sz w:val="12"/>
                <w:szCs w:val="12"/>
                <w:color w:val="auto"/>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248</w:t>
            </w:r>
          </w:p>
        </w:tc>
        <w:tc>
          <w:tcPr>
            <w:tcW w:w="100" w:type="dxa"/>
            <w:vAlign w:val="bottom"/>
          </w:tcPr>
          <w:p>
            <w:pPr>
              <w:spacing w:after="0"/>
              <w:rPr>
                <w:sz w:val="13"/>
                <w:szCs w:val="13"/>
                <w:color w:val="auto"/>
              </w:rPr>
            </w:pPr>
          </w:p>
        </w:tc>
        <w:tc>
          <w:tcPr>
            <w:tcW w:w="1500" w:type="dxa"/>
            <w:vAlign w:val="bottom"/>
          </w:tcPr>
          <w:p>
            <w:pPr>
              <w:jc w:val="right"/>
              <w:ind w:right="942"/>
              <w:spacing w:after="0"/>
              <w:rPr>
                <w:sz w:val="20"/>
                <w:szCs w:val="20"/>
                <w:color w:val="auto"/>
              </w:rPr>
            </w:pPr>
            <w:r>
              <w:rPr>
                <w:rFonts w:ascii="Arial" w:cs="Arial" w:eastAsia="Arial" w:hAnsi="Arial"/>
                <w:sz w:val="12"/>
                <w:szCs w:val="12"/>
                <w:color w:val="auto"/>
              </w:rPr>
              <w:t>$</w:t>
            </w:r>
          </w:p>
        </w:tc>
      </w:tr>
      <w:tr>
        <w:trPr>
          <w:trHeight w:val="153"/>
        </w:trPr>
        <w:tc>
          <w:tcPr>
            <w:tcW w:w="7460" w:type="dxa"/>
            <w:vAlign w:val="bottom"/>
            <w:shd w:val="clear" w:color="auto" w:fill="CCEEFF"/>
          </w:tcPr>
          <w:p>
            <w:pPr>
              <w:ind w:left="580"/>
              <w:spacing w:after="0"/>
              <w:rPr>
                <w:sz w:val="20"/>
                <w:szCs w:val="20"/>
                <w:color w:val="auto"/>
              </w:rPr>
            </w:pPr>
            <w:r>
              <w:rPr>
                <w:rFonts w:ascii="Arial" w:cs="Arial" w:eastAsia="Arial" w:hAnsi="Arial"/>
                <w:sz w:val="12"/>
                <w:szCs w:val="12"/>
                <w:color w:val="auto"/>
              </w:rPr>
              <w:t>Non-cash transfer from property and equipment to inventory</w:t>
            </w:r>
          </w:p>
        </w:tc>
        <w:tc>
          <w:tcPr>
            <w:tcW w:w="15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r>
      <w:tr>
        <w:trPr>
          <w:trHeight w:val="153"/>
        </w:trPr>
        <w:tc>
          <w:tcPr>
            <w:tcW w:w="7460" w:type="dxa"/>
            <w:vAlign w:val="bottom"/>
          </w:tcPr>
          <w:p>
            <w:pPr>
              <w:ind w:left="580"/>
              <w:spacing w:after="0"/>
              <w:rPr>
                <w:sz w:val="20"/>
                <w:szCs w:val="20"/>
                <w:color w:val="auto"/>
              </w:rPr>
            </w:pPr>
            <w:r>
              <w:rPr>
                <w:rFonts w:ascii="Arial" w:cs="Arial" w:eastAsia="Arial" w:hAnsi="Arial"/>
                <w:sz w:val="12"/>
                <w:szCs w:val="12"/>
                <w:color w:val="auto"/>
              </w:rPr>
              <w:t>Non-cash transfer from inventory to property and equipment</w:t>
            </w:r>
          </w:p>
        </w:tc>
        <w:tc>
          <w:tcPr>
            <w:tcW w:w="15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r>
      <w:tr>
        <w:trPr>
          <w:trHeight w:val="153"/>
        </w:trPr>
        <w:tc>
          <w:tcPr>
            <w:tcW w:w="7460" w:type="dxa"/>
            <w:vAlign w:val="bottom"/>
            <w:shd w:val="clear" w:color="auto" w:fill="CCEEFF"/>
          </w:tcPr>
          <w:p>
            <w:pPr>
              <w:ind w:left="580"/>
              <w:spacing w:after="0"/>
              <w:rPr>
                <w:sz w:val="20"/>
                <w:szCs w:val="20"/>
                <w:color w:val="auto"/>
              </w:rPr>
            </w:pPr>
            <w:r>
              <w:rPr>
                <w:rFonts w:ascii="Arial" w:cs="Arial" w:eastAsia="Arial" w:hAnsi="Arial"/>
                <w:sz w:val="12"/>
                <w:szCs w:val="12"/>
                <w:color w:val="auto"/>
              </w:rPr>
              <w:t>Non-cash issuance of treasury stock for employee stock purchase plan</w:t>
            </w:r>
          </w:p>
        </w:tc>
        <w:tc>
          <w:tcPr>
            <w:tcW w:w="15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r>
      <w:tr>
        <w:trPr>
          <w:trHeight w:val="153"/>
        </w:trPr>
        <w:tc>
          <w:tcPr>
            <w:tcW w:w="7460" w:type="dxa"/>
            <w:vAlign w:val="bottom"/>
          </w:tcPr>
          <w:p>
            <w:pPr>
              <w:ind w:left="580"/>
              <w:spacing w:after="0"/>
              <w:rPr>
                <w:sz w:val="20"/>
                <w:szCs w:val="20"/>
                <w:color w:val="auto"/>
              </w:rPr>
            </w:pPr>
            <w:r>
              <w:rPr>
                <w:rFonts w:ascii="Arial" w:cs="Arial" w:eastAsia="Arial" w:hAnsi="Arial"/>
                <w:sz w:val="12"/>
                <w:szCs w:val="12"/>
                <w:color w:val="auto"/>
              </w:rPr>
              <w:t>Interest paid, net of amounts capitalized</w:t>
            </w:r>
          </w:p>
        </w:tc>
        <w:tc>
          <w:tcPr>
            <w:tcW w:w="15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89</w:t>
            </w: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r>
      <w:tr>
        <w:trPr>
          <w:trHeight w:val="153"/>
        </w:trPr>
        <w:tc>
          <w:tcPr>
            <w:tcW w:w="7460" w:type="dxa"/>
            <w:vAlign w:val="bottom"/>
            <w:shd w:val="clear" w:color="auto" w:fill="CCEEFF"/>
          </w:tcPr>
          <w:p>
            <w:pPr>
              <w:ind w:left="580"/>
              <w:spacing w:after="0"/>
              <w:rPr>
                <w:sz w:val="20"/>
                <w:szCs w:val="20"/>
                <w:color w:val="auto"/>
              </w:rPr>
            </w:pPr>
            <w:r>
              <w:rPr>
                <w:rFonts w:ascii="Arial" w:cs="Arial" w:eastAsia="Arial" w:hAnsi="Arial"/>
                <w:sz w:val="12"/>
                <w:szCs w:val="12"/>
                <w:color w:val="auto"/>
              </w:rPr>
              <w:t>(Income tax refunds) income taxes paid, net of refunds</w:t>
            </w:r>
          </w:p>
        </w:tc>
        <w:tc>
          <w:tcPr>
            <w:tcW w:w="15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w:t>
            </w:r>
          </w:p>
        </w:tc>
        <w:tc>
          <w:tcPr>
            <w:tcW w:w="10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r>
    </w:tbl>
    <w:p>
      <w:pPr>
        <w:spacing w:after="0" w:line="347"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color w:val="auto"/>
        </w:rPr>
        <w:t>See Notes to Interim Consolidated Financial Statements</w:t>
      </w:r>
    </w:p>
    <w:p>
      <w:pPr>
        <w:spacing w:after="0" w:line="379" w:lineRule="exact"/>
        <w:rPr>
          <w:sz w:val="20"/>
          <w:szCs w:val="20"/>
          <w:color w:val="auto"/>
        </w:rPr>
      </w:pPr>
    </w:p>
    <w:p>
      <w:pPr>
        <w:jc w:val="center"/>
        <w:ind w:left="420"/>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191135</wp:posOffset>
            </wp:positionV>
            <wp:extent cx="720344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60"/>
          </w:cols>
          <w:pgMar w:left="300" w:top="203" w:right="239" w:bottom="1440" w:gutter="0" w:footer="0" w:header="0"/>
        </w:sectPr>
      </w:pPr>
    </w:p>
    <w:bookmarkStart w:id="7" w:name="page8"/>
    <w:bookmarkEnd w:id="7"/>
    <w:p>
      <w:pPr>
        <w:jc w:val="center"/>
        <w:ind w:right="60"/>
        <w:spacing w:after="0"/>
        <w:rPr>
          <w:sz w:val="20"/>
          <w:szCs w:val="20"/>
          <w:color w:val="auto"/>
        </w:rPr>
      </w:pPr>
      <w:r>
        <w:rPr>
          <w:rFonts w:ascii="Arial" w:cs="Arial" w:eastAsia="Arial" w:hAnsi="Arial"/>
          <w:sz w:val="12"/>
          <w:szCs w:val="12"/>
          <w:b w:val="1"/>
          <w:bCs w:val="1"/>
          <w:color w:val="auto"/>
        </w:rPr>
        <w:t>MARRIOTT VACATIONS WORLDWIDE CORPORATION</w:t>
      </w:r>
    </w:p>
    <w:p>
      <w:pPr>
        <w:spacing w:after="0" w:line="19"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color w:val="auto"/>
        </w:rPr>
        <w:t>INTERIM CONSOLIDATED STATEMENTS OF SHAREHOLDERS’ EQUITY</w:t>
      </w:r>
    </w:p>
    <w:p>
      <w:pPr>
        <w:spacing w:after="0" w:line="6" w:lineRule="exact"/>
        <w:rPr>
          <w:sz w:val="20"/>
          <w:szCs w:val="20"/>
          <w:color w:val="auto"/>
        </w:rPr>
      </w:pPr>
    </w:p>
    <w:p>
      <w:pPr>
        <w:ind w:left="5140"/>
        <w:spacing w:after="0"/>
        <w:rPr>
          <w:sz w:val="20"/>
          <w:szCs w:val="20"/>
          <w:color w:val="auto"/>
        </w:rPr>
      </w:pPr>
      <w:r>
        <w:rPr>
          <w:rFonts w:ascii="Arial" w:cs="Arial" w:eastAsia="Arial" w:hAnsi="Arial"/>
          <w:sz w:val="12"/>
          <w:szCs w:val="12"/>
          <w:color w:val="auto"/>
        </w:rPr>
        <w:t>(In millions)</w:t>
      </w:r>
    </w:p>
    <w:p>
      <w:pPr>
        <w:spacing w:after="0" w:line="6" w:lineRule="exact"/>
        <w:rPr>
          <w:sz w:val="20"/>
          <w:szCs w:val="20"/>
          <w:color w:val="auto"/>
        </w:rPr>
      </w:pPr>
    </w:p>
    <w:p>
      <w:pPr>
        <w:ind w:left="5160"/>
        <w:spacing w:after="0"/>
        <w:rPr>
          <w:sz w:val="20"/>
          <w:szCs w:val="20"/>
          <w:color w:val="auto"/>
        </w:rPr>
      </w:pPr>
      <w:r>
        <w:rPr>
          <w:rFonts w:ascii="Arial" w:cs="Arial" w:eastAsia="Arial" w:hAnsi="Arial"/>
          <w:sz w:val="12"/>
          <w:szCs w:val="12"/>
          <w:color w:val="auto"/>
        </w:rPr>
        <w:t>(Unaudited)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40" w:type="dxa"/>
            <w:vAlign w:val="bottom"/>
          </w:tcPr>
          <w:p>
            <w:pPr>
              <w:jc w:val="right"/>
              <w:spacing w:after="0"/>
              <w:rPr>
                <w:sz w:val="20"/>
                <w:szCs w:val="20"/>
                <w:color w:val="auto"/>
              </w:rPr>
            </w:pPr>
            <w:r>
              <w:rPr>
                <w:rFonts w:ascii="Arial" w:cs="Arial" w:eastAsia="Arial" w:hAnsi="Arial"/>
                <w:sz w:val="10"/>
                <w:szCs w:val="10"/>
                <w:b w:val="1"/>
                <w:bCs w:val="1"/>
                <w:color w:val="auto"/>
              </w:rPr>
              <w:t>Common</w:t>
            </w:r>
          </w:p>
        </w:tc>
        <w:tc>
          <w:tcPr>
            <w:tcW w:w="1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Common</w:t>
            </w:r>
          </w:p>
        </w:tc>
        <w:tc>
          <w:tcPr>
            <w:tcW w:w="500" w:type="dxa"/>
            <w:vAlign w:val="bottom"/>
          </w:tcPr>
          <w:p>
            <w:pPr>
              <w:spacing w:after="0"/>
              <w:rPr>
                <w:sz w:val="10"/>
                <w:szCs w:val="10"/>
                <w:color w:val="auto"/>
              </w:rPr>
            </w:pPr>
          </w:p>
        </w:tc>
        <w:tc>
          <w:tcPr>
            <w:tcW w:w="820" w:type="dxa"/>
            <w:vAlign w:val="bottom"/>
            <w:gridSpan w:val="2"/>
            <w:vMerge w:val="restart"/>
          </w:tcPr>
          <w:p>
            <w:pPr>
              <w:ind w:left="160"/>
              <w:spacing w:after="0"/>
              <w:rPr>
                <w:sz w:val="20"/>
                <w:szCs w:val="20"/>
                <w:color w:val="auto"/>
              </w:rPr>
            </w:pPr>
            <w:r>
              <w:rPr>
                <w:rFonts w:ascii="Arial" w:cs="Arial" w:eastAsia="Arial" w:hAnsi="Arial"/>
                <w:sz w:val="10"/>
                <w:szCs w:val="10"/>
                <w:b w:val="1"/>
                <w:bCs w:val="1"/>
                <w:color w:val="auto"/>
              </w:rPr>
              <w:t>Treasury</w:t>
            </w:r>
          </w:p>
        </w:tc>
        <w:tc>
          <w:tcPr>
            <w:tcW w:w="1280" w:type="dxa"/>
            <w:vAlign w:val="bottom"/>
            <w:gridSpan w:val="3"/>
          </w:tcPr>
          <w:p>
            <w:pPr>
              <w:ind w:left="600"/>
              <w:spacing w:after="0"/>
              <w:rPr>
                <w:sz w:val="20"/>
                <w:szCs w:val="20"/>
                <w:color w:val="auto"/>
              </w:rPr>
            </w:pPr>
            <w:r>
              <w:rPr>
                <w:rFonts w:ascii="Arial" w:cs="Arial" w:eastAsia="Arial" w:hAnsi="Arial"/>
                <w:sz w:val="10"/>
                <w:szCs w:val="10"/>
                <w:b w:val="1"/>
                <w:bCs w:val="1"/>
                <w:color w:val="auto"/>
              </w:rPr>
              <w:t>Additional</w:t>
            </w:r>
          </w:p>
        </w:tc>
        <w:tc>
          <w:tcPr>
            <w:tcW w:w="500" w:type="dxa"/>
            <w:vAlign w:val="bottom"/>
          </w:tcPr>
          <w:p>
            <w:pPr>
              <w:spacing w:after="0"/>
              <w:rPr>
                <w:sz w:val="10"/>
                <w:szCs w:val="10"/>
                <w:color w:val="auto"/>
              </w:rPr>
            </w:pPr>
          </w:p>
        </w:tc>
        <w:tc>
          <w:tcPr>
            <w:tcW w:w="680" w:type="dxa"/>
            <w:vAlign w:val="bottom"/>
            <w:gridSpan w:val="2"/>
          </w:tcPr>
          <w:p>
            <w:pPr>
              <w:spacing w:after="0"/>
              <w:rPr>
                <w:sz w:val="20"/>
                <w:szCs w:val="20"/>
                <w:color w:val="auto"/>
              </w:rPr>
            </w:pPr>
            <w:r>
              <w:rPr>
                <w:rFonts w:ascii="Arial" w:cs="Arial" w:eastAsia="Arial" w:hAnsi="Arial"/>
                <w:sz w:val="10"/>
                <w:szCs w:val="10"/>
                <w:b w:val="1"/>
                <w:bCs w:val="1"/>
                <w:color w:val="auto"/>
              </w:rPr>
              <w:t>Accumulated</w:t>
            </w:r>
          </w:p>
        </w:tc>
        <w:tc>
          <w:tcPr>
            <w:tcW w:w="560" w:type="dxa"/>
            <w:vAlign w:val="bottom"/>
          </w:tcPr>
          <w:p>
            <w:pPr>
              <w:spacing w:after="0"/>
              <w:rPr>
                <w:sz w:val="10"/>
                <w:szCs w:val="10"/>
                <w:color w:val="auto"/>
              </w:rPr>
            </w:pPr>
          </w:p>
        </w:tc>
        <w:tc>
          <w:tcPr>
            <w:tcW w:w="64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Retained</w:t>
            </w:r>
          </w:p>
        </w:tc>
        <w:tc>
          <w:tcPr>
            <w:tcW w:w="540" w:type="dxa"/>
            <w:vAlign w:val="bottom"/>
          </w:tcPr>
          <w:p>
            <w:pPr>
              <w:spacing w:after="0"/>
              <w:rPr>
                <w:sz w:val="10"/>
                <w:szCs w:val="10"/>
                <w:color w:val="auto"/>
              </w:rPr>
            </w:pPr>
          </w:p>
        </w:tc>
        <w:tc>
          <w:tcPr>
            <w:tcW w:w="74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Total MVW</w:t>
            </w:r>
          </w:p>
        </w:tc>
        <w:tc>
          <w:tcPr>
            <w:tcW w:w="1340" w:type="dxa"/>
            <w:vAlign w:val="bottom"/>
            <w:gridSpan w:val="4"/>
            <w:vMerge w:val="restart"/>
          </w:tcPr>
          <w:p>
            <w:pPr>
              <w:jc w:val="right"/>
              <w:ind w:right="280"/>
              <w:spacing w:after="0"/>
              <w:rPr>
                <w:sz w:val="20"/>
                <w:szCs w:val="20"/>
                <w:color w:val="auto"/>
              </w:rPr>
            </w:pPr>
            <w:r>
              <w:rPr>
                <w:rFonts w:ascii="Arial" w:cs="Arial" w:eastAsia="Arial" w:hAnsi="Arial"/>
                <w:sz w:val="10"/>
                <w:szCs w:val="10"/>
                <w:b w:val="1"/>
                <w:bCs w:val="1"/>
                <w:color w:val="auto"/>
              </w:rPr>
              <w:t>Noncontrolling</w:t>
            </w:r>
          </w:p>
        </w:tc>
        <w:tc>
          <w:tcPr>
            <w:tcW w:w="0" w:type="dxa"/>
            <w:vAlign w:val="bottom"/>
          </w:tcPr>
          <w:p>
            <w:pPr>
              <w:spacing w:after="0"/>
              <w:rPr>
                <w:sz w:val="1"/>
                <w:szCs w:val="1"/>
                <w:color w:val="auto"/>
              </w:rPr>
            </w:pPr>
          </w:p>
        </w:tc>
      </w:tr>
      <w:tr>
        <w:trPr>
          <w:trHeight w:val="90"/>
        </w:trPr>
        <w:tc>
          <w:tcPr>
            <w:tcW w:w="840" w:type="dxa"/>
            <w:vAlign w:val="bottom"/>
          </w:tcPr>
          <w:p>
            <w:pPr>
              <w:jc w:val="right"/>
              <w:ind w:right="247"/>
              <w:spacing w:after="0" w:line="90" w:lineRule="exact"/>
              <w:rPr>
                <w:sz w:val="20"/>
                <w:szCs w:val="20"/>
                <w:color w:val="auto"/>
              </w:rPr>
            </w:pPr>
            <w:r>
              <w:rPr>
                <w:rFonts w:ascii="Arial" w:cs="Arial" w:eastAsia="Arial" w:hAnsi="Arial"/>
                <w:sz w:val="10"/>
                <w:szCs w:val="10"/>
                <w:b w:val="1"/>
                <w:bCs w:val="1"/>
                <w:color w:val="auto"/>
              </w:rPr>
              <w:t>Stock</w:t>
            </w:r>
          </w:p>
        </w:tc>
        <w:tc>
          <w:tcPr>
            <w:tcW w:w="1400" w:type="dxa"/>
            <w:vAlign w:val="bottom"/>
          </w:tcPr>
          <w:p>
            <w:pPr>
              <w:spacing w:after="0"/>
              <w:rPr>
                <w:sz w:val="7"/>
                <w:szCs w:val="7"/>
                <w:color w:val="auto"/>
              </w:rPr>
            </w:pPr>
          </w:p>
        </w:tc>
        <w:tc>
          <w:tcPr>
            <w:tcW w:w="52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50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840" w:type="dxa"/>
            <w:vAlign w:val="bottom"/>
          </w:tcPr>
          <w:p>
            <w:pPr>
              <w:ind w:left="460"/>
              <w:spacing w:after="0" w:line="90" w:lineRule="exact"/>
              <w:rPr>
                <w:sz w:val="20"/>
                <w:szCs w:val="20"/>
                <w:color w:val="auto"/>
              </w:rPr>
            </w:pPr>
            <w:r>
              <w:rPr>
                <w:rFonts w:ascii="Arial" w:cs="Arial" w:eastAsia="Arial" w:hAnsi="Arial"/>
                <w:sz w:val="10"/>
                <w:szCs w:val="10"/>
                <w:b w:val="1"/>
                <w:bCs w:val="1"/>
                <w:color w:val="auto"/>
              </w:rPr>
              <w:t>Paid-In</w:t>
            </w: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1180" w:type="dxa"/>
            <w:vAlign w:val="bottom"/>
            <w:gridSpan w:val="3"/>
          </w:tcPr>
          <w:p>
            <w:pPr>
              <w:jc w:val="center"/>
              <w:ind w:right="60"/>
              <w:spacing w:after="0" w:line="90" w:lineRule="exact"/>
              <w:rPr>
                <w:sz w:val="20"/>
                <w:szCs w:val="20"/>
                <w:color w:val="auto"/>
              </w:rPr>
            </w:pPr>
            <w:r>
              <w:rPr>
                <w:rFonts w:ascii="Arial" w:cs="Arial" w:eastAsia="Arial" w:hAnsi="Arial"/>
                <w:sz w:val="10"/>
                <w:szCs w:val="10"/>
                <w:b w:val="1"/>
                <w:bCs w:val="1"/>
                <w:color w:val="auto"/>
                <w:w w:val="88"/>
              </w:rPr>
              <w:t>Other Comprehensive</w:t>
            </w:r>
          </w:p>
        </w:tc>
        <w:tc>
          <w:tcPr>
            <w:tcW w:w="56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54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134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840" w:type="dxa"/>
            <w:vAlign w:val="bottom"/>
          </w:tcPr>
          <w:p>
            <w:pPr>
              <w:jc w:val="right"/>
              <w:ind w:right="247"/>
              <w:spacing w:after="0"/>
              <w:rPr>
                <w:sz w:val="20"/>
                <w:szCs w:val="20"/>
                <w:color w:val="auto"/>
              </w:rPr>
            </w:pPr>
            <w:r>
              <w:rPr>
                <w:rFonts w:ascii="Arial" w:cs="Arial" w:eastAsia="Arial" w:hAnsi="Arial"/>
                <w:sz w:val="10"/>
                <w:szCs w:val="10"/>
                <w:b w:val="1"/>
                <w:bCs w:val="1"/>
                <w:color w:val="auto"/>
              </w:rPr>
              <w:t>Issued</w:t>
            </w:r>
          </w:p>
        </w:tc>
        <w:tc>
          <w:tcPr>
            <w:tcW w:w="1400" w:type="dxa"/>
            <w:vAlign w:val="bottom"/>
          </w:tcPr>
          <w:p>
            <w:pPr>
              <w:spacing w:after="0"/>
              <w:rPr>
                <w:sz w:val="10"/>
                <w:szCs w:val="10"/>
                <w:color w:val="auto"/>
              </w:rPr>
            </w:pPr>
          </w:p>
        </w:tc>
        <w:tc>
          <w:tcPr>
            <w:tcW w:w="1100" w:type="dxa"/>
            <w:vAlign w:val="bottom"/>
            <w:gridSpan w:val="3"/>
          </w:tcPr>
          <w:p>
            <w:pPr>
              <w:ind w:left="400"/>
              <w:spacing w:after="0"/>
              <w:rPr>
                <w:sz w:val="20"/>
                <w:szCs w:val="20"/>
                <w:color w:val="auto"/>
              </w:rPr>
            </w:pPr>
            <w:r>
              <w:rPr>
                <w:rFonts w:ascii="Arial" w:cs="Arial" w:eastAsia="Arial" w:hAnsi="Arial"/>
                <w:sz w:val="10"/>
                <w:szCs w:val="10"/>
                <w:b w:val="1"/>
                <w:bCs w:val="1"/>
                <w:color w:val="auto"/>
              </w:rPr>
              <w:t>Stock</w:t>
            </w:r>
          </w:p>
        </w:tc>
        <w:tc>
          <w:tcPr>
            <w:tcW w:w="500" w:type="dxa"/>
            <w:vAlign w:val="bottom"/>
          </w:tcPr>
          <w:p>
            <w:pPr>
              <w:spacing w:after="0"/>
              <w:rPr>
                <w:sz w:val="10"/>
                <w:szCs w:val="10"/>
                <w:color w:val="auto"/>
              </w:rPr>
            </w:pPr>
          </w:p>
        </w:tc>
        <w:tc>
          <w:tcPr>
            <w:tcW w:w="820" w:type="dxa"/>
            <w:vAlign w:val="bottom"/>
            <w:gridSpan w:val="2"/>
          </w:tcPr>
          <w:p>
            <w:pPr>
              <w:ind w:left="20"/>
              <w:spacing w:after="0"/>
              <w:rPr>
                <w:sz w:val="20"/>
                <w:szCs w:val="20"/>
                <w:color w:val="auto"/>
              </w:rPr>
            </w:pPr>
            <w:r>
              <w:rPr>
                <w:rFonts w:ascii="Arial" w:cs="Arial" w:eastAsia="Arial" w:hAnsi="Arial"/>
                <w:sz w:val="10"/>
                <w:szCs w:val="10"/>
                <w:b w:val="1"/>
                <w:bCs w:val="1"/>
                <w:color w:val="auto"/>
              </w:rPr>
              <w:t>Stock</w:t>
            </w:r>
          </w:p>
        </w:tc>
        <w:tc>
          <w:tcPr>
            <w:tcW w:w="840" w:type="dxa"/>
            <w:vAlign w:val="bottom"/>
          </w:tcPr>
          <w:p>
            <w:pPr>
              <w:ind w:left="460"/>
              <w:spacing w:after="0"/>
              <w:rPr>
                <w:sz w:val="20"/>
                <w:szCs w:val="20"/>
                <w:color w:val="auto"/>
              </w:rPr>
            </w:pPr>
            <w:r>
              <w:rPr>
                <w:rFonts w:ascii="Arial" w:cs="Arial" w:eastAsia="Arial" w:hAnsi="Arial"/>
                <w:sz w:val="10"/>
                <w:szCs w:val="10"/>
                <w:b w:val="1"/>
                <w:bCs w:val="1"/>
                <w:color w:val="auto"/>
              </w:rPr>
              <w:t>Capital</w:t>
            </w: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gridSpan w:val="3"/>
          </w:tcPr>
          <w:p>
            <w:pPr>
              <w:jc w:val="center"/>
              <w:ind w:right="60"/>
              <w:spacing w:after="0"/>
              <w:rPr>
                <w:sz w:val="20"/>
                <w:szCs w:val="20"/>
                <w:color w:val="auto"/>
              </w:rPr>
            </w:pPr>
            <w:r>
              <w:rPr>
                <w:rFonts w:ascii="Arial" w:cs="Arial" w:eastAsia="Arial" w:hAnsi="Arial"/>
                <w:sz w:val="10"/>
                <w:szCs w:val="10"/>
                <w:b w:val="1"/>
                <w:bCs w:val="1"/>
                <w:color w:val="auto"/>
                <w:w w:val="87"/>
              </w:rPr>
              <w:t>(Loss) Gain</w:t>
            </w:r>
          </w:p>
        </w:tc>
        <w:tc>
          <w:tcPr>
            <w:tcW w:w="1200" w:type="dxa"/>
            <w:vAlign w:val="bottom"/>
            <w:gridSpan w:val="3"/>
          </w:tcPr>
          <w:p>
            <w:pPr>
              <w:ind w:left="380"/>
              <w:spacing w:after="0"/>
              <w:rPr>
                <w:sz w:val="20"/>
                <w:szCs w:val="20"/>
                <w:color w:val="auto"/>
              </w:rPr>
            </w:pPr>
            <w:r>
              <w:rPr>
                <w:rFonts w:ascii="Arial" w:cs="Arial" w:eastAsia="Arial" w:hAnsi="Arial"/>
                <w:sz w:val="10"/>
                <w:szCs w:val="10"/>
                <w:b w:val="1"/>
                <w:bCs w:val="1"/>
                <w:color w:val="auto"/>
              </w:rPr>
              <w:t>Earnings</w:t>
            </w:r>
          </w:p>
        </w:tc>
        <w:tc>
          <w:tcPr>
            <w:tcW w:w="1280" w:type="dxa"/>
            <w:vAlign w:val="bottom"/>
            <w:gridSpan w:val="3"/>
          </w:tcPr>
          <w:p>
            <w:pPr>
              <w:ind w:left="180"/>
              <w:spacing w:after="0"/>
              <w:rPr>
                <w:sz w:val="20"/>
                <w:szCs w:val="20"/>
                <w:color w:val="auto"/>
              </w:rPr>
            </w:pPr>
            <w:r>
              <w:rPr>
                <w:rFonts w:ascii="Arial" w:cs="Arial" w:eastAsia="Arial" w:hAnsi="Arial"/>
                <w:sz w:val="10"/>
                <w:szCs w:val="10"/>
                <w:b w:val="1"/>
                <w:bCs w:val="1"/>
                <w:color w:val="auto"/>
              </w:rPr>
              <w:t>Shareholders' Equity</w:t>
            </w:r>
          </w:p>
        </w:tc>
        <w:tc>
          <w:tcPr>
            <w:tcW w:w="820" w:type="dxa"/>
            <w:vAlign w:val="bottom"/>
          </w:tcPr>
          <w:p>
            <w:pPr>
              <w:jc w:val="right"/>
              <w:ind w:right="49"/>
              <w:spacing w:after="0"/>
              <w:rPr>
                <w:sz w:val="20"/>
                <w:szCs w:val="20"/>
                <w:color w:val="auto"/>
              </w:rPr>
            </w:pPr>
            <w:r>
              <w:rPr>
                <w:rFonts w:ascii="Arial" w:cs="Arial" w:eastAsia="Arial" w:hAnsi="Arial"/>
                <w:sz w:val="10"/>
                <w:szCs w:val="10"/>
                <w:b w:val="1"/>
                <w:bCs w:val="1"/>
                <w:color w:val="auto"/>
              </w:rPr>
              <w:t>Interests</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840" w:type="dxa"/>
            <w:vAlign w:val="bottom"/>
            <w:tcBorders>
              <w:top w:val="single" w:sz="8" w:color="auto"/>
            </w:tcBorders>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75.3</w:t>
            </w:r>
          </w:p>
        </w:tc>
        <w:tc>
          <w:tcPr>
            <w:tcW w:w="1400" w:type="dxa"/>
            <w:vAlign w:val="bottom"/>
            <w:tcBorders>
              <w:top w:val="single" w:sz="8" w:color="CCEEFF"/>
            </w:tcBorders>
            <w:shd w:val="clear" w:color="auto" w:fill="CCEEFF"/>
          </w:tcPr>
          <w:p>
            <w:pPr>
              <w:ind w:left="500"/>
              <w:spacing w:after="0" w:line="90" w:lineRule="exact"/>
              <w:rPr>
                <w:sz w:val="20"/>
                <w:szCs w:val="20"/>
                <w:color w:val="auto"/>
              </w:rPr>
            </w:pPr>
            <w:r>
              <w:rPr>
                <w:rFonts w:ascii="Arial" w:cs="Arial" w:eastAsia="Arial" w:hAnsi="Arial"/>
                <w:sz w:val="10"/>
                <w:szCs w:val="10"/>
                <w:b w:val="1"/>
                <w:bCs w:val="1"/>
                <w:color w:val="auto"/>
              </w:rPr>
              <w:t>BALANCE AT</w:t>
            </w:r>
          </w:p>
        </w:tc>
        <w:tc>
          <w:tcPr>
            <w:tcW w:w="5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60" w:type="dxa"/>
            <w:vAlign w:val="bottom"/>
            <w:tcBorders>
              <w:top w:val="single" w:sz="8" w:color="CCEEFF"/>
            </w:tcBorders>
            <w:shd w:val="clear" w:color="auto" w:fill="CCEEFF"/>
          </w:tcPr>
          <w:p>
            <w:pPr>
              <w:spacing w:after="0"/>
              <w:rPr>
                <w:sz w:val="7"/>
                <w:szCs w:val="7"/>
                <w:color w:val="auto"/>
              </w:rPr>
            </w:pPr>
          </w:p>
        </w:tc>
        <w:tc>
          <w:tcPr>
            <w:tcW w:w="5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1"/>
                <w:szCs w:val="11"/>
                <w:color w:val="auto"/>
              </w:rPr>
              <w:t>(1,334)</w:t>
            </w:r>
          </w:p>
        </w:tc>
        <w:tc>
          <w:tcPr>
            <w:tcW w:w="60" w:type="dxa"/>
            <w:vAlign w:val="bottom"/>
            <w:tcBorders>
              <w:top w:val="single" w:sz="8" w:color="CCEEFF"/>
            </w:tcBorders>
            <w:shd w:val="clear" w:color="auto" w:fill="CCEEFF"/>
          </w:tcPr>
          <w:p>
            <w:pPr>
              <w:spacing w:after="0"/>
              <w:rPr>
                <w:sz w:val="7"/>
                <w:szCs w:val="7"/>
                <w:color w:val="auto"/>
              </w:rPr>
            </w:pPr>
          </w:p>
        </w:tc>
        <w:tc>
          <w:tcPr>
            <w:tcW w:w="840" w:type="dxa"/>
            <w:vAlign w:val="bottom"/>
            <w:tcBorders>
              <w:top w:val="single" w:sz="8" w:color="auto"/>
            </w:tcBorders>
            <w:vMerge w:val="restart"/>
            <w:shd w:val="clear" w:color="auto" w:fill="CCEEFF"/>
          </w:tcPr>
          <w:p>
            <w:pPr>
              <w:ind w:left="440"/>
              <w:spacing w:after="0"/>
              <w:rPr>
                <w:sz w:val="20"/>
                <w:szCs w:val="20"/>
                <w:color w:val="auto"/>
              </w:rPr>
            </w:pPr>
            <w:r>
              <w:rPr>
                <w:rFonts w:ascii="Arial" w:cs="Arial" w:eastAsia="Arial" w:hAnsi="Arial"/>
                <w:sz w:val="11"/>
                <w:szCs w:val="11"/>
                <w:color w:val="auto"/>
              </w:rPr>
              <w:t>$</w:t>
            </w:r>
          </w:p>
        </w:tc>
        <w:tc>
          <w:tcPr>
            <w:tcW w:w="3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1"/>
                <w:szCs w:val="11"/>
                <w:color w:val="auto"/>
              </w:rPr>
              <w:t>3,760</w:t>
            </w:r>
          </w:p>
        </w:tc>
        <w:tc>
          <w:tcPr>
            <w:tcW w:w="60" w:type="dxa"/>
            <w:vAlign w:val="bottom"/>
            <w:tcBorders>
              <w:top w:val="single" w:sz="8" w:color="CCEEFF"/>
            </w:tcBorders>
            <w:shd w:val="clear" w:color="auto" w:fill="CCEEFF"/>
          </w:tcPr>
          <w:p>
            <w:pPr>
              <w:spacing w:after="0"/>
              <w:rPr>
                <w:sz w:val="7"/>
                <w:szCs w:val="7"/>
                <w:color w:val="auto"/>
              </w:rPr>
            </w:pPr>
          </w:p>
        </w:tc>
        <w:tc>
          <w:tcPr>
            <w:tcW w:w="5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1"/>
                <w:szCs w:val="11"/>
                <w:color w:val="auto"/>
              </w:rPr>
              <w:t>(48)</w:t>
            </w:r>
          </w:p>
        </w:tc>
        <w:tc>
          <w:tcPr>
            <w:tcW w:w="60" w:type="dxa"/>
            <w:vAlign w:val="bottom"/>
            <w:tcBorders>
              <w:top w:val="single" w:sz="8" w:color="CCEEFF"/>
            </w:tcBorders>
            <w:shd w:val="clear" w:color="auto" w:fill="CCEEFF"/>
          </w:tcPr>
          <w:p>
            <w:pPr>
              <w:spacing w:after="0"/>
              <w:rPr>
                <w:sz w:val="7"/>
                <w:szCs w:val="7"/>
                <w:color w:val="auto"/>
              </w:rPr>
            </w:pPr>
          </w:p>
        </w:tc>
        <w:tc>
          <w:tcPr>
            <w:tcW w:w="56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1"/>
                <w:szCs w:val="11"/>
                <w:color w:val="auto"/>
              </w:rPr>
              <w:t>$</w:t>
            </w: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1"/>
                <w:szCs w:val="11"/>
                <w:color w:val="auto"/>
              </w:rPr>
              <w:t>272</w:t>
            </w:r>
          </w:p>
        </w:tc>
        <w:tc>
          <w:tcPr>
            <w:tcW w:w="60" w:type="dxa"/>
            <w:vAlign w:val="bottom"/>
            <w:tcBorders>
              <w:top w:val="single" w:sz="8" w:color="CCEEFF"/>
            </w:tcBorders>
            <w:shd w:val="clear" w:color="auto" w:fill="CCEEFF"/>
          </w:tcPr>
          <w:p>
            <w:pPr>
              <w:spacing w:after="0"/>
              <w:rPr>
                <w:sz w:val="7"/>
                <w:szCs w:val="7"/>
                <w:color w:val="auto"/>
              </w:rPr>
            </w:pPr>
          </w:p>
        </w:tc>
        <w:tc>
          <w:tcPr>
            <w:tcW w:w="5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1"/>
                <w:szCs w:val="11"/>
                <w:color w:val="auto"/>
              </w:rPr>
              <w:t>2,651</w:t>
            </w:r>
          </w:p>
        </w:tc>
        <w:tc>
          <w:tcPr>
            <w:tcW w:w="60" w:type="dxa"/>
            <w:vAlign w:val="bottom"/>
            <w:tcBorders>
              <w:top w:val="single" w:sz="8" w:color="CCEEFF"/>
            </w:tcBorders>
            <w:shd w:val="clear" w:color="auto" w:fill="CCEEFF"/>
          </w:tcPr>
          <w:p>
            <w:pPr>
              <w:spacing w:after="0"/>
              <w:rPr>
                <w:sz w:val="7"/>
                <w:szCs w:val="7"/>
                <w:color w:val="auto"/>
              </w:rPr>
            </w:pPr>
          </w:p>
        </w:tc>
        <w:tc>
          <w:tcPr>
            <w:tcW w:w="820" w:type="dxa"/>
            <w:vAlign w:val="bottom"/>
            <w:tcBorders>
              <w:top w:val="single" w:sz="8" w:color="auto"/>
            </w:tcBorders>
            <w:vMerge w:val="restart"/>
            <w:shd w:val="clear" w:color="auto" w:fill="CCEEFF"/>
          </w:tcPr>
          <w:p>
            <w:pPr>
              <w:jc w:val="right"/>
              <w:ind w:right="269"/>
              <w:spacing w:after="0"/>
              <w:rPr>
                <w:sz w:val="20"/>
                <w:szCs w:val="20"/>
                <w:color w:val="auto"/>
              </w:rPr>
            </w:pPr>
            <w:r>
              <w:rPr>
                <w:rFonts w:ascii="Arial" w:cs="Arial" w:eastAsia="Arial" w:hAnsi="Arial"/>
                <w:sz w:val="11"/>
                <w:szCs w:val="11"/>
                <w:color w:val="auto"/>
              </w:rPr>
              <w:t>$</w:t>
            </w:r>
          </w:p>
        </w:tc>
        <w:tc>
          <w:tcPr>
            <w:tcW w:w="2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1"/>
                <w:szCs w:val="11"/>
                <w:color w:val="auto"/>
              </w:rPr>
              <w:t>31</w:t>
            </w:r>
          </w:p>
        </w:tc>
        <w:tc>
          <w:tcPr>
            <w:tcW w:w="60" w:type="dxa"/>
            <w:vAlign w:val="bottom"/>
            <w:tcBorders>
              <w:top w:val="single" w:sz="8" w:color="CCEEFF"/>
            </w:tcBorders>
            <w:shd w:val="clear" w:color="auto" w:fill="CCEEFF"/>
          </w:tcPr>
          <w:p>
            <w:pPr>
              <w:spacing w:after="0"/>
              <w:rPr>
                <w:sz w:val="7"/>
                <w:szCs w:val="7"/>
                <w:color w:val="auto"/>
              </w:rPr>
            </w:pPr>
          </w:p>
        </w:tc>
        <w:tc>
          <w:tcPr>
            <w:tcW w:w="200" w:type="dxa"/>
            <w:vAlign w:val="bottom"/>
            <w:tcBorders>
              <w:top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840" w:type="dxa"/>
            <w:vAlign w:val="bottom"/>
            <w:vMerge w:val="continue"/>
            <w:shd w:val="clear" w:color="auto" w:fill="CCEEFF"/>
          </w:tcPr>
          <w:p>
            <w:pPr>
              <w:spacing w:after="0"/>
              <w:rPr>
                <w:sz w:val="12"/>
                <w:szCs w:val="12"/>
                <w:color w:val="auto"/>
              </w:rPr>
            </w:pPr>
          </w:p>
        </w:tc>
        <w:tc>
          <w:tcPr>
            <w:tcW w:w="1400" w:type="dxa"/>
            <w:vAlign w:val="bottom"/>
            <w:shd w:val="clear" w:color="auto" w:fill="CCEEFF"/>
          </w:tcPr>
          <w:p>
            <w:pPr>
              <w:ind w:left="60"/>
              <w:spacing w:after="0"/>
              <w:rPr>
                <w:sz w:val="20"/>
                <w:szCs w:val="20"/>
                <w:color w:val="auto"/>
              </w:rPr>
            </w:pPr>
            <w:r>
              <w:rPr>
                <w:rFonts w:ascii="Arial" w:cs="Arial" w:eastAsia="Arial" w:hAnsi="Arial"/>
                <w:sz w:val="11"/>
                <w:szCs w:val="11"/>
                <w:b w:val="1"/>
                <w:bCs w:val="1"/>
                <w:color w:val="auto"/>
              </w:rPr>
              <w:t>DECEMBER 31, 2020</w:t>
            </w:r>
          </w:p>
        </w:tc>
        <w:tc>
          <w:tcPr>
            <w:tcW w:w="520" w:type="dxa"/>
            <w:vAlign w:val="bottom"/>
            <w:vMerge w:val="continue"/>
            <w:shd w:val="clear" w:color="auto" w:fill="CCEEFF"/>
          </w:tcPr>
          <w:p>
            <w:pPr>
              <w:spacing w:after="0"/>
              <w:rPr>
                <w:sz w:val="12"/>
                <w:szCs w:val="12"/>
                <w:color w:val="auto"/>
              </w:rPr>
            </w:pPr>
          </w:p>
        </w:tc>
        <w:tc>
          <w:tcPr>
            <w:tcW w:w="52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vMerge w:val="continue"/>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38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vMerge w:val="continue"/>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26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840" w:type="dxa"/>
            <w:vAlign w:val="bottom"/>
            <w:vMerge w:val="restart"/>
          </w:tcPr>
          <w:p>
            <w:pPr>
              <w:jc w:val="right"/>
              <w:ind w:right="7"/>
              <w:spacing w:after="0"/>
              <w:rPr>
                <w:sz w:val="20"/>
                <w:szCs w:val="20"/>
                <w:color w:val="auto"/>
              </w:rPr>
            </w:pPr>
            <w:r>
              <w:rPr>
                <w:rFonts w:ascii="Arial" w:cs="Arial" w:eastAsia="Arial" w:hAnsi="Arial"/>
                <w:sz w:val="11"/>
                <w:szCs w:val="11"/>
                <w:color w:val="auto"/>
              </w:rPr>
              <w:t>—</w:t>
            </w:r>
          </w:p>
        </w:tc>
        <w:tc>
          <w:tcPr>
            <w:tcW w:w="1400" w:type="dxa"/>
            <w:vAlign w:val="bottom"/>
          </w:tcPr>
          <w:p>
            <w:pPr>
              <w:ind w:left="620"/>
              <w:spacing w:after="0" w:line="112" w:lineRule="exact"/>
              <w:rPr>
                <w:sz w:val="20"/>
                <w:szCs w:val="20"/>
                <w:color w:val="auto"/>
              </w:rPr>
            </w:pPr>
            <w:r>
              <w:rPr>
                <w:rFonts w:ascii="Arial" w:cs="Arial" w:eastAsia="Arial" w:hAnsi="Arial"/>
                <w:sz w:val="11"/>
                <w:szCs w:val="11"/>
                <w:color w:val="auto"/>
              </w:rPr>
              <w:t>Net (loss)</w:t>
            </w:r>
          </w:p>
        </w:tc>
        <w:tc>
          <w:tcPr>
            <w:tcW w:w="520" w:type="dxa"/>
            <w:vAlign w:val="bottom"/>
          </w:tcPr>
          <w:p>
            <w:pPr>
              <w:spacing w:after="0"/>
              <w:rPr>
                <w:sz w:val="9"/>
                <w:szCs w:val="9"/>
                <w:color w:val="auto"/>
              </w:rPr>
            </w:pP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9"/>
                <w:szCs w:val="9"/>
                <w:color w:val="auto"/>
              </w:rPr>
            </w:pP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840" w:type="dxa"/>
            <w:vAlign w:val="bottom"/>
          </w:tcPr>
          <w:p>
            <w:pPr>
              <w:spacing w:after="0"/>
              <w:rPr>
                <w:sz w:val="9"/>
                <w:szCs w:val="9"/>
                <w:color w:val="auto"/>
              </w:rPr>
            </w:pPr>
          </w:p>
        </w:tc>
        <w:tc>
          <w:tcPr>
            <w:tcW w:w="44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9"/>
                <w:szCs w:val="9"/>
                <w:color w:val="auto"/>
              </w:rPr>
            </w:pP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(28)</w:t>
            </w: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(28)</w:t>
            </w: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vMerge w:val="restart"/>
          </w:tcPr>
          <w:p>
            <w:pPr>
              <w:jc w:val="right"/>
              <w:spacing w:after="0"/>
              <w:rPr>
                <w:sz w:val="20"/>
                <w:szCs w:val="20"/>
                <w:color w:val="auto"/>
              </w:rPr>
            </w:pPr>
            <w:r>
              <w:rPr>
                <w:rFonts w:ascii="Arial" w:cs="Arial" w:eastAsia="Arial" w:hAnsi="Arial"/>
                <w:sz w:val="11"/>
                <w:szCs w:val="11"/>
                <w:color w:val="auto"/>
              </w:rPr>
              <w:t>3</w:t>
            </w: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840" w:type="dxa"/>
            <w:vAlign w:val="bottom"/>
            <w:vMerge w:val="continue"/>
          </w:tcPr>
          <w:p>
            <w:pPr>
              <w:spacing w:after="0"/>
              <w:rPr>
                <w:sz w:val="12"/>
                <w:szCs w:val="12"/>
                <w:color w:val="auto"/>
              </w:rPr>
            </w:pPr>
          </w:p>
        </w:tc>
        <w:tc>
          <w:tcPr>
            <w:tcW w:w="1400" w:type="dxa"/>
            <w:vAlign w:val="bottom"/>
          </w:tcPr>
          <w:p>
            <w:pPr>
              <w:ind w:left="200"/>
              <w:spacing w:after="0"/>
              <w:rPr>
                <w:sz w:val="20"/>
                <w:szCs w:val="20"/>
                <w:color w:val="auto"/>
              </w:rPr>
            </w:pPr>
            <w:r>
              <w:rPr>
                <w:rFonts w:ascii="Arial" w:cs="Arial" w:eastAsia="Arial" w:hAnsi="Arial"/>
                <w:sz w:val="11"/>
                <w:szCs w:val="11"/>
                <w:color w:val="auto"/>
              </w:rPr>
              <w:t>income</w:t>
            </w:r>
          </w:p>
        </w:tc>
        <w:tc>
          <w:tcPr>
            <w:tcW w:w="52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840" w:type="dxa"/>
            <w:vAlign w:val="bottom"/>
            <w:shd w:val="clear" w:color="auto" w:fill="CCEEFF"/>
          </w:tcPr>
          <w:p>
            <w:pPr>
              <w:spacing w:after="0"/>
              <w:rPr>
                <w:sz w:val="9"/>
                <w:szCs w:val="9"/>
                <w:color w:val="auto"/>
              </w:rPr>
            </w:pPr>
          </w:p>
        </w:tc>
        <w:tc>
          <w:tcPr>
            <w:tcW w:w="1400" w:type="dxa"/>
            <w:vAlign w:val="bottom"/>
            <w:shd w:val="clear" w:color="auto" w:fill="CCEEFF"/>
          </w:tcPr>
          <w:p>
            <w:pPr>
              <w:ind w:left="620"/>
              <w:spacing w:after="0" w:line="114" w:lineRule="exact"/>
              <w:rPr>
                <w:sz w:val="20"/>
                <w:szCs w:val="20"/>
                <w:color w:val="auto"/>
              </w:rPr>
            </w:pPr>
            <w:r>
              <w:rPr>
                <w:rFonts w:ascii="Arial" w:cs="Arial" w:eastAsia="Arial" w:hAnsi="Arial"/>
                <w:sz w:val="11"/>
                <w:szCs w:val="11"/>
                <w:color w:val="auto"/>
              </w:rPr>
              <w:t>Foreign</w:t>
            </w:r>
          </w:p>
        </w:tc>
        <w:tc>
          <w:tcPr>
            <w:tcW w:w="5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84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1400" w:type="dxa"/>
            <w:vAlign w:val="bottom"/>
            <w:shd w:val="clear" w:color="auto" w:fill="CCEEFF"/>
          </w:tcPr>
          <w:p>
            <w:pPr>
              <w:ind w:left="200"/>
              <w:spacing w:after="0" w:line="108" w:lineRule="exact"/>
              <w:rPr>
                <w:sz w:val="20"/>
                <w:szCs w:val="20"/>
                <w:color w:val="auto"/>
              </w:rPr>
            </w:pPr>
            <w:r>
              <w:rPr>
                <w:rFonts w:ascii="Arial" w:cs="Arial" w:eastAsia="Arial" w:hAnsi="Arial"/>
                <w:sz w:val="11"/>
                <w:szCs w:val="11"/>
                <w:color w:val="auto"/>
              </w:rPr>
              <w:t>currency translation</w:t>
            </w:r>
          </w:p>
        </w:tc>
        <w:tc>
          <w:tcPr>
            <w:tcW w:w="52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spacing w:after="0"/>
              <w:rPr>
                <w:sz w:val="9"/>
                <w:szCs w:val="9"/>
                <w:color w:val="auto"/>
              </w:rPr>
            </w:pPr>
          </w:p>
        </w:tc>
        <w:tc>
          <w:tcPr>
            <w:tcW w:w="4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6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520" w:type="dxa"/>
            <w:vAlign w:val="bottom"/>
            <w:gridSpan w:val="3"/>
            <w:vMerge w:val="restart"/>
            <w:shd w:val="clear" w:color="auto" w:fill="CCEEFF"/>
          </w:tcPr>
          <w:p>
            <w:pPr>
              <w:jc w:val="right"/>
              <w:ind w:right="3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840" w:type="dxa"/>
            <w:vAlign w:val="bottom"/>
            <w:vMerge w:val="continue"/>
            <w:shd w:val="clear" w:color="auto" w:fill="CCEEFF"/>
          </w:tcPr>
          <w:p>
            <w:pPr>
              <w:spacing w:after="0"/>
              <w:rPr>
                <w:sz w:val="12"/>
                <w:szCs w:val="12"/>
                <w:color w:val="auto"/>
              </w:rPr>
            </w:pPr>
          </w:p>
        </w:tc>
        <w:tc>
          <w:tcPr>
            <w:tcW w:w="14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adjustments</w:t>
            </w:r>
          </w:p>
        </w:tc>
        <w:tc>
          <w:tcPr>
            <w:tcW w:w="520" w:type="dxa"/>
            <w:vAlign w:val="bottom"/>
            <w:shd w:val="clear" w:color="auto" w:fill="CCEEFF"/>
          </w:tcPr>
          <w:p>
            <w:pPr>
              <w:spacing w:after="0"/>
              <w:rPr>
                <w:sz w:val="12"/>
                <w:szCs w:val="12"/>
                <w:color w:val="auto"/>
              </w:rPr>
            </w:pPr>
          </w:p>
        </w:tc>
        <w:tc>
          <w:tcPr>
            <w:tcW w:w="580" w:type="dxa"/>
            <w:vAlign w:val="bottom"/>
            <w:gridSpan w:val="2"/>
            <w:vMerge w:val="continue"/>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20" w:type="dxa"/>
            <w:vAlign w:val="bottom"/>
            <w:gridSpan w:val="2"/>
            <w:vMerge w:val="continue"/>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40" w:type="dxa"/>
            <w:vAlign w:val="bottom"/>
            <w:gridSpan w:val="2"/>
            <w:vMerge w:val="continue"/>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20" w:type="dxa"/>
            <w:vAlign w:val="bottom"/>
            <w:gridSpan w:val="3"/>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840" w:type="dxa"/>
            <w:vAlign w:val="bottom"/>
            <w:vMerge w:val="restart"/>
          </w:tcPr>
          <w:p>
            <w:pPr>
              <w:jc w:val="right"/>
              <w:ind w:right="7"/>
              <w:spacing w:after="0"/>
              <w:rPr>
                <w:sz w:val="20"/>
                <w:szCs w:val="20"/>
                <w:color w:val="auto"/>
              </w:rPr>
            </w:pPr>
            <w:r>
              <w:rPr>
                <w:rFonts w:ascii="Arial" w:cs="Arial" w:eastAsia="Arial" w:hAnsi="Arial"/>
                <w:sz w:val="11"/>
                <w:szCs w:val="11"/>
                <w:color w:val="auto"/>
              </w:rPr>
              <w:t>—</w:t>
            </w:r>
          </w:p>
        </w:tc>
        <w:tc>
          <w:tcPr>
            <w:tcW w:w="1400" w:type="dxa"/>
            <w:vAlign w:val="bottom"/>
          </w:tcPr>
          <w:p>
            <w:pPr>
              <w:ind w:left="620"/>
              <w:spacing w:after="0" w:line="112" w:lineRule="exact"/>
              <w:rPr>
                <w:sz w:val="20"/>
                <w:szCs w:val="20"/>
                <w:color w:val="auto"/>
              </w:rPr>
            </w:pPr>
            <w:r>
              <w:rPr>
                <w:rFonts w:ascii="Arial" w:cs="Arial" w:eastAsia="Arial" w:hAnsi="Arial"/>
                <w:sz w:val="11"/>
                <w:szCs w:val="11"/>
                <w:color w:val="auto"/>
              </w:rPr>
              <w:t>Derivative</w:t>
            </w:r>
          </w:p>
        </w:tc>
        <w:tc>
          <w:tcPr>
            <w:tcW w:w="520" w:type="dxa"/>
            <w:vAlign w:val="bottom"/>
          </w:tcPr>
          <w:p>
            <w:pPr>
              <w:spacing w:after="0"/>
              <w:rPr>
                <w:sz w:val="9"/>
                <w:szCs w:val="9"/>
                <w:color w:val="auto"/>
              </w:rPr>
            </w:pP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9"/>
                <w:szCs w:val="9"/>
                <w:color w:val="auto"/>
              </w:rPr>
            </w:pP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840" w:type="dxa"/>
            <w:vAlign w:val="bottom"/>
          </w:tcPr>
          <w:p>
            <w:pPr>
              <w:spacing w:after="0"/>
              <w:rPr>
                <w:sz w:val="9"/>
                <w:szCs w:val="9"/>
                <w:color w:val="auto"/>
              </w:rPr>
            </w:pPr>
          </w:p>
        </w:tc>
        <w:tc>
          <w:tcPr>
            <w:tcW w:w="44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11"/>
                <w:szCs w:val="11"/>
                <w:color w:val="auto"/>
              </w:rPr>
              <w:t>6</w:t>
            </w: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6</w:t>
            </w: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520" w:type="dxa"/>
            <w:vAlign w:val="bottom"/>
            <w:gridSpan w:val="3"/>
            <w:vMerge w:val="restart"/>
          </w:tcPr>
          <w:p>
            <w:pPr>
              <w:jc w:val="right"/>
              <w:ind w:right="3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8"/>
        </w:trPr>
        <w:tc>
          <w:tcPr>
            <w:tcW w:w="840" w:type="dxa"/>
            <w:vAlign w:val="bottom"/>
            <w:vMerge w:val="continue"/>
          </w:tcPr>
          <w:p>
            <w:pPr>
              <w:spacing w:after="0"/>
              <w:rPr>
                <w:sz w:val="12"/>
                <w:szCs w:val="12"/>
                <w:color w:val="auto"/>
              </w:rPr>
            </w:pPr>
          </w:p>
        </w:tc>
        <w:tc>
          <w:tcPr>
            <w:tcW w:w="1400" w:type="dxa"/>
            <w:vAlign w:val="bottom"/>
          </w:tcPr>
          <w:p>
            <w:pPr>
              <w:ind w:left="200"/>
              <w:spacing w:after="0"/>
              <w:rPr>
                <w:sz w:val="20"/>
                <w:szCs w:val="20"/>
                <w:color w:val="auto"/>
              </w:rPr>
            </w:pPr>
            <w:r>
              <w:rPr>
                <w:rFonts w:ascii="Arial" w:cs="Arial" w:eastAsia="Arial" w:hAnsi="Arial"/>
                <w:sz w:val="11"/>
                <w:szCs w:val="11"/>
                <w:color w:val="auto"/>
              </w:rPr>
              <w:t>instrument adjustment</w:t>
            </w:r>
          </w:p>
        </w:tc>
        <w:tc>
          <w:tcPr>
            <w:tcW w:w="52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84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0.2</w:t>
            </w:r>
          </w:p>
        </w:tc>
        <w:tc>
          <w:tcPr>
            <w:tcW w:w="1400" w:type="dxa"/>
            <w:vAlign w:val="bottom"/>
            <w:shd w:val="clear" w:color="auto" w:fill="CCEEFF"/>
          </w:tcPr>
          <w:p>
            <w:pPr>
              <w:ind w:left="620"/>
              <w:spacing w:after="0" w:line="114" w:lineRule="exact"/>
              <w:rPr>
                <w:sz w:val="20"/>
                <w:szCs w:val="20"/>
                <w:color w:val="auto"/>
              </w:rPr>
            </w:pPr>
            <w:r>
              <w:rPr>
                <w:rFonts w:ascii="Arial" w:cs="Arial" w:eastAsia="Arial" w:hAnsi="Arial"/>
                <w:sz w:val="11"/>
                <w:szCs w:val="11"/>
                <w:color w:val="auto"/>
              </w:rPr>
              <w:t>Share-based</w:t>
            </w:r>
          </w:p>
        </w:tc>
        <w:tc>
          <w:tcPr>
            <w:tcW w:w="52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spacing w:after="0"/>
              <w:rPr>
                <w:sz w:val="9"/>
                <w:szCs w:val="9"/>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6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520" w:type="dxa"/>
            <w:vAlign w:val="bottom"/>
            <w:gridSpan w:val="3"/>
            <w:vMerge w:val="restart"/>
            <w:shd w:val="clear" w:color="auto" w:fill="CCEEFF"/>
          </w:tcPr>
          <w:p>
            <w:pPr>
              <w:jc w:val="right"/>
              <w:ind w:right="3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840" w:type="dxa"/>
            <w:vAlign w:val="bottom"/>
            <w:vMerge w:val="continue"/>
            <w:shd w:val="clear" w:color="auto" w:fill="CCEEFF"/>
          </w:tcPr>
          <w:p>
            <w:pPr>
              <w:spacing w:after="0"/>
              <w:rPr>
                <w:sz w:val="12"/>
                <w:szCs w:val="12"/>
                <w:color w:val="auto"/>
              </w:rPr>
            </w:pPr>
          </w:p>
        </w:tc>
        <w:tc>
          <w:tcPr>
            <w:tcW w:w="14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compensation plans</w:t>
            </w:r>
          </w:p>
        </w:tc>
        <w:tc>
          <w:tcPr>
            <w:tcW w:w="520" w:type="dxa"/>
            <w:vAlign w:val="bottom"/>
            <w:shd w:val="clear" w:color="auto" w:fill="CCEEFF"/>
          </w:tcPr>
          <w:p>
            <w:pPr>
              <w:spacing w:after="0"/>
              <w:rPr>
                <w:sz w:val="12"/>
                <w:szCs w:val="12"/>
                <w:color w:val="auto"/>
              </w:rPr>
            </w:pPr>
          </w:p>
        </w:tc>
        <w:tc>
          <w:tcPr>
            <w:tcW w:w="580" w:type="dxa"/>
            <w:vAlign w:val="bottom"/>
            <w:gridSpan w:val="2"/>
            <w:vMerge w:val="continue"/>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20" w:type="dxa"/>
            <w:vAlign w:val="bottom"/>
            <w:gridSpan w:val="2"/>
            <w:vMerge w:val="continue"/>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8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80" w:type="dxa"/>
            <w:vAlign w:val="bottom"/>
            <w:gridSpan w:val="2"/>
            <w:vMerge w:val="continue"/>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20" w:type="dxa"/>
            <w:vAlign w:val="bottom"/>
            <w:gridSpan w:val="3"/>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840" w:type="dxa"/>
            <w:vAlign w:val="bottom"/>
          </w:tcPr>
          <w:p>
            <w:pPr>
              <w:spacing w:after="0"/>
              <w:rPr>
                <w:sz w:val="9"/>
                <w:szCs w:val="9"/>
                <w:color w:val="auto"/>
              </w:rPr>
            </w:pPr>
          </w:p>
        </w:tc>
        <w:tc>
          <w:tcPr>
            <w:tcW w:w="1400" w:type="dxa"/>
            <w:vAlign w:val="bottom"/>
          </w:tcPr>
          <w:p>
            <w:pPr>
              <w:ind w:left="620"/>
              <w:spacing w:after="0" w:line="112" w:lineRule="exact"/>
              <w:rPr>
                <w:sz w:val="20"/>
                <w:szCs w:val="20"/>
                <w:color w:val="auto"/>
              </w:rPr>
            </w:pPr>
            <w:r>
              <w:rPr>
                <w:rFonts w:ascii="Arial" w:cs="Arial" w:eastAsia="Arial" w:hAnsi="Arial"/>
                <w:sz w:val="11"/>
                <w:szCs w:val="11"/>
                <w:color w:val="auto"/>
              </w:rPr>
              <w:t>Equity</w:t>
            </w: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840" w:type="dxa"/>
            <w:vAlign w:val="bottom"/>
          </w:tcPr>
          <w:p>
            <w:pPr>
              <w:spacing w:after="0"/>
              <w:rPr>
                <w:sz w:val="9"/>
                <w:szCs w:val="9"/>
                <w:color w:val="auto"/>
              </w:rPr>
            </w:pPr>
          </w:p>
        </w:tc>
        <w:tc>
          <w:tcPr>
            <w:tcW w:w="1400" w:type="dxa"/>
            <w:vAlign w:val="bottom"/>
          </w:tcPr>
          <w:p>
            <w:pPr>
              <w:ind w:left="200"/>
              <w:spacing w:after="0" w:line="108" w:lineRule="exact"/>
              <w:rPr>
                <w:sz w:val="20"/>
                <w:szCs w:val="20"/>
                <w:color w:val="auto"/>
              </w:rPr>
            </w:pPr>
            <w:r>
              <w:rPr>
                <w:rFonts w:ascii="Arial" w:cs="Arial" w:eastAsia="Arial" w:hAnsi="Arial"/>
                <w:sz w:val="11"/>
                <w:szCs w:val="11"/>
                <w:color w:val="auto"/>
                <w:w w:val="95"/>
              </w:rPr>
              <w:t>component of convertible</w:t>
            </w: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840" w:type="dxa"/>
            <w:vAlign w:val="bottom"/>
            <w:vMerge w:val="restart"/>
          </w:tcPr>
          <w:p>
            <w:pPr>
              <w:jc w:val="right"/>
              <w:ind w:right="7"/>
              <w:spacing w:after="0"/>
              <w:rPr>
                <w:sz w:val="20"/>
                <w:szCs w:val="20"/>
                <w:color w:val="auto"/>
              </w:rPr>
            </w:pPr>
            <w:r>
              <w:rPr>
                <w:rFonts w:ascii="Arial" w:cs="Arial" w:eastAsia="Arial" w:hAnsi="Arial"/>
                <w:sz w:val="11"/>
                <w:szCs w:val="11"/>
                <w:color w:val="auto"/>
              </w:rPr>
              <w:t>—</w:t>
            </w:r>
          </w:p>
        </w:tc>
        <w:tc>
          <w:tcPr>
            <w:tcW w:w="1400" w:type="dxa"/>
            <w:vAlign w:val="bottom"/>
          </w:tcPr>
          <w:p>
            <w:pPr>
              <w:ind w:left="200"/>
              <w:spacing w:after="0" w:line="108" w:lineRule="exact"/>
              <w:rPr>
                <w:sz w:val="20"/>
                <w:szCs w:val="20"/>
                <w:color w:val="auto"/>
              </w:rPr>
            </w:pPr>
            <w:r>
              <w:rPr>
                <w:rFonts w:ascii="Arial" w:cs="Arial" w:eastAsia="Arial" w:hAnsi="Arial"/>
                <w:sz w:val="11"/>
                <w:szCs w:val="11"/>
                <w:color w:val="auto"/>
              </w:rPr>
              <w:t>notes, net of issuance</w:t>
            </w:r>
          </w:p>
        </w:tc>
        <w:tc>
          <w:tcPr>
            <w:tcW w:w="520" w:type="dxa"/>
            <w:vAlign w:val="bottom"/>
          </w:tcPr>
          <w:p>
            <w:pPr>
              <w:spacing w:after="0"/>
              <w:rPr>
                <w:sz w:val="9"/>
                <w:szCs w:val="9"/>
                <w:color w:val="auto"/>
              </w:rPr>
            </w:pP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9"/>
                <w:szCs w:val="9"/>
                <w:color w:val="auto"/>
              </w:rPr>
            </w:pP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840" w:type="dxa"/>
            <w:vAlign w:val="bottom"/>
          </w:tcPr>
          <w:p>
            <w:pPr>
              <w:spacing w:after="0"/>
              <w:rPr>
                <w:sz w:val="9"/>
                <w:szCs w:val="9"/>
                <w:color w:val="auto"/>
              </w:rPr>
            </w:pPr>
          </w:p>
        </w:tc>
        <w:tc>
          <w:tcPr>
            <w:tcW w:w="380" w:type="dxa"/>
            <w:vAlign w:val="bottom"/>
            <w:vMerge w:val="restart"/>
          </w:tcPr>
          <w:p>
            <w:pPr>
              <w:jc w:val="right"/>
              <w:spacing w:after="0"/>
              <w:rPr>
                <w:sz w:val="20"/>
                <w:szCs w:val="20"/>
                <w:color w:val="auto"/>
              </w:rPr>
            </w:pPr>
            <w:r>
              <w:rPr>
                <w:rFonts w:ascii="Arial" w:cs="Arial" w:eastAsia="Arial" w:hAnsi="Arial"/>
                <w:sz w:val="11"/>
                <w:szCs w:val="11"/>
                <w:color w:val="auto"/>
              </w:rPr>
              <w:t>117</w:t>
            </w: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9"/>
                <w:szCs w:val="9"/>
                <w:color w:val="auto"/>
              </w:rPr>
            </w:pPr>
          </w:p>
        </w:tc>
        <w:tc>
          <w:tcPr>
            <w:tcW w:w="64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117</w:t>
            </w: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520" w:type="dxa"/>
            <w:vAlign w:val="bottom"/>
            <w:gridSpan w:val="3"/>
            <w:vMerge w:val="restart"/>
          </w:tcPr>
          <w:p>
            <w:pPr>
              <w:jc w:val="right"/>
              <w:ind w:right="3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8"/>
        </w:trPr>
        <w:tc>
          <w:tcPr>
            <w:tcW w:w="840" w:type="dxa"/>
            <w:vAlign w:val="bottom"/>
            <w:vMerge w:val="continue"/>
          </w:tcPr>
          <w:p>
            <w:pPr>
              <w:spacing w:after="0"/>
              <w:rPr>
                <w:sz w:val="12"/>
                <w:szCs w:val="12"/>
                <w:color w:val="auto"/>
              </w:rPr>
            </w:pPr>
          </w:p>
        </w:tc>
        <w:tc>
          <w:tcPr>
            <w:tcW w:w="1400" w:type="dxa"/>
            <w:vAlign w:val="bottom"/>
          </w:tcPr>
          <w:p>
            <w:pPr>
              <w:ind w:left="200"/>
              <w:spacing w:after="0"/>
              <w:rPr>
                <w:sz w:val="20"/>
                <w:szCs w:val="20"/>
                <w:color w:val="auto"/>
              </w:rPr>
            </w:pPr>
            <w:r>
              <w:rPr>
                <w:rFonts w:ascii="Arial" w:cs="Arial" w:eastAsia="Arial" w:hAnsi="Arial"/>
                <w:sz w:val="11"/>
                <w:szCs w:val="11"/>
                <w:color w:val="auto"/>
              </w:rPr>
              <w:t>costs</w:t>
            </w:r>
          </w:p>
        </w:tc>
        <w:tc>
          <w:tcPr>
            <w:tcW w:w="52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84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1400" w:type="dxa"/>
            <w:vAlign w:val="bottom"/>
            <w:shd w:val="clear" w:color="auto" w:fill="CCEEFF"/>
          </w:tcPr>
          <w:p>
            <w:pPr>
              <w:ind w:left="620"/>
              <w:spacing w:after="0" w:line="114" w:lineRule="exact"/>
              <w:rPr>
                <w:sz w:val="20"/>
                <w:szCs w:val="20"/>
                <w:color w:val="auto"/>
              </w:rPr>
            </w:pPr>
            <w:r>
              <w:rPr>
                <w:rFonts w:ascii="Arial" w:cs="Arial" w:eastAsia="Arial" w:hAnsi="Arial"/>
                <w:sz w:val="11"/>
                <w:szCs w:val="11"/>
                <w:color w:val="auto"/>
              </w:rPr>
              <w:t>Purchase of</w:t>
            </w:r>
          </w:p>
        </w:tc>
        <w:tc>
          <w:tcPr>
            <w:tcW w:w="52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spacing w:after="0"/>
              <w:rPr>
                <w:sz w:val="9"/>
                <w:szCs w:val="9"/>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(100)</w:t>
            </w: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(100)</w:t>
            </w:r>
          </w:p>
        </w:tc>
        <w:tc>
          <w:tcPr>
            <w:tcW w:w="6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520" w:type="dxa"/>
            <w:vAlign w:val="bottom"/>
            <w:gridSpan w:val="3"/>
            <w:vMerge w:val="restart"/>
            <w:shd w:val="clear" w:color="auto" w:fill="CCEEFF"/>
          </w:tcPr>
          <w:p>
            <w:pPr>
              <w:jc w:val="right"/>
              <w:ind w:right="3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840" w:type="dxa"/>
            <w:vAlign w:val="bottom"/>
            <w:vMerge w:val="continue"/>
            <w:shd w:val="clear" w:color="auto" w:fill="CCEEFF"/>
          </w:tcPr>
          <w:p>
            <w:pPr>
              <w:spacing w:after="0"/>
              <w:rPr>
                <w:sz w:val="12"/>
                <w:szCs w:val="12"/>
                <w:color w:val="auto"/>
              </w:rPr>
            </w:pPr>
          </w:p>
        </w:tc>
        <w:tc>
          <w:tcPr>
            <w:tcW w:w="14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convertible note hedges</w:t>
            </w:r>
          </w:p>
        </w:tc>
        <w:tc>
          <w:tcPr>
            <w:tcW w:w="520" w:type="dxa"/>
            <w:vAlign w:val="bottom"/>
            <w:shd w:val="clear" w:color="auto" w:fill="CCEEFF"/>
          </w:tcPr>
          <w:p>
            <w:pPr>
              <w:spacing w:after="0"/>
              <w:rPr>
                <w:sz w:val="12"/>
                <w:szCs w:val="12"/>
                <w:color w:val="auto"/>
              </w:rPr>
            </w:pPr>
          </w:p>
        </w:tc>
        <w:tc>
          <w:tcPr>
            <w:tcW w:w="580" w:type="dxa"/>
            <w:vAlign w:val="bottom"/>
            <w:gridSpan w:val="2"/>
            <w:vMerge w:val="continue"/>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20" w:type="dxa"/>
            <w:vAlign w:val="bottom"/>
            <w:gridSpan w:val="2"/>
            <w:vMerge w:val="continue"/>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8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80" w:type="dxa"/>
            <w:vAlign w:val="bottom"/>
            <w:gridSpan w:val="2"/>
            <w:vMerge w:val="continue"/>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20" w:type="dxa"/>
            <w:vAlign w:val="bottom"/>
            <w:gridSpan w:val="3"/>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840" w:type="dxa"/>
            <w:vAlign w:val="bottom"/>
            <w:vMerge w:val="restart"/>
          </w:tcPr>
          <w:p>
            <w:pPr>
              <w:jc w:val="right"/>
              <w:ind w:right="7"/>
              <w:spacing w:after="0"/>
              <w:rPr>
                <w:sz w:val="20"/>
                <w:szCs w:val="20"/>
                <w:color w:val="auto"/>
              </w:rPr>
            </w:pPr>
            <w:r>
              <w:rPr>
                <w:rFonts w:ascii="Arial" w:cs="Arial" w:eastAsia="Arial" w:hAnsi="Arial"/>
                <w:sz w:val="11"/>
                <w:szCs w:val="11"/>
                <w:color w:val="auto"/>
              </w:rPr>
              <w:t>—</w:t>
            </w:r>
          </w:p>
        </w:tc>
        <w:tc>
          <w:tcPr>
            <w:tcW w:w="1400" w:type="dxa"/>
            <w:vAlign w:val="bottom"/>
          </w:tcPr>
          <w:p>
            <w:pPr>
              <w:ind w:left="620"/>
              <w:spacing w:after="0" w:line="112" w:lineRule="exact"/>
              <w:rPr>
                <w:sz w:val="20"/>
                <w:szCs w:val="20"/>
                <w:color w:val="auto"/>
              </w:rPr>
            </w:pPr>
            <w:r>
              <w:rPr>
                <w:rFonts w:ascii="Arial" w:cs="Arial" w:eastAsia="Arial" w:hAnsi="Arial"/>
                <w:sz w:val="11"/>
                <w:szCs w:val="11"/>
                <w:color w:val="auto"/>
              </w:rPr>
              <w:t>Issuance of</w:t>
            </w:r>
          </w:p>
        </w:tc>
        <w:tc>
          <w:tcPr>
            <w:tcW w:w="520" w:type="dxa"/>
            <w:vAlign w:val="bottom"/>
          </w:tcPr>
          <w:p>
            <w:pPr>
              <w:spacing w:after="0"/>
              <w:rPr>
                <w:sz w:val="9"/>
                <w:szCs w:val="9"/>
                <w:color w:val="auto"/>
              </w:rPr>
            </w:pP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9"/>
                <w:szCs w:val="9"/>
                <w:color w:val="auto"/>
              </w:rPr>
            </w:pP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840" w:type="dxa"/>
            <w:vAlign w:val="bottom"/>
          </w:tcPr>
          <w:p>
            <w:pPr>
              <w:spacing w:after="0"/>
              <w:rPr>
                <w:sz w:val="9"/>
                <w:szCs w:val="9"/>
                <w:color w:val="auto"/>
              </w:rPr>
            </w:pPr>
          </w:p>
        </w:tc>
        <w:tc>
          <w:tcPr>
            <w:tcW w:w="380" w:type="dxa"/>
            <w:vAlign w:val="bottom"/>
            <w:vMerge w:val="restart"/>
          </w:tcPr>
          <w:p>
            <w:pPr>
              <w:jc w:val="right"/>
              <w:spacing w:after="0"/>
              <w:rPr>
                <w:sz w:val="20"/>
                <w:szCs w:val="20"/>
                <w:color w:val="auto"/>
              </w:rPr>
            </w:pPr>
            <w:r>
              <w:rPr>
                <w:rFonts w:ascii="Arial" w:cs="Arial" w:eastAsia="Arial" w:hAnsi="Arial"/>
                <w:sz w:val="11"/>
                <w:szCs w:val="11"/>
                <w:color w:val="auto"/>
              </w:rPr>
              <w:t>70</w:t>
            </w: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9"/>
                <w:szCs w:val="9"/>
                <w:color w:val="auto"/>
              </w:rPr>
            </w:pPr>
          </w:p>
        </w:tc>
        <w:tc>
          <w:tcPr>
            <w:tcW w:w="64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70</w:t>
            </w: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520" w:type="dxa"/>
            <w:vAlign w:val="bottom"/>
            <w:gridSpan w:val="3"/>
            <w:vMerge w:val="restart"/>
          </w:tcPr>
          <w:p>
            <w:pPr>
              <w:jc w:val="right"/>
              <w:ind w:right="3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8"/>
        </w:trPr>
        <w:tc>
          <w:tcPr>
            <w:tcW w:w="840" w:type="dxa"/>
            <w:vAlign w:val="bottom"/>
            <w:vMerge w:val="continue"/>
          </w:tcPr>
          <w:p>
            <w:pPr>
              <w:spacing w:after="0"/>
              <w:rPr>
                <w:sz w:val="12"/>
                <w:szCs w:val="12"/>
                <w:color w:val="auto"/>
              </w:rPr>
            </w:pPr>
          </w:p>
        </w:tc>
        <w:tc>
          <w:tcPr>
            <w:tcW w:w="1400" w:type="dxa"/>
            <w:vAlign w:val="bottom"/>
          </w:tcPr>
          <w:p>
            <w:pPr>
              <w:ind w:left="200"/>
              <w:spacing w:after="0"/>
              <w:rPr>
                <w:sz w:val="20"/>
                <w:szCs w:val="20"/>
                <w:color w:val="auto"/>
              </w:rPr>
            </w:pPr>
            <w:r>
              <w:rPr>
                <w:rFonts w:ascii="Arial" w:cs="Arial" w:eastAsia="Arial" w:hAnsi="Arial"/>
                <w:sz w:val="11"/>
                <w:szCs w:val="11"/>
                <w:color w:val="auto"/>
              </w:rPr>
              <w:t>warrants</w:t>
            </w:r>
          </w:p>
        </w:tc>
        <w:tc>
          <w:tcPr>
            <w:tcW w:w="52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840" w:type="dxa"/>
            <w:vAlign w:val="bottom"/>
            <w:shd w:val="clear" w:color="auto" w:fill="CCEEFF"/>
          </w:tcPr>
          <w:p>
            <w:pPr>
              <w:spacing w:after="0"/>
              <w:rPr>
                <w:sz w:val="9"/>
                <w:szCs w:val="9"/>
                <w:color w:val="auto"/>
              </w:rPr>
            </w:pPr>
          </w:p>
        </w:tc>
        <w:tc>
          <w:tcPr>
            <w:tcW w:w="1400" w:type="dxa"/>
            <w:vAlign w:val="bottom"/>
            <w:shd w:val="clear" w:color="auto" w:fill="CCEEFF"/>
          </w:tcPr>
          <w:p>
            <w:pPr>
              <w:ind w:left="620"/>
              <w:spacing w:after="0" w:line="114" w:lineRule="exact"/>
              <w:rPr>
                <w:sz w:val="20"/>
                <w:szCs w:val="20"/>
                <w:color w:val="auto"/>
              </w:rPr>
            </w:pPr>
            <w:r>
              <w:rPr>
                <w:rFonts w:ascii="Arial" w:cs="Arial" w:eastAsia="Arial" w:hAnsi="Arial"/>
                <w:sz w:val="11"/>
                <w:szCs w:val="11"/>
                <w:color w:val="auto"/>
                <w:w w:val="97"/>
              </w:rPr>
              <w:t>Deconsolidation</w:t>
            </w:r>
          </w:p>
        </w:tc>
        <w:tc>
          <w:tcPr>
            <w:tcW w:w="5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840" w:type="dxa"/>
            <w:vAlign w:val="bottom"/>
            <w:shd w:val="clear" w:color="auto" w:fill="CCEEFF"/>
          </w:tcPr>
          <w:p>
            <w:pPr>
              <w:spacing w:after="0"/>
              <w:rPr>
                <w:sz w:val="9"/>
                <w:szCs w:val="9"/>
                <w:color w:val="auto"/>
              </w:rPr>
            </w:pPr>
          </w:p>
        </w:tc>
        <w:tc>
          <w:tcPr>
            <w:tcW w:w="1400" w:type="dxa"/>
            <w:vAlign w:val="bottom"/>
            <w:shd w:val="clear" w:color="auto" w:fill="CCEEFF"/>
          </w:tcPr>
          <w:p>
            <w:pPr>
              <w:ind w:left="200"/>
              <w:spacing w:after="0" w:line="108" w:lineRule="exact"/>
              <w:rPr>
                <w:sz w:val="20"/>
                <w:szCs w:val="20"/>
                <w:color w:val="auto"/>
              </w:rPr>
            </w:pPr>
            <w:r>
              <w:rPr>
                <w:rFonts w:ascii="Arial" w:cs="Arial" w:eastAsia="Arial" w:hAnsi="Arial"/>
                <w:sz w:val="11"/>
                <w:szCs w:val="11"/>
                <w:color w:val="auto"/>
              </w:rPr>
              <w:t>of certain Consolidated</w:t>
            </w:r>
          </w:p>
        </w:tc>
        <w:tc>
          <w:tcPr>
            <w:tcW w:w="5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84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1400" w:type="dxa"/>
            <w:vAlign w:val="bottom"/>
            <w:shd w:val="clear" w:color="auto" w:fill="CCEEFF"/>
          </w:tcPr>
          <w:p>
            <w:pPr>
              <w:ind w:left="200"/>
              <w:spacing w:after="0" w:line="108" w:lineRule="exact"/>
              <w:rPr>
                <w:sz w:val="20"/>
                <w:szCs w:val="20"/>
                <w:color w:val="auto"/>
              </w:rPr>
            </w:pPr>
            <w:r>
              <w:rPr>
                <w:rFonts w:ascii="Arial" w:cs="Arial" w:eastAsia="Arial" w:hAnsi="Arial"/>
                <w:sz w:val="11"/>
                <w:szCs w:val="11"/>
                <w:color w:val="auto"/>
              </w:rPr>
              <w:t>Property Owners'</w:t>
            </w:r>
          </w:p>
        </w:tc>
        <w:tc>
          <w:tcPr>
            <w:tcW w:w="52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spacing w:after="0"/>
              <w:rPr>
                <w:sz w:val="9"/>
                <w:szCs w:val="9"/>
                <w:color w:val="auto"/>
              </w:rPr>
            </w:pPr>
          </w:p>
        </w:tc>
        <w:tc>
          <w:tcPr>
            <w:tcW w:w="4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spacing w:after="0"/>
              <w:rPr>
                <w:sz w:val="9"/>
                <w:szCs w:val="9"/>
                <w:color w:val="auto"/>
              </w:rPr>
            </w:pPr>
          </w:p>
        </w:tc>
        <w:tc>
          <w:tcPr>
            <w:tcW w:w="6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EFF"/>
          </w:tcPr>
          <w:p>
            <w:pPr>
              <w:spacing w:after="0"/>
              <w:rPr>
                <w:sz w:val="9"/>
                <w:szCs w:val="9"/>
                <w:color w:val="auto"/>
              </w:rPr>
            </w:pP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840" w:type="dxa"/>
            <w:vAlign w:val="bottom"/>
            <w:vMerge w:val="continue"/>
            <w:shd w:val="clear" w:color="auto" w:fill="CCEEFF"/>
          </w:tcPr>
          <w:p>
            <w:pPr>
              <w:spacing w:after="0"/>
              <w:rPr>
                <w:sz w:val="12"/>
                <w:szCs w:val="12"/>
                <w:color w:val="auto"/>
              </w:rPr>
            </w:pPr>
          </w:p>
        </w:tc>
        <w:tc>
          <w:tcPr>
            <w:tcW w:w="14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Associations</w:t>
            </w:r>
          </w:p>
        </w:tc>
        <w:tc>
          <w:tcPr>
            <w:tcW w:w="520" w:type="dxa"/>
            <w:vAlign w:val="bottom"/>
            <w:shd w:val="clear" w:color="auto" w:fill="CCEEFF"/>
          </w:tcPr>
          <w:p>
            <w:pPr>
              <w:spacing w:after="0"/>
              <w:rPr>
                <w:sz w:val="12"/>
                <w:szCs w:val="12"/>
                <w:color w:val="auto"/>
              </w:rPr>
            </w:pPr>
          </w:p>
        </w:tc>
        <w:tc>
          <w:tcPr>
            <w:tcW w:w="580" w:type="dxa"/>
            <w:vAlign w:val="bottom"/>
            <w:gridSpan w:val="2"/>
            <w:vMerge w:val="continue"/>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20" w:type="dxa"/>
            <w:vAlign w:val="bottom"/>
            <w:gridSpan w:val="2"/>
            <w:vMerge w:val="continue"/>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40" w:type="dxa"/>
            <w:vAlign w:val="bottom"/>
            <w:gridSpan w:val="2"/>
            <w:vMerge w:val="continue"/>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80" w:type="dxa"/>
            <w:vAlign w:val="bottom"/>
            <w:gridSpan w:val="2"/>
            <w:vMerge w:val="continue"/>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40" w:type="dxa"/>
            <w:vAlign w:val="bottom"/>
            <w:gridSpan w:val="2"/>
            <w:vMerge w:val="continue"/>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840" w:type="dxa"/>
            <w:vAlign w:val="bottom"/>
            <w:tcBorders>
              <w:top w:val="single" w:sz="8" w:color="auto"/>
            </w:tcBorders>
            <w:vMerge w:val="restart"/>
          </w:tcPr>
          <w:p>
            <w:pPr>
              <w:jc w:val="right"/>
              <w:ind w:right="7"/>
              <w:spacing w:after="0"/>
              <w:rPr>
                <w:sz w:val="20"/>
                <w:szCs w:val="20"/>
                <w:color w:val="auto"/>
              </w:rPr>
            </w:pPr>
            <w:r>
              <w:rPr>
                <w:rFonts w:ascii="Arial" w:cs="Arial" w:eastAsia="Arial" w:hAnsi="Arial"/>
                <w:sz w:val="11"/>
                <w:szCs w:val="11"/>
                <w:color w:val="auto"/>
              </w:rPr>
              <w:t>75.5</w:t>
            </w:r>
          </w:p>
        </w:tc>
        <w:tc>
          <w:tcPr>
            <w:tcW w:w="1400" w:type="dxa"/>
            <w:vAlign w:val="bottom"/>
          </w:tcPr>
          <w:p>
            <w:pPr>
              <w:ind w:left="500"/>
              <w:spacing w:after="0" w:line="88" w:lineRule="exact"/>
              <w:rPr>
                <w:sz w:val="20"/>
                <w:szCs w:val="20"/>
                <w:color w:val="auto"/>
              </w:rPr>
            </w:pPr>
            <w:r>
              <w:rPr>
                <w:rFonts w:ascii="Arial" w:cs="Arial" w:eastAsia="Arial" w:hAnsi="Arial"/>
                <w:sz w:val="10"/>
                <w:szCs w:val="10"/>
                <w:b w:val="1"/>
                <w:bCs w:val="1"/>
                <w:color w:val="auto"/>
              </w:rPr>
              <w:t>BALANCE AT</w:t>
            </w:r>
          </w:p>
        </w:tc>
        <w:tc>
          <w:tcPr>
            <w:tcW w:w="520" w:type="dxa"/>
            <w:vAlign w:val="bottom"/>
            <w:tcBorders>
              <w:top w:val="single" w:sz="8" w:color="auto"/>
            </w:tcBorders>
          </w:tcPr>
          <w:p>
            <w:pPr>
              <w:spacing w:after="0"/>
              <w:rPr>
                <w:sz w:val="7"/>
                <w:szCs w:val="7"/>
                <w:color w:val="auto"/>
              </w:rPr>
            </w:pPr>
          </w:p>
        </w:tc>
        <w:tc>
          <w:tcPr>
            <w:tcW w:w="52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1</w:t>
            </w:r>
          </w:p>
        </w:tc>
        <w:tc>
          <w:tcPr>
            <w:tcW w:w="6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(1,334)</w:t>
            </w:r>
          </w:p>
        </w:tc>
        <w:tc>
          <w:tcPr>
            <w:tcW w:w="60" w:type="dxa"/>
            <w:vAlign w:val="bottom"/>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38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3,843</w:t>
            </w:r>
          </w:p>
        </w:tc>
        <w:tc>
          <w:tcPr>
            <w:tcW w:w="6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(45)</w:t>
            </w:r>
          </w:p>
        </w:tc>
        <w:tc>
          <w:tcPr>
            <w:tcW w:w="6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58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244</w:t>
            </w:r>
          </w:p>
        </w:tc>
        <w:tc>
          <w:tcPr>
            <w:tcW w:w="6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2,709</w:t>
            </w:r>
          </w:p>
        </w:tc>
        <w:tc>
          <w:tcPr>
            <w:tcW w:w="60" w:type="dxa"/>
            <w:vAlign w:val="bottom"/>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26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29</w:t>
            </w:r>
          </w:p>
        </w:tc>
        <w:tc>
          <w:tcPr>
            <w:tcW w:w="6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840" w:type="dxa"/>
            <w:vAlign w:val="bottom"/>
            <w:vMerge w:val="continue"/>
          </w:tcPr>
          <w:p>
            <w:pPr>
              <w:spacing w:after="0"/>
              <w:rPr>
                <w:sz w:val="12"/>
                <w:szCs w:val="12"/>
                <w:color w:val="auto"/>
              </w:rPr>
            </w:pPr>
          </w:p>
        </w:tc>
        <w:tc>
          <w:tcPr>
            <w:tcW w:w="1400" w:type="dxa"/>
            <w:vAlign w:val="bottom"/>
          </w:tcPr>
          <w:p>
            <w:pPr>
              <w:ind w:left="60"/>
              <w:spacing w:after="0"/>
              <w:rPr>
                <w:sz w:val="20"/>
                <w:szCs w:val="20"/>
                <w:color w:val="auto"/>
              </w:rPr>
            </w:pPr>
            <w:r>
              <w:rPr>
                <w:rFonts w:ascii="Arial" w:cs="Arial" w:eastAsia="Arial" w:hAnsi="Arial"/>
                <w:sz w:val="11"/>
                <w:szCs w:val="11"/>
                <w:b w:val="1"/>
                <w:bCs w:val="1"/>
                <w:color w:val="auto"/>
              </w:rPr>
              <w:t>MARCH 31, 2021</w:t>
            </w:r>
          </w:p>
        </w:tc>
        <w:tc>
          <w:tcPr>
            <w:tcW w:w="5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84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1400" w:type="dxa"/>
            <w:vAlign w:val="bottom"/>
            <w:shd w:val="clear" w:color="auto" w:fill="CCEEFF"/>
          </w:tcPr>
          <w:p>
            <w:pPr>
              <w:ind w:left="620"/>
              <w:spacing w:after="0"/>
              <w:rPr>
                <w:sz w:val="20"/>
                <w:szCs w:val="20"/>
                <w:color w:val="auto"/>
              </w:rPr>
            </w:pPr>
            <w:r>
              <w:rPr>
                <w:rFonts w:ascii="Arial" w:cs="Arial" w:eastAsia="Arial" w:hAnsi="Arial"/>
                <w:sz w:val="11"/>
                <w:szCs w:val="11"/>
                <w:color w:val="auto"/>
              </w:rPr>
              <w:t>Net income</w:t>
            </w:r>
          </w:p>
        </w:tc>
        <w:tc>
          <w:tcPr>
            <w:tcW w:w="5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w:t>
            </w: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840" w:type="dxa"/>
            <w:vAlign w:val="bottom"/>
            <w:vMerge w:val="restart"/>
          </w:tcPr>
          <w:p>
            <w:pPr>
              <w:jc w:val="right"/>
              <w:ind w:right="7"/>
              <w:spacing w:after="0"/>
              <w:rPr>
                <w:sz w:val="20"/>
                <w:szCs w:val="20"/>
                <w:color w:val="auto"/>
              </w:rPr>
            </w:pPr>
            <w:r>
              <w:rPr>
                <w:rFonts w:ascii="Arial" w:cs="Arial" w:eastAsia="Arial" w:hAnsi="Arial"/>
                <w:sz w:val="11"/>
                <w:szCs w:val="11"/>
                <w:color w:val="auto"/>
              </w:rPr>
              <w:t>—</w:t>
            </w:r>
          </w:p>
        </w:tc>
        <w:tc>
          <w:tcPr>
            <w:tcW w:w="1400" w:type="dxa"/>
            <w:vAlign w:val="bottom"/>
          </w:tcPr>
          <w:p>
            <w:pPr>
              <w:ind w:left="620"/>
              <w:spacing w:after="0" w:line="112" w:lineRule="exact"/>
              <w:rPr>
                <w:sz w:val="20"/>
                <w:szCs w:val="20"/>
                <w:color w:val="auto"/>
              </w:rPr>
            </w:pPr>
            <w:r>
              <w:rPr>
                <w:rFonts w:ascii="Arial" w:cs="Arial" w:eastAsia="Arial" w:hAnsi="Arial"/>
                <w:sz w:val="11"/>
                <w:szCs w:val="11"/>
                <w:color w:val="auto"/>
              </w:rPr>
              <w:t>Welk</w:t>
            </w:r>
          </w:p>
        </w:tc>
        <w:tc>
          <w:tcPr>
            <w:tcW w:w="520" w:type="dxa"/>
            <w:vAlign w:val="bottom"/>
          </w:tcPr>
          <w:p>
            <w:pPr>
              <w:spacing w:after="0"/>
              <w:rPr>
                <w:sz w:val="9"/>
                <w:szCs w:val="9"/>
                <w:color w:val="auto"/>
              </w:rPr>
            </w:pP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55</w:t>
            </w: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80" w:type="dxa"/>
            <w:vAlign w:val="bottom"/>
            <w:vMerge w:val="restart"/>
          </w:tcPr>
          <w:p>
            <w:pPr>
              <w:jc w:val="right"/>
              <w:spacing w:after="0"/>
              <w:rPr>
                <w:sz w:val="20"/>
                <w:szCs w:val="20"/>
                <w:color w:val="auto"/>
              </w:rPr>
            </w:pPr>
            <w:r>
              <w:rPr>
                <w:rFonts w:ascii="Arial" w:cs="Arial" w:eastAsia="Arial" w:hAnsi="Arial"/>
                <w:sz w:val="11"/>
                <w:szCs w:val="11"/>
                <w:color w:val="auto"/>
              </w:rPr>
              <w:t>193</w:t>
            </w: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9"/>
                <w:szCs w:val="9"/>
                <w:color w:val="auto"/>
              </w:rPr>
            </w:pPr>
          </w:p>
        </w:tc>
        <w:tc>
          <w:tcPr>
            <w:tcW w:w="64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248</w:t>
            </w: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520" w:type="dxa"/>
            <w:vAlign w:val="bottom"/>
            <w:gridSpan w:val="3"/>
            <w:vMerge w:val="restart"/>
          </w:tcPr>
          <w:p>
            <w:pPr>
              <w:jc w:val="right"/>
              <w:ind w:right="3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8"/>
        </w:trPr>
        <w:tc>
          <w:tcPr>
            <w:tcW w:w="840" w:type="dxa"/>
            <w:vAlign w:val="bottom"/>
            <w:vMerge w:val="continue"/>
          </w:tcPr>
          <w:p>
            <w:pPr>
              <w:spacing w:after="0"/>
              <w:rPr>
                <w:sz w:val="12"/>
                <w:szCs w:val="12"/>
                <w:color w:val="auto"/>
              </w:rPr>
            </w:pPr>
          </w:p>
        </w:tc>
        <w:tc>
          <w:tcPr>
            <w:tcW w:w="1400" w:type="dxa"/>
            <w:vAlign w:val="bottom"/>
          </w:tcPr>
          <w:p>
            <w:pPr>
              <w:ind w:left="200"/>
              <w:spacing w:after="0"/>
              <w:rPr>
                <w:sz w:val="20"/>
                <w:szCs w:val="20"/>
                <w:color w:val="auto"/>
              </w:rPr>
            </w:pPr>
            <w:r>
              <w:rPr>
                <w:rFonts w:ascii="Arial" w:cs="Arial" w:eastAsia="Arial" w:hAnsi="Arial"/>
                <w:sz w:val="11"/>
                <w:szCs w:val="11"/>
                <w:color w:val="auto"/>
              </w:rPr>
              <w:t>Acquisition</w:t>
            </w:r>
          </w:p>
        </w:tc>
        <w:tc>
          <w:tcPr>
            <w:tcW w:w="52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840" w:type="dxa"/>
            <w:vAlign w:val="bottom"/>
            <w:shd w:val="clear" w:color="auto" w:fill="CCEEFF"/>
          </w:tcPr>
          <w:p>
            <w:pPr>
              <w:spacing w:after="0"/>
              <w:rPr>
                <w:sz w:val="9"/>
                <w:szCs w:val="9"/>
                <w:color w:val="auto"/>
              </w:rPr>
            </w:pPr>
          </w:p>
        </w:tc>
        <w:tc>
          <w:tcPr>
            <w:tcW w:w="1400" w:type="dxa"/>
            <w:vAlign w:val="bottom"/>
            <w:shd w:val="clear" w:color="auto" w:fill="CCEEFF"/>
          </w:tcPr>
          <w:p>
            <w:pPr>
              <w:ind w:left="620"/>
              <w:spacing w:after="0" w:line="114" w:lineRule="exact"/>
              <w:rPr>
                <w:sz w:val="20"/>
                <w:szCs w:val="20"/>
                <w:color w:val="auto"/>
              </w:rPr>
            </w:pPr>
            <w:r>
              <w:rPr>
                <w:rFonts w:ascii="Arial" w:cs="Arial" w:eastAsia="Arial" w:hAnsi="Arial"/>
                <w:sz w:val="11"/>
                <w:szCs w:val="11"/>
                <w:color w:val="auto"/>
              </w:rPr>
              <w:t>Foreign</w:t>
            </w:r>
          </w:p>
        </w:tc>
        <w:tc>
          <w:tcPr>
            <w:tcW w:w="5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84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1400" w:type="dxa"/>
            <w:vAlign w:val="bottom"/>
            <w:shd w:val="clear" w:color="auto" w:fill="CCEEFF"/>
          </w:tcPr>
          <w:p>
            <w:pPr>
              <w:ind w:left="200"/>
              <w:spacing w:after="0" w:line="108" w:lineRule="exact"/>
              <w:rPr>
                <w:sz w:val="20"/>
                <w:szCs w:val="20"/>
                <w:color w:val="auto"/>
              </w:rPr>
            </w:pPr>
            <w:r>
              <w:rPr>
                <w:rFonts w:ascii="Arial" w:cs="Arial" w:eastAsia="Arial" w:hAnsi="Arial"/>
                <w:sz w:val="11"/>
                <w:szCs w:val="11"/>
                <w:color w:val="auto"/>
              </w:rPr>
              <w:t>currency translation</w:t>
            </w:r>
          </w:p>
        </w:tc>
        <w:tc>
          <w:tcPr>
            <w:tcW w:w="52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spacing w:after="0"/>
              <w:rPr>
                <w:sz w:val="9"/>
                <w:szCs w:val="9"/>
                <w:color w:val="auto"/>
              </w:rPr>
            </w:pPr>
          </w:p>
        </w:tc>
        <w:tc>
          <w:tcPr>
            <w:tcW w:w="4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6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520" w:type="dxa"/>
            <w:vAlign w:val="bottom"/>
            <w:gridSpan w:val="3"/>
            <w:vMerge w:val="restart"/>
            <w:shd w:val="clear" w:color="auto" w:fill="CCEEFF"/>
          </w:tcPr>
          <w:p>
            <w:pPr>
              <w:jc w:val="right"/>
              <w:ind w:right="3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840" w:type="dxa"/>
            <w:vAlign w:val="bottom"/>
            <w:vMerge w:val="continue"/>
            <w:shd w:val="clear" w:color="auto" w:fill="CCEEFF"/>
          </w:tcPr>
          <w:p>
            <w:pPr>
              <w:spacing w:after="0"/>
              <w:rPr>
                <w:sz w:val="12"/>
                <w:szCs w:val="12"/>
                <w:color w:val="auto"/>
              </w:rPr>
            </w:pPr>
          </w:p>
        </w:tc>
        <w:tc>
          <w:tcPr>
            <w:tcW w:w="14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adjustments</w:t>
            </w:r>
          </w:p>
        </w:tc>
        <w:tc>
          <w:tcPr>
            <w:tcW w:w="520" w:type="dxa"/>
            <w:vAlign w:val="bottom"/>
            <w:shd w:val="clear" w:color="auto" w:fill="CCEEFF"/>
          </w:tcPr>
          <w:p>
            <w:pPr>
              <w:spacing w:after="0"/>
              <w:rPr>
                <w:sz w:val="12"/>
                <w:szCs w:val="12"/>
                <w:color w:val="auto"/>
              </w:rPr>
            </w:pPr>
          </w:p>
        </w:tc>
        <w:tc>
          <w:tcPr>
            <w:tcW w:w="580" w:type="dxa"/>
            <w:vAlign w:val="bottom"/>
            <w:gridSpan w:val="2"/>
            <w:vMerge w:val="continue"/>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20" w:type="dxa"/>
            <w:vAlign w:val="bottom"/>
            <w:gridSpan w:val="2"/>
            <w:vMerge w:val="continue"/>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40" w:type="dxa"/>
            <w:vAlign w:val="bottom"/>
            <w:gridSpan w:val="2"/>
            <w:vMerge w:val="continue"/>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20" w:type="dxa"/>
            <w:vAlign w:val="bottom"/>
            <w:gridSpan w:val="3"/>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840" w:type="dxa"/>
            <w:vAlign w:val="bottom"/>
            <w:vMerge w:val="restart"/>
          </w:tcPr>
          <w:p>
            <w:pPr>
              <w:jc w:val="right"/>
              <w:ind w:right="7"/>
              <w:spacing w:after="0"/>
              <w:rPr>
                <w:sz w:val="20"/>
                <w:szCs w:val="20"/>
                <w:color w:val="auto"/>
              </w:rPr>
            </w:pPr>
            <w:r>
              <w:rPr>
                <w:rFonts w:ascii="Arial" w:cs="Arial" w:eastAsia="Arial" w:hAnsi="Arial"/>
                <w:sz w:val="11"/>
                <w:szCs w:val="11"/>
                <w:color w:val="auto"/>
              </w:rPr>
              <w:t>—</w:t>
            </w:r>
          </w:p>
        </w:tc>
        <w:tc>
          <w:tcPr>
            <w:tcW w:w="1400" w:type="dxa"/>
            <w:vAlign w:val="bottom"/>
          </w:tcPr>
          <w:p>
            <w:pPr>
              <w:ind w:left="620"/>
              <w:spacing w:after="0" w:line="112" w:lineRule="exact"/>
              <w:rPr>
                <w:sz w:val="20"/>
                <w:szCs w:val="20"/>
                <w:color w:val="auto"/>
              </w:rPr>
            </w:pPr>
            <w:r>
              <w:rPr>
                <w:rFonts w:ascii="Arial" w:cs="Arial" w:eastAsia="Arial" w:hAnsi="Arial"/>
                <w:sz w:val="11"/>
                <w:szCs w:val="11"/>
                <w:color w:val="auto"/>
              </w:rPr>
              <w:t>Derivative</w:t>
            </w:r>
          </w:p>
        </w:tc>
        <w:tc>
          <w:tcPr>
            <w:tcW w:w="520" w:type="dxa"/>
            <w:vAlign w:val="bottom"/>
          </w:tcPr>
          <w:p>
            <w:pPr>
              <w:spacing w:after="0"/>
              <w:rPr>
                <w:sz w:val="9"/>
                <w:szCs w:val="9"/>
                <w:color w:val="auto"/>
              </w:rPr>
            </w:pP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9"/>
                <w:szCs w:val="9"/>
                <w:color w:val="auto"/>
              </w:rPr>
            </w:pP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840" w:type="dxa"/>
            <w:vAlign w:val="bottom"/>
          </w:tcPr>
          <w:p>
            <w:pPr>
              <w:spacing w:after="0"/>
              <w:rPr>
                <w:sz w:val="9"/>
                <w:szCs w:val="9"/>
                <w:color w:val="auto"/>
              </w:rPr>
            </w:pPr>
          </w:p>
        </w:tc>
        <w:tc>
          <w:tcPr>
            <w:tcW w:w="44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11"/>
                <w:szCs w:val="11"/>
                <w:color w:val="auto"/>
              </w:rPr>
              <w:t>3</w:t>
            </w: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3</w:t>
            </w: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520" w:type="dxa"/>
            <w:vAlign w:val="bottom"/>
            <w:gridSpan w:val="3"/>
            <w:vMerge w:val="restart"/>
          </w:tcPr>
          <w:p>
            <w:pPr>
              <w:jc w:val="right"/>
              <w:ind w:right="3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8"/>
        </w:trPr>
        <w:tc>
          <w:tcPr>
            <w:tcW w:w="840" w:type="dxa"/>
            <w:vAlign w:val="bottom"/>
            <w:vMerge w:val="continue"/>
          </w:tcPr>
          <w:p>
            <w:pPr>
              <w:spacing w:after="0"/>
              <w:rPr>
                <w:sz w:val="12"/>
                <w:szCs w:val="12"/>
                <w:color w:val="auto"/>
              </w:rPr>
            </w:pPr>
          </w:p>
        </w:tc>
        <w:tc>
          <w:tcPr>
            <w:tcW w:w="1400" w:type="dxa"/>
            <w:vAlign w:val="bottom"/>
          </w:tcPr>
          <w:p>
            <w:pPr>
              <w:ind w:left="200"/>
              <w:spacing w:after="0"/>
              <w:rPr>
                <w:sz w:val="20"/>
                <w:szCs w:val="20"/>
                <w:color w:val="auto"/>
              </w:rPr>
            </w:pPr>
            <w:r>
              <w:rPr>
                <w:rFonts w:ascii="Arial" w:cs="Arial" w:eastAsia="Arial" w:hAnsi="Arial"/>
                <w:sz w:val="11"/>
                <w:szCs w:val="11"/>
                <w:color w:val="auto"/>
              </w:rPr>
              <w:t>instrument adjustment</w:t>
            </w:r>
          </w:p>
        </w:tc>
        <w:tc>
          <w:tcPr>
            <w:tcW w:w="52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84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1400" w:type="dxa"/>
            <w:vAlign w:val="bottom"/>
            <w:shd w:val="clear" w:color="auto" w:fill="CCEEFF"/>
          </w:tcPr>
          <w:p>
            <w:pPr>
              <w:ind w:left="620"/>
              <w:spacing w:after="0" w:line="114" w:lineRule="exact"/>
              <w:rPr>
                <w:sz w:val="20"/>
                <w:szCs w:val="20"/>
                <w:color w:val="auto"/>
              </w:rPr>
            </w:pPr>
            <w:r>
              <w:rPr>
                <w:rFonts w:ascii="Arial" w:cs="Arial" w:eastAsia="Arial" w:hAnsi="Arial"/>
                <w:sz w:val="11"/>
                <w:szCs w:val="11"/>
                <w:color w:val="auto"/>
              </w:rPr>
              <w:t>Share-based</w:t>
            </w:r>
          </w:p>
        </w:tc>
        <w:tc>
          <w:tcPr>
            <w:tcW w:w="52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6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9</w:t>
            </w: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10</w:t>
            </w:r>
          </w:p>
        </w:tc>
        <w:tc>
          <w:tcPr>
            <w:tcW w:w="6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520" w:type="dxa"/>
            <w:vAlign w:val="bottom"/>
            <w:gridSpan w:val="3"/>
            <w:vMerge w:val="restart"/>
            <w:shd w:val="clear" w:color="auto" w:fill="CCEEFF"/>
          </w:tcPr>
          <w:p>
            <w:pPr>
              <w:jc w:val="right"/>
              <w:ind w:right="3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840" w:type="dxa"/>
            <w:vAlign w:val="bottom"/>
            <w:vMerge w:val="continue"/>
            <w:shd w:val="clear" w:color="auto" w:fill="CCEEFF"/>
          </w:tcPr>
          <w:p>
            <w:pPr>
              <w:spacing w:after="0"/>
              <w:rPr>
                <w:sz w:val="12"/>
                <w:szCs w:val="12"/>
                <w:color w:val="auto"/>
              </w:rPr>
            </w:pPr>
          </w:p>
        </w:tc>
        <w:tc>
          <w:tcPr>
            <w:tcW w:w="14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compensation plans</w:t>
            </w:r>
          </w:p>
        </w:tc>
        <w:tc>
          <w:tcPr>
            <w:tcW w:w="520" w:type="dxa"/>
            <w:vAlign w:val="bottom"/>
            <w:shd w:val="clear" w:color="auto" w:fill="CCEEFF"/>
          </w:tcPr>
          <w:p>
            <w:pPr>
              <w:spacing w:after="0"/>
              <w:rPr>
                <w:sz w:val="12"/>
                <w:szCs w:val="12"/>
                <w:color w:val="auto"/>
              </w:rPr>
            </w:pPr>
          </w:p>
        </w:tc>
        <w:tc>
          <w:tcPr>
            <w:tcW w:w="580" w:type="dxa"/>
            <w:vAlign w:val="bottom"/>
            <w:gridSpan w:val="2"/>
            <w:vMerge w:val="continue"/>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8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80" w:type="dxa"/>
            <w:vAlign w:val="bottom"/>
            <w:gridSpan w:val="2"/>
            <w:vMerge w:val="continue"/>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20" w:type="dxa"/>
            <w:vAlign w:val="bottom"/>
            <w:gridSpan w:val="3"/>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840" w:type="dxa"/>
            <w:vAlign w:val="bottom"/>
          </w:tcPr>
          <w:p>
            <w:pPr>
              <w:spacing w:after="0"/>
              <w:rPr>
                <w:sz w:val="9"/>
                <w:szCs w:val="9"/>
                <w:color w:val="auto"/>
              </w:rPr>
            </w:pPr>
          </w:p>
        </w:tc>
        <w:tc>
          <w:tcPr>
            <w:tcW w:w="1400" w:type="dxa"/>
            <w:vAlign w:val="bottom"/>
          </w:tcPr>
          <w:p>
            <w:pPr>
              <w:ind w:left="620"/>
              <w:spacing w:after="0" w:line="112" w:lineRule="exact"/>
              <w:rPr>
                <w:sz w:val="20"/>
                <w:szCs w:val="20"/>
                <w:color w:val="auto"/>
              </w:rPr>
            </w:pPr>
            <w:r>
              <w:rPr>
                <w:rFonts w:ascii="Arial" w:cs="Arial" w:eastAsia="Arial" w:hAnsi="Arial"/>
                <w:sz w:val="11"/>
                <w:szCs w:val="11"/>
                <w:color w:val="auto"/>
                <w:w w:val="97"/>
              </w:rPr>
              <w:t>Deconsolidation</w:t>
            </w: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840" w:type="dxa"/>
            <w:vAlign w:val="bottom"/>
          </w:tcPr>
          <w:p>
            <w:pPr>
              <w:spacing w:after="0"/>
              <w:rPr>
                <w:sz w:val="9"/>
                <w:szCs w:val="9"/>
                <w:color w:val="auto"/>
              </w:rPr>
            </w:pPr>
          </w:p>
        </w:tc>
        <w:tc>
          <w:tcPr>
            <w:tcW w:w="1400" w:type="dxa"/>
            <w:vAlign w:val="bottom"/>
          </w:tcPr>
          <w:p>
            <w:pPr>
              <w:ind w:left="200"/>
              <w:spacing w:after="0" w:line="108" w:lineRule="exact"/>
              <w:rPr>
                <w:sz w:val="20"/>
                <w:szCs w:val="20"/>
                <w:color w:val="auto"/>
              </w:rPr>
            </w:pPr>
            <w:r>
              <w:rPr>
                <w:rFonts w:ascii="Arial" w:cs="Arial" w:eastAsia="Arial" w:hAnsi="Arial"/>
                <w:sz w:val="11"/>
                <w:szCs w:val="11"/>
                <w:color w:val="auto"/>
              </w:rPr>
              <w:t>of certain Consolidated</w:t>
            </w: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840" w:type="dxa"/>
            <w:vAlign w:val="bottom"/>
            <w:vMerge w:val="restart"/>
          </w:tcPr>
          <w:p>
            <w:pPr>
              <w:jc w:val="right"/>
              <w:ind w:right="7"/>
              <w:spacing w:after="0"/>
              <w:rPr>
                <w:sz w:val="20"/>
                <w:szCs w:val="20"/>
                <w:color w:val="auto"/>
              </w:rPr>
            </w:pPr>
            <w:r>
              <w:rPr>
                <w:rFonts w:ascii="Arial" w:cs="Arial" w:eastAsia="Arial" w:hAnsi="Arial"/>
                <w:sz w:val="11"/>
                <w:szCs w:val="11"/>
                <w:color w:val="auto"/>
              </w:rPr>
              <w:t>—</w:t>
            </w:r>
          </w:p>
        </w:tc>
        <w:tc>
          <w:tcPr>
            <w:tcW w:w="1400" w:type="dxa"/>
            <w:vAlign w:val="bottom"/>
          </w:tcPr>
          <w:p>
            <w:pPr>
              <w:ind w:left="200"/>
              <w:spacing w:after="0" w:line="108" w:lineRule="exact"/>
              <w:rPr>
                <w:sz w:val="20"/>
                <w:szCs w:val="20"/>
                <w:color w:val="auto"/>
              </w:rPr>
            </w:pPr>
            <w:r>
              <w:rPr>
                <w:rFonts w:ascii="Arial" w:cs="Arial" w:eastAsia="Arial" w:hAnsi="Arial"/>
                <w:sz w:val="11"/>
                <w:szCs w:val="11"/>
                <w:color w:val="auto"/>
              </w:rPr>
              <w:t>Property Owners'</w:t>
            </w:r>
          </w:p>
        </w:tc>
        <w:tc>
          <w:tcPr>
            <w:tcW w:w="520" w:type="dxa"/>
            <w:vAlign w:val="bottom"/>
          </w:tcPr>
          <w:p>
            <w:pPr>
              <w:spacing w:after="0"/>
              <w:rPr>
                <w:sz w:val="9"/>
                <w:szCs w:val="9"/>
                <w:color w:val="auto"/>
              </w:rPr>
            </w:pP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9"/>
                <w:szCs w:val="9"/>
                <w:color w:val="auto"/>
              </w:rPr>
            </w:pP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840" w:type="dxa"/>
            <w:vAlign w:val="bottom"/>
          </w:tcPr>
          <w:p>
            <w:pPr>
              <w:spacing w:after="0"/>
              <w:rPr>
                <w:sz w:val="9"/>
                <w:szCs w:val="9"/>
                <w:color w:val="auto"/>
              </w:rPr>
            </w:pPr>
          </w:p>
        </w:tc>
        <w:tc>
          <w:tcPr>
            <w:tcW w:w="44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9"/>
                <w:szCs w:val="9"/>
                <w:color w:val="auto"/>
              </w:rPr>
            </w:pP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9"/>
                <w:szCs w:val="9"/>
                <w:color w:val="auto"/>
              </w:rPr>
            </w:pPr>
          </w:p>
        </w:tc>
        <w:tc>
          <w:tcPr>
            <w:tcW w:w="64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9"/>
                <w:szCs w:val="9"/>
                <w:color w:val="auto"/>
              </w:rPr>
            </w:pPr>
          </w:p>
        </w:tc>
        <w:tc>
          <w:tcPr>
            <w:tcW w:w="74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820" w:type="dxa"/>
            <w:vAlign w:val="bottom"/>
          </w:tcPr>
          <w:p>
            <w:pPr>
              <w:spacing w:after="0"/>
              <w:rPr>
                <w:sz w:val="9"/>
                <w:szCs w:val="9"/>
                <w:color w:val="auto"/>
              </w:rPr>
            </w:pPr>
          </w:p>
        </w:tc>
        <w:tc>
          <w:tcPr>
            <w:tcW w:w="260" w:type="dxa"/>
            <w:vAlign w:val="bottom"/>
            <w:vMerge w:val="restart"/>
          </w:tcPr>
          <w:p>
            <w:pPr>
              <w:jc w:val="right"/>
              <w:spacing w:after="0"/>
              <w:rPr>
                <w:sz w:val="20"/>
                <w:szCs w:val="20"/>
                <w:color w:val="auto"/>
              </w:rPr>
            </w:pPr>
            <w:r>
              <w:rPr>
                <w:rFonts w:ascii="Arial" w:cs="Arial" w:eastAsia="Arial" w:hAnsi="Arial"/>
                <w:sz w:val="11"/>
                <w:szCs w:val="11"/>
                <w:color w:val="auto"/>
              </w:rPr>
              <w:t>(1)</w:t>
            </w: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840" w:type="dxa"/>
            <w:vAlign w:val="bottom"/>
            <w:vMerge w:val="continue"/>
          </w:tcPr>
          <w:p>
            <w:pPr>
              <w:spacing w:after="0"/>
              <w:rPr>
                <w:sz w:val="12"/>
                <w:szCs w:val="12"/>
                <w:color w:val="auto"/>
              </w:rPr>
            </w:pPr>
          </w:p>
        </w:tc>
        <w:tc>
          <w:tcPr>
            <w:tcW w:w="1400" w:type="dxa"/>
            <w:vAlign w:val="bottom"/>
          </w:tcPr>
          <w:p>
            <w:pPr>
              <w:ind w:left="200"/>
              <w:spacing w:after="0"/>
              <w:rPr>
                <w:sz w:val="20"/>
                <w:szCs w:val="20"/>
                <w:color w:val="auto"/>
              </w:rPr>
            </w:pPr>
            <w:r>
              <w:rPr>
                <w:rFonts w:ascii="Arial" w:cs="Arial" w:eastAsia="Arial" w:hAnsi="Arial"/>
                <w:sz w:val="11"/>
                <w:szCs w:val="11"/>
                <w:color w:val="auto"/>
              </w:rPr>
              <w:t>Associations</w:t>
            </w:r>
          </w:p>
        </w:tc>
        <w:tc>
          <w:tcPr>
            <w:tcW w:w="52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84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1400" w:type="dxa"/>
            <w:vAlign w:val="bottom"/>
            <w:shd w:val="clear" w:color="auto" w:fill="CCEEFF"/>
          </w:tcPr>
          <w:p>
            <w:pPr>
              <w:ind w:left="620"/>
              <w:spacing w:after="0" w:line="114" w:lineRule="exact"/>
              <w:rPr>
                <w:sz w:val="20"/>
                <w:szCs w:val="20"/>
                <w:color w:val="auto"/>
              </w:rPr>
            </w:pPr>
            <w:r>
              <w:rPr>
                <w:rFonts w:ascii="Arial" w:cs="Arial" w:eastAsia="Arial" w:hAnsi="Arial"/>
                <w:sz w:val="11"/>
                <w:szCs w:val="11"/>
                <w:color w:val="auto"/>
                <w:w w:val="97"/>
              </w:rPr>
              <w:t>Employee stock</w:t>
            </w:r>
          </w:p>
        </w:tc>
        <w:tc>
          <w:tcPr>
            <w:tcW w:w="52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spacing w:after="0"/>
              <w:rPr>
                <w:sz w:val="9"/>
                <w:szCs w:val="9"/>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6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520" w:type="dxa"/>
            <w:vAlign w:val="bottom"/>
            <w:gridSpan w:val="3"/>
            <w:vMerge w:val="restart"/>
            <w:shd w:val="clear" w:color="auto" w:fill="CCEEFF"/>
          </w:tcPr>
          <w:p>
            <w:pPr>
              <w:jc w:val="right"/>
              <w:ind w:right="3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840" w:type="dxa"/>
            <w:vAlign w:val="bottom"/>
            <w:vMerge w:val="continue"/>
            <w:shd w:val="clear" w:color="auto" w:fill="CCEEFF"/>
          </w:tcPr>
          <w:p>
            <w:pPr>
              <w:spacing w:after="0"/>
              <w:rPr>
                <w:sz w:val="12"/>
                <w:szCs w:val="12"/>
                <w:color w:val="auto"/>
              </w:rPr>
            </w:pPr>
          </w:p>
        </w:tc>
        <w:tc>
          <w:tcPr>
            <w:tcW w:w="14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plan issuance</w:t>
            </w:r>
          </w:p>
        </w:tc>
        <w:tc>
          <w:tcPr>
            <w:tcW w:w="520" w:type="dxa"/>
            <w:vAlign w:val="bottom"/>
            <w:shd w:val="clear" w:color="auto" w:fill="CCEEFF"/>
          </w:tcPr>
          <w:p>
            <w:pPr>
              <w:spacing w:after="0"/>
              <w:rPr>
                <w:sz w:val="12"/>
                <w:szCs w:val="12"/>
                <w:color w:val="auto"/>
              </w:rPr>
            </w:pPr>
          </w:p>
        </w:tc>
        <w:tc>
          <w:tcPr>
            <w:tcW w:w="580" w:type="dxa"/>
            <w:vAlign w:val="bottom"/>
            <w:gridSpan w:val="2"/>
            <w:vMerge w:val="continue"/>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20" w:type="dxa"/>
            <w:vAlign w:val="bottom"/>
            <w:gridSpan w:val="2"/>
            <w:vMerge w:val="continue"/>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8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80" w:type="dxa"/>
            <w:vAlign w:val="bottom"/>
            <w:gridSpan w:val="2"/>
            <w:vMerge w:val="continue"/>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20" w:type="dxa"/>
            <w:vAlign w:val="bottom"/>
            <w:gridSpan w:val="3"/>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840" w:type="dxa"/>
            <w:vAlign w:val="bottom"/>
            <w:tcBorders>
              <w:top w:val="single" w:sz="8" w:color="auto"/>
            </w:tcBorders>
            <w:vMerge w:val="restart"/>
          </w:tcPr>
          <w:p>
            <w:pPr>
              <w:jc w:val="right"/>
              <w:ind w:right="7"/>
              <w:spacing w:after="0"/>
              <w:rPr>
                <w:sz w:val="20"/>
                <w:szCs w:val="20"/>
                <w:color w:val="auto"/>
              </w:rPr>
            </w:pPr>
            <w:r>
              <w:rPr>
                <w:rFonts w:ascii="Arial" w:cs="Arial" w:eastAsia="Arial" w:hAnsi="Arial"/>
                <w:sz w:val="11"/>
                <w:szCs w:val="11"/>
                <w:color w:val="auto"/>
              </w:rPr>
              <w:t>75.5</w:t>
            </w:r>
          </w:p>
        </w:tc>
        <w:tc>
          <w:tcPr>
            <w:tcW w:w="1400" w:type="dxa"/>
            <w:vAlign w:val="bottom"/>
          </w:tcPr>
          <w:p>
            <w:pPr>
              <w:ind w:left="500"/>
              <w:spacing w:after="0" w:line="88" w:lineRule="exact"/>
              <w:rPr>
                <w:sz w:val="20"/>
                <w:szCs w:val="20"/>
                <w:color w:val="auto"/>
              </w:rPr>
            </w:pPr>
            <w:r>
              <w:rPr>
                <w:rFonts w:ascii="Arial" w:cs="Arial" w:eastAsia="Arial" w:hAnsi="Arial"/>
                <w:sz w:val="10"/>
                <w:szCs w:val="10"/>
                <w:b w:val="1"/>
                <w:bCs w:val="1"/>
                <w:color w:val="auto"/>
              </w:rPr>
              <w:t>BALANCE AT</w:t>
            </w:r>
          </w:p>
        </w:tc>
        <w:tc>
          <w:tcPr>
            <w:tcW w:w="52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w:t>
            </w:r>
          </w:p>
        </w:tc>
        <w:tc>
          <w:tcPr>
            <w:tcW w:w="52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1</w:t>
            </w:r>
          </w:p>
        </w:tc>
        <w:tc>
          <w:tcPr>
            <w:tcW w:w="60" w:type="dxa"/>
            <w:vAlign w:val="bottom"/>
          </w:tcPr>
          <w:p>
            <w:pPr>
              <w:spacing w:after="0"/>
              <w:rPr>
                <w:sz w:val="7"/>
                <w:szCs w:val="7"/>
                <w:color w:val="auto"/>
              </w:rPr>
            </w:pPr>
          </w:p>
        </w:tc>
        <w:tc>
          <w:tcPr>
            <w:tcW w:w="50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w:t>
            </w: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(1,278)</w:t>
            </w:r>
          </w:p>
        </w:tc>
        <w:tc>
          <w:tcPr>
            <w:tcW w:w="60" w:type="dxa"/>
            <w:vAlign w:val="bottom"/>
          </w:tcPr>
          <w:p>
            <w:pPr>
              <w:spacing w:after="0"/>
              <w:rPr>
                <w:sz w:val="7"/>
                <w:szCs w:val="7"/>
                <w:color w:val="auto"/>
              </w:rPr>
            </w:pPr>
          </w:p>
        </w:tc>
        <w:tc>
          <w:tcPr>
            <w:tcW w:w="840" w:type="dxa"/>
            <w:vAlign w:val="bottom"/>
            <w:tcBorders>
              <w:top w:val="single" w:sz="8" w:color="auto"/>
            </w:tcBorders>
            <w:vMerge w:val="restart"/>
          </w:tcPr>
          <w:p>
            <w:pPr>
              <w:ind w:left="440"/>
              <w:spacing w:after="0"/>
              <w:rPr>
                <w:sz w:val="20"/>
                <w:szCs w:val="20"/>
                <w:color w:val="auto"/>
              </w:rPr>
            </w:pPr>
            <w:r>
              <w:rPr>
                <w:rFonts w:ascii="Arial" w:cs="Arial" w:eastAsia="Arial" w:hAnsi="Arial"/>
                <w:sz w:val="11"/>
                <w:szCs w:val="11"/>
                <w:color w:val="auto"/>
              </w:rPr>
              <w:t>$</w:t>
            </w:r>
          </w:p>
        </w:tc>
        <w:tc>
          <w:tcPr>
            <w:tcW w:w="38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4,047</w:t>
            </w:r>
          </w:p>
        </w:tc>
        <w:tc>
          <w:tcPr>
            <w:tcW w:w="60" w:type="dxa"/>
            <w:vAlign w:val="bottom"/>
          </w:tcPr>
          <w:p>
            <w:pPr>
              <w:spacing w:after="0"/>
              <w:rPr>
                <w:sz w:val="7"/>
                <w:szCs w:val="7"/>
                <w:color w:val="auto"/>
              </w:rPr>
            </w:pPr>
          </w:p>
        </w:tc>
        <w:tc>
          <w:tcPr>
            <w:tcW w:w="50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w:t>
            </w: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(38)</w:t>
            </w:r>
          </w:p>
        </w:tc>
        <w:tc>
          <w:tcPr>
            <w:tcW w:w="60" w:type="dxa"/>
            <w:vAlign w:val="bottom"/>
          </w:tcPr>
          <w:p>
            <w:pPr>
              <w:spacing w:after="0"/>
              <w:rPr>
                <w:sz w:val="7"/>
                <w:szCs w:val="7"/>
                <w:color w:val="auto"/>
              </w:rPr>
            </w:pPr>
          </w:p>
        </w:tc>
        <w:tc>
          <w:tcPr>
            <w:tcW w:w="56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1"/>
                <w:szCs w:val="11"/>
                <w:color w:val="auto"/>
              </w:rPr>
              <w:t>$</w:t>
            </w:r>
          </w:p>
        </w:tc>
        <w:tc>
          <w:tcPr>
            <w:tcW w:w="58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250</w:t>
            </w:r>
          </w:p>
        </w:tc>
        <w:tc>
          <w:tcPr>
            <w:tcW w:w="60" w:type="dxa"/>
            <w:vAlign w:val="bottom"/>
          </w:tcPr>
          <w:p>
            <w:pPr>
              <w:spacing w:after="0"/>
              <w:rPr>
                <w:sz w:val="7"/>
                <w:szCs w:val="7"/>
                <w:color w:val="auto"/>
              </w:rPr>
            </w:pP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w:t>
            </w: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2,982</w:t>
            </w:r>
          </w:p>
        </w:tc>
        <w:tc>
          <w:tcPr>
            <w:tcW w:w="60" w:type="dxa"/>
            <w:vAlign w:val="bottom"/>
          </w:tcPr>
          <w:p>
            <w:pPr>
              <w:spacing w:after="0"/>
              <w:rPr>
                <w:sz w:val="7"/>
                <w:szCs w:val="7"/>
                <w:color w:val="auto"/>
              </w:rPr>
            </w:pPr>
          </w:p>
        </w:tc>
        <w:tc>
          <w:tcPr>
            <w:tcW w:w="820" w:type="dxa"/>
            <w:vAlign w:val="bottom"/>
            <w:tcBorders>
              <w:top w:val="single" w:sz="8" w:color="auto"/>
            </w:tcBorders>
            <w:vMerge w:val="restart"/>
          </w:tcPr>
          <w:p>
            <w:pPr>
              <w:jc w:val="right"/>
              <w:ind w:right="269"/>
              <w:spacing w:after="0"/>
              <w:rPr>
                <w:sz w:val="20"/>
                <w:szCs w:val="20"/>
                <w:color w:val="auto"/>
              </w:rPr>
            </w:pPr>
            <w:r>
              <w:rPr>
                <w:rFonts w:ascii="Arial" w:cs="Arial" w:eastAsia="Arial" w:hAnsi="Arial"/>
                <w:sz w:val="11"/>
                <w:szCs w:val="11"/>
                <w:color w:val="auto"/>
              </w:rPr>
              <w:t>$</w:t>
            </w:r>
          </w:p>
        </w:tc>
        <w:tc>
          <w:tcPr>
            <w:tcW w:w="26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30</w:t>
            </w:r>
          </w:p>
        </w:tc>
        <w:tc>
          <w:tcPr>
            <w:tcW w:w="6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840" w:type="dxa"/>
            <w:vAlign w:val="bottom"/>
            <w:tcBorders>
              <w:bottom w:val="single" w:sz="8" w:color="auto"/>
            </w:tcBorders>
            <w:vMerge w:val="continue"/>
          </w:tcPr>
          <w:p>
            <w:pPr>
              <w:spacing w:after="0"/>
              <w:rPr>
                <w:sz w:val="10"/>
                <w:szCs w:val="10"/>
                <w:color w:val="auto"/>
              </w:rPr>
            </w:pPr>
          </w:p>
        </w:tc>
        <w:tc>
          <w:tcPr>
            <w:tcW w:w="1400" w:type="dxa"/>
            <w:vAlign w:val="bottom"/>
          </w:tcPr>
          <w:p>
            <w:pPr>
              <w:ind w:left="60"/>
              <w:spacing w:after="0"/>
              <w:rPr>
                <w:sz w:val="20"/>
                <w:szCs w:val="20"/>
                <w:color w:val="auto"/>
              </w:rPr>
            </w:pPr>
            <w:r>
              <w:rPr>
                <w:rFonts w:ascii="Arial" w:cs="Arial" w:eastAsia="Arial" w:hAnsi="Arial"/>
                <w:sz w:val="11"/>
                <w:szCs w:val="11"/>
                <w:b w:val="1"/>
                <w:bCs w:val="1"/>
                <w:color w:val="auto"/>
              </w:rPr>
              <w:t>JUNE 30, 2021</w:t>
            </w:r>
          </w:p>
        </w:tc>
        <w:tc>
          <w:tcPr>
            <w:tcW w:w="520" w:type="dxa"/>
            <w:vAlign w:val="bottom"/>
            <w:tcBorders>
              <w:bottom w:val="single" w:sz="8" w:color="auto"/>
            </w:tcBorders>
            <w:vMerge w:val="continue"/>
          </w:tcPr>
          <w:p>
            <w:pPr>
              <w:spacing w:after="0"/>
              <w:rPr>
                <w:sz w:val="10"/>
                <w:szCs w:val="10"/>
                <w:color w:val="auto"/>
              </w:rPr>
            </w:pPr>
          </w:p>
        </w:tc>
        <w:tc>
          <w:tcPr>
            <w:tcW w:w="520" w:type="dxa"/>
            <w:vAlign w:val="bottom"/>
            <w:tcBorders>
              <w:bottom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Borders>
              <w:bottom w:val="single" w:sz="8" w:color="auto"/>
            </w:tcBorders>
            <w:vMerge w:val="continue"/>
          </w:tcPr>
          <w:p>
            <w:pPr>
              <w:spacing w:after="0"/>
              <w:rPr>
                <w:sz w:val="10"/>
                <w:szCs w:val="10"/>
                <w:color w:val="auto"/>
              </w:rPr>
            </w:pPr>
          </w:p>
        </w:tc>
        <w:tc>
          <w:tcPr>
            <w:tcW w:w="760" w:type="dxa"/>
            <w:vAlign w:val="bottom"/>
            <w:tcBorders>
              <w:bottom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Borders>
              <w:bottom w:val="single" w:sz="8" w:color="auto"/>
            </w:tcBorders>
            <w:vMerge w:val="continue"/>
          </w:tcPr>
          <w:p>
            <w:pPr>
              <w:spacing w:after="0"/>
              <w:rPr>
                <w:sz w:val="10"/>
                <w:szCs w:val="10"/>
                <w:color w:val="auto"/>
              </w:rPr>
            </w:pPr>
          </w:p>
        </w:tc>
        <w:tc>
          <w:tcPr>
            <w:tcW w:w="380" w:type="dxa"/>
            <w:vAlign w:val="bottom"/>
            <w:tcBorders>
              <w:bottom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Borders>
              <w:bottom w:val="single" w:sz="8" w:color="auto"/>
            </w:tcBorders>
            <w:vMerge w:val="continue"/>
          </w:tcPr>
          <w:p>
            <w:pPr>
              <w:spacing w:after="0"/>
              <w:rPr>
                <w:sz w:val="10"/>
                <w:szCs w:val="10"/>
                <w:color w:val="auto"/>
              </w:rPr>
            </w:pPr>
          </w:p>
        </w:tc>
        <w:tc>
          <w:tcPr>
            <w:tcW w:w="620" w:type="dxa"/>
            <w:vAlign w:val="bottom"/>
            <w:tcBorders>
              <w:bottom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Borders>
              <w:bottom w:val="single" w:sz="8" w:color="auto"/>
            </w:tcBorders>
            <w:vMerge w:val="continue"/>
          </w:tcPr>
          <w:p>
            <w:pPr>
              <w:spacing w:after="0"/>
              <w:rPr>
                <w:sz w:val="10"/>
                <w:szCs w:val="10"/>
                <w:color w:val="auto"/>
              </w:rPr>
            </w:pPr>
          </w:p>
        </w:tc>
        <w:tc>
          <w:tcPr>
            <w:tcW w:w="580" w:type="dxa"/>
            <w:vAlign w:val="bottom"/>
            <w:tcBorders>
              <w:bottom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Borders>
              <w:bottom w:val="single" w:sz="8" w:color="auto"/>
            </w:tcBorders>
            <w:vMerge w:val="continue"/>
          </w:tcPr>
          <w:p>
            <w:pPr>
              <w:spacing w:after="0"/>
              <w:rPr>
                <w:sz w:val="10"/>
                <w:szCs w:val="10"/>
                <w:color w:val="auto"/>
              </w:rPr>
            </w:pPr>
          </w:p>
        </w:tc>
        <w:tc>
          <w:tcPr>
            <w:tcW w:w="680" w:type="dxa"/>
            <w:vAlign w:val="bottom"/>
            <w:tcBorders>
              <w:bottom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Borders>
              <w:bottom w:val="single" w:sz="8" w:color="auto"/>
            </w:tcBorders>
            <w:vMerge w:val="continue"/>
          </w:tcPr>
          <w:p>
            <w:pPr>
              <w:spacing w:after="0"/>
              <w:rPr>
                <w:sz w:val="10"/>
                <w:szCs w:val="10"/>
                <w:color w:val="auto"/>
              </w:rPr>
            </w:pPr>
          </w:p>
        </w:tc>
        <w:tc>
          <w:tcPr>
            <w:tcW w:w="260" w:type="dxa"/>
            <w:vAlign w:val="bottom"/>
            <w:tcBorders>
              <w:bottom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4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800"/>
        <w:spacing w:after="0"/>
        <w:rPr>
          <w:sz w:val="20"/>
          <w:szCs w:val="20"/>
          <w:color w:val="auto"/>
        </w:rPr>
      </w:pPr>
      <w:r>
        <w:rPr>
          <w:rFonts w:ascii="Arial" w:cs="Arial" w:eastAsia="Arial" w:hAnsi="Arial"/>
          <w:sz w:val="12"/>
          <w:szCs w:val="12"/>
          <w:b w:val="1"/>
          <w:bCs w:val="1"/>
          <w:color w:val="auto"/>
        </w:rPr>
        <w:t>See Notes to Interim Consolidated Financial Statements</w:t>
      </w:r>
    </w:p>
    <w:p>
      <w:pPr>
        <w:spacing w:after="0" w:line="145"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191135</wp:posOffset>
            </wp:positionV>
            <wp:extent cx="7203440"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940"/>
          </w:cols>
          <w:pgMar w:left="720" w:top="784" w:right="239" w:bottom="1440" w:gutter="0" w:footer="0" w:header="0"/>
        </w:sectPr>
      </w:pPr>
    </w:p>
    <w:bookmarkStart w:id="8" w:name="page9"/>
    <w:bookmarkEnd w:id="8"/>
    <w:p>
      <w:pPr>
        <w:jc w:val="center"/>
        <w:ind w:left="420"/>
        <w:spacing w:after="0"/>
        <w:rPr>
          <w:sz w:val="20"/>
          <w:szCs w:val="20"/>
          <w:color w:val="auto"/>
        </w:rPr>
      </w:pPr>
      <w:r>
        <w:rPr>
          <w:rFonts w:ascii="Arial" w:cs="Arial" w:eastAsia="Arial" w:hAnsi="Arial"/>
          <w:sz w:val="12"/>
          <w:szCs w:val="12"/>
          <w:b w:val="1"/>
          <w:bCs w:val="1"/>
          <w:color w:val="auto"/>
        </w:rPr>
        <w:t>MARRIOTT VACATIONS WORLDWIDE CORPORATION</w:t>
      </w:r>
    </w:p>
    <w:p>
      <w:pPr>
        <w:spacing w:after="0" w:line="19" w:lineRule="exact"/>
        <w:rPr>
          <w:sz w:val="20"/>
          <w:szCs w:val="20"/>
          <w:color w:val="auto"/>
        </w:rPr>
      </w:pPr>
    </w:p>
    <w:p>
      <w:pPr>
        <w:jc w:val="center"/>
        <w:ind w:left="420"/>
        <w:spacing w:after="0"/>
        <w:rPr>
          <w:sz w:val="20"/>
          <w:szCs w:val="20"/>
          <w:color w:val="auto"/>
        </w:rPr>
      </w:pPr>
      <w:r>
        <w:rPr>
          <w:rFonts w:ascii="Arial" w:cs="Arial" w:eastAsia="Arial" w:hAnsi="Arial"/>
          <w:sz w:val="12"/>
          <w:szCs w:val="12"/>
          <w:b w:val="1"/>
          <w:bCs w:val="1"/>
          <w:color w:val="auto"/>
        </w:rPr>
        <w:t>INTERIM CONSOLIDATED STATEMENTS OF SHAREHOLDERS’ EQUITY</w:t>
      </w:r>
    </w:p>
    <w:p>
      <w:pPr>
        <w:spacing w:after="0" w:line="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(In millions)</w:t>
      </w:r>
    </w:p>
    <w:p>
      <w:pPr>
        <w:spacing w:after="0" w:line="6"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(Unaudited)</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20" w:type="dxa"/>
            <w:vAlign w:val="bottom"/>
          </w:tcPr>
          <w:p>
            <w:pPr>
              <w:jc w:val="center"/>
              <w:spacing w:after="0"/>
              <w:rPr>
                <w:sz w:val="20"/>
                <w:szCs w:val="20"/>
                <w:color w:val="auto"/>
              </w:rPr>
            </w:pPr>
            <w:r>
              <w:rPr>
                <w:rFonts w:ascii="Arial" w:cs="Arial" w:eastAsia="Arial" w:hAnsi="Arial"/>
                <w:sz w:val="10"/>
                <w:szCs w:val="10"/>
                <w:b w:val="1"/>
                <w:bCs w:val="1"/>
                <w:color w:val="auto"/>
                <w:w w:val="87"/>
              </w:rPr>
              <w:t>Common</w:t>
            </w:r>
          </w:p>
        </w:tc>
        <w:tc>
          <w:tcPr>
            <w:tcW w:w="3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vMerge w:val="restart"/>
          </w:tcPr>
          <w:p>
            <w:pPr>
              <w:jc w:val="center"/>
              <w:ind w:right="220"/>
              <w:spacing w:after="0"/>
              <w:rPr>
                <w:sz w:val="20"/>
                <w:szCs w:val="20"/>
                <w:color w:val="auto"/>
              </w:rPr>
            </w:pPr>
            <w:r>
              <w:rPr>
                <w:rFonts w:ascii="Arial" w:cs="Arial" w:eastAsia="Arial" w:hAnsi="Arial"/>
                <w:sz w:val="10"/>
                <w:szCs w:val="10"/>
                <w:b w:val="1"/>
                <w:bCs w:val="1"/>
                <w:color w:val="auto"/>
                <w:w w:val="87"/>
              </w:rPr>
              <w:t>Common</w:t>
            </w:r>
          </w:p>
        </w:tc>
        <w:tc>
          <w:tcPr>
            <w:tcW w:w="120" w:type="dxa"/>
            <w:vAlign w:val="bottom"/>
          </w:tcPr>
          <w:p>
            <w:pPr>
              <w:spacing w:after="0"/>
              <w:rPr>
                <w:sz w:val="10"/>
                <w:szCs w:val="10"/>
                <w:color w:val="auto"/>
              </w:rPr>
            </w:pPr>
          </w:p>
        </w:tc>
        <w:tc>
          <w:tcPr>
            <w:tcW w:w="720" w:type="dxa"/>
            <w:vAlign w:val="bottom"/>
            <w:gridSpan w:val="2"/>
            <w:vMerge w:val="restart"/>
          </w:tcPr>
          <w:p>
            <w:pPr>
              <w:jc w:val="center"/>
              <w:ind w:right="200"/>
              <w:spacing w:after="0"/>
              <w:rPr>
                <w:sz w:val="20"/>
                <w:szCs w:val="20"/>
                <w:color w:val="auto"/>
              </w:rPr>
            </w:pPr>
            <w:r>
              <w:rPr>
                <w:rFonts w:ascii="Arial" w:cs="Arial" w:eastAsia="Arial" w:hAnsi="Arial"/>
                <w:sz w:val="10"/>
                <w:szCs w:val="10"/>
                <w:b w:val="1"/>
                <w:bCs w:val="1"/>
                <w:color w:val="auto"/>
                <w:w w:val="85"/>
              </w:rPr>
              <w:t>Treasury</w:t>
            </w:r>
          </w:p>
        </w:tc>
        <w:tc>
          <w:tcPr>
            <w:tcW w:w="120" w:type="dxa"/>
            <w:vAlign w:val="bottom"/>
          </w:tcPr>
          <w:p>
            <w:pPr>
              <w:spacing w:after="0"/>
              <w:rPr>
                <w:sz w:val="10"/>
                <w:szCs w:val="10"/>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89"/>
              </w:rPr>
              <w:t>Additional</w:t>
            </w:r>
          </w:p>
        </w:tc>
        <w:tc>
          <w:tcPr>
            <w:tcW w:w="80" w:type="dxa"/>
            <w:vAlign w:val="bottom"/>
          </w:tcPr>
          <w:p>
            <w:pPr>
              <w:spacing w:after="0"/>
              <w:rPr>
                <w:sz w:val="10"/>
                <w:szCs w:val="10"/>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88"/>
              </w:rPr>
              <w:t>Accumulated Other</w:t>
            </w:r>
          </w:p>
        </w:tc>
        <w:tc>
          <w:tcPr>
            <w:tcW w:w="140" w:type="dxa"/>
            <w:vAlign w:val="bottom"/>
          </w:tcPr>
          <w:p>
            <w:pPr>
              <w:spacing w:after="0"/>
              <w:rPr>
                <w:sz w:val="10"/>
                <w:szCs w:val="10"/>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Retained</w:t>
            </w:r>
          </w:p>
        </w:tc>
        <w:tc>
          <w:tcPr>
            <w:tcW w:w="120" w:type="dxa"/>
            <w:vAlign w:val="bottom"/>
          </w:tcPr>
          <w:p>
            <w:pPr>
              <w:spacing w:after="0"/>
              <w:rPr>
                <w:sz w:val="10"/>
                <w:szCs w:val="10"/>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7"/>
              </w:rPr>
              <w:t>Total MVW</w:t>
            </w:r>
          </w:p>
        </w:tc>
        <w:tc>
          <w:tcPr>
            <w:tcW w:w="120" w:type="dxa"/>
            <w:vAlign w:val="bottom"/>
          </w:tcPr>
          <w:p>
            <w:pPr>
              <w:spacing w:after="0"/>
              <w:rPr>
                <w:sz w:val="10"/>
                <w:szCs w:val="10"/>
                <w:color w:val="auto"/>
              </w:rPr>
            </w:pPr>
          </w:p>
        </w:tc>
        <w:tc>
          <w:tcPr>
            <w:tcW w:w="920" w:type="dxa"/>
            <w:vAlign w:val="bottom"/>
            <w:gridSpan w:val="2"/>
            <w:vMerge w:val="restart"/>
          </w:tcPr>
          <w:p>
            <w:pPr>
              <w:jc w:val="center"/>
              <w:ind w:right="180"/>
              <w:spacing w:after="0"/>
              <w:rPr>
                <w:sz w:val="20"/>
                <w:szCs w:val="20"/>
                <w:color w:val="auto"/>
              </w:rPr>
            </w:pPr>
            <w:r>
              <w:rPr>
                <w:rFonts w:ascii="Arial" w:cs="Arial" w:eastAsia="Arial" w:hAnsi="Arial"/>
                <w:sz w:val="10"/>
                <w:szCs w:val="10"/>
                <w:b w:val="1"/>
                <w:bCs w:val="1"/>
                <w:color w:val="auto"/>
                <w:w w:val="87"/>
              </w:rPr>
              <w:t>Noncontrolling</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620" w:type="dxa"/>
            <w:vAlign w:val="bottom"/>
          </w:tcPr>
          <w:p>
            <w:pPr>
              <w:jc w:val="center"/>
              <w:spacing w:after="0" w:line="90" w:lineRule="exact"/>
              <w:rPr>
                <w:sz w:val="20"/>
                <w:szCs w:val="20"/>
                <w:color w:val="auto"/>
              </w:rPr>
            </w:pPr>
            <w:r>
              <w:rPr>
                <w:rFonts w:ascii="Arial" w:cs="Arial" w:eastAsia="Arial" w:hAnsi="Arial"/>
                <w:sz w:val="10"/>
                <w:szCs w:val="10"/>
                <w:b w:val="1"/>
                <w:bCs w:val="1"/>
                <w:color w:val="auto"/>
                <w:w w:val="87"/>
              </w:rPr>
              <w:t>Stock</w:t>
            </w:r>
          </w:p>
        </w:tc>
        <w:tc>
          <w:tcPr>
            <w:tcW w:w="3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gridSpan w:val="2"/>
          </w:tcPr>
          <w:p>
            <w:pPr>
              <w:jc w:val="center"/>
              <w:ind w:right="180"/>
              <w:spacing w:after="0" w:line="90" w:lineRule="exact"/>
              <w:rPr>
                <w:sz w:val="20"/>
                <w:szCs w:val="20"/>
                <w:color w:val="auto"/>
              </w:rPr>
            </w:pPr>
            <w:r>
              <w:rPr>
                <w:rFonts w:ascii="Arial" w:cs="Arial" w:eastAsia="Arial" w:hAnsi="Arial"/>
                <w:sz w:val="10"/>
                <w:szCs w:val="10"/>
                <w:b w:val="1"/>
                <w:bCs w:val="1"/>
                <w:color w:val="auto"/>
                <w:w w:val="89"/>
              </w:rPr>
              <w:t>Paid-In</w:t>
            </w:r>
          </w:p>
        </w:tc>
        <w:tc>
          <w:tcPr>
            <w:tcW w:w="1080" w:type="dxa"/>
            <w:vAlign w:val="bottom"/>
            <w:gridSpan w:val="3"/>
          </w:tcPr>
          <w:p>
            <w:pPr>
              <w:jc w:val="center"/>
              <w:ind w:right="60"/>
              <w:spacing w:after="0" w:line="90" w:lineRule="exact"/>
              <w:rPr>
                <w:sz w:val="20"/>
                <w:szCs w:val="20"/>
                <w:color w:val="auto"/>
              </w:rPr>
            </w:pPr>
            <w:r>
              <w:rPr>
                <w:rFonts w:ascii="Arial" w:cs="Arial" w:eastAsia="Arial" w:hAnsi="Arial"/>
                <w:sz w:val="10"/>
                <w:szCs w:val="10"/>
                <w:b w:val="1"/>
                <w:bCs w:val="1"/>
                <w:color w:val="auto"/>
                <w:w w:val="83"/>
              </w:rPr>
              <w:t>Comprehensive (Loss)</w:t>
            </w:r>
          </w:p>
        </w:tc>
        <w:tc>
          <w:tcPr>
            <w:tcW w:w="14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gridSpan w:val="2"/>
          </w:tcPr>
          <w:p>
            <w:pPr>
              <w:jc w:val="center"/>
              <w:ind w:right="180"/>
              <w:spacing w:after="0" w:line="90" w:lineRule="exact"/>
              <w:rPr>
                <w:sz w:val="20"/>
                <w:szCs w:val="20"/>
                <w:color w:val="auto"/>
              </w:rPr>
            </w:pPr>
            <w:r>
              <w:rPr>
                <w:rFonts w:ascii="Arial" w:cs="Arial" w:eastAsia="Arial" w:hAnsi="Arial"/>
                <w:sz w:val="10"/>
                <w:szCs w:val="10"/>
                <w:b w:val="1"/>
                <w:bCs w:val="1"/>
                <w:color w:val="auto"/>
                <w:w w:val="87"/>
              </w:rPr>
              <w:t>Shareholders'</w:t>
            </w:r>
          </w:p>
        </w:tc>
        <w:tc>
          <w:tcPr>
            <w:tcW w:w="12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vMerge w:val="restart"/>
          </w:tcPr>
          <w:p>
            <w:pPr>
              <w:jc w:val="right"/>
              <w:ind w:right="86"/>
              <w:spacing w:after="0"/>
              <w:rPr>
                <w:sz w:val="20"/>
                <w:szCs w:val="20"/>
                <w:color w:val="auto"/>
              </w:rPr>
            </w:pPr>
            <w:r>
              <w:rPr>
                <w:rFonts w:ascii="Arial" w:cs="Arial" w:eastAsia="Arial" w:hAnsi="Arial"/>
                <w:sz w:val="10"/>
                <w:szCs w:val="10"/>
                <w:b w:val="1"/>
                <w:bCs w:val="1"/>
                <w:color w:val="auto"/>
                <w:w w:val="90"/>
              </w:rPr>
              <w:t>Total Equity</w:t>
            </w:r>
          </w:p>
        </w:tc>
        <w:tc>
          <w:tcPr>
            <w:tcW w:w="0" w:type="dxa"/>
            <w:vAlign w:val="bottom"/>
          </w:tcPr>
          <w:p>
            <w:pPr>
              <w:spacing w:after="0"/>
              <w:rPr>
                <w:sz w:val="1"/>
                <w:szCs w:val="1"/>
                <w:color w:val="auto"/>
              </w:rPr>
            </w:pPr>
          </w:p>
        </w:tc>
      </w:tr>
      <w:tr>
        <w:trPr>
          <w:trHeight w:val="125"/>
        </w:trPr>
        <w:tc>
          <w:tcPr>
            <w:tcW w:w="620" w:type="dxa"/>
            <w:vAlign w:val="bottom"/>
          </w:tcPr>
          <w:p>
            <w:pPr>
              <w:jc w:val="center"/>
              <w:spacing w:after="0"/>
              <w:rPr>
                <w:sz w:val="20"/>
                <w:szCs w:val="20"/>
                <w:color w:val="auto"/>
              </w:rPr>
            </w:pPr>
            <w:r>
              <w:rPr>
                <w:rFonts w:ascii="Arial" w:cs="Arial" w:eastAsia="Arial" w:hAnsi="Arial"/>
                <w:sz w:val="10"/>
                <w:szCs w:val="10"/>
                <w:b w:val="1"/>
                <w:bCs w:val="1"/>
                <w:color w:val="auto"/>
                <w:w w:val="81"/>
              </w:rPr>
              <w:t>Issued</w:t>
            </w:r>
          </w:p>
        </w:tc>
        <w:tc>
          <w:tcPr>
            <w:tcW w:w="3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87"/>
              </w:rPr>
              <w:t>Stock</w:t>
            </w:r>
          </w:p>
        </w:tc>
        <w:tc>
          <w:tcPr>
            <w:tcW w:w="120" w:type="dxa"/>
            <w:vAlign w:val="bottom"/>
          </w:tcPr>
          <w:p>
            <w:pPr>
              <w:spacing w:after="0"/>
              <w:rPr>
                <w:sz w:val="10"/>
                <w:szCs w:val="10"/>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87"/>
              </w:rPr>
              <w:t>Stock</w:t>
            </w:r>
          </w:p>
        </w:tc>
        <w:tc>
          <w:tcPr>
            <w:tcW w:w="120" w:type="dxa"/>
            <w:vAlign w:val="bottom"/>
          </w:tcPr>
          <w:p>
            <w:pPr>
              <w:spacing w:after="0"/>
              <w:rPr>
                <w:sz w:val="10"/>
                <w:szCs w:val="10"/>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9"/>
              </w:rPr>
              <w:t>Capital</w:t>
            </w:r>
          </w:p>
        </w:tc>
        <w:tc>
          <w:tcPr>
            <w:tcW w:w="80" w:type="dxa"/>
            <w:vAlign w:val="bottom"/>
          </w:tcPr>
          <w:p>
            <w:pPr>
              <w:spacing w:after="0"/>
              <w:rPr>
                <w:sz w:val="10"/>
                <w:szCs w:val="10"/>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9"/>
              </w:rPr>
              <w:t>Gain</w:t>
            </w:r>
          </w:p>
        </w:tc>
        <w:tc>
          <w:tcPr>
            <w:tcW w:w="14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0"/>
                <w:szCs w:val="10"/>
                <w:b w:val="1"/>
                <w:bCs w:val="1"/>
                <w:color w:val="auto"/>
              </w:rPr>
              <w:t>Earnings</w:t>
            </w:r>
          </w:p>
        </w:tc>
        <w:tc>
          <w:tcPr>
            <w:tcW w:w="120" w:type="dxa"/>
            <w:vAlign w:val="bottom"/>
          </w:tcPr>
          <w:p>
            <w:pPr>
              <w:spacing w:after="0"/>
              <w:rPr>
                <w:sz w:val="10"/>
                <w:szCs w:val="10"/>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4"/>
              </w:rPr>
              <w:t>Equity</w:t>
            </w:r>
          </w:p>
        </w:tc>
        <w:tc>
          <w:tcPr>
            <w:tcW w:w="120" w:type="dxa"/>
            <w:vAlign w:val="bottom"/>
          </w:tcPr>
          <w:p>
            <w:pPr>
              <w:spacing w:after="0"/>
              <w:rPr>
                <w:sz w:val="10"/>
                <w:szCs w:val="10"/>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86"/>
              </w:rPr>
              <w:t>Interests</w:t>
            </w:r>
          </w:p>
        </w:tc>
        <w:tc>
          <w:tcPr>
            <w:tcW w:w="10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62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75.0</w:t>
            </w:r>
          </w:p>
        </w:tc>
        <w:tc>
          <w:tcPr>
            <w:tcW w:w="344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1"/>
                <w:szCs w:val="11"/>
                <w:b w:val="1"/>
                <w:bCs w:val="1"/>
                <w:color w:val="auto"/>
              </w:rPr>
              <w:t>BALANCE AT DECEMBER 31, 2019</w:t>
            </w:r>
          </w:p>
        </w:tc>
        <w:tc>
          <w:tcPr>
            <w:tcW w:w="14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(1,253)</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3,738</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(36)</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569</w:t>
            </w: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3,019</w:t>
            </w: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3,031</w:t>
            </w:r>
          </w:p>
        </w:tc>
        <w:tc>
          <w:tcPr>
            <w:tcW w:w="0" w:type="dxa"/>
            <w:vAlign w:val="bottom"/>
          </w:tcPr>
          <w:p>
            <w:pPr>
              <w:spacing w:after="0"/>
              <w:rPr>
                <w:sz w:val="1"/>
                <w:szCs w:val="1"/>
                <w:color w:val="auto"/>
              </w:rPr>
            </w:pPr>
          </w:p>
        </w:tc>
      </w:tr>
      <w:tr>
        <w:trPr>
          <w:trHeight w:val="142"/>
        </w:trPr>
        <w:tc>
          <w:tcPr>
            <w:tcW w:w="62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3440" w:type="dxa"/>
            <w:vAlign w:val="bottom"/>
          </w:tcPr>
          <w:p>
            <w:pPr>
              <w:ind w:left="220"/>
              <w:spacing w:after="0"/>
              <w:rPr>
                <w:sz w:val="20"/>
                <w:szCs w:val="20"/>
                <w:color w:val="auto"/>
              </w:rPr>
            </w:pPr>
            <w:r>
              <w:rPr>
                <w:rFonts w:ascii="Arial" w:cs="Arial" w:eastAsia="Arial" w:hAnsi="Arial"/>
                <w:sz w:val="11"/>
                <w:szCs w:val="11"/>
                <w:color w:val="auto"/>
              </w:rPr>
              <w:t>Net (loss) income</w:t>
            </w:r>
          </w:p>
        </w:tc>
        <w:tc>
          <w:tcPr>
            <w:tcW w:w="14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(106)</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(106)</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(105)</w:t>
            </w:r>
          </w:p>
        </w:tc>
        <w:tc>
          <w:tcPr>
            <w:tcW w:w="0" w:type="dxa"/>
            <w:vAlign w:val="bottom"/>
          </w:tcPr>
          <w:p>
            <w:pPr>
              <w:spacing w:after="0"/>
              <w:rPr>
                <w:sz w:val="1"/>
                <w:szCs w:val="1"/>
                <w:color w:val="auto"/>
              </w:rPr>
            </w:pPr>
          </w:p>
        </w:tc>
      </w:tr>
      <w:tr>
        <w:trPr>
          <w:trHeight w:val="146"/>
        </w:trPr>
        <w:tc>
          <w:tcPr>
            <w:tcW w:w="62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3440" w:type="dxa"/>
            <w:vAlign w:val="bottom"/>
            <w:shd w:val="clear" w:color="auto" w:fill="CCEEFF"/>
          </w:tcPr>
          <w:p>
            <w:pPr>
              <w:ind w:left="220"/>
              <w:spacing w:after="0"/>
              <w:rPr>
                <w:sz w:val="20"/>
                <w:szCs w:val="20"/>
                <w:color w:val="auto"/>
              </w:rPr>
            </w:pPr>
            <w:r>
              <w:rPr>
                <w:rFonts w:ascii="Arial" w:cs="Arial" w:eastAsia="Arial" w:hAnsi="Arial"/>
                <w:sz w:val="11"/>
                <w:szCs w:val="11"/>
                <w:color w:val="auto"/>
              </w:rPr>
              <w:t>Foreign currency translation adjustments</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42"/>
        </w:trPr>
        <w:tc>
          <w:tcPr>
            <w:tcW w:w="62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3440" w:type="dxa"/>
            <w:vAlign w:val="bottom"/>
          </w:tcPr>
          <w:p>
            <w:pPr>
              <w:ind w:left="220"/>
              <w:spacing w:after="0"/>
              <w:rPr>
                <w:sz w:val="20"/>
                <w:szCs w:val="20"/>
                <w:color w:val="auto"/>
              </w:rPr>
            </w:pPr>
            <w:r>
              <w:rPr>
                <w:rFonts w:ascii="Arial" w:cs="Arial" w:eastAsia="Arial" w:hAnsi="Arial"/>
                <w:sz w:val="11"/>
                <w:szCs w:val="11"/>
                <w:color w:val="auto"/>
              </w:rPr>
              <w:t>Derivative instrument adjustment</w:t>
            </w:r>
          </w:p>
        </w:tc>
        <w:tc>
          <w:tcPr>
            <w:tcW w:w="14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(24)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(24)</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(24)</w:t>
            </w:r>
          </w:p>
        </w:tc>
        <w:tc>
          <w:tcPr>
            <w:tcW w:w="0" w:type="dxa"/>
            <w:vAlign w:val="bottom"/>
          </w:tcPr>
          <w:p>
            <w:pPr>
              <w:spacing w:after="0"/>
              <w:rPr>
                <w:sz w:val="1"/>
                <w:szCs w:val="1"/>
                <w:color w:val="auto"/>
              </w:rPr>
            </w:pPr>
          </w:p>
        </w:tc>
      </w:tr>
      <w:tr>
        <w:trPr>
          <w:trHeight w:val="146"/>
        </w:trPr>
        <w:tc>
          <w:tcPr>
            <w:tcW w:w="62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0.2</w:t>
            </w:r>
          </w:p>
        </w:tc>
        <w:tc>
          <w:tcPr>
            <w:tcW w:w="3440" w:type="dxa"/>
            <w:vAlign w:val="bottom"/>
            <w:shd w:val="clear" w:color="auto" w:fill="CCEEFF"/>
          </w:tcPr>
          <w:p>
            <w:pPr>
              <w:ind w:left="220"/>
              <w:spacing w:after="0"/>
              <w:rPr>
                <w:sz w:val="20"/>
                <w:szCs w:val="20"/>
                <w:color w:val="auto"/>
              </w:rPr>
            </w:pPr>
            <w:r>
              <w:rPr>
                <w:rFonts w:ascii="Arial" w:cs="Arial" w:eastAsia="Arial" w:hAnsi="Arial"/>
                <w:sz w:val="11"/>
                <w:szCs w:val="11"/>
                <w:color w:val="auto"/>
              </w:rPr>
              <w:t>Share-based compensation plans</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142"/>
        </w:trPr>
        <w:tc>
          <w:tcPr>
            <w:tcW w:w="62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3440" w:type="dxa"/>
            <w:vAlign w:val="bottom"/>
          </w:tcPr>
          <w:p>
            <w:pPr>
              <w:ind w:left="220"/>
              <w:spacing w:after="0"/>
              <w:rPr>
                <w:sz w:val="20"/>
                <w:szCs w:val="20"/>
                <w:color w:val="auto"/>
              </w:rPr>
            </w:pPr>
            <w:r>
              <w:rPr>
                <w:rFonts w:ascii="Arial" w:cs="Arial" w:eastAsia="Arial" w:hAnsi="Arial"/>
                <w:sz w:val="11"/>
                <w:szCs w:val="11"/>
                <w:color w:val="auto"/>
              </w:rPr>
              <w:t>Repurchase of common stock</w:t>
            </w:r>
          </w:p>
        </w:tc>
        <w:tc>
          <w:tcPr>
            <w:tcW w:w="14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(82)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(82)</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(82)</w:t>
            </w:r>
          </w:p>
        </w:tc>
        <w:tc>
          <w:tcPr>
            <w:tcW w:w="0" w:type="dxa"/>
            <w:vAlign w:val="bottom"/>
          </w:tcPr>
          <w:p>
            <w:pPr>
              <w:spacing w:after="0"/>
              <w:rPr>
                <w:sz w:val="1"/>
                <w:szCs w:val="1"/>
                <w:color w:val="auto"/>
              </w:rPr>
            </w:pPr>
          </w:p>
        </w:tc>
      </w:tr>
      <w:tr>
        <w:trPr>
          <w:trHeight w:val="146"/>
        </w:trPr>
        <w:tc>
          <w:tcPr>
            <w:tcW w:w="62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3440" w:type="dxa"/>
            <w:vAlign w:val="bottom"/>
            <w:shd w:val="clear" w:color="auto" w:fill="CCEEFF"/>
          </w:tcPr>
          <w:p>
            <w:pPr>
              <w:ind w:left="220"/>
              <w:spacing w:after="0"/>
              <w:rPr>
                <w:sz w:val="20"/>
                <w:szCs w:val="20"/>
                <w:color w:val="auto"/>
              </w:rPr>
            </w:pPr>
            <w:r>
              <w:rPr>
                <w:rFonts w:ascii="Arial" w:cs="Arial" w:eastAsia="Arial" w:hAnsi="Arial"/>
                <w:sz w:val="11"/>
                <w:szCs w:val="11"/>
                <w:color w:val="auto"/>
              </w:rPr>
              <w:t>Dividends</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w:t>
            </w:r>
          </w:p>
        </w:tc>
        <w:tc>
          <w:tcPr>
            <w:tcW w:w="0" w:type="dxa"/>
            <w:vAlign w:val="bottom"/>
          </w:tcPr>
          <w:p>
            <w:pPr>
              <w:spacing w:after="0"/>
              <w:rPr>
                <w:sz w:val="1"/>
                <w:szCs w:val="1"/>
                <w:color w:val="auto"/>
              </w:rPr>
            </w:pPr>
          </w:p>
        </w:tc>
      </w:tr>
      <w:tr>
        <w:trPr>
          <w:trHeight w:val="131"/>
        </w:trPr>
        <w:tc>
          <w:tcPr>
            <w:tcW w:w="62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color w:val="auto"/>
              </w:rPr>
              <w:t>75.2</w:t>
            </w:r>
          </w:p>
        </w:tc>
        <w:tc>
          <w:tcPr>
            <w:tcW w:w="3440" w:type="dxa"/>
            <w:vAlign w:val="bottom"/>
          </w:tcPr>
          <w:p>
            <w:pPr>
              <w:ind w:left="80"/>
              <w:spacing w:after="0"/>
              <w:rPr>
                <w:sz w:val="20"/>
                <w:szCs w:val="20"/>
                <w:color w:val="auto"/>
              </w:rPr>
            </w:pPr>
            <w:r>
              <w:rPr>
                <w:rFonts w:ascii="Arial" w:cs="Arial" w:eastAsia="Arial" w:hAnsi="Arial"/>
                <w:sz w:val="11"/>
                <w:szCs w:val="11"/>
                <w:b w:val="1"/>
                <w:bCs w:val="1"/>
                <w:color w:val="auto"/>
              </w:rPr>
              <w:t>BALANCE AT MARCH 31, 2020</w:t>
            </w: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(1,335)</w:t>
            </w: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3,729</w:t>
            </w: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(77)</w:t>
            </w: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color w:val="auto"/>
              </w:rPr>
              <w:t>441</w:t>
            </w: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2,759</w:t>
            </w: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13</w:t>
            </w: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2,772</w:t>
            </w:r>
          </w:p>
        </w:tc>
        <w:tc>
          <w:tcPr>
            <w:tcW w:w="0" w:type="dxa"/>
            <w:vAlign w:val="bottom"/>
          </w:tcPr>
          <w:p>
            <w:pPr>
              <w:spacing w:after="0"/>
              <w:rPr>
                <w:sz w:val="1"/>
                <w:szCs w:val="1"/>
                <w:color w:val="auto"/>
              </w:rPr>
            </w:pPr>
          </w:p>
        </w:tc>
      </w:tr>
      <w:tr>
        <w:trPr>
          <w:trHeight w:val="146"/>
        </w:trPr>
        <w:tc>
          <w:tcPr>
            <w:tcW w:w="62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3440" w:type="dxa"/>
            <w:vAlign w:val="bottom"/>
            <w:shd w:val="clear" w:color="auto" w:fill="CCEEFF"/>
          </w:tcPr>
          <w:p>
            <w:pPr>
              <w:ind w:left="240"/>
              <w:spacing w:after="0"/>
              <w:rPr>
                <w:sz w:val="20"/>
                <w:szCs w:val="20"/>
                <w:color w:val="auto"/>
              </w:rPr>
            </w:pPr>
            <w:r>
              <w:rPr>
                <w:rFonts w:ascii="Arial" w:cs="Arial" w:eastAsia="Arial" w:hAnsi="Arial"/>
                <w:sz w:val="11"/>
                <w:szCs w:val="11"/>
                <w:color w:val="auto"/>
              </w:rPr>
              <w:t>Net (loss) income</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w:t>
            </w:r>
          </w:p>
        </w:tc>
        <w:tc>
          <w:tcPr>
            <w:tcW w:w="0" w:type="dxa"/>
            <w:vAlign w:val="bottom"/>
          </w:tcPr>
          <w:p>
            <w:pPr>
              <w:spacing w:after="0"/>
              <w:rPr>
                <w:sz w:val="1"/>
                <w:szCs w:val="1"/>
                <w:color w:val="auto"/>
              </w:rPr>
            </w:pPr>
          </w:p>
        </w:tc>
      </w:tr>
      <w:tr>
        <w:trPr>
          <w:trHeight w:val="142"/>
        </w:trPr>
        <w:tc>
          <w:tcPr>
            <w:tcW w:w="62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3440" w:type="dxa"/>
            <w:vAlign w:val="bottom"/>
          </w:tcPr>
          <w:p>
            <w:pPr>
              <w:ind w:left="240"/>
              <w:spacing w:after="0"/>
              <w:rPr>
                <w:sz w:val="20"/>
                <w:szCs w:val="20"/>
                <w:color w:val="auto"/>
              </w:rPr>
            </w:pPr>
            <w:r>
              <w:rPr>
                <w:rFonts w:ascii="Arial" w:cs="Arial" w:eastAsia="Arial" w:hAnsi="Arial"/>
                <w:sz w:val="11"/>
                <w:szCs w:val="11"/>
                <w:color w:val="auto"/>
              </w:rPr>
              <w:t>Foreign currency translation adjustments</w:t>
            </w:r>
          </w:p>
        </w:tc>
        <w:tc>
          <w:tcPr>
            <w:tcW w:w="14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3</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46"/>
        </w:trPr>
        <w:tc>
          <w:tcPr>
            <w:tcW w:w="62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3440" w:type="dxa"/>
            <w:vAlign w:val="bottom"/>
            <w:shd w:val="clear" w:color="auto" w:fill="CCEEFF"/>
          </w:tcPr>
          <w:p>
            <w:pPr>
              <w:ind w:left="240"/>
              <w:spacing w:after="0"/>
              <w:rPr>
                <w:sz w:val="20"/>
                <w:szCs w:val="20"/>
                <w:color w:val="auto"/>
              </w:rPr>
            </w:pPr>
            <w:r>
              <w:rPr>
                <w:rFonts w:ascii="Arial" w:cs="Arial" w:eastAsia="Arial" w:hAnsi="Arial"/>
                <w:sz w:val="11"/>
                <w:szCs w:val="11"/>
                <w:color w:val="auto"/>
              </w:rPr>
              <w:t>Derivative instrument adjustment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42"/>
        </w:trPr>
        <w:tc>
          <w:tcPr>
            <w:tcW w:w="62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3440" w:type="dxa"/>
            <w:vAlign w:val="bottom"/>
          </w:tcPr>
          <w:p>
            <w:pPr>
              <w:ind w:left="240"/>
              <w:spacing w:after="0"/>
              <w:rPr>
                <w:sz w:val="20"/>
                <w:szCs w:val="20"/>
                <w:color w:val="auto"/>
              </w:rPr>
            </w:pPr>
            <w:r>
              <w:rPr>
                <w:rFonts w:ascii="Arial" w:cs="Arial" w:eastAsia="Arial" w:hAnsi="Arial"/>
                <w:sz w:val="11"/>
                <w:szCs w:val="11"/>
                <w:color w:val="auto"/>
              </w:rPr>
              <w:t>Share-based compensation plans</w:t>
            </w:r>
          </w:p>
        </w:tc>
        <w:tc>
          <w:tcPr>
            <w:tcW w:w="14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7</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44"/>
        </w:trPr>
        <w:tc>
          <w:tcPr>
            <w:tcW w:w="62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3440" w:type="dxa"/>
            <w:vAlign w:val="bottom"/>
            <w:shd w:val="clear" w:color="auto" w:fill="CCEEFF"/>
          </w:tcPr>
          <w:p>
            <w:pPr>
              <w:ind w:left="240"/>
              <w:spacing w:after="0"/>
              <w:rPr>
                <w:sz w:val="20"/>
                <w:szCs w:val="20"/>
                <w:color w:val="auto"/>
              </w:rPr>
            </w:pPr>
            <w:r>
              <w:rPr>
                <w:rFonts w:ascii="Arial" w:cs="Arial" w:eastAsia="Arial" w:hAnsi="Arial"/>
                <w:sz w:val="11"/>
                <w:szCs w:val="11"/>
                <w:color w:val="auto"/>
              </w:rPr>
              <w:t>Employee stock plan issuance</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35"/>
        </w:trPr>
        <w:tc>
          <w:tcPr>
            <w:tcW w:w="62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75.2</w:t>
            </w:r>
          </w:p>
        </w:tc>
        <w:tc>
          <w:tcPr>
            <w:tcW w:w="3440" w:type="dxa"/>
            <w:vAlign w:val="bottom"/>
          </w:tcPr>
          <w:p>
            <w:pPr>
              <w:ind w:left="80"/>
              <w:spacing w:after="0"/>
              <w:rPr>
                <w:sz w:val="20"/>
                <w:szCs w:val="20"/>
                <w:color w:val="auto"/>
              </w:rPr>
            </w:pPr>
            <w:r>
              <w:rPr>
                <w:rFonts w:ascii="Arial" w:cs="Arial" w:eastAsia="Arial" w:hAnsi="Arial"/>
                <w:sz w:val="11"/>
                <w:szCs w:val="11"/>
                <w:b w:val="1"/>
                <w:bCs w:val="1"/>
                <w:color w:val="auto"/>
              </w:rPr>
              <w:t>BALANCE AT JUNE 30, 2020</w:t>
            </w:r>
          </w:p>
        </w:tc>
        <w:tc>
          <w:tcPr>
            <w:tcW w:w="1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(1,334)</w:t>
            </w:r>
          </w:p>
        </w:tc>
        <w:tc>
          <w:tcPr>
            <w:tcW w:w="8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3,736</w:t>
            </w:r>
          </w:p>
        </w:tc>
        <w:tc>
          <w:tcPr>
            <w:tcW w:w="6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(75)</w:t>
            </w:r>
          </w:p>
        </w:tc>
        <w:tc>
          <w:tcPr>
            <w:tcW w:w="8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371</w:t>
            </w:r>
          </w:p>
        </w:tc>
        <w:tc>
          <w:tcPr>
            <w:tcW w:w="6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2,699</w:t>
            </w:r>
          </w:p>
        </w:tc>
        <w:tc>
          <w:tcPr>
            <w:tcW w:w="6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21</w:t>
            </w:r>
          </w:p>
        </w:tc>
        <w:tc>
          <w:tcPr>
            <w:tcW w:w="8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2,720</w:t>
            </w:r>
          </w:p>
        </w:tc>
        <w:tc>
          <w:tcPr>
            <w:tcW w:w="0" w:type="dxa"/>
            <w:vAlign w:val="bottom"/>
          </w:tcPr>
          <w:p>
            <w:pPr>
              <w:spacing w:after="0"/>
              <w:rPr>
                <w:sz w:val="1"/>
                <w:szCs w:val="1"/>
                <w:color w:val="auto"/>
              </w:rPr>
            </w:pPr>
          </w:p>
        </w:tc>
      </w:tr>
      <w:tr>
        <w:trPr>
          <w:trHeight w:val="20"/>
        </w:trPr>
        <w:tc>
          <w:tcPr>
            <w:tcW w:w="620" w:type="dxa"/>
            <w:vAlign w:val="bottom"/>
            <w:tcBorders>
              <w:bottom w:val="single" w:sz="8" w:color="auto"/>
            </w:tcBorders>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See Notes to Interim Consolidated Financial Statements</w:t>
      </w:r>
    </w:p>
    <w:p>
      <w:pPr>
        <w:spacing w:after="0" w:line="145" w:lineRule="exact"/>
        <w:rPr>
          <w:sz w:val="20"/>
          <w:szCs w:val="20"/>
          <w:color w:val="auto"/>
        </w:rPr>
      </w:pPr>
    </w:p>
    <w:p>
      <w:pPr>
        <w:jc w:val="center"/>
        <w:ind w:left="420"/>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191135</wp:posOffset>
            </wp:positionV>
            <wp:extent cx="7203440"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12" w:right="299" w:bottom="1440" w:gutter="0" w:footer="0" w:header="0"/>
        </w:sectPr>
      </w:pPr>
    </w:p>
    <w:bookmarkStart w:id="9" w:name="page10"/>
    <w:bookmarkEnd w:id="9"/>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37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MARRIOTT VACATIONS WORLDWIDE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INTERIM CONSOLIDATED FINANCIAL STATEMENTS</w:t>
      </w:r>
    </w:p>
    <w:p>
      <w:pPr>
        <w:spacing w:after="0" w:line="191" w:lineRule="exact"/>
        <w:rPr>
          <w:sz w:val="20"/>
          <w:szCs w:val="20"/>
          <w:color w:val="auto"/>
        </w:rPr>
      </w:pPr>
    </w:p>
    <w:p>
      <w:pPr>
        <w:ind w:left="260" w:hanging="256"/>
        <w:spacing w:after="0"/>
        <w:tabs>
          <w:tab w:leader="none" w:pos="260" w:val="left"/>
        </w:tabs>
        <w:numPr>
          <w:ilvl w:val="0"/>
          <w:numId w:val="4"/>
        </w:numPr>
        <w:rPr>
          <w:rFonts w:ascii="Arial" w:cs="Arial" w:eastAsia="Arial" w:hAnsi="Arial"/>
          <w:sz w:val="12"/>
          <w:szCs w:val="12"/>
          <w:b w:val="1"/>
          <w:bCs w:val="1"/>
          <w:color w:val="auto"/>
        </w:rPr>
      </w:pPr>
      <w:r>
        <w:rPr>
          <w:rFonts w:ascii="Arial" w:cs="Arial" w:eastAsia="Arial" w:hAnsi="Arial"/>
          <w:sz w:val="12"/>
          <w:szCs w:val="12"/>
          <w:b w:val="1"/>
          <w:bCs w:val="1"/>
          <w:color w:val="auto"/>
        </w:rPr>
        <w:t>BASIS OF PRESENTATION</w:t>
      </w:r>
    </w:p>
    <w:p>
      <w:pPr>
        <w:spacing w:after="0" w:line="145" w:lineRule="exact"/>
        <w:rPr>
          <w:sz w:val="20"/>
          <w:szCs w:val="20"/>
          <w:color w:val="auto"/>
        </w:rPr>
      </w:pPr>
    </w:p>
    <w:p>
      <w:pPr>
        <w:ind w:right="40" w:firstLine="432"/>
        <w:spacing w:after="0" w:line="283" w:lineRule="auto"/>
        <w:rPr>
          <w:sz w:val="20"/>
          <w:szCs w:val="20"/>
          <w:color w:val="auto"/>
        </w:rPr>
      </w:pPr>
      <w:r>
        <w:rPr>
          <w:rFonts w:ascii="Arial" w:cs="Arial" w:eastAsia="Arial" w:hAnsi="Arial"/>
          <w:sz w:val="11"/>
          <w:szCs w:val="11"/>
          <w:color w:val="auto"/>
        </w:rPr>
        <w:t>The Interim Consolidated Financial Statements present the results of operations, financial position and cash flows of Marriott Vacations Worldwide Corporation (referred to in this report as (i) “we,” “us,” “Marriott Vacations Worldwide,” “MVW” or “the Company,” which includes our consolidated subsidiaries except where the context of the reference is to a single corporate entity, or (ii) “MVWC,” which shall refer only to Marriott Vacations Worldwide Corporation, without its consolidated subsidiaries). In order to make this report easier to read, we refer throughout to (i) our Interim Consolidated Financial Statements as our “Financial Statements,” (ii) our Interim Consolidated Statements of Income as our “Income Statements,” (iii) our Interim Consolidated Balance Sheets as our “Balance Sheets,” and (iv) our Interim Consolidated Statements of Cash Flows as our “Cash Flows.” In addition, references throughout to numbered “Footnotes” refer to the numbered Notes in these Notes to Interim Consolidated Financial Statements, unless otherwise noted. Capitalized terms used and not specifically defined herein have the same meanings given those terms in our Annual Report on Form 10-K for the fiscal year ended December 31, 2020 (the “2020 Annual Report”). We use certain other terms that are defined within these Financial Statements.</w:t>
      </w:r>
    </w:p>
    <w:p>
      <w:pPr>
        <w:spacing w:after="0" w:line="41" w:lineRule="exact"/>
        <w:rPr>
          <w:sz w:val="20"/>
          <w:szCs w:val="20"/>
          <w:color w:val="auto"/>
        </w:rPr>
      </w:pPr>
    </w:p>
    <w:p>
      <w:pPr>
        <w:ind w:right="20" w:firstLine="432"/>
        <w:spacing w:after="0" w:line="289" w:lineRule="auto"/>
        <w:rPr>
          <w:sz w:val="20"/>
          <w:szCs w:val="20"/>
          <w:color w:val="auto"/>
        </w:rPr>
      </w:pPr>
      <w:r>
        <w:rPr>
          <w:rFonts w:ascii="Arial" w:cs="Arial" w:eastAsia="Arial" w:hAnsi="Arial"/>
          <w:sz w:val="11"/>
          <w:szCs w:val="11"/>
          <w:color w:val="auto"/>
        </w:rPr>
        <w:t>The Financial Statements presented herein and discussed below include 100 percent of the assets, liabilities, revenues, expenses, and cash flows of Marriott Vacations Worldwide, all entities in which Marriott Vacations Worldwide has a controlling voting interest (“subsidiaries”), and those variable interest entities (“VIEs”) for which Marriott Vacations Worldwide is the primary beneficiary in accordance with consolidation accounting guidance. References in these Financial Statements to net (loss) income attributable to common shareholders and MVW shareholders’ equity do not include noncontrolling interests, which represent the outside ownership of our consolidated non-wholly owned entities and are reported separately. Intercompany accounts and transactions between consolidated companies have been eliminated in consolidation.</w:t>
      </w:r>
    </w:p>
    <w:p>
      <w:pPr>
        <w:spacing w:after="0" w:line="39" w:lineRule="exact"/>
        <w:rPr>
          <w:sz w:val="20"/>
          <w:szCs w:val="20"/>
          <w:color w:val="auto"/>
        </w:rPr>
      </w:pPr>
    </w:p>
    <w:p>
      <w:pPr>
        <w:ind w:firstLine="432"/>
        <w:spacing w:after="0" w:line="259" w:lineRule="auto"/>
        <w:rPr>
          <w:sz w:val="20"/>
          <w:szCs w:val="20"/>
          <w:color w:val="auto"/>
        </w:rPr>
      </w:pPr>
      <w:r>
        <w:rPr>
          <w:rFonts w:ascii="Arial" w:cs="Arial" w:eastAsia="Arial" w:hAnsi="Arial"/>
          <w:sz w:val="12"/>
          <w:szCs w:val="12"/>
          <w:color w:val="auto"/>
        </w:rPr>
        <w:t>Pursuant to a change in control of certain consolidated property owners’ associations, we recorded a non-cash loss of $1 million in (Losses) gains and other (expense) income, net on our Income Statement for each of the three and six months ended June 30, 2021, and deconsolidated $88 million of assets, inclusive of $87 million of restricted cash and $83 million of liabilities, for a decrease in Noncontrolling interests of $6 million during the first half of 2021. See our Interim Consolidated Statement of Shareholder’s Equity for further information. We continue to act as manager for these property owners’ associations pursuant to existing management contracts and retain membership interests via our ownership of vacation ownership interests.</w:t>
      </w:r>
    </w:p>
    <w:p>
      <w:pPr>
        <w:spacing w:after="0" w:line="52" w:lineRule="exact"/>
        <w:rPr>
          <w:sz w:val="20"/>
          <w:szCs w:val="20"/>
          <w:color w:val="auto"/>
        </w:rPr>
      </w:pPr>
    </w:p>
    <w:p>
      <w:pPr>
        <w:ind w:right="120" w:firstLine="432"/>
        <w:spacing w:after="0" w:line="285" w:lineRule="auto"/>
        <w:rPr>
          <w:sz w:val="20"/>
          <w:szCs w:val="20"/>
          <w:color w:val="auto"/>
        </w:rPr>
      </w:pPr>
      <w:r>
        <w:rPr>
          <w:rFonts w:ascii="Arial" w:cs="Arial" w:eastAsia="Arial" w:hAnsi="Arial"/>
          <w:sz w:val="11"/>
          <w:szCs w:val="11"/>
          <w:color w:val="auto"/>
        </w:rPr>
        <w:t>These Financial Statements reflect our financial position, results of operations, and cash flows as prepared in conformity with United States Generally Accepted Accounting Principles (“GAAP”). The preparation of financial statements in conformity with GAAP requires management to make estimates and assumptions that affect amounts reported in the financial statements and accompanying notes. Such estimates include, but are not limited to, revenue recognition, allocations of the purchase price paid in business combinations, cost of vacation ownership products, inventory valuation, goodwill and intangibles valuation, property and equipment valuation, accounting for acquired vacation ownership notes receivable, vacation ownership notes receivable reserves, income taxes, and loss contingencies. The uncertainty created by the COVID-19 pandemic, and the ongoing efforts to mitigate it, has made it more challenging to make these estimates. Accordingly, ultimate results could differ from our estimates, and such differences may be material.</w:t>
      </w:r>
    </w:p>
    <w:p>
      <w:pPr>
        <w:spacing w:after="0" w:line="41" w:lineRule="exact"/>
        <w:rPr>
          <w:sz w:val="20"/>
          <w:szCs w:val="20"/>
          <w:color w:val="auto"/>
        </w:rPr>
      </w:pPr>
    </w:p>
    <w:p>
      <w:pPr>
        <w:ind w:right="60" w:firstLine="432"/>
        <w:spacing w:after="0" w:line="289" w:lineRule="auto"/>
        <w:rPr>
          <w:sz w:val="20"/>
          <w:szCs w:val="20"/>
          <w:color w:val="auto"/>
        </w:rPr>
      </w:pPr>
      <w:r>
        <w:rPr>
          <w:rFonts w:ascii="Arial" w:cs="Arial" w:eastAsia="Arial" w:hAnsi="Arial"/>
          <w:sz w:val="11"/>
          <w:szCs w:val="11"/>
          <w:color w:val="auto"/>
        </w:rPr>
        <w:t>In our opinion, our Financial Statements reflect all normal and recurring adjustments necessary to present fairly our financial position, the results of our operations, and cash flows for the periods presented. Interim results may not be indicative of fiscal year performance because of, among other reasons, the impact of the COVID-19 pandemic and seasonal and short-term variations. These Financial Statements have not been audited. We have condensed or omitted certain information and footnote disclosures normally included in financial statements presented in accordance with GAAP. Although we believe our footnote disclosures are adequate to make the information presented not misleading, the Financial Statements in this report should be read in conjunction with the consolidated financial statements and notes thereto in our 2020 Annual Report.</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Acquisition of Welk</w:t>
      </w:r>
    </w:p>
    <w:p>
      <w:pPr>
        <w:spacing w:after="0" w:line="78" w:lineRule="exact"/>
        <w:rPr>
          <w:sz w:val="20"/>
          <w:szCs w:val="20"/>
          <w:color w:val="auto"/>
        </w:rPr>
      </w:pPr>
    </w:p>
    <w:p>
      <w:pPr>
        <w:ind w:right="40" w:firstLine="432"/>
        <w:spacing w:after="0" w:line="263" w:lineRule="auto"/>
        <w:rPr>
          <w:sz w:val="20"/>
          <w:szCs w:val="20"/>
          <w:color w:val="auto"/>
        </w:rPr>
      </w:pPr>
      <w:r>
        <w:rPr>
          <w:rFonts w:ascii="Arial" w:cs="Arial" w:eastAsia="Arial" w:hAnsi="Arial"/>
          <w:sz w:val="12"/>
          <w:szCs w:val="12"/>
          <w:color w:val="auto"/>
        </w:rPr>
        <w:t>On April 1, 2021, we completed the acquisition of Welk Hospitality Group, Inc. (“Welk”) through a series of transactions (the “Welk Acquisition”), after which Welk became our indirect wholly-owned subsidiary. The Financial Statements in this report include Welk’s results of operations for the three months ended June 30, 2021 and reflect the financial position of our combined company at June 30, 2021. We refer to Welk’s business and brands that we acquired as “Legacy-Welk.” See Footnote 3 “Acquisitions and Dispositions” for more information on the Welk Acquisition.</w:t>
      </w:r>
    </w:p>
    <w:p>
      <w:pPr>
        <w:spacing w:after="0" w:line="113" w:lineRule="exact"/>
        <w:rPr>
          <w:sz w:val="20"/>
          <w:szCs w:val="20"/>
          <w:color w:val="auto"/>
        </w:rPr>
      </w:pPr>
    </w:p>
    <w:p>
      <w:pPr>
        <w:jc w:val="center"/>
        <w:ind w:left="420"/>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191135</wp:posOffset>
            </wp:positionV>
            <wp:extent cx="7203440"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203" w:right="319" w:bottom="1440" w:gutter="0" w:footer="0" w:header="0"/>
        </w:sectPr>
      </w:pPr>
    </w:p>
    <w:bookmarkStart w:id="10" w:name="page11"/>
    <w:bookmarkEnd w:id="10"/>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Reclassifications</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We have reclassified certain prior year amounts to conform to our current year presentation.</w:t>
      </w:r>
    </w:p>
    <w:p>
      <w:pPr>
        <w:spacing w:after="0" w:line="173" w:lineRule="exact"/>
        <w:rPr>
          <w:sz w:val="20"/>
          <w:szCs w:val="20"/>
          <w:color w:val="auto"/>
        </w:rPr>
      </w:pPr>
    </w:p>
    <w:p>
      <w:pPr>
        <w:ind w:left="260" w:hanging="256"/>
        <w:spacing w:after="0"/>
        <w:tabs>
          <w:tab w:leader="none" w:pos="260" w:val="left"/>
        </w:tabs>
        <w:numPr>
          <w:ilvl w:val="0"/>
          <w:numId w:val="5"/>
        </w:numPr>
        <w:rPr>
          <w:rFonts w:ascii="Arial" w:cs="Arial" w:eastAsia="Arial" w:hAnsi="Arial"/>
          <w:sz w:val="12"/>
          <w:szCs w:val="12"/>
          <w:b w:val="1"/>
          <w:bCs w:val="1"/>
          <w:color w:val="auto"/>
        </w:rPr>
      </w:pPr>
      <w:r>
        <w:rPr>
          <w:rFonts w:ascii="Arial" w:cs="Arial" w:eastAsia="Arial" w:hAnsi="Arial"/>
          <w:sz w:val="12"/>
          <w:szCs w:val="12"/>
          <w:b w:val="1"/>
          <w:bCs w:val="1"/>
          <w:color w:val="auto"/>
        </w:rPr>
        <w:t>SIGNIFICANT ACCOUNTING POLICIES AND RECENT ACCOUNTING STANDARDS</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New Accounting Standards</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 xml:space="preserve">Accounting Standards Update 2019-12 – </w:t>
      </w:r>
      <w:r>
        <w:rPr>
          <w:rFonts w:ascii="Arial" w:cs="Arial" w:eastAsia="Arial" w:hAnsi="Arial"/>
          <w:sz w:val="12"/>
          <w:szCs w:val="12"/>
          <w:i w:val="1"/>
          <w:iCs w:val="1"/>
          <w:color w:val="auto"/>
        </w:rPr>
        <w:t>“Income Taxes (Topic 740): Simplifying the Accounting for Income Taxes”</w:t>
      </w:r>
      <w:r>
        <w:rPr>
          <w:rFonts w:ascii="Arial" w:cs="Arial" w:eastAsia="Arial" w:hAnsi="Arial"/>
          <w:sz w:val="12"/>
          <w:szCs w:val="12"/>
          <w:color w:val="auto"/>
        </w:rPr>
        <w:t xml:space="preserve"> (“ASU 2019-12”)</w:t>
      </w:r>
    </w:p>
    <w:p>
      <w:pPr>
        <w:spacing w:after="0" w:line="78" w:lineRule="exact"/>
        <w:rPr>
          <w:sz w:val="20"/>
          <w:szCs w:val="20"/>
          <w:color w:val="auto"/>
        </w:rPr>
      </w:pPr>
    </w:p>
    <w:p>
      <w:pPr>
        <w:ind w:right="240" w:firstLine="432"/>
        <w:spacing w:after="0" w:line="276" w:lineRule="auto"/>
        <w:rPr>
          <w:sz w:val="20"/>
          <w:szCs w:val="20"/>
          <w:color w:val="auto"/>
        </w:rPr>
      </w:pPr>
      <w:r>
        <w:rPr>
          <w:rFonts w:ascii="Arial" w:cs="Arial" w:eastAsia="Arial" w:hAnsi="Arial"/>
          <w:sz w:val="12"/>
          <w:szCs w:val="12"/>
          <w:color w:val="auto"/>
        </w:rPr>
        <w:t>In the first quarter of 2021, we adopted ASU 2019-12, which amends and simplifies existing guidance in an effort to reduce the complexity of accounting for income taxes while maintaining or enhancing the helpfulness of information provided to financial statement users. Our adoption of ASU 2019-12 did not have a material impact on our Financial Statements or disclosures.</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Future Adoption of Accounting Standards</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Accounting Standards Update 2020-04 – “</w:t>
      </w:r>
      <w:r>
        <w:rPr>
          <w:rFonts w:ascii="Arial" w:cs="Arial" w:eastAsia="Arial" w:hAnsi="Arial"/>
          <w:sz w:val="12"/>
          <w:szCs w:val="12"/>
          <w:i w:val="1"/>
          <w:iCs w:val="1"/>
          <w:color w:val="auto"/>
        </w:rPr>
        <w:t>Reference Rate Reform (Topic 848), Facilitation of the Effects of Reference Rate Reform on Financial Reporting</w:t>
      </w:r>
      <w:r>
        <w:rPr>
          <w:rFonts w:ascii="Arial" w:cs="Arial" w:eastAsia="Arial" w:hAnsi="Arial"/>
          <w:sz w:val="12"/>
          <w:szCs w:val="12"/>
          <w:color w:val="auto"/>
        </w:rPr>
        <w:t>” (“ASU 2020-04”)</w:t>
      </w:r>
    </w:p>
    <w:p>
      <w:pPr>
        <w:spacing w:after="0" w:line="78" w:lineRule="exact"/>
        <w:rPr>
          <w:sz w:val="20"/>
          <w:szCs w:val="20"/>
          <w:color w:val="auto"/>
        </w:rPr>
      </w:pPr>
    </w:p>
    <w:p>
      <w:pPr>
        <w:jc w:val="both"/>
        <w:ind w:right="80" w:firstLine="432"/>
        <w:spacing w:after="0" w:line="263" w:lineRule="auto"/>
        <w:rPr>
          <w:sz w:val="20"/>
          <w:szCs w:val="20"/>
          <w:color w:val="auto"/>
        </w:rPr>
      </w:pPr>
      <w:r>
        <w:rPr>
          <w:rFonts w:ascii="Arial" w:cs="Arial" w:eastAsia="Arial" w:hAnsi="Arial"/>
          <w:sz w:val="12"/>
          <w:szCs w:val="12"/>
          <w:color w:val="auto"/>
        </w:rPr>
        <w:t>In March 2020, the FASB issued ASU 2020-04, as amended, which provides optional expedients and exceptions to existing guidance on contract modifications and hedge accounting in an effort to ease the financial reporting burdens related to the expected market transition from the LIBOR and other interbank offered rates to alternative reference rates. This update can be adopted no later than December 1, 2022, with early adoption permitted. We expect to adopt ASU 2020-04 in fiscal year 2022 and continue to evaluate the impact that adoption of this update will have on our financial statements and disclosures.</w:t>
      </w:r>
    </w:p>
    <w:p>
      <w:pPr>
        <w:spacing w:after="0" w:line="50" w:lineRule="exact"/>
        <w:rPr>
          <w:sz w:val="20"/>
          <w:szCs w:val="20"/>
          <w:color w:val="auto"/>
        </w:rPr>
      </w:pPr>
    </w:p>
    <w:p>
      <w:pPr>
        <w:jc w:val="both"/>
        <w:ind w:right="60" w:firstLine="432"/>
        <w:spacing w:after="0" w:line="276" w:lineRule="auto"/>
        <w:rPr>
          <w:sz w:val="20"/>
          <w:szCs w:val="20"/>
          <w:color w:val="auto"/>
        </w:rPr>
      </w:pPr>
      <w:r>
        <w:rPr>
          <w:rFonts w:ascii="Arial" w:cs="Arial" w:eastAsia="Arial" w:hAnsi="Arial"/>
          <w:sz w:val="12"/>
          <w:szCs w:val="12"/>
          <w:color w:val="auto"/>
        </w:rPr>
        <w:t>Accounting Standards Update 2020-06 – “</w:t>
      </w:r>
      <w:r>
        <w:rPr>
          <w:rFonts w:ascii="Arial" w:cs="Arial" w:eastAsia="Arial" w:hAnsi="Arial"/>
          <w:sz w:val="12"/>
          <w:szCs w:val="12"/>
          <w:i w:val="1"/>
          <w:iCs w:val="1"/>
          <w:color w:val="auto"/>
        </w:rPr>
        <w:t>Debt — Debt With Conversion and Other Options (Subtopic 470-20) and Derivatives and Hedging — Contracts in Entity’s Own Equity (Subtopic 815-40): Accounting for Convertible</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Instruments and Contracts in an Entity’s Own Equity” </w:t>
      </w:r>
      <w:r>
        <w:rPr>
          <w:rFonts w:ascii="Arial" w:cs="Arial" w:eastAsia="Arial" w:hAnsi="Arial"/>
          <w:sz w:val="12"/>
          <w:szCs w:val="12"/>
          <w:color w:val="auto"/>
        </w:rPr>
        <w:t>(“ASU 2020-06”)</w:t>
      </w:r>
    </w:p>
    <w:p>
      <w:pPr>
        <w:spacing w:after="0" w:line="43" w:lineRule="exact"/>
        <w:rPr>
          <w:sz w:val="20"/>
          <w:szCs w:val="20"/>
          <w:color w:val="auto"/>
        </w:rPr>
      </w:pPr>
    </w:p>
    <w:p>
      <w:pPr>
        <w:ind w:right="40" w:firstLine="432"/>
        <w:spacing w:after="0" w:line="280" w:lineRule="auto"/>
        <w:rPr>
          <w:sz w:val="20"/>
          <w:szCs w:val="20"/>
          <w:color w:val="auto"/>
        </w:rPr>
      </w:pPr>
      <w:r>
        <w:rPr>
          <w:rFonts w:ascii="Arial" w:cs="Arial" w:eastAsia="Arial" w:hAnsi="Arial"/>
          <w:sz w:val="11"/>
          <w:szCs w:val="11"/>
          <w:color w:val="auto"/>
        </w:rPr>
        <w:t>In August 2020, the FASB issued ASU 2020-06, which amends and simplifies existing guidance in an effort to reduce the complexity of accounting for convertible instruments and to provide financial statement users with more meaningful information. ASU 2020-06 is effective for fiscal years beginning after December 15, 2021, including interim periods therein, with early adoption permitted for fiscal years beginning after December 15, 2020. This update may be applied retrospectively or on a modified retrospective basis with the cumulative effect recognized as an adjustment to the opening balance of retained earnings on the date of adoption. Additionally, this update provides for a one-time irrevocable election by entities to apply the fair value option in accordance with ASC Topic 825-10, “</w:t>
      </w:r>
      <w:r>
        <w:rPr>
          <w:rFonts w:ascii="Arial" w:cs="Arial" w:eastAsia="Arial" w:hAnsi="Arial"/>
          <w:sz w:val="11"/>
          <w:szCs w:val="11"/>
          <w:i w:val="1"/>
          <w:iCs w:val="1"/>
          <w:color w:val="auto"/>
        </w:rPr>
        <w:t>Financial Instruments - Overall,</w:t>
      </w:r>
      <w:r>
        <w:rPr>
          <w:rFonts w:ascii="Arial" w:cs="Arial" w:eastAsia="Arial" w:hAnsi="Arial"/>
          <w:sz w:val="11"/>
          <w:szCs w:val="11"/>
          <w:color w:val="auto"/>
        </w:rPr>
        <w:t>” for any liability-classified convertible securities, with the difference between the carrying amount and the fair value recorded as a cumulative-effect adjustment to opening retained earnings as of the beginning of the period of adoption. We expect to adopt ASU 2020-06 on January 1, 2022, and continue to evaluate the impact that adoption of this update will have on our financial statements and disclosures. In accordance with ASU 2020-06, we will be required to calculate diluted earnings per share under the “if-converted” method. Under the “if-converted” method, diluted earnings per share would generally be calculated assuming that all of our convertible notes were converted solely into shares of common stock at the beginning of the reporting period, unless the result would be anti-dilutive. The application of the “if-converted” method may reduce our reported diluted earnings per share.</w:t>
      </w:r>
    </w:p>
    <w:p>
      <w:pPr>
        <w:spacing w:after="0" w:line="165" w:lineRule="exact"/>
        <w:rPr>
          <w:sz w:val="20"/>
          <w:szCs w:val="20"/>
          <w:color w:val="auto"/>
        </w:rPr>
      </w:pPr>
    </w:p>
    <w:p>
      <w:pPr>
        <w:ind w:left="260" w:hanging="256"/>
        <w:spacing w:after="0"/>
        <w:tabs>
          <w:tab w:leader="none" w:pos="260" w:val="left"/>
        </w:tabs>
        <w:numPr>
          <w:ilvl w:val="0"/>
          <w:numId w:val="6"/>
        </w:numPr>
        <w:rPr>
          <w:rFonts w:ascii="Arial" w:cs="Arial" w:eastAsia="Arial" w:hAnsi="Arial"/>
          <w:sz w:val="12"/>
          <w:szCs w:val="12"/>
          <w:b w:val="1"/>
          <w:bCs w:val="1"/>
          <w:color w:val="auto"/>
        </w:rPr>
      </w:pPr>
      <w:r>
        <w:rPr>
          <w:rFonts w:ascii="Arial" w:cs="Arial" w:eastAsia="Arial" w:hAnsi="Arial"/>
          <w:sz w:val="12"/>
          <w:szCs w:val="12"/>
          <w:b w:val="1"/>
          <w:bCs w:val="1"/>
          <w:color w:val="auto"/>
        </w:rPr>
        <w:t>ACQUISITIONS AND DISPOSITIONS</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Welk Acquisition</w:t>
      </w:r>
    </w:p>
    <w:p>
      <w:pPr>
        <w:spacing w:after="0" w:line="42" w:lineRule="exact"/>
        <w:rPr>
          <w:sz w:val="20"/>
          <w:szCs w:val="20"/>
          <w:color w:val="auto"/>
        </w:rPr>
      </w:pPr>
    </w:p>
    <w:p>
      <w:pPr>
        <w:ind w:right="600" w:firstLine="432"/>
        <w:spacing w:after="0" w:line="276" w:lineRule="auto"/>
        <w:rPr>
          <w:sz w:val="20"/>
          <w:szCs w:val="20"/>
          <w:color w:val="auto"/>
        </w:rPr>
      </w:pPr>
      <w:r>
        <w:rPr>
          <w:rFonts w:ascii="Arial" w:cs="Arial" w:eastAsia="Arial" w:hAnsi="Arial"/>
          <w:sz w:val="12"/>
          <w:szCs w:val="12"/>
          <w:color w:val="auto"/>
        </w:rPr>
        <w:t>On April 1, 2021 (the “Welk Acquisition Date”), we completed the Welk Acquisition for consideration of $405 million, including approximately 1.4 million shares of our common stock. Welk was one of the largest independent timeshare companies in North America. The following table presents the fair value of each type of consideration transferred at the Welk Acquisition Date.</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5080" w:type="dxa"/>
            <w:vAlign w:val="bottom"/>
          </w:tcPr>
          <w:p>
            <w:pPr>
              <w:spacing w:after="0"/>
              <w:rPr>
                <w:sz w:val="20"/>
                <w:szCs w:val="20"/>
                <w:color w:val="auto"/>
              </w:rPr>
            </w:pPr>
            <w:r>
              <w:rPr>
                <w:rFonts w:ascii="Arial" w:cs="Arial" w:eastAsia="Arial" w:hAnsi="Arial"/>
                <w:sz w:val="10"/>
                <w:szCs w:val="10"/>
                <w:b w:val="1"/>
                <w:bCs w:val="1"/>
                <w:i w:val="1"/>
                <w:iCs w:val="1"/>
                <w:color w:val="auto"/>
              </w:rPr>
              <w:t>(in millions, except per share amounts)</w:t>
            </w:r>
          </w:p>
        </w:tc>
        <w:tc>
          <w:tcPr>
            <w:tcW w:w="39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80" w:type="dxa"/>
            <w:vAlign w:val="bottom"/>
          </w:tcPr>
          <w:p>
            <w:pPr>
              <w:spacing w:after="0"/>
              <w:rPr>
                <w:sz w:val="10"/>
                <w:szCs w:val="10"/>
                <w:color w:val="auto"/>
              </w:rPr>
            </w:pPr>
          </w:p>
        </w:tc>
      </w:tr>
      <w:tr>
        <w:trPr>
          <w:trHeight w:val="157"/>
        </w:trPr>
        <w:tc>
          <w:tcPr>
            <w:tcW w:w="5080" w:type="dxa"/>
            <w:vAlign w:val="bottom"/>
            <w:shd w:val="clear" w:color="auto" w:fill="CCEEFF"/>
          </w:tcPr>
          <w:p>
            <w:pPr>
              <w:spacing w:after="0"/>
              <w:rPr>
                <w:sz w:val="20"/>
                <w:szCs w:val="20"/>
                <w:color w:val="auto"/>
              </w:rPr>
            </w:pPr>
            <w:r>
              <w:rPr>
                <w:rFonts w:ascii="Arial" w:cs="Arial" w:eastAsia="Arial" w:hAnsi="Arial"/>
                <w:sz w:val="12"/>
                <w:szCs w:val="12"/>
                <w:color w:val="auto"/>
              </w:rPr>
              <w:t>Equivalent shares of Marriott Vacations Worldwide common stock issued</w:t>
            </w:r>
          </w:p>
        </w:tc>
        <w:tc>
          <w:tcPr>
            <w:tcW w:w="39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w:t>
            </w:r>
          </w:p>
        </w:tc>
      </w:tr>
      <w:tr>
        <w:trPr>
          <w:trHeight w:val="153"/>
        </w:trPr>
        <w:tc>
          <w:tcPr>
            <w:tcW w:w="5080" w:type="dxa"/>
            <w:vAlign w:val="bottom"/>
          </w:tcPr>
          <w:p>
            <w:pPr>
              <w:spacing w:after="0"/>
              <w:rPr>
                <w:sz w:val="20"/>
                <w:szCs w:val="20"/>
                <w:color w:val="auto"/>
              </w:rPr>
            </w:pPr>
            <w:r>
              <w:rPr>
                <w:rFonts w:ascii="Arial" w:cs="Arial" w:eastAsia="Arial" w:hAnsi="Arial"/>
                <w:sz w:val="12"/>
                <w:szCs w:val="12"/>
                <w:color w:val="auto"/>
              </w:rPr>
              <w:t>Marriott Vacations Worldwide common stock price per share as of Welk Acquisition Date</w:t>
            </w:r>
          </w:p>
        </w:tc>
        <w:tc>
          <w:tcPr>
            <w:tcW w:w="4940" w:type="dxa"/>
            <w:vAlign w:val="bottom"/>
            <w:gridSpan w:val="2"/>
          </w:tcPr>
          <w:p>
            <w:pPr>
              <w:jc w:val="right"/>
              <w:ind w:right="880"/>
              <w:spacing w:after="0"/>
              <w:rPr>
                <w:sz w:val="20"/>
                <w:szCs w:val="20"/>
                <w:color w:val="auto"/>
              </w:rPr>
            </w:pPr>
            <w:r>
              <w:rPr>
                <w:rFonts w:ascii="Arial" w:cs="Arial" w:eastAsia="Arial" w:hAnsi="Arial"/>
                <w:sz w:val="12"/>
                <w:szCs w:val="12"/>
                <w:color w:val="auto"/>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174.18</w:t>
            </w:r>
          </w:p>
        </w:tc>
      </w:tr>
      <w:tr>
        <w:trPr>
          <w:trHeight w:val="142"/>
        </w:trPr>
        <w:tc>
          <w:tcPr>
            <w:tcW w:w="508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Fair value of Marriott Vacations Worldwide common stock issued</w:t>
            </w:r>
          </w:p>
        </w:tc>
        <w:tc>
          <w:tcPr>
            <w:tcW w:w="398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248</w:t>
            </w:r>
          </w:p>
        </w:tc>
      </w:tr>
      <w:tr>
        <w:trPr>
          <w:trHeight w:val="153"/>
        </w:trPr>
        <w:tc>
          <w:tcPr>
            <w:tcW w:w="50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Cash consideration to Welk, net of cash and restricted cash acquired of $48 million</w:t>
            </w:r>
          </w:p>
        </w:tc>
        <w:tc>
          <w:tcPr>
            <w:tcW w:w="398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157</w:t>
            </w:r>
          </w:p>
        </w:tc>
      </w:tr>
      <w:tr>
        <w:trPr>
          <w:trHeight w:val="142"/>
        </w:trPr>
        <w:tc>
          <w:tcPr>
            <w:tcW w:w="50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Total consideration transferred, net of cash and restricted cash acquired</w:t>
            </w:r>
          </w:p>
        </w:tc>
        <w:tc>
          <w:tcPr>
            <w:tcW w:w="4940" w:type="dxa"/>
            <w:vAlign w:val="bottom"/>
            <w:gridSpan w:val="2"/>
            <w:shd w:val="clear" w:color="auto" w:fill="CCEEFF"/>
          </w:tcPr>
          <w:p>
            <w:pPr>
              <w:jc w:val="right"/>
              <w:ind w:right="880"/>
              <w:spacing w:after="0"/>
              <w:rPr>
                <w:sz w:val="20"/>
                <w:szCs w:val="20"/>
                <w:color w:val="auto"/>
              </w:rPr>
            </w:pPr>
            <w:r>
              <w:rPr>
                <w:rFonts w:ascii="Arial" w:cs="Arial" w:eastAsia="Arial" w:hAnsi="Arial"/>
                <w:sz w:val="12"/>
                <w:szCs w:val="12"/>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405</w:t>
            </w:r>
          </w:p>
        </w:tc>
      </w:tr>
      <w:tr>
        <w:trPr>
          <w:trHeight w:val="333"/>
        </w:trPr>
        <w:tc>
          <w:tcPr>
            <w:tcW w:w="5080" w:type="dxa"/>
            <w:vAlign w:val="bottom"/>
          </w:tcPr>
          <w:p>
            <w:pPr>
              <w:spacing w:after="0"/>
              <w:rPr>
                <w:sz w:val="24"/>
                <w:szCs w:val="24"/>
                <w:color w:val="auto"/>
              </w:rPr>
            </w:pPr>
          </w:p>
        </w:tc>
        <w:tc>
          <w:tcPr>
            <w:tcW w:w="3980" w:type="dxa"/>
            <w:vAlign w:val="bottom"/>
          </w:tcPr>
          <w:p>
            <w:pPr>
              <w:jc w:val="right"/>
              <w:ind w:right="3100"/>
              <w:spacing w:after="0"/>
              <w:rPr>
                <w:sz w:val="20"/>
                <w:szCs w:val="20"/>
                <w:color w:val="auto"/>
              </w:rPr>
            </w:pPr>
            <w:r>
              <w:rPr>
                <w:rFonts w:ascii="Arial" w:cs="Arial" w:eastAsia="Arial" w:hAnsi="Arial"/>
                <w:sz w:val="12"/>
                <w:szCs w:val="12"/>
                <w:color w:val="auto"/>
              </w:rPr>
              <w:t>9</w:t>
            </w:r>
          </w:p>
        </w:tc>
        <w:tc>
          <w:tcPr>
            <w:tcW w:w="9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06"/>
        </w:trPr>
        <w:tc>
          <w:tcPr>
            <w:tcW w:w="508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11" w:name="page12"/>
    <w:bookmarkEnd w:id="11"/>
    <w:p>
      <w:pPr>
        <w:ind w:left="8"/>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47" w:lineRule="exact"/>
        <w:rPr>
          <w:sz w:val="20"/>
          <w:szCs w:val="20"/>
          <w:color w:val="auto"/>
        </w:rPr>
      </w:pPr>
    </w:p>
    <w:p>
      <w:pPr>
        <w:ind w:left="428"/>
        <w:spacing w:after="0"/>
        <w:rPr>
          <w:sz w:val="20"/>
          <w:szCs w:val="20"/>
          <w:color w:val="auto"/>
        </w:rPr>
      </w:pPr>
      <w:r>
        <w:rPr>
          <w:rFonts w:ascii="Arial" w:cs="Arial" w:eastAsia="Arial" w:hAnsi="Arial"/>
          <w:sz w:val="12"/>
          <w:szCs w:val="12"/>
          <w:i w:val="1"/>
          <w:iCs w:val="1"/>
          <w:color w:val="auto"/>
        </w:rPr>
        <w:t>Preliminary Fair Values of Assets Acquired and Liabilities Assumed</w:t>
      </w:r>
    </w:p>
    <w:p>
      <w:pPr>
        <w:spacing w:after="0" w:line="42" w:lineRule="exact"/>
        <w:rPr>
          <w:sz w:val="20"/>
          <w:szCs w:val="20"/>
          <w:color w:val="auto"/>
        </w:rPr>
      </w:pPr>
    </w:p>
    <w:p>
      <w:pPr>
        <w:ind w:left="8" w:right="40" w:firstLine="432"/>
        <w:spacing w:after="0" w:line="313" w:lineRule="auto"/>
        <w:rPr>
          <w:sz w:val="20"/>
          <w:szCs w:val="20"/>
          <w:color w:val="auto"/>
        </w:rPr>
      </w:pPr>
      <w:r>
        <w:rPr>
          <w:rFonts w:ascii="Arial" w:cs="Arial" w:eastAsia="Arial" w:hAnsi="Arial"/>
          <w:sz w:val="10"/>
          <w:szCs w:val="10"/>
          <w:color w:val="auto"/>
        </w:rPr>
        <w:t>We accounted for the Welk Acquisition as a business combination, which requires us to record the assets acquired and liabilities assumed at fair value as of the Welk Acquisition Date. The amounts recorded are preliminary in nature and are subject to adjustment as additional information is obtained about the facts and circumstances that existed as of the Welk Acquisition Date. We continue to evaluate the underlying inputs and assumptions used in our valuation for all assets acquired and liabilities assumed. The values attributed to Vacation ownership notes receivable, Intangible assets, and Securitized debt from VIEs are based on preliminary valuations prepared based on Level 3 inputs and assumptions in accordance with ASC Topic 820, “</w:t>
      </w:r>
      <w:r>
        <w:rPr>
          <w:rFonts w:ascii="Arial" w:cs="Arial" w:eastAsia="Arial" w:hAnsi="Arial"/>
          <w:sz w:val="10"/>
          <w:szCs w:val="10"/>
          <w:i w:val="1"/>
          <w:iCs w:val="1"/>
          <w:color w:val="auto"/>
        </w:rPr>
        <w:t>Fair Value Measurements</w:t>
      </w:r>
      <w:r>
        <w:rPr>
          <w:rFonts w:ascii="Arial" w:cs="Arial" w:eastAsia="Arial" w:hAnsi="Arial"/>
          <w:sz w:val="10"/>
          <w:szCs w:val="10"/>
          <w:color w:val="auto"/>
        </w:rPr>
        <w:t>” (“ASC 820”). The value attributed to Debt is based on Level 1 inputs in accordance with ASC 820. For the remaining assets acquired and liabilities assumed, we are in the process of preparing preliminary valuations in accordance with the authoritative guidance. We also continue to evaluate the underlying inputs and assumptions that are being utilized in the valuations. Accordingly, these preliminary estimates are subject to change during the measurement period, which is up to one year from the Welk Acquisition Date, as permitted under GAAP. Any potential adjustments could be material in relation to the values presented in the table below. The following table presents our preliminary estimates of the fair value of the assets that we acquired and the liabilities that we assumed in connection with the business combination.</w:t>
      </w:r>
    </w:p>
    <w:p>
      <w:pPr>
        <w:spacing w:after="0" w:line="18" w:lineRule="exact"/>
        <w:rPr>
          <w:sz w:val="20"/>
          <w:szCs w:val="20"/>
          <w:color w:val="auto"/>
        </w:rPr>
      </w:pPr>
    </w:p>
    <w:tbl>
      <w:tblPr>
        <w:tblLayout w:type="fixed"/>
        <w:tblInd w:w="8" w:type="dxa"/>
        <w:tblCellMar>
          <w:top w:w="0" w:type="dxa"/>
          <w:left w:w="0" w:type="dxa"/>
          <w:bottom w:w="0" w:type="dxa"/>
          <w:right w:w="0" w:type="dxa"/>
        </w:tblCellMar>
      </w:tblPr>
      <w:tr>
        <w:trPr>
          <w:trHeight w:val="125"/>
        </w:trPr>
        <w:tc>
          <w:tcPr>
            <w:tcW w:w="9060" w:type="dxa"/>
            <w:vAlign w:val="bottom"/>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102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157"/>
        </w:trPr>
        <w:tc>
          <w:tcPr>
            <w:tcW w:w="9060" w:type="dxa"/>
            <w:vAlign w:val="bottom"/>
            <w:shd w:val="clear" w:color="auto" w:fill="CCEEFF"/>
          </w:tcPr>
          <w:p>
            <w:pPr>
              <w:spacing w:after="0"/>
              <w:rPr>
                <w:sz w:val="20"/>
                <w:szCs w:val="20"/>
                <w:color w:val="auto"/>
              </w:rPr>
            </w:pPr>
            <w:r>
              <w:rPr>
                <w:rFonts w:ascii="Arial" w:cs="Arial" w:eastAsia="Arial" w:hAnsi="Arial"/>
                <w:sz w:val="12"/>
                <w:szCs w:val="12"/>
                <w:color w:val="auto"/>
              </w:rPr>
              <w:t>Vacation ownership notes receivable, net</w:t>
            </w:r>
            <w:r>
              <w:rPr>
                <w:rFonts w:ascii="Arial" w:cs="Arial" w:eastAsia="Arial" w:hAnsi="Arial"/>
                <w:sz w:val="6"/>
                <w:szCs w:val="6"/>
                <w:color w:val="auto"/>
              </w:rPr>
              <w:t>(1)</w:t>
            </w:r>
          </w:p>
        </w:tc>
        <w:tc>
          <w:tcPr>
            <w:tcW w:w="1020" w:type="dxa"/>
            <w:vAlign w:val="bottom"/>
            <w:shd w:val="clear" w:color="auto" w:fill="CCEEFF"/>
          </w:tcPr>
          <w:p>
            <w:pPr>
              <w:jc w:val="right"/>
              <w:ind w:right="880"/>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240</w:t>
            </w:r>
          </w:p>
        </w:tc>
      </w:tr>
      <w:tr>
        <w:trPr>
          <w:trHeight w:val="153"/>
        </w:trPr>
        <w:tc>
          <w:tcPr>
            <w:tcW w:w="9060" w:type="dxa"/>
            <w:vAlign w:val="bottom"/>
          </w:tcPr>
          <w:p>
            <w:pPr>
              <w:spacing w:after="0"/>
              <w:rPr>
                <w:sz w:val="20"/>
                <w:szCs w:val="20"/>
                <w:color w:val="auto"/>
              </w:rPr>
            </w:pPr>
            <w:r>
              <w:rPr>
                <w:rFonts w:ascii="Arial" w:cs="Arial" w:eastAsia="Arial" w:hAnsi="Arial"/>
                <w:sz w:val="12"/>
                <w:szCs w:val="12"/>
                <w:color w:val="auto"/>
              </w:rPr>
              <w:t>Inventory</w:t>
            </w:r>
          </w:p>
        </w:tc>
        <w:tc>
          <w:tcPr>
            <w:tcW w:w="10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83</w:t>
            </w:r>
          </w:p>
        </w:tc>
      </w:tr>
      <w:tr>
        <w:trPr>
          <w:trHeight w:val="153"/>
        </w:trPr>
        <w:tc>
          <w:tcPr>
            <w:tcW w:w="9060" w:type="dxa"/>
            <w:vAlign w:val="bottom"/>
            <w:shd w:val="clear" w:color="auto" w:fill="CCEEFF"/>
          </w:tcPr>
          <w:p>
            <w:pPr>
              <w:spacing w:after="0"/>
              <w:rPr>
                <w:sz w:val="20"/>
                <w:szCs w:val="20"/>
                <w:color w:val="auto"/>
              </w:rPr>
            </w:pPr>
            <w:r>
              <w:rPr>
                <w:rFonts w:ascii="Arial" w:cs="Arial" w:eastAsia="Arial" w:hAnsi="Arial"/>
                <w:sz w:val="12"/>
                <w:szCs w:val="12"/>
                <w:color w:val="auto"/>
              </w:rPr>
              <w:t>Property and equipment</w:t>
            </w:r>
          </w:p>
        </w:tc>
        <w:tc>
          <w:tcPr>
            <w:tcW w:w="102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151</w:t>
            </w:r>
          </w:p>
        </w:tc>
      </w:tr>
      <w:tr>
        <w:trPr>
          <w:trHeight w:val="153"/>
        </w:trPr>
        <w:tc>
          <w:tcPr>
            <w:tcW w:w="9060" w:type="dxa"/>
            <w:vAlign w:val="bottom"/>
          </w:tcPr>
          <w:p>
            <w:pPr>
              <w:spacing w:after="0"/>
              <w:rPr>
                <w:sz w:val="20"/>
                <w:szCs w:val="20"/>
                <w:color w:val="auto"/>
              </w:rPr>
            </w:pPr>
            <w:r>
              <w:rPr>
                <w:rFonts w:ascii="Arial" w:cs="Arial" w:eastAsia="Arial" w:hAnsi="Arial"/>
                <w:sz w:val="12"/>
                <w:szCs w:val="12"/>
                <w:color w:val="auto"/>
              </w:rPr>
              <w:t>Intangible assets</w:t>
            </w:r>
            <w:r>
              <w:rPr>
                <w:rFonts w:ascii="Arial" w:cs="Arial" w:eastAsia="Arial" w:hAnsi="Arial"/>
                <w:sz w:val="6"/>
                <w:szCs w:val="6"/>
                <w:color w:val="auto"/>
              </w:rPr>
              <w:t>(2)</w:t>
            </w:r>
          </w:p>
        </w:tc>
        <w:tc>
          <w:tcPr>
            <w:tcW w:w="10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94</w:t>
            </w:r>
          </w:p>
        </w:tc>
      </w:tr>
      <w:tr>
        <w:trPr>
          <w:trHeight w:val="153"/>
        </w:trPr>
        <w:tc>
          <w:tcPr>
            <w:tcW w:w="9060" w:type="dxa"/>
            <w:vAlign w:val="bottom"/>
            <w:shd w:val="clear" w:color="auto" w:fill="CCEEFF"/>
          </w:tcPr>
          <w:p>
            <w:pPr>
              <w:spacing w:after="0"/>
              <w:rPr>
                <w:sz w:val="20"/>
                <w:szCs w:val="20"/>
                <w:color w:val="auto"/>
              </w:rPr>
            </w:pPr>
            <w:r>
              <w:rPr>
                <w:rFonts w:ascii="Arial" w:cs="Arial" w:eastAsia="Arial" w:hAnsi="Arial"/>
                <w:sz w:val="12"/>
                <w:szCs w:val="12"/>
                <w:color w:val="auto"/>
              </w:rPr>
              <w:t>Other assets</w:t>
            </w:r>
          </w:p>
        </w:tc>
        <w:tc>
          <w:tcPr>
            <w:tcW w:w="102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w:t>
            </w:r>
          </w:p>
        </w:tc>
      </w:tr>
      <w:tr>
        <w:trPr>
          <w:trHeight w:val="153"/>
        </w:trPr>
        <w:tc>
          <w:tcPr>
            <w:tcW w:w="9060" w:type="dxa"/>
            <w:vAlign w:val="bottom"/>
          </w:tcPr>
          <w:p>
            <w:pPr>
              <w:spacing w:after="0"/>
              <w:rPr>
                <w:sz w:val="20"/>
                <w:szCs w:val="20"/>
                <w:color w:val="auto"/>
              </w:rPr>
            </w:pPr>
            <w:r>
              <w:rPr>
                <w:rFonts w:ascii="Arial" w:cs="Arial" w:eastAsia="Arial" w:hAnsi="Arial"/>
                <w:sz w:val="12"/>
                <w:szCs w:val="12"/>
                <w:color w:val="auto"/>
              </w:rPr>
              <w:t>Deferred taxes</w:t>
            </w:r>
          </w:p>
        </w:tc>
        <w:tc>
          <w:tcPr>
            <w:tcW w:w="10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(41)</w:t>
            </w:r>
          </w:p>
        </w:tc>
      </w:tr>
      <w:tr>
        <w:trPr>
          <w:trHeight w:val="153"/>
        </w:trPr>
        <w:tc>
          <w:tcPr>
            <w:tcW w:w="9060" w:type="dxa"/>
            <w:vAlign w:val="bottom"/>
            <w:shd w:val="clear" w:color="auto" w:fill="CCEEFF"/>
          </w:tcPr>
          <w:p>
            <w:pPr>
              <w:spacing w:after="0"/>
              <w:rPr>
                <w:sz w:val="20"/>
                <w:szCs w:val="20"/>
                <w:color w:val="auto"/>
              </w:rPr>
            </w:pPr>
            <w:r>
              <w:rPr>
                <w:rFonts w:ascii="Arial" w:cs="Arial" w:eastAsia="Arial" w:hAnsi="Arial"/>
                <w:sz w:val="12"/>
                <w:szCs w:val="12"/>
                <w:color w:val="auto"/>
              </w:rPr>
              <w:t>Debt</w:t>
            </w:r>
          </w:p>
        </w:tc>
        <w:tc>
          <w:tcPr>
            <w:tcW w:w="102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(189)</w:t>
            </w:r>
          </w:p>
        </w:tc>
      </w:tr>
      <w:tr>
        <w:trPr>
          <w:trHeight w:val="153"/>
        </w:trPr>
        <w:tc>
          <w:tcPr>
            <w:tcW w:w="9060" w:type="dxa"/>
            <w:vAlign w:val="bottom"/>
          </w:tcPr>
          <w:p>
            <w:pPr>
              <w:spacing w:after="0"/>
              <w:rPr>
                <w:sz w:val="20"/>
                <w:szCs w:val="20"/>
                <w:color w:val="auto"/>
              </w:rPr>
            </w:pPr>
            <w:r>
              <w:rPr>
                <w:rFonts w:ascii="Arial" w:cs="Arial" w:eastAsia="Arial" w:hAnsi="Arial"/>
                <w:sz w:val="12"/>
                <w:szCs w:val="12"/>
                <w:color w:val="auto"/>
              </w:rPr>
              <w:t>Securitized debt</w:t>
            </w:r>
          </w:p>
        </w:tc>
        <w:tc>
          <w:tcPr>
            <w:tcW w:w="10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(184)</w:t>
            </w:r>
          </w:p>
        </w:tc>
      </w:tr>
      <w:tr>
        <w:trPr>
          <w:trHeight w:val="153"/>
        </w:trPr>
        <w:tc>
          <w:tcPr>
            <w:tcW w:w="9060" w:type="dxa"/>
            <w:vAlign w:val="bottom"/>
            <w:shd w:val="clear" w:color="auto" w:fill="CCEEFF"/>
          </w:tcPr>
          <w:p>
            <w:pPr>
              <w:spacing w:after="0"/>
              <w:rPr>
                <w:sz w:val="20"/>
                <w:szCs w:val="20"/>
                <w:color w:val="auto"/>
              </w:rPr>
            </w:pPr>
            <w:r>
              <w:rPr>
                <w:rFonts w:ascii="Arial" w:cs="Arial" w:eastAsia="Arial" w:hAnsi="Arial"/>
                <w:sz w:val="12"/>
                <w:szCs w:val="12"/>
                <w:color w:val="auto"/>
              </w:rPr>
              <w:t>Other liabilities</w:t>
            </w:r>
          </w:p>
        </w:tc>
        <w:tc>
          <w:tcPr>
            <w:tcW w:w="102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(67)</w:t>
            </w:r>
          </w:p>
        </w:tc>
      </w:tr>
      <w:tr>
        <w:trPr>
          <w:trHeight w:val="142"/>
        </w:trPr>
        <w:tc>
          <w:tcPr>
            <w:tcW w:w="9060" w:type="dxa"/>
            <w:vAlign w:val="bottom"/>
          </w:tcPr>
          <w:p>
            <w:pPr>
              <w:ind w:left="140"/>
              <w:spacing w:after="0"/>
              <w:rPr>
                <w:sz w:val="20"/>
                <w:szCs w:val="20"/>
                <w:color w:val="auto"/>
              </w:rPr>
            </w:pPr>
            <w:r>
              <w:rPr>
                <w:rFonts w:ascii="Arial" w:cs="Arial" w:eastAsia="Arial" w:hAnsi="Arial"/>
                <w:sz w:val="12"/>
                <w:szCs w:val="12"/>
                <w:color w:val="auto"/>
              </w:rPr>
              <w:t>Net assets acquired</w:t>
            </w:r>
          </w:p>
        </w:tc>
        <w:tc>
          <w:tcPr>
            <w:tcW w:w="102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106</w:t>
            </w:r>
          </w:p>
        </w:tc>
      </w:tr>
      <w:tr>
        <w:trPr>
          <w:trHeight w:val="153"/>
        </w:trPr>
        <w:tc>
          <w:tcPr>
            <w:tcW w:w="9060" w:type="dxa"/>
            <w:vAlign w:val="bottom"/>
            <w:shd w:val="clear" w:color="auto" w:fill="CCEEFF"/>
          </w:tcPr>
          <w:p>
            <w:pPr>
              <w:spacing w:after="0"/>
              <w:rPr>
                <w:sz w:val="20"/>
                <w:szCs w:val="20"/>
                <w:color w:val="auto"/>
              </w:rPr>
            </w:pPr>
            <w:r>
              <w:rPr>
                <w:rFonts w:ascii="Arial" w:cs="Arial" w:eastAsia="Arial" w:hAnsi="Arial"/>
                <w:sz w:val="12"/>
                <w:szCs w:val="12"/>
                <w:color w:val="auto"/>
              </w:rPr>
              <w:t>Goodwill</w:t>
            </w:r>
            <w:r>
              <w:rPr>
                <w:rFonts w:ascii="Arial" w:cs="Arial" w:eastAsia="Arial" w:hAnsi="Arial"/>
                <w:sz w:val="6"/>
                <w:szCs w:val="6"/>
                <w:color w:val="auto"/>
              </w:rPr>
              <w:t>(3)</w:t>
            </w:r>
          </w:p>
        </w:tc>
        <w:tc>
          <w:tcPr>
            <w:tcW w:w="102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299</w:t>
            </w:r>
          </w:p>
        </w:tc>
      </w:tr>
      <w:tr>
        <w:trPr>
          <w:trHeight w:val="142"/>
        </w:trPr>
        <w:tc>
          <w:tcPr>
            <w:tcW w:w="9060" w:type="dxa"/>
            <w:vAlign w:val="bottom"/>
          </w:tcPr>
          <w:p>
            <w:pPr>
              <w:spacing w:after="0"/>
              <w:rPr>
                <w:sz w:val="12"/>
                <w:szCs w:val="12"/>
                <w:color w:val="auto"/>
              </w:rPr>
            </w:pPr>
          </w:p>
        </w:tc>
        <w:tc>
          <w:tcPr>
            <w:tcW w:w="1020" w:type="dxa"/>
            <w:vAlign w:val="bottom"/>
            <w:tcBorders>
              <w:bottom w:val="single" w:sz="8" w:color="auto"/>
            </w:tcBorders>
          </w:tcPr>
          <w:p>
            <w:pPr>
              <w:jc w:val="right"/>
              <w:ind w:right="880"/>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405</w:t>
            </w:r>
          </w:p>
        </w:tc>
      </w:tr>
      <w:tr>
        <w:trPr>
          <w:trHeight w:val="20"/>
        </w:trPr>
        <w:tc>
          <w:tcPr>
            <w:tcW w:w="90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54" w:lineRule="exact"/>
        <w:rPr>
          <w:sz w:val="20"/>
          <w:szCs w:val="20"/>
          <w:color w:val="auto"/>
        </w:rPr>
      </w:pPr>
    </w:p>
    <w:p>
      <w:pPr>
        <w:ind w:left="8"/>
        <w:spacing w:after="0"/>
        <w:rPr>
          <w:sz w:val="20"/>
          <w:szCs w:val="20"/>
          <w:color w:val="auto"/>
        </w:rPr>
      </w:pPr>
      <w:r>
        <w:rPr>
          <w:rFonts w:ascii="Arial" w:cs="Arial" w:eastAsia="Arial" w:hAnsi="Arial"/>
          <w:sz w:val="12"/>
          <w:szCs w:val="12"/>
          <w:color w:val="auto"/>
        </w:rPr>
        <w:t>_________________________</w:t>
      </w:r>
    </w:p>
    <w:p>
      <w:pPr>
        <w:spacing w:after="0" w:line="34" w:lineRule="exact"/>
        <w:rPr>
          <w:sz w:val="20"/>
          <w:szCs w:val="20"/>
          <w:color w:val="auto"/>
        </w:rPr>
      </w:pPr>
    </w:p>
    <w:p>
      <w:pPr>
        <w:ind w:left="428" w:hanging="428"/>
        <w:spacing w:after="0"/>
        <w:tabs>
          <w:tab w:leader="none" w:pos="428" w:val="left"/>
        </w:tabs>
        <w:numPr>
          <w:ilvl w:val="0"/>
          <w:numId w:val="7"/>
        </w:numPr>
        <w:rPr>
          <w:rFonts w:ascii="Arial" w:cs="Arial" w:eastAsia="Arial" w:hAnsi="Arial"/>
          <w:sz w:val="14"/>
          <w:szCs w:val="14"/>
          <w:color w:val="auto"/>
          <w:vertAlign w:val="superscript"/>
        </w:rPr>
      </w:pPr>
      <w:r>
        <w:rPr>
          <w:rFonts w:ascii="Arial" w:cs="Arial" w:eastAsia="Arial" w:hAnsi="Arial"/>
          <w:sz w:val="11"/>
          <w:szCs w:val="11"/>
          <w:color w:val="auto"/>
        </w:rPr>
        <w:t>Vacation ownership notes receivable, net have been determined to constitute purchased credit deteriorated assets under the provisions of ASC Topic 326, “</w:t>
      </w:r>
      <w:r>
        <w:rPr>
          <w:rFonts w:ascii="Arial" w:cs="Arial" w:eastAsia="Arial" w:hAnsi="Arial"/>
          <w:sz w:val="11"/>
          <w:szCs w:val="11"/>
          <w:i w:val="1"/>
          <w:iCs w:val="1"/>
          <w:color w:val="auto"/>
        </w:rPr>
        <w:t>Financial Instruments - Credit Losses</w:t>
      </w:r>
      <w:r>
        <w:rPr>
          <w:rFonts w:ascii="Arial" w:cs="Arial" w:eastAsia="Arial" w:hAnsi="Arial"/>
          <w:sz w:val="11"/>
          <w:szCs w:val="11"/>
          <w:color w:val="auto"/>
        </w:rPr>
        <w:t>,” due to the impact of the</w:t>
      </w:r>
    </w:p>
    <w:p>
      <w:pPr>
        <w:spacing w:after="0" w:line="1" w:lineRule="exact"/>
        <w:rPr>
          <w:sz w:val="20"/>
          <w:szCs w:val="20"/>
          <w:color w:val="auto"/>
        </w:rPr>
      </w:pPr>
    </w:p>
    <w:p>
      <w:pPr>
        <w:ind w:left="428"/>
        <w:spacing w:after="0"/>
        <w:rPr>
          <w:sz w:val="20"/>
          <w:szCs w:val="20"/>
          <w:color w:val="auto"/>
        </w:rPr>
      </w:pPr>
      <w:r>
        <w:rPr>
          <w:rFonts w:ascii="Arial" w:cs="Arial" w:eastAsia="Arial" w:hAnsi="Arial"/>
          <w:sz w:val="12"/>
          <w:szCs w:val="12"/>
          <w:color w:val="auto"/>
        </w:rPr>
        <w:t>COVID-19 pandemic on Welk and the greater vacation ownership industry as a whole, and have been accounted for as such.</w:t>
      </w:r>
    </w:p>
    <w:p>
      <w:pPr>
        <w:spacing w:after="0" w:line="19" w:lineRule="exact"/>
        <w:rPr>
          <w:sz w:val="20"/>
          <w:szCs w:val="20"/>
          <w:color w:val="auto"/>
        </w:rPr>
      </w:pPr>
    </w:p>
    <w:tbl>
      <w:tblPr>
        <w:tblLayout w:type="fixed"/>
        <w:tblInd w:w="428" w:type="dxa"/>
        <w:tblCellMar>
          <w:top w:w="0" w:type="dxa"/>
          <w:left w:w="0" w:type="dxa"/>
          <w:bottom w:w="0" w:type="dxa"/>
          <w:right w:w="0" w:type="dxa"/>
        </w:tblCellMar>
      </w:tblPr>
      <w:tr>
        <w:trPr>
          <w:trHeight w:val="125"/>
        </w:trPr>
        <w:tc>
          <w:tcPr>
            <w:tcW w:w="7940" w:type="dxa"/>
            <w:vAlign w:val="bottom"/>
          </w:tcPr>
          <w:p>
            <w:pPr>
              <w:ind w:left="20"/>
              <w:spacing w:after="0"/>
              <w:rPr>
                <w:sz w:val="20"/>
                <w:szCs w:val="20"/>
                <w:color w:val="auto"/>
              </w:rPr>
            </w:pPr>
            <w:r>
              <w:rPr>
                <w:rFonts w:ascii="Arial" w:cs="Arial" w:eastAsia="Arial" w:hAnsi="Arial"/>
                <w:sz w:val="10"/>
                <w:szCs w:val="10"/>
                <w:b w:val="1"/>
                <w:bCs w:val="1"/>
                <w:i w:val="1"/>
                <w:iCs w:val="1"/>
                <w:color w:val="auto"/>
              </w:rPr>
              <w:t>($ in millions)</w:t>
            </w:r>
          </w:p>
        </w:tc>
        <w:tc>
          <w:tcPr>
            <w:tcW w:w="1000" w:type="dxa"/>
            <w:vAlign w:val="bottom"/>
          </w:tcPr>
          <w:p>
            <w:pPr>
              <w:spacing w:after="0"/>
              <w:rPr>
                <w:sz w:val="10"/>
                <w:szCs w:val="10"/>
                <w:color w:val="auto"/>
              </w:rPr>
            </w:pPr>
          </w:p>
        </w:tc>
        <w:tc>
          <w:tcPr>
            <w:tcW w:w="1160" w:type="dxa"/>
            <w:vAlign w:val="bottom"/>
          </w:tcPr>
          <w:p>
            <w:pPr>
              <w:spacing w:after="0"/>
              <w:rPr>
                <w:sz w:val="10"/>
                <w:szCs w:val="10"/>
                <w:color w:val="auto"/>
              </w:rPr>
            </w:pPr>
          </w:p>
        </w:tc>
      </w:tr>
      <w:tr>
        <w:trPr>
          <w:trHeight w:val="157"/>
        </w:trPr>
        <w:tc>
          <w:tcPr>
            <w:tcW w:w="7940" w:type="dxa"/>
            <w:vAlign w:val="bottom"/>
            <w:shd w:val="clear" w:color="auto" w:fill="CCEEFF"/>
          </w:tcPr>
          <w:p>
            <w:pPr>
              <w:ind w:left="20"/>
              <w:spacing w:after="0"/>
              <w:rPr>
                <w:sz w:val="20"/>
                <w:szCs w:val="20"/>
                <w:color w:val="auto"/>
              </w:rPr>
            </w:pPr>
            <w:r>
              <w:rPr>
                <w:rFonts w:ascii="Arial" w:cs="Arial" w:eastAsia="Arial" w:hAnsi="Arial"/>
                <w:sz w:val="12"/>
                <w:szCs w:val="12"/>
                <w:color w:val="auto"/>
              </w:rPr>
              <w:t>Vacation ownership notes receivable</w:t>
            </w:r>
          </w:p>
        </w:tc>
        <w:tc>
          <w:tcPr>
            <w:tcW w:w="1000" w:type="dxa"/>
            <w:vAlign w:val="bottom"/>
            <w:shd w:val="clear" w:color="auto" w:fill="CCEEFF"/>
          </w:tcPr>
          <w:p>
            <w:pPr>
              <w:jc w:val="right"/>
              <w:ind w:right="860"/>
              <w:spacing w:after="0"/>
              <w:rPr>
                <w:sz w:val="20"/>
                <w:szCs w:val="20"/>
                <w:color w:val="auto"/>
              </w:rPr>
            </w:pPr>
            <w:r>
              <w:rPr>
                <w:rFonts w:ascii="Arial" w:cs="Arial" w:eastAsia="Arial" w:hAnsi="Arial"/>
                <w:sz w:val="12"/>
                <w:szCs w:val="12"/>
                <w:color w:val="auto"/>
                <w:w w:val="89"/>
              </w:rPr>
              <w:t>$</w:t>
            </w:r>
          </w:p>
        </w:tc>
        <w:tc>
          <w:tcPr>
            <w:tcW w:w="1160" w:type="dxa"/>
            <w:vAlign w:val="bottom"/>
            <w:shd w:val="clear" w:color="auto" w:fill="CCEEFF"/>
          </w:tcPr>
          <w:p>
            <w:pPr>
              <w:ind w:left="920"/>
              <w:spacing w:after="0"/>
              <w:rPr>
                <w:sz w:val="20"/>
                <w:szCs w:val="20"/>
                <w:color w:val="auto"/>
              </w:rPr>
            </w:pPr>
            <w:r>
              <w:rPr>
                <w:rFonts w:ascii="Arial" w:cs="Arial" w:eastAsia="Arial" w:hAnsi="Arial"/>
                <w:sz w:val="12"/>
                <w:szCs w:val="12"/>
                <w:color w:val="auto"/>
              </w:rPr>
              <w:t>291</w:t>
            </w:r>
          </w:p>
        </w:tc>
      </w:tr>
      <w:tr>
        <w:trPr>
          <w:trHeight w:val="153"/>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Allowance for credit losses</w:t>
            </w:r>
          </w:p>
        </w:tc>
        <w:tc>
          <w:tcPr>
            <w:tcW w:w="10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ind w:left="940"/>
              <w:spacing w:after="0"/>
              <w:rPr>
                <w:sz w:val="20"/>
                <w:szCs w:val="20"/>
                <w:color w:val="auto"/>
              </w:rPr>
            </w:pPr>
            <w:r>
              <w:rPr>
                <w:rFonts w:ascii="Arial" w:cs="Arial" w:eastAsia="Arial" w:hAnsi="Arial"/>
                <w:sz w:val="12"/>
                <w:szCs w:val="12"/>
                <w:color w:val="auto"/>
                <w:w w:val="93"/>
              </w:rPr>
              <w:t>(51)</w:t>
            </w:r>
          </w:p>
        </w:tc>
      </w:tr>
      <w:tr>
        <w:trPr>
          <w:trHeight w:val="158"/>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Vacation ownership notes receivable, net</w:t>
            </w:r>
          </w:p>
        </w:tc>
        <w:tc>
          <w:tcPr>
            <w:tcW w:w="1000" w:type="dxa"/>
            <w:vAlign w:val="bottom"/>
            <w:tcBorders>
              <w:bottom w:val="single" w:sz="8" w:color="auto"/>
            </w:tcBorders>
            <w:shd w:val="clear" w:color="auto" w:fill="CCEEFF"/>
          </w:tcPr>
          <w:p>
            <w:pPr>
              <w:jc w:val="right"/>
              <w:ind w:right="860"/>
              <w:spacing w:after="0"/>
              <w:rPr>
                <w:sz w:val="20"/>
                <w:szCs w:val="20"/>
                <w:color w:val="auto"/>
              </w:rPr>
            </w:pPr>
            <w:r>
              <w:rPr>
                <w:rFonts w:ascii="Arial" w:cs="Arial" w:eastAsia="Arial" w:hAnsi="Arial"/>
                <w:sz w:val="12"/>
                <w:szCs w:val="12"/>
                <w:color w:val="auto"/>
                <w:w w:val="89"/>
              </w:rPr>
              <w:t>$</w:t>
            </w:r>
          </w:p>
        </w:tc>
        <w:tc>
          <w:tcPr>
            <w:tcW w:w="116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2"/>
                <w:szCs w:val="12"/>
                <w:color w:val="auto"/>
              </w:rPr>
              <w:t>240</w:t>
            </w:r>
          </w:p>
        </w:tc>
      </w:tr>
    </w:tbl>
    <w:p>
      <w:pPr>
        <w:spacing w:after="0" w:line="50" w:lineRule="exact"/>
        <w:rPr>
          <w:sz w:val="20"/>
          <w:szCs w:val="20"/>
          <w:color w:val="auto"/>
        </w:rPr>
      </w:pPr>
    </w:p>
    <w:p>
      <w:pPr>
        <w:ind w:left="428" w:hanging="428"/>
        <w:spacing w:after="0"/>
        <w:tabs>
          <w:tab w:leader="none" w:pos="428" w:val="left"/>
        </w:tabs>
        <w:numPr>
          <w:ilvl w:val="0"/>
          <w:numId w:val="8"/>
        </w:numPr>
        <w:rPr>
          <w:rFonts w:ascii="Arial" w:cs="Arial" w:eastAsia="Arial" w:hAnsi="Arial"/>
          <w:sz w:val="16"/>
          <w:szCs w:val="16"/>
          <w:color w:val="auto"/>
          <w:vertAlign w:val="superscript"/>
        </w:rPr>
      </w:pPr>
      <w:r>
        <w:rPr>
          <w:rFonts w:ascii="Arial" w:cs="Arial" w:eastAsia="Arial" w:hAnsi="Arial"/>
          <w:sz w:val="12"/>
          <w:szCs w:val="12"/>
          <w:color w:val="auto"/>
        </w:rPr>
        <w:t>Intangible assets consist of management contracts with an estimated 20 year useful life.</w:t>
      </w:r>
    </w:p>
    <w:p>
      <w:pPr>
        <w:spacing w:after="0" w:line="37" w:lineRule="exact"/>
        <w:rPr>
          <w:rFonts w:ascii="Arial" w:cs="Arial" w:eastAsia="Arial" w:hAnsi="Arial"/>
          <w:sz w:val="16"/>
          <w:szCs w:val="16"/>
          <w:color w:val="auto"/>
          <w:vertAlign w:val="superscript"/>
        </w:rPr>
      </w:pPr>
    </w:p>
    <w:p>
      <w:pPr>
        <w:ind w:left="428" w:right="60" w:hanging="428"/>
        <w:spacing w:after="0" w:line="213" w:lineRule="auto"/>
        <w:tabs>
          <w:tab w:leader="none" w:pos="420" w:val="left"/>
        </w:tabs>
        <w:numPr>
          <w:ilvl w:val="0"/>
          <w:numId w:val="8"/>
        </w:numPr>
        <w:rPr>
          <w:rFonts w:ascii="Arial" w:cs="Arial" w:eastAsia="Arial" w:hAnsi="Arial"/>
          <w:sz w:val="16"/>
          <w:szCs w:val="16"/>
          <w:color w:val="auto"/>
          <w:vertAlign w:val="superscript"/>
        </w:rPr>
      </w:pPr>
      <w:r>
        <w:rPr>
          <w:rFonts w:ascii="Arial" w:cs="Arial" w:eastAsia="Arial" w:hAnsi="Arial"/>
          <w:sz w:val="12"/>
          <w:szCs w:val="12"/>
          <w:color w:val="auto"/>
        </w:rPr>
        <w:t>Goodwill is calculated as total consideration transferred, net of cash acquired, less identified net assets acquired and it represents the value that we expect to obtain from growth opportunities from our combined operations, and is not deductible for tax purposes. See Footnote 10 “Goodwill and Intangibles” for additional information on our goodwill.</w:t>
      </w:r>
    </w:p>
    <w:p>
      <w:pPr>
        <w:spacing w:after="0" w:line="136" w:lineRule="exact"/>
        <w:rPr>
          <w:rFonts w:ascii="Arial" w:cs="Arial" w:eastAsia="Arial" w:hAnsi="Arial"/>
          <w:sz w:val="16"/>
          <w:szCs w:val="16"/>
          <w:color w:val="auto"/>
          <w:vertAlign w:val="superscript"/>
        </w:rPr>
      </w:pPr>
    </w:p>
    <w:p>
      <w:pPr>
        <w:ind w:left="428"/>
        <w:spacing w:after="0"/>
        <w:rPr>
          <w:rFonts w:ascii="Arial" w:cs="Arial" w:eastAsia="Arial" w:hAnsi="Arial"/>
          <w:sz w:val="16"/>
          <w:szCs w:val="16"/>
          <w:color w:val="auto"/>
          <w:vertAlign w:val="superscript"/>
        </w:rPr>
      </w:pPr>
      <w:r>
        <w:rPr>
          <w:rFonts w:ascii="Arial" w:cs="Arial" w:eastAsia="Arial" w:hAnsi="Arial"/>
          <w:sz w:val="12"/>
          <w:szCs w:val="12"/>
          <w:i w:val="1"/>
          <w:iCs w:val="1"/>
          <w:color w:val="auto"/>
        </w:rPr>
        <w:t>Pro Forma Results of Operations</w:t>
      </w:r>
    </w:p>
    <w:p>
      <w:pPr>
        <w:spacing w:after="0" w:line="78" w:lineRule="exact"/>
        <w:rPr>
          <w:sz w:val="20"/>
          <w:szCs w:val="20"/>
          <w:color w:val="auto"/>
        </w:rPr>
      </w:pPr>
    </w:p>
    <w:p>
      <w:pPr>
        <w:ind w:left="8" w:right="20" w:firstLine="432"/>
        <w:spacing w:after="0" w:line="259" w:lineRule="auto"/>
        <w:rPr>
          <w:sz w:val="20"/>
          <w:szCs w:val="20"/>
          <w:color w:val="auto"/>
        </w:rPr>
      </w:pPr>
      <w:r>
        <w:rPr>
          <w:rFonts w:ascii="Arial" w:cs="Arial" w:eastAsia="Arial" w:hAnsi="Arial"/>
          <w:sz w:val="12"/>
          <w:szCs w:val="12"/>
          <w:color w:val="auto"/>
        </w:rPr>
        <w:t>The following unaudited pro forma information presents the combined results of operations of Marriott Vacations Worldwide and Welk as if we had completed the Welk Acquisition on December 31, 2019, the last day of our 2019 fiscal year, but using our preliminary estimates of the fair values of assets and liabilities as of the Welk Acquisition Date. As required by GAAP, these unaudited pro forma results do not reflect any synergies from operating efficiencies. Accordingly, these unaudited pro forma results are presented for informational purposes only and are not necessarily indicative of what the actual results of operations of the combined company would have been if the Welk Acquisition had occurred at the beginning of the period presented, nor are they indicative of future results of operations.</w:t>
      </w:r>
    </w:p>
    <w:p>
      <w:pPr>
        <w:spacing w:after="0" w:line="115" w:lineRule="exact"/>
        <w:rPr>
          <w:sz w:val="20"/>
          <w:szCs w:val="20"/>
          <w:color w:val="auto"/>
        </w:rPr>
      </w:pPr>
    </w:p>
    <w:p>
      <w:pPr>
        <w:jc w:val="center"/>
        <w:ind w:left="420"/>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191135</wp:posOffset>
            </wp:positionV>
            <wp:extent cx="7203440"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03" w:right="299" w:bottom="1440" w:gutter="0" w:footer="0" w:header="0"/>
        </w:sectPr>
      </w:pPr>
    </w:p>
    <w:bookmarkStart w:id="12" w:name="page13"/>
    <w:bookmarkEnd w:id="12"/>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4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There were no Welk acquisition-related costs included in the unaudited pro forma results below for the six months ended June 30, 2021, and $17 million included for the six months ended June 30, 2020.</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74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4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2"/>
                <w:szCs w:val="12"/>
                <w:b w:val="1"/>
                <w:bCs w:val="1"/>
                <w:color w:val="auto"/>
              </w:rPr>
              <w:t>Six Months Ended</w:t>
            </w:r>
          </w:p>
        </w:tc>
        <w:tc>
          <w:tcPr>
            <w:tcW w:w="15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r>
      <w:tr>
        <w:trPr>
          <w:trHeight w:val="142"/>
        </w:trPr>
        <w:tc>
          <w:tcPr>
            <w:tcW w:w="6740" w:type="dxa"/>
            <w:vAlign w:val="bottom"/>
          </w:tcPr>
          <w:p>
            <w:pPr>
              <w:spacing w:after="0"/>
              <w:rPr>
                <w:sz w:val="20"/>
                <w:szCs w:val="20"/>
                <w:color w:val="auto"/>
              </w:rPr>
            </w:pPr>
            <w:r>
              <w:rPr>
                <w:rFonts w:ascii="Arial" w:cs="Arial" w:eastAsia="Arial" w:hAnsi="Arial"/>
                <w:sz w:val="10"/>
                <w:szCs w:val="10"/>
                <w:b w:val="1"/>
                <w:bCs w:val="1"/>
                <w:i w:val="1"/>
                <w:iCs w:val="1"/>
                <w:color w:val="auto"/>
              </w:rPr>
              <w:t>($ in millions, except per share data)</w:t>
            </w:r>
          </w:p>
        </w:tc>
        <w:tc>
          <w:tcPr>
            <w:tcW w:w="420" w:type="dxa"/>
            <w:vAlign w:val="bottom"/>
          </w:tcPr>
          <w:p>
            <w:pPr>
              <w:spacing w:after="0"/>
              <w:rPr>
                <w:sz w:val="12"/>
                <w:szCs w:val="12"/>
                <w:color w:val="auto"/>
              </w:rPr>
            </w:pPr>
          </w:p>
        </w:tc>
        <w:tc>
          <w:tcPr>
            <w:tcW w:w="1900" w:type="dxa"/>
            <w:vAlign w:val="bottom"/>
            <w:gridSpan w:val="3"/>
          </w:tcPr>
          <w:p>
            <w:pPr>
              <w:jc w:val="right"/>
              <w:ind w:right="860"/>
              <w:spacing w:after="0"/>
              <w:rPr>
                <w:sz w:val="20"/>
                <w:szCs w:val="20"/>
                <w:color w:val="auto"/>
              </w:rPr>
            </w:pPr>
            <w:r>
              <w:rPr>
                <w:rFonts w:ascii="Arial" w:cs="Arial" w:eastAsia="Arial" w:hAnsi="Arial"/>
                <w:sz w:val="12"/>
                <w:szCs w:val="12"/>
                <w:b w:val="1"/>
                <w:bCs w:val="1"/>
                <w:color w:val="auto"/>
              </w:rPr>
              <w:t>June 30, 2021</w:t>
            </w:r>
          </w:p>
        </w:tc>
        <w:tc>
          <w:tcPr>
            <w:tcW w:w="540" w:type="dxa"/>
            <w:vAlign w:val="bottom"/>
          </w:tcPr>
          <w:p>
            <w:pPr>
              <w:spacing w:after="0"/>
              <w:rPr>
                <w:sz w:val="12"/>
                <w:szCs w:val="12"/>
                <w:color w:val="auto"/>
              </w:rPr>
            </w:pPr>
          </w:p>
        </w:tc>
        <w:tc>
          <w:tcPr>
            <w:tcW w:w="1700" w:type="dxa"/>
            <w:vAlign w:val="bottom"/>
            <w:gridSpan w:val="2"/>
          </w:tcPr>
          <w:p>
            <w:pPr>
              <w:jc w:val="right"/>
              <w:ind w:right="780"/>
              <w:spacing w:after="0"/>
              <w:rPr>
                <w:sz w:val="20"/>
                <w:szCs w:val="20"/>
                <w:color w:val="auto"/>
              </w:rPr>
            </w:pPr>
            <w:r>
              <w:rPr>
                <w:rFonts w:ascii="Arial" w:cs="Arial" w:eastAsia="Arial" w:hAnsi="Arial"/>
                <w:sz w:val="12"/>
                <w:szCs w:val="12"/>
                <w:b w:val="1"/>
                <w:bCs w:val="1"/>
                <w:color w:val="auto"/>
              </w:rPr>
              <w:t>June 30, 2020</w:t>
            </w:r>
          </w:p>
        </w:tc>
      </w:tr>
      <w:tr>
        <w:trPr>
          <w:trHeight w:val="142"/>
        </w:trPr>
        <w:tc>
          <w:tcPr>
            <w:tcW w:w="674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Revenues</w:t>
            </w:r>
          </w:p>
        </w:tc>
        <w:tc>
          <w:tcPr>
            <w:tcW w:w="420" w:type="dxa"/>
            <w:vAlign w:val="bottom"/>
            <w:tcBorders>
              <w:top w:val="single" w:sz="8" w:color="auto"/>
            </w:tcBorders>
            <w:shd w:val="clear" w:color="auto" w:fill="CCEEFF"/>
          </w:tcPr>
          <w:p>
            <w:pPr>
              <w:jc w:val="right"/>
              <w:ind w:right="280"/>
              <w:spacing w:after="0"/>
              <w:rPr>
                <w:sz w:val="20"/>
                <w:szCs w:val="20"/>
                <w:color w:val="auto"/>
              </w:rPr>
            </w:pPr>
            <w:r>
              <w:rPr>
                <w:rFonts w:ascii="Arial" w:cs="Arial" w:eastAsia="Arial" w:hAnsi="Arial"/>
                <w:sz w:val="12"/>
                <w:szCs w:val="12"/>
                <w:color w:val="auto"/>
                <w:w w:val="8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1,785</w:t>
            </w:r>
          </w:p>
        </w:tc>
        <w:tc>
          <w:tcPr>
            <w:tcW w:w="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ind w:right="400"/>
              <w:spacing w:after="0"/>
              <w:rPr>
                <w:sz w:val="20"/>
                <w:szCs w:val="20"/>
                <w:color w:val="auto"/>
              </w:rPr>
            </w:pPr>
            <w:r>
              <w:rPr>
                <w:rFonts w:ascii="Arial" w:cs="Arial" w:eastAsia="Arial" w:hAnsi="Arial"/>
                <w:sz w:val="12"/>
                <w:szCs w:val="12"/>
                <w:color w:val="auto"/>
                <w:w w:val="89"/>
              </w:rPr>
              <w:t>$</w:t>
            </w:r>
          </w:p>
        </w:tc>
        <w:tc>
          <w:tcPr>
            <w:tcW w:w="170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1,560</w:t>
            </w:r>
          </w:p>
        </w:tc>
      </w:tr>
      <w:tr>
        <w:trPr>
          <w:trHeight w:val="153"/>
        </w:trPr>
        <w:tc>
          <w:tcPr>
            <w:tcW w:w="6740" w:type="dxa"/>
            <w:vAlign w:val="bottom"/>
          </w:tcPr>
          <w:p>
            <w:pPr>
              <w:spacing w:after="0"/>
              <w:rPr>
                <w:sz w:val="20"/>
                <w:szCs w:val="20"/>
                <w:color w:val="auto"/>
              </w:rPr>
            </w:pPr>
            <w:r>
              <w:rPr>
                <w:rFonts w:ascii="Arial" w:cs="Arial" w:eastAsia="Arial" w:hAnsi="Arial"/>
                <w:sz w:val="12"/>
                <w:szCs w:val="12"/>
                <w:color w:val="auto"/>
              </w:rPr>
              <w:t>Net loss</w:t>
            </w:r>
          </w:p>
        </w:tc>
        <w:tc>
          <w:tcPr>
            <w:tcW w:w="420" w:type="dxa"/>
            <w:vAlign w:val="bottom"/>
          </w:tcPr>
          <w:p>
            <w:pPr>
              <w:jc w:val="right"/>
              <w:ind w:right="280"/>
              <w:spacing w:after="0"/>
              <w:rPr>
                <w:sz w:val="20"/>
                <w:szCs w:val="20"/>
                <w:color w:val="auto"/>
              </w:rPr>
            </w:pPr>
            <w:r>
              <w:rPr>
                <w:rFonts w:ascii="Arial" w:cs="Arial" w:eastAsia="Arial" w:hAnsi="Arial"/>
                <w:sz w:val="12"/>
                <w:szCs w:val="12"/>
                <w:color w:val="auto"/>
                <w:w w:val="89"/>
              </w:rPr>
              <w:t>$</w:t>
            </w:r>
          </w:p>
        </w:tc>
        <w:tc>
          <w:tcPr>
            <w:tcW w:w="1820" w:type="dxa"/>
            <w:vAlign w:val="bottom"/>
            <w:gridSpan w:val="2"/>
          </w:tcPr>
          <w:p>
            <w:pPr>
              <w:jc w:val="right"/>
              <w:ind w:right="20"/>
              <w:spacing w:after="0"/>
              <w:rPr>
                <w:sz w:val="20"/>
                <w:szCs w:val="20"/>
                <w:color w:val="auto"/>
              </w:rPr>
            </w:pPr>
            <w:r>
              <w:rPr>
                <w:rFonts w:ascii="Arial" w:cs="Arial" w:eastAsia="Arial" w:hAnsi="Arial"/>
                <w:sz w:val="12"/>
                <w:szCs w:val="12"/>
                <w:color w:val="auto"/>
              </w:rPr>
              <w:t>(4)</w:t>
            </w:r>
          </w:p>
        </w:tc>
        <w:tc>
          <w:tcPr>
            <w:tcW w:w="80" w:type="dxa"/>
            <w:vAlign w:val="bottom"/>
          </w:tcPr>
          <w:p>
            <w:pPr>
              <w:spacing w:after="0"/>
              <w:rPr>
                <w:sz w:val="13"/>
                <w:szCs w:val="13"/>
                <w:color w:val="auto"/>
              </w:rPr>
            </w:pPr>
          </w:p>
        </w:tc>
        <w:tc>
          <w:tcPr>
            <w:tcW w:w="540" w:type="dxa"/>
            <w:vAlign w:val="bottom"/>
          </w:tcPr>
          <w:p>
            <w:pPr>
              <w:jc w:val="right"/>
              <w:ind w:right="400"/>
              <w:spacing w:after="0"/>
              <w:rPr>
                <w:sz w:val="20"/>
                <w:szCs w:val="20"/>
                <w:color w:val="auto"/>
              </w:rPr>
            </w:pPr>
            <w:r>
              <w:rPr>
                <w:rFonts w:ascii="Arial" w:cs="Arial" w:eastAsia="Arial" w:hAnsi="Arial"/>
                <w:sz w:val="12"/>
                <w:szCs w:val="12"/>
                <w:color w:val="auto"/>
                <w:w w:val="89"/>
              </w:rPr>
              <w:t>$</w:t>
            </w:r>
          </w:p>
        </w:tc>
        <w:tc>
          <w:tcPr>
            <w:tcW w:w="1700" w:type="dxa"/>
            <w:vAlign w:val="bottom"/>
            <w:gridSpan w:val="2"/>
          </w:tcPr>
          <w:p>
            <w:pPr>
              <w:jc w:val="right"/>
              <w:ind w:right="20"/>
              <w:spacing w:after="0"/>
              <w:rPr>
                <w:sz w:val="20"/>
                <w:szCs w:val="20"/>
                <w:color w:val="auto"/>
              </w:rPr>
            </w:pPr>
            <w:r>
              <w:rPr>
                <w:rFonts w:ascii="Arial" w:cs="Arial" w:eastAsia="Arial" w:hAnsi="Arial"/>
                <w:sz w:val="12"/>
                <w:szCs w:val="12"/>
                <w:color w:val="auto"/>
              </w:rPr>
              <w:t>(189)</w:t>
            </w:r>
          </w:p>
        </w:tc>
      </w:tr>
      <w:tr>
        <w:trPr>
          <w:trHeight w:val="153"/>
        </w:trPr>
        <w:tc>
          <w:tcPr>
            <w:tcW w:w="6740" w:type="dxa"/>
            <w:vAlign w:val="bottom"/>
            <w:shd w:val="clear" w:color="auto" w:fill="CCEEFF"/>
          </w:tcPr>
          <w:p>
            <w:pPr>
              <w:spacing w:after="0"/>
              <w:rPr>
                <w:sz w:val="20"/>
                <w:szCs w:val="20"/>
                <w:color w:val="auto"/>
              </w:rPr>
            </w:pPr>
            <w:r>
              <w:rPr>
                <w:rFonts w:ascii="Arial" w:cs="Arial" w:eastAsia="Arial" w:hAnsi="Arial"/>
                <w:sz w:val="12"/>
                <w:szCs w:val="12"/>
                <w:color w:val="auto"/>
              </w:rPr>
              <w:t>Net loss attributable to common shareholders</w:t>
            </w:r>
          </w:p>
        </w:tc>
        <w:tc>
          <w:tcPr>
            <w:tcW w:w="42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w w:val="89"/>
              </w:rPr>
              <w:t>$</w:t>
            </w:r>
          </w:p>
        </w:tc>
        <w:tc>
          <w:tcPr>
            <w:tcW w:w="18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(9)</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400"/>
              <w:spacing w:after="0"/>
              <w:rPr>
                <w:sz w:val="20"/>
                <w:szCs w:val="20"/>
                <w:color w:val="auto"/>
              </w:rPr>
            </w:pPr>
            <w:r>
              <w:rPr>
                <w:rFonts w:ascii="Arial" w:cs="Arial" w:eastAsia="Arial" w:hAnsi="Arial"/>
                <w:sz w:val="12"/>
                <w:szCs w:val="12"/>
                <w:color w:val="auto"/>
                <w:w w:val="89"/>
              </w:rPr>
              <w:t>$</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(198)</w:t>
            </w:r>
          </w:p>
        </w:tc>
      </w:tr>
      <w:tr>
        <w:trPr>
          <w:trHeight w:val="153"/>
        </w:trPr>
        <w:tc>
          <w:tcPr>
            <w:tcW w:w="6740" w:type="dxa"/>
            <w:vAlign w:val="bottom"/>
          </w:tcPr>
          <w:p>
            <w:pPr>
              <w:spacing w:after="0"/>
              <w:rPr>
                <w:sz w:val="20"/>
                <w:szCs w:val="20"/>
                <w:color w:val="auto"/>
              </w:rPr>
            </w:pPr>
            <w:r>
              <w:rPr>
                <w:rFonts w:ascii="Arial" w:cs="Arial" w:eastAsia="Arial" w:hAnsi="Arial"/>
                <w:sz w:val="12"/>
                <w:szCs w:val="12"/>
                <w:b w:val="1"/>
                <w:bCs w:val="1"/>
                <w:color w:val="auto"/>
              </w:rPr>
              <w:t>LOSS PER SHARE ATTRIBUTABLE TO COMMON SHAREHOLDERS</w:t>
            </w:r>
          </w:p>
        </w:tc>
        <w:tc>
          <w:tcPr>
            <w:tcW w:w="4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53"/>
        </w:trPr>
        <w:tc>
          <w:tcPr>
            <w:tcW w:w="67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Basic</w:t>
            </w:r>
          </w:p>
        </w:tc>
        <w:tc>
          <w:tcPr>
            <w:tcW w:w="42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0.21</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400"/>
              <w:spacing w:after="0"/>
              <w:rPr>
                <w:sz w:val="20"/>
                <w:szCs w:val="20"/>
                <w:color w:val="auto"/>
              </w:rPr>
            </w:pPr>
            <w:r>
              <w:rPr>
                <w:rFonts w:ascii="Arial" w:cs="Arial" w:eastAsia="Arial" w:hAnsi="Arial"/>
                <w:sz w:val="12"/>
                <w:szCs w:val="12"/>
                <w:color w:val="auto"/>
                <w:w w:val="89"/>
              </w:rPr>
              <w:t>$</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(4.79)</w:t>
            </w:r>
          </w:p>
        </w:tc>
      </w:tr>
      <w:tr>
        <w:trPr>
          <w:trHeight w:val="153"/>
        </w:trPr>
        <w:tc>
          <w:tcPr>
            <w:tcW w:w="6740" w:type="dxa"/>
            <w:vAlign w:val="bottom"/>
          </w:tcPr>
          <w:p>
            <w:pPr>
              <w:ind w:left="140"/>
              <w:spacing w:after="0"/>
              <w:rPr>
                <w:sz w:val="20"/>
                <w:szCs w:val="20"/>
                <w:color w:val="auto"/>
              </w:rPr>
            </w:pPr>
            <w:r>
              <w:rPr>
                <w:rFonts w:ascii="Arial" w:cs="Arial" w:eastAsia="Arial" w:hAnsi="Arial"/>
                <w:sz w:val="12"/>
                <w:szCs w:val="12"/>
                <w:color w:val="auto"/>
              </w:rPr>
              <w:t>Diluted</w:t>
            </w:r>
          </w:p>
        </w:tc>
        <w:tc>
          <w:tcPr>
            <w:tcW w:w="420" w:type="dxa"/>
            <w:vAlign w:val="bottom"/>
          </w:tcPr>
          <w:p>
            <w:pPr>
              <w:jc w:val="right"/>
              <w:ind w:right="280"/>
              <w:spacing w:after="0"/>
              <w:rPr>
                <w:sz w:val="20"/>
                <w:szCs w:val="20"/>
                <w:color w:val="auto"/>
              </w:rPr>
            </w:pPr>
            <w:r>
              <w:rPr>
                <w:rFonts w:ascii="Arial" w:cs="Arial" w:eastAsia="Arial" w:hAnsi="Arial"/>
                <w:sz w:val="12"/>
                <w:szCs w:val="12"/>
                <w:color w:val="auto"/>
                <w:w w:val="89"/>
              </w:rPr>
              <w:t>$</w:t>
            </w:r>
          </w:p>
        </w:tc>
        <w:tc>
          <w:tcPr>
            <w:tcW w:w="1780" w:type="dxa"/>
            <w:vAlign w:val="bottom"/>
          </w:tcPr>
          <w:p>
            <w:pPr>
              <w:jc w:val="right"/>
              <w:spacing w:after="0"/>
              <w:rPr>
                <w:sz w:val="20"/>
                <w:szCs w:val="20"/>
                <w:color w:val="auto"/>
              </w:rPr>
            </w:pPr>
            <w:r>
              <w:rPr>
                <w:rFonts w:ascii="Arial" w:cs="Arial" w:eastAsia="Arial" w:hAnsi="Arial"/>
                <w:sz w:val="12"/>
                <w:szCs w:val="12"/>
                <w:color w:val="auto"/>
              </w:rPr>
              <w:t>0.21</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400"/>
              <w:spacing w:after="0"/>
              <w:rPr>
                <w:sz w:val="20"/>
                <w:szCs w:val="20"/>
                <w:color w:val="auto"/>
              </w:rPr>
            </w:pPr>
            <w:r>
              <w:rPr>
                <w:rFonts w:ascii="Arial" w:cs="Arial" w:eastAsia="Arial" w:hAnsi="Arial"/>
                <w:sz w:val="12"/>
                <w:szCs w:val="12"/>
                <w:color w:val="auto"/>
                <w:w w:val="89"/>
              </w:rPr>
              <w:t>$</w:t>
            </w:r>
          </w:p>
        </w:tc>
        <w:tc>
          <w:tcPr>
            <w:tcW w:w="1700" w:type="dxa"/>
            <w:vAlign w:val="bottom"/>
            <w:gridSpan w:val="2"/>
          </w:tcPr>
          <w:p>
            <w:pPr>
              <w:jc w:val="right"/>
              <w:ind w:right="20"/>
              <w:spacing w:after="0"/>
              <w:rPr>
                <w:sz w:val="20"/>
                <w:szCs w:val="20"/>
                <w:color w:val="auto"/>
              </w:rPr>
            </w:pPr>
            <w:r>
              <w:rPr>
                <w:rFonts w:ascii="Arial" w:cs="Arial" w:eastAsia="Arial" w:hAnsi="Arial"/>
                <w:sz w:val="12"/>
                <w:szCs w:val="12"/>
                <w:color w:val="auto"/>
              </w:rPr>
              <w:t>(4.79)</w:t>
            </w:r>
          </w:p>
        </w:tc>
      </w:tr>
      <w:tr>
        <w:trPr>
          <w:trHeight w:val="279"/>
        </w:trPr>
        <w:tc>
          <w:tcPr>
            <w:tcW w:w="6740" w:type="dxa"/>
            <w:vAlign w:val="bottom"/>
          </w:tcPr>
          <w:p>
            <w:pPr>
              <w:ind w:left="420"/>
              <w:spacing w:after="0"/>
              <w:rPr>
                <w:sz w:val="20"/>
                <w:szCs w:val="20"/>
                <w:color w:val="auto"/>
              </w:rPr>
            </w:pPr>
            <w:r>
              <w:rPr>
                <w:rFonts w:ascii="Arial" w:cs="Arial" w:eastAsia="Arial" w:hAnsi="Arial"/>
                <w:sz w:val="12"/>
                <w:szCs w:val="12"/>
                <w:i w:val="1"/>
                <w:iCs w:val="1"/>
                <w:color w:val="auto"/>
              </w:rPr>
              <w:t>Welk Results of Operations</w:t>
            </w:r>
          </w:p>
        </w:tc>
        <w:tc>
          <w:tcPr>
            <w:tcW w:w="4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80"/>
        </w:trPr>
        <w:tc>
          <w:tcPr>
            <w:tcW w:w="9060" w:type="dxa"/>
            <w:vAlign w:val="bottom"/>
            <w:gridSpan w:val="5"/>
          </w:tcPr>
          <w:p>
            <w:pPr>
              <w:ind w:left="420"/>
              <w:spacing w:after="0"/>
              <w:rPr>
                <w:sz w:val="20"/>
                <w:szCs w:val="20"/>
                <w:color w:val="auto"/>
              </w:rPr>
            </w:pPr>
            <w:r>
              <w:rPr>
                <w:rFonts w:ascii="Arial" w:cs="Arial" w:eastAsia="Arial" w:hAnsi="Arial"/>
                <w:sz w:val="12"/>
                <w:szCs w:val="12"/>
                <w:color w:val="auto"/>
                <w:w w:val="94"/>
              </w:rPr>
              <w:t>The following table presents the results of Welk operations included in our Income Statement from the Welk Acquisition Date through the end of the second quarter of 2021.</w:t>
            </w:r>
          </w:p>
        </w:tc>
        <w:tc>
          <w:tcPr>
            <w:tcW w:w="5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26"/>
        </w:trPr>
        <w:tc>
          <w:tcPr>
            <w:tcW w:w="6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700" w:type="dxa"/>
            <w:vAlign w:val="bottom"/>
            <w:gridSpan w:val="2"/>
          </w:tcPr>
          <w:p>
            <w:pPr>
              <w:jc w:val="right"/>
              <w:ind w:right="880"/>
              <w:spacing w:after="0"/>
              <w:rPr>
                <w:sz w:val="20"/>
                <w:szCs w:val="20"/>
                <w:color w:val="auto"/>
              </w:rPr>
            </w:pPr>
            <w:r>
              <w:rPr>
                <w:rFonts w:ascii="Arial" w:cs="Arial" w:eastAsia="Arial" w:hAnsi="Arial"/>
                <w:sz w:val="11"/>
                <w:szCs w:val="11"/>
                <w:b w:val="1"/>
                <w:bCs w:val="1"/>
                <w:color w:val="auto"/>
              </w:rPr>
              <w:t>April 1, 2021 to</w:t>
            </w:r>
          </w:p>
        </w:tc>
      </w:tr>
      <w:tr>
        <w:trPr>
          <w:trHeight w:val="142"/>
        </w:trPr>
        <w:tc>
          <w:tcPr>
            <w:tcW w:w="674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420" w:type="dxa"/>
            <w:vAlign w:val="bottom"/>
            <w:tcBorders>
              <w:bottom w:val="single" w:sz="8" w:color="CCEEFF"/>
            </w:tcBorders>
          </w:tcPr>
          <w:p>
            <w:pPr>
              <w:spacing w:after="0"/>
              <w:rPr>
                <w:sz w:val="12"/>
                <w:szCs w:val="12"/>
                <w:color w:val="auto"/>
              </w:rPr>
            </w:pPr>
          </w:p>
        </w:tc>
        <w:tc>
          <w:tcPr>
            <w:tcW w:w="178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ind w:right="741"/>
              <w:spacing w:after="0"/>
              <w:rPr>
                <w:sz w:val="20"/>
                <w:szCs w:val="20"/>
                <w:color w:val="auto"/>
              </w:rPr>
            </w:pPr>
            <w:r>
              <w:rPr>
                <w:rFonts w:ascii="Arial" w:cs="Arial" w:eastAsia="Arial" w:hAnsi="Arial"/>
                <w:sz w:val="11"/>
                <w:szCs w:val="11"/>
                <w:b w:val="1"/>
                <w:bCs w:val="1"/>
                <w:color w:val="auto"/>
              </w:rPr>
              <w:t>June 30, 2021</w:t>
            </w:r>
          </w:p>
        </w:tc>
        <w:tc>
          <w:tcPr>
            <w:tcW w:w="140" w:type="dxa"/>
            <w:vAlign w:val="bottom"/>
          </w:tcPr>
          <w:p>
            <w:pPr>
              <w:spacing w:after="0"/>
              <w:rPr>
                <w:sz w:val="12"/>
                <w:szCs w:val="12"/>
                <w:color w:val="auto"/>
              </w:rPr>
            </w:pPr>
          </w:p>
        </w:tc>
      </w:tr>
      <w:tr>
        <w:trPr>
          <w:trHeight w:val="144"/>
        </w:trPr>
        <w:tc>
          <w:tcPr>
            <w:tcW w:w="6740" w:type="dxa"/>
            <w:vAlign w:val="bottom"/>
            <w:shd w:val="clear" w:color="auto" w:fill="CCEEFF"/>
          </w:tcPr>
          <w:p>
            <w:pPr>
              <w:spacing w:after="0"/>
              <w:rPr>
                <w:sz w:val="20"/>
                <w:szCs w:val="20"/>
                <w:color w:val="auto"/>
              </w:rPr>
            </w:pPr>
            <w:r>
              <w:rPr>
                <w:rFonts w:ascii="Arial" w:cs="Arial" w:eastAsia="Arial" w:hAnsi="Arial"/>
                <w:sz w:val="12"/>
                <w:szCs w:val="12"/>
                <w:color w:val="auto"/>
              </w:rPr>
              <w:t>Revenue</w:t>
            </w:r>
          </w:p>
        </w:tc>
        <w:tc>
          <w:tcPr>
            <w:tcW w:w="420" w:type="dxa"/>
            <w:vAlign w:val="bottom"/>
            <w:shd w:val="clear" w:color="auto" w:fill="CCEEFF"/>
          </w:tcPr>
          <w:p>
            <w:pPr>
              <w:spacing w:after="0"/>
              <w:rPr>
                <w:sz w:val="12"/>
                <w:szCs w:val="12"/>
                <w:color w:val="auto"/>
              </w:rPr>
            </w:pPr>
          </w:p>
        </w:tc>
        <w:tc>
          <w:tcPr>
            <w:tcW w:w="190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spacing w:after="0"/>
              <w:rPr>
                <w:sz w:val="12"/>
                <w:szCs w:val="1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w:t>
            </w:r>
          </w:p>
        </w:tc>
        <w:tc>
          <w:tcPr>
            <w:tcW w:w="140" w:type="dxa"/>
            <w:vAlign w:val="bottom"/>
          </w:tcPr>
          <w:p>
            <w:pPr>
              <w:spacing w:after="0"/>
              <w:rPr>
                <w:sz w:val="12"/>
                <w:szCs w:val="12"/>
                <w:color w:val="auto"/>
              </w:rPr>
            </w:pPr>
          </w:p>
        </w:tc>
      </w:tr>
      <w:tr>
        <w:trPr>
          <w:trHeight w:val="153"/>
        </w:trPr>
        <w:tc>
          <w:tcPr>
            <w:tcW w:w="6740" w:type="dxa"/>
            <w:vAlign w:val="bottom"/>
          </w:tcPr>
          <w:p>
            <w:pPr>
              <w:spacing w:after="0"/>
              <w:rPr>
                <w:sz w:val="20"/>
                <w:szCs w:val="20"/>
                <w:color w:val="auto"/>
              </w:rPr>
            </w:pPr>
            <w:r>
              <w:rPr>
                <w:rFonts w:ascii="Arial" w:cs="Arial" w:eastAsia="Arial" w:hAnsi="Arial"/>
                <w:sz w:val="12"/>
                <w:szCs w:val="12"/>
                <w:color w:val="auto"/>
              </w:rPr>
              <w:t>Net income</w:t>
            </w:r>
          </w:p>
        </w:tc>
        <w:tc>
          <w:tcPr>
            <w:tcW w:w="420" w:type="dxa"/>
            <w:vAlign w:val="bottom"/>
          </w:tcPr>
          <w:p>
            <w:pPr>
              <w:spacing w:after="0"/>
              <w:rPr>
                <w:sz w:val="13"/>
                <w:szCs w:val="13"/>
                <w:color w:val="auto"/>
              </w:rPr>
            </w:pPr>
          </w:p>
        </w:tc>
        <w:tc>
          <w:tcPr>
            <w:tcW w:w="1900" w:type="dxa"/>
            <w:vAlign w:val="bottom"/>
            <w:gridSpan w:val="3"/>
          </w:tcPr>
          <w:p>
            <w:pPr>
              <w:jc w:val="right"/>
              <w:ind w:right="40"/>
              <w:spacing w:after="0"/>
              <w:rPr>
                <w:sz w:val="20"/>
                <w:szCs w:val="20"/>
                <w:color w:val="auto"/>
              </w:rPr>
            </w:pPr>
            <w:r>
              <w:rPr>
                <w:rFonts w:ascii="Arial" w:cs="Arial" w:eastAsia="Arial" w:hAnsi="Arial"/>
                <w:sz w:val="12"/>
                <w:szCs w:val="12"/>
                <w:color w:val="auto"/>
              </w:rPr>
              <w:t>$</w:t>
            </w:r>
          </w:p>
        </w:tc>
        <w:tc>
          <w:tcPr>
            <w:tcW w:w="54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5</w:t>
            </w:r>
          </w:p>
        </w:tc>
        <w:tc>
          <w:tcPr>
            <w:tcW w:w="140" w:type="dxa"/>
            <w:vAlign w:val="bottom"/>
          </w:tcPr>
          <w:p>
            <w:pPr>
              <w:spacing w:after="0"/>
              <w:rPr>
                <w:sz w:val="13"/>
                <w:szCs w:val="13"/>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Other Acquisitions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Costa Rica</w:t>
      </w:r>
    </w:p>
    <w:p>
      <w:pPr>
        <w:spacing w:after="0" w:line="69" w:lineRule="exact"/>
        <w:rPr>
          <w:sz w:val="20"/>
          <w:szCs w:val="20"/>
          <w:color w:val="auto"/>
        </w:rPr>
      </w:pPr>
    </w:p>
    <w:p>
      <w:pPr>
        <w:ind w:right="160" w:firstLine="432"/>
        <w:spacing w:after="0" w:line="276" w:lineRule="auto"/>
        <w:rPr>
          <w:sz w:val="20"/>
          <w:szCs w:val="20"/>
          <w:color w:val="auto"/>
        </w:rPr>
      </w:pPr>
      <w:r>
        <w:rPr>
          <w:rFonts w:ascii="Arial" w:cs="Arial" w:eastAsia="Arial" w:hAnsi="Arial"/>
          <w:sz w:val="12"/>
          <w:szCs w:val="12"/>
          <w:color w:val="auto"/>
        </w:rPr>
        <w:t>During the first quarter of 2021, we acquired 24 completed vacation ownership units and an operations building located at our Marriott Vacation Club at Los Suenos resort in Costa Rica for $14 million. We accounted for the transaction as an asset acquisition with the purchase price allocated to Inventory ($13 million) and Property and equipment ($1 million).</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New York, New York</w:t>
      </w:r>
    </w:p>
    <w:p>
      <w:pPr>
        <w:spacing w:after="0" w:line="69" w:lineRule="exact"/>
        <w:rPr>
          <w:sz w:val="20"/>
          <w:szCs w:val="20"/>
          <w:color w:val="auto"/>
        </w:rPr>
      </w:pPr>
    </w:p>
    <w:p>
      <w:pPr>
        <w:ind w:right="60" w:firstLine="432"/>
        <w:spacing w:after="0" w:line="276" w:lineRule="auto"/>
        <w:rPr>
          <w:sz w:val="20"/>
          <w:szCs w:val="20"/>
          <w:color w:val="auto"/>
        </w:rPr>
      </w:pPr>
      <w:r>
        <w:rPr>
          <w:rFonts w:ascii="Arial" w:cs="Arial" w:eastAsia="Arial" w:hAnsi="Arial"/>
          <w:sz w:val="12"/>
          <w:szCs w:val="12"/>
          <w:color w:val="auto"/>
        </w:rPr>
        <w:t>During the first quarter of 2021, we acquired the remaining 120 completed vacation ownership units located at our Marriott Vacation Club Pulse, New York City property for $98 million. We accounted for the transaction as an asset acquisition with the purchase price allocated to Property and equipment.</w:t>
      </w:r>
    </w:p>
    <w:p>
      <w:pPr>
        <w:spacing w:after="0" w:line="43" w:lineRule="exact"/>
        <w:rPr>
          <w:sz w:val="20"/>
          <w:szCs w:val="20"/>
          <w:color w:val="auto"/>
        </w:rPr>
      </w:pPr>
    </w:p>
    <w:p>
      <w:pPr>
        <w:jc w:val="both"/>
        <w:ind w:right="200" w:firstLine="432"/>
        <w:spacing w:after="0" w:line="263" w:lineRule="auto"/>
        <w:rPr>
          <w:sz w:val="20"/>
          <w:szCs w:val="20"/>
          <w:color w:val="auto"/>
        </w:rPr>
      </w:pPr>
      <w:r>
        <w:rPr>
          <w:rFonts w:ascii="Arial" w:cs="Arial" w:eastAsia="Arial" w:hAnsi="Arial"/>
          <w:sz w:val="12"/>
          <w:szCs w:val="12"/>
          <w:color w:val="auto"/>
        </w:rPr>
        <w:t>During the first quarter of 2020, we acquired 57 completed vacation ownership units, as well as office and ancillary space, located at our Marriott Vacation Club Pulse, New York City property for $89 million, of which $22 million was a prepayment for future tranches of completed vacation ownership units and $20 million was paid in December 2019. We accounted for the transaction as an asset acquisition with the purchase price allocated to Property and equipment ($67 million) and Other assets ($22 million).</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San Francisco, California</w:t>
      </w:r>
    </w:p>
    <w:p>
      <w:pPr>
        <w:spacing w:after="0" w:line="60" w:lineRule="exact"/>
        <w:rPr>
          <w:sz w:val="20"/>
          <w:szCs w:val="20"/>
          <w:color w:val="auto"/>
        </w:rPr>
      </w:pPr>
    </w:p>
    <w:p>
      <w:pPr>
        <w:ind w:right="40" w:firstLine="432"/>
        <w:spacing w:after="0" w:line="276" w:lineRule="auto"/>
        <w:rPr>
          <w:sz w:val="20"/>
          <w:szCs w:val="20"/>
          <w:color w:val="auto"/>
        </w:rPr>
      </w:pPr>
      <w:r>
        <w:rPr>
          <w:rFonts w:ascii="Arial" w:cs="Arial" w:eastAsia="Arial" w:hAnsi="Arial"/>
          <w:sz w:val="12"/>
          <w:szCs w:val="12"/>
          <w:color w:val="auto"/>
        </w:rPr>
        <w:t>During the first quarter of 2021, we acquired 44 completed vacation ownership units located at our Marriott Vacation Club Pulse, San Francisco property for $34 million. We accounted for the transaction as an asset acquisition with the purchase price allocated to Inventory ($29 million) and Other assets ($5 million).</w:t>
      </w:r>
    </w:p>
    <w:p>
      <w:pPr>
        <w:spacing w:after="0" w:line="43" w:lineRule="exact"/>
        <w:rPr>
          <w:sz w:val="20"/>
          <w:szCs w:val="20"/>
          <w:color w:val="auto"/>
        </w:rPr>
      </w:pPr>
    </w:p>
    <w:p>
      <w:pPr>
        <w:ind w:right="100" w:firstLine="432"/>
        <w:spacing w:after="0" w:line="366" w:lineRule="auto"/>
        <w:rPr>
          <w:sz w:val="20"/>
          <w:szCs w:val="20"/>
          <w:color w:val="auto"/>
        </w:rPr>
      </w:pPr>
      <w:r>
        <w:rPr>
          <w:rFonts w:ascii="Arial" w:cs="Arial" w:eastAsia="Arial" w:hAnsi="Arial"/>
          <w:sz w:val="10"/>
          <w:szCs w:val="10"/>
          <w:color w:val="auto"/>
        </w:rPr>
        <w:t>During the first quarter of 2020, we acquired 34 completed vacation ownership units located at our Marriott Vacation Club Pulse, San Francisco property for $26 million, of which $5 million was a prepayment for future tranches of completed vacation ownership units. We accounted for the transaction as an asset acquisition with the purchase price allocated to Inventory ($18 million), Property and equipment ($3 million), and Other assets ($5 million).</w:t>
      </w:r>
    </w:p>
    <w:p>
      <w:pPr>
        <w:ind w:left="420"/>
        <w:spacing w:after="0"/>
        <w:rPr>
          <w:sz w:val="20"/>
          <w:szCs w:val="20"/>
          <w:color w:val="auto"/>
        </w:rPr>
      </w:pPr>
      <w:r>
        <w:rPr>
          <w:rFonts w:ascii="Arial" w:cs="Arial" w:eastAsia="Arial" w:hAnsi="Arial"/>
          <w:sz w:val="11"/>
          <w:szCs w:val="11"/>
          <w:color w:val="auto"/>
        </w:rPr>
        <w:t>See Footnote 16 “Variable Interest Entities” for information on our remaining commitment to purchase future inventory and additional information on our activities relating to the VIE involved in this transaction.</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Dispositions</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We made no significant dispositions during either the first half of 2021 or the first half of 2020.</w:t>
      </w:r>
    </w:p>
    <w:p>
      <w:pPr>
        <w:spacing w:after="0" w:line="141" w:lineRule="exact"/>
        <w:rPr>
          <w:sz w:val="20"/>
          <w:szCs w:val="20"/>
          <w:color w:val="auto"/>
        </w:rPr>
      </w:pPr>
    </w:p>
    <w:p>
      <w:pPr>
        <w:jc w:val="center"/>
        <w:ind w:left="420"/>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191135</wp:posOffset>
            </wp:positionV>
            <wp:extent cx="7203440"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13" w:name="page14"/>
    <w:bookmarkEnd w:id="13"/>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69" w:lineRule="exact"/>
        <w:rPr>
          <w:sz w:val="20"/>
          <w:szCs w:val="20"/>
          <w:color w:val="auto"/>
        </w:rPr>
      </w:pPr>
    </w:p>
    <w:p>
      <w:pPr>
        <w:ind w:left="260" w:hanging="256"/>
        <w:spacing w:after="0"/>
        <w:tabs>
          <w:tab w:leader="none" w:pos="260" w:val="left"/>
        </w:tabs>
        <w:numPr>
          <w:ilvl w:val="0"/>
          <w:numId w:val="9"/>
        </w:numPr>
        <w:rPr>
          <w:rFonts w:ascii="Arial" w:cs="Arial" w:eastAsia="Arial" w:hAnsi="Arial"/>
          <w:sz w:val="12"/>
          <w:szCs w:val="12"/>
          <w:b w:val="1"/>
          <w:bCs w:val="1"/>
          <w:color w:val="auto"/>
        </w:rPr>
      </w:pPr>
      <w:r>
        <w:rPr>
          <w:rFonts w:ascii="Arial" w:cs="Arial" w:eastAsia="Arial" w:hAnsi="Arial"/>
          <w:sz w:val="12"/>
          <w:szCs w:val="12"/>
          <w:b w:val="1"/>
          <w:bCs w:val="1"/>
          <w:color w:val="auto"/>
        </w:rPr>
        <w:t>REVENUE AND RECEIVABLES</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Sources of Revenue by Segment</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tables detail the sources of revenue by segment for the time periods presented.</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0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480" w:type="dxa"/>
            <w:vAlign w:val="bottom"/>
            <w:tcBorders>
              <w:bottom w:val="single" w:sz="8" w:color="auto"/>
            </w:tcBorders>
            <w:gridSpan w:val="5"/>
          </w:tcPr>
          <w:p>
            <w:pPr>
              <w:ind w:left="800"/>
              <w:spacing w:after="0"/>
              <w:rPr>
                <w:sz w:val="20"/>
                <w:szCs w:val="20"/>
                <w:color w:val="auto"/>
              </w:rPr>
            </w:pPr>
            <w:r>
              <w:rPr>
                <w:rFonts w:ascii="Arial" w:cs="Arial" w:eastAsia="Arial" w:hAnsi="Arial"/>
                <w:sz w:val="11"/>
                <w:szCs w:val="11"/>
                <w:b w:val="1"/>
                <w:bCs w:val="1"/>
                <w:color w:val="auto"/>
              </w:rPr>
              <w:t>Three Months Ended June 30, 2021</w:t>
            </w:r>
          </w:p>
        </w:tc>
        <w:tc>
          <w:tcPr>
            <w:tcW w:w="4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40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500" w:type="dxa"/>
            <w:vAlign w:val="bottom"/>
            <w:vMerge w:val="restart"/>
          </w:tcPr>
          <w:p>
            <w:pPr>
              <w:jc w:val="right"/>
              <w:ind w:right="341"/>
              <w:spacing w:after="0"/>
              <w:rPr>
                <w:sz w:val="20"/>
                <w:szCs w:val="20"/>
                <w:color w:val="auto"/>
              </w:rPr>
            </w:pPr>
            <w:r>
              <w:rPr>
                <w:rFonts w:ascii="Arial" w:cs="Arial" w:eastAsia="Arial" w:hAnsi="Arial"/>
                <w:sz w:val="11"/>
                <w:szCs w:val="11"/>
                <w:b w:val="1"/>
                <w:bCs w:val="1"/>
                <w:color w:val="auto"/>
              </w:rPr>
              <w:t>Vacation Ownership</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60" w:type="dxa"/>
            <w:vAlign w:val="bottom"/>
            <w:gridSpan w:val="2"/>
          </w:tcPr>
          <w:p>
            <w:pPr>
              <w:jc w:val="center"/>
              <w:ind w:right="260"/>
              <w:spacing w:after="0" w:line="99" w:lineRule="exact"/>
              <w:rPr>
                <w:sz w:val="20"/>
                <w:szCs w:val="20"/>
                <w:color w:val="auto"/>
              </w:rPr>
            </w:pPr>
            <w:r>
              <w:rPr>
                <w:rFonts w:ascii="Arial" w:cs="Arial" w:eastAsia="Arial" w:hAnsi="Arial"/>
                <w:sz w:val="11"/>
                <w:szCs w:val="11"/>
                <w:b w:val="1"/>
                <w:bCs w:val="1"/>
                <w:color w:val="auto"/>
                <w:w w:val="92"/>
              </w:rPr>
              <w:t>Exchange &amp; Third-Party</w:t>
            </w:r>
          </w:p>
        </w:tc>
        <w:tc>
          <w:tcPr>
            <w:tcW w:w="220" w:type="dxa"/>
            <w:vAlign w:val="bottom"/>
          </w:tcPr>
          <w:p>
            <w:pPr>
              <w:spacing w:after="0"/>
              <w:rPr>
                <w:sz w:val="8"/>
                <w:szCs w:val="8"/>
                <w:color w:val="auto"/>
              </w:rPr>
            </w:pPr>
          </w:p>
        </w:tc>
        <w:tc>
          <w:tcPr>
            <w:tcW w:w="152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Corporate and Other</w:t>
            </w:r>
          </w:p>
        </w:tc>
        <w:tc>
          <w:tcPr>
            <w:tcW w:w="80" w:type="dxa"/>
            <w:vAlign w:val="bottom"/>
            <w:vMerge w:val="restart"/>
          </w:tcPr>
          <w:p>
            <w:pPr>
              <w:spacing w:after="0"/>
              <w:rPr>
                <w:sz w:val="8"/>
                <w:szCs w:val="8"/>
                <w:color w:val="auto"/>
              </w:rPr>
            </w:pPr>
          </w:p>
        </w:tc>
        <w:tc>
          <w:tcPr>
            <w:tcW w:w="420" w:type="dxa"/>
            <w:vAlign w:val="bottom"/>
          </w:tcPr>
          <w:p>
            <w:pPr>
              <w:spacing w:after="0"/>
              <w:rPr>
                <w:sz w:val="8"/>
                <w:szCs w:val="8"/>
                <w:color w:val="auto"/>
              </w:rPr>
            </w:pPr>
          </w:p>
        </w:tc>
        <w:tc>
          <w:tcPr>
            <w:tcW w:w="1340" w:type="dxa"/>
            <w:vAlign w:val="bottom"/>
            <w:vMerge w:val="restart"/>
          </w:tcPr>
          <w:p>
            <w:pPr>
              <w:jc w:val="right"/>
              <w:ind w:right="701"/>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2"/>
        </w:trPr>
        <w:tc>
          <w:tcPr>
            <w:tcW w:w="404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24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center"/>
              <w:ind w:right="121"/>
              <w:spacing w:after="0"/>
              <w:rPr>
                <w:sz w:val="20"/>
                <w:szCs w:val="20"/>
                <w:color w:val="auto"/>
              </w:rPr>
            </w:pPr>
            <w:r>
              <w:rPr>
                <w:rFonts w:ascii="Arial" w:cs="Arial" w:eastAsia="Arial" w:hAnsi="Arial"/>
                <w:sz w:val="11"/>
                <w:szCs w:val="11"/>
                <w:b w:val="1"/>
                <w:bCs w:val="1"/>
                <w:color w:val="auto"/>
                <w:w w:val="92"/>
              </w:rPr>
              <w:t>Management</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vMerge w:val="continue"/>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40" w:type="dxa"/>
            <w:vAlign w:val="bottom"/>
            <w:shd w:val="clear" w:color="auto" w:fill="CCEEFF"/>
          </w:tcPr>
          <w:p>
            <w:pPr>
              <w:spacing w:after="0"/>
              <w:rPr>
                <w:sz w:val="20"/>
                <w:szCs w:val="20"/>
                <w:color w:val="auto"/>
              </w:rPr>
            </w:pPr>
            <w:r>
              <w:rPr>
                <w:rFonts w:ascii="Arial" w:cs="Arial" w:eastAsia="Arial" w:hAnsi="Arial"/>
                <w:sz w:val="12"/>
                <w:szCs w:val="12"/>
                <w:color w:val="auto"/>
              </w:rPr>
              <w:t>Sale of vacation ownership products</w:t>
            </w: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296</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600" w:type="dxa"/>
            <w:vAlign w:val="bottom"/>
            <w:gridSpan w:val="2"/>
            <w:shd w:val="clear" w:color="auto" w:fill="CCEEFF"/>
          </w:tcPr>
          <w:p>
            <w:pPr>
              <w:ind w:left="136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w w:val="89"/>
              </w:rPr>
              <w:t>$</w:t>
            </w: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296</w:t>
            </w:r>
          </w:p>
        </w:tc>
        <w:tc>
          <w:tcPr>
            <w:tcW w:w="0" w:type="dxa"/>
            <w:vAlign w:val="bottom"/>
          </w:tcPr>
          <w:p>
            <w:pPr>
              <w:spacing w:after="0"/>
              <w:rPr>
                <w:sz w:val="1"/>
                <w:szCs w:val="1"/>
                <w:color w:val="auto"/>
              </w:rPr>
            </w:pPr>
          </w:p>
        </w:tc>
      </w:tr>
      <w:tr>
        <w:trPr>
          <w:trHeight w:val="180"/>
        </w:trPr>
        <w:tc>
          <w:tcPr>
            <w:tcW w:w="4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40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Ancillary revenues</w:t>
            </w:r>
          </w:p>
        </w:tc>
        <w:tc>
          <w:tcPr>
            <w:tcW w:w="24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0" w:type="dxa"/>
            <w:vAlign w:val="bottom"/>
            <w:gridSpan w:val="2"/>
            <w:shd w:val="clear" w:color="auto" w:fill="CCEEFF"/>
          </w:tcPr>
          <w:p>
            <w:pPr>
              <w:ind w:left="136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53</w:t>
            </w:r>
          </w:p>
        </w:tc>
        <w:tc>
          <w:tcPr>
            <w:tcW w:w="0" w:type="dxa"/>
            <w:vAlign w:val="bottom"/>
          </w:tcPr>
          <w:p>
            <w:pPr>
              <w:spacing w:after="0"/>
              <w:rPr>
                <w:sz w:val="1"/>
                <w:szCs w:val="1"/>
                <w:color w:val="auto"/>
              </w:rPr>
            </w:pPr>
          </w:p>
        </w:tc>
      </w:tr>
      <w:tr>
        <w:trPr>
          <w:trHeight w:val="153"/>
        </w:trPr>
        <w:tc>
          <w:tcPr>
            <w:tcW w:w="4040" w:type="dxa"/>
            <w:vAlign w:val="bottom"/>
          </w:tcPr>
          <w:p>
            <w:pPr>
              <w:ind w:left="140"/>
              <w:spacing w:after="0"/>
              <w:rPr>
                <w:sz w:val="20"/>
                <w:szCs w:val="20"/>
                <w:color w:val="auto"/>
              </w:rPr>
            </w:pPr>
            <w:r>
              <w:rPr>
                <w:rFonts w:ascii="Arial" w:cs="Arial" w:eastAsia="Arial" w:hAnsi="Arial"/>
                <w:sz w:val="12"/>
                <w:szCs w:val="12"/>
                <w:color w:val="auto"/>
              </w:rPr>
              <w:t>Management fee revenues</w:t>
            </w:r>
          </w:p>
        </w:tc>
        <w:tc>
          <w:tcPr>
            <w:tcW w:w="24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39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9</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(5)</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jc w:val="right"/>
              <w:ind w:right="1"/>
              <w:spacing w:after="0"/>
              <w:rPr>
                <w:sz w:val="20"/>
                <w:szCs w:val="20"/>
                <w:color w:val="auto"/>
              </w:rPr>
            </w:pPr>
            <w:r>
              <w:rPr>
                <w:rFonts w:ascii="Arial" w:cs="Arial" w:eastAsia="Arial" w:hAnsi="Arial"/>
                <w:sz w:val="12"/>
                <w:szCs w:val="12"/>
                <w:color w:val="auto"/>
              </w:rPr>
              <w:t>43</w:t>
            </w:r>
          </w:p>
        </w:tc>
        <w:tc>
          <w:tcPr>
            <w:tcW w:w="0" w:type="dxa"/>
            <w:vAlign w:val="bottom"/>
          </w:tcPr>
          <w:p>
            <w:pPr>
              <w:spacing w:after="0"/>
              <w:rPr>
                <w:sz w:val="1"/>
                <w:szCs w:val="1"/>
                <w:color w:val="auto"/>
              </w:rPr>
            </w:pPr>
          </w:p>
        </w:tc>
      </w:tr>
      <w:tr>
        <w:trPr>
          <w:trHeight w:val="153"/>
        </w:trPr>
        <w:tc>
          <w:tcPr>
            <w:tcW w:w="40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Exchange and other services revenues</w:t>
            </w:r>
          </w:p>
        </w:tc>
        <w:tc>
          <w:tcPr>
            <w:tcW w:w="24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w:t>
            </w: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50</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520" w:type="dxa"/>
            <w:vAlign w:val="bottom"/>
            <w:tcBorders>
              <w:bottom w:val="single" w:sz="8" w:color="auto"/>
            </w:tcBorders>
            <w:shd w:val="clear" w:color="auto" w:fill="CCEEFF"/>
          </w:tcPr>
          <w:p>
            <w:pPr>
              <w:ind w:left="1360"/>
              <w:spacing w:after="0"/>
              <w:rPr>
                <w:sz w:val="20"/>
                <w:szCs w:val="20"/>
                <w:color w:val="auto"/>
              </w:rPr>
            </w:pPr>
            <w:r>
              <w:rPr>
                <w:rFonts w:ascii="Arial" w:cs="Arial" w:eastAsia="Arial" w:hAnsi="Arial"/>
                <w:sz w:val="12"/>
                <w:szCs w:val="12"/>
                <w:color w:val="auto"/>
              </w:rPr>
              <w:t>42</w:t>
            </w:r>
          </w:p>
        </w:tc>
        <w:tc>
          <w:tcPr>
            <w:tcW w:w="8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124</w:t>
            </w:r>
          </w:p>
        </w:tc>
        <w:tc>
          <w:tcPr>
            <w:tcW w:w="0" w:type="dxa"/>
            <w:vAlign w:val="bottom"/>
          </w:tcPr>
          <w:p>
            <w:pPr>
              <w:spacing w:after="0"/>
              <w:rPr>
                <w:sz w:val="1"/>
                <w:szCs w:val="1"/>
                <w:color w:val="auto"/>
              </w:rPr>
            </w:pPr>
          </w:p>
        </w:tc>
      </w:tr>
      <w:tr>
        <w:trPr>
          <w:trHeight w:val="142"/>
        </w:trPr>
        <w:tc>
          <w:tcPr>
            <w:tcW w:w="4040" w:type="dxa"/>
            <w:vAlign w:val="bottom"/>
          </w:tcPr>
          <w:p>
            <w:pPr>
              <w:spacing w:after="0"/>
              <w:rPr>
                <w:sz w:val="20"/>
                <w:szCs w:val="20"/>
                <w:color w:val="auto"/>
              </w:rPr>
            </w:pPr>
            <w:r>
              <w:rPr>
                <w:rFonts w:ascii="Arial" w:cs="Arial" w:eastAsia="Arial" w:hAnsi="Arial"/>
                <w:sz w:val="12"/>
                <w:szCs w:val="12"/>
                <w:color w:val="auto"/>
              </w:rPr>
              <w:t>Management and exchange</w:t>
            </w:r>
          </w:p>
        </w:tc>
        <w:tc>
          <w:tcPr>
            <w:tcW w:w="24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123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60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tcPr>
          <w:p>
            <w:pPr>
              <w:ind w:left="1360"/>
              <w:spacing w:after="0"/>
              <w:rPr>
                <w:sz w:val="20"/>
                <w:szCs w:val="20"/>
                <w:color w:val="auto"/>
              </w:rPr>
            </w:pPr>
            <w:r>
              <w:rPr>
                <w:rFonts w:ascii="Arial" w:cs="Arial" w:eastAsia="Arial" w:hAnsi="Arial"/>
                <w:sz w:val="12"/>
                <w:szCs w:val="12"/>
                <w:color w:val="auto"/>
              </w:rPr>
              <w:t>37</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tcPr>
          <w:p>
            <w:pPr>
              <w:jc w:val="right"/>
              <w:ind w:right="1"/>
              <w:spacing w:after="0"/>
              <w:rPr>
                <w:sz w:val="20"/>
                <w:szCs w:val="20"/>
                <w:color w:val="auto"/>
              </w:rPr>
            </w:pPr>
            <w:r>
              <w:rPr>
                <w:rFonts w:ascii="Arial" w:cs="Arial" w:eastAsia="Arial" w:hAnsi="Arial"/>
                <w:sz w:val="12"/>
                <w:szCs w:val="12"/>
                <w:color w:val="auto"/>
              </w:rPr>
              <w:t>220</w:t>
            </w:r>
          </w:p>
        </w:tc>
        <w:tc>
          <w:tcPr>
            <w:tcW w:w="0" w:type="dxa"/>
            <w:vAlign w:val="bottom"/>
          </w:tcPr>
          <w:p>
            <w:pPr>
              <w:spacing w:after="0"/>
              <w:rPr>
                <w:sz w:val="1"/>
                <w:szCs w:val="1"/>
                <w:color w:val="auto"/>
              </w:rPr>
            </w:pPr>
          </w:p>
        </w:tc>
      </w:tr>
      <w:tr>
        <w:trPr>
          <w:trHeight w:val="180"/>
        </w:trPr>
        <w:tc>
          <w:tcPr>
            <w:tcW w:w="4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4040" w:type="dxa"/>
            <w:vAlign w:val="bottom"/>
          </w:tcPr>
          <w:p>
            <w:pPr>
              <w:spacing w:after="0"/>
              <w:rPr>
                <w:sz w:val="20"/>
                <w:szCs w:val="20"/>
                <w:color w:val="auto"/>
              </w:rPr>
            </w:pPr>
            <w:r>
              <w:rPr>
                <w:rFonts w:ascii="Arial" w:cs="Arial" w:eastAsia="Arial" w:hAnsi="Arial"/>
                <w:sz w:val="12"/>
                <w:szCs w:val="12"/>
                <w:color w:val="auto"/>
              </w:rPr>
              <w:t>Rental</w:t>
            </w:r>
          </w:p>
        </w:tc>
        <w:tc>
          <w:tcPr>
            <w:tcW w:w="24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110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11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gridSpan w:val="2"/>
          </w:tcPr>
          <w:p>
            <w:pPr>
              <w:ind w:left="1360"/>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3"/>
                <w:szCs w:val="13"/>
                <w:color w:val="auto"/>
              </w:rPr>
            </w:pPr>
          </w:p>
        </w:tc>
        <w:tc>
          <w:tcPr>
            <w:tcW w:w="1340" w:type="dxa"/>
            <w:vAlign w:val="bottom"/>
          </w:tcPr>
          <w:p>
            <w:pPr>
              <w:jc w:val="right"/>
              <w:ind w:right="1"/>
              <w:spacing w:after="0"/>
              <w:rPr>
                <w:sz w:val="20"/>
                <w:szCs w:val="20"/>
                <w:color w:val="auto"/>
              </w:rPr>
            </w:pPr>
            <w:r>
              <w:rPr>
                <w:rFonts w:ascii="Arial" w:cs="Arial" w:eastAsia="Arial" w:hAnsi="Arial"/>
                <w:sz w:val="12"/>
                <w:szCs w:val="12"/>
                <w:color w:val="auto"/>
              </w:rPr>
              <w:t>121</w:t>
            </w:r>
          </w:p>
        </w:tc>
        <w:tc>
          <w:tcPr>
            <w:tcW w:w="0" w:type="dxa"/>
            <w:vAlign w:val="bottom"/>
          </w:tcPr>
          <w:p>
            <w:pPr>
              <w:spacing w:after="0"/>
              <w:rPr>
                <w:sz w:val="1"/>
                <w:szCs w:val="1"/>
                <w:color w:val="auto"/>
              </w:rPr>
            </w:pPr>
          </w:p>
        </w:tc>
      </w:tr>
      <w:tr>
        <w:trPr>
          <w:trHeight w:val="180"/>
        </w:trPr>
        <w:tc>
          <w:tcPr>
            <w:tcW w:w="4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40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Cost reimbursements</w:t>
            </w:r>
          </w:p>
        </w:tc>
        <w:tc>
          <w:tcPr>
            <w:tcW w:w="2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286</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w:t>
            </w:r>
          </w:p>
        </w:tc>
        <w:tc>
          <w:tcPr>
            <w:tcW w:w="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274</w:t>
            </w:r>
          </w:p>
        </w:tc>
        <w:tc>
          <w:tcPr>
            <w:tcW w:w="0" w:type="dxa"/>
            <w:vAlign w:val="bottom"/>
          </w:tcPr>
          <w:p>
            <w:pPr>
              <w:spacing w:after="0"/>
              <w:rPr>
                <w:sz w:val="1"/>
                <w:szCs w:val="1"/>
                <w:color w:val="auto"/>
              </w:rPr>
            </w:pPr>
          </w:p>
        </w:tc>
      </w:tr>
      <w:tr>
        <w:trPr>
          <w:trHeight w:val="142"/>
        </w:trPr>
        <w:tc>
          <w:tcPr>
            <w:tcW w:w="40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Revenue from contracts with customers</w:t>
            </w:r>
          </w:p>
        </w:tc>
        <w:tc>
          <w:tcPr>
            <w:tcW w:w="24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815</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20" w:type="dxa"/>
            <w:vAlign w:val="bottom"/>
            <w:shd w:val="clear" w:color="auto" w:fill="CCEEFF"/>
          </w:tcPr>
          <w:p>
            <w:pPr>
              <w:ind w:left="1360"/>
              <w:spacing w:after="0"/>
              <w:rPr>
                <w:sz w:val="20"/>
                <w:szCs w:val="20"/>
                <w:color w:val="auto"/>
              </w:rPr>
            </w:pPr>
            <w:r>
              <w:rPr>
                <w:rFonts w:ascii="Arial" w:cs="Arial" w:eastAsia="Arial" w:hAnsi="Arial"/>
                <w:sz w:val="12"/>
                <w:szCs w:val="12"/>
                <w:color w:val="auto"/>
              </w:rPr>
              <w:t>10</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911</w:t>
            </w:r>
          </w:p>
        </w:tc>
        <w:tc>
          <w:tcPr>
            <w:tcW w:w="0" w:type="dxa"/>
            <w:vAlign w:val="bottom"/>
          </w:tcPr>
          <w:p>
            <w:pPr>
              <w:spacing w:after="0"/>
              <w:rPr>
                <w:sz w:val="1"/>
                <w:szCs w:val="1"/>
                <w:color w:val="auto"/>
              </w:rPr>
            </w:pPr>
          </w:p>
        </w:tc>
      </w:tr>
      <w:tr>
        <w:trPr>
          <w:trHeight w:val="180"/>
        </w:trPr>
        <w:tc>
          <w:tcPr>
            <w:tcW w:w="4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4040" w:type="dxa"/>
            <w:vAlign w:val="bottom"/>
            <w:shd w:val="clear" w:color="auto" w:fill="CCEEFF"/>
          </w:tcPr>
          <w:p>
            <w:pPr>
              <w:spacing w:after="0"/>
              <w:rPr>
                <w:sz w:val="20"/>
                <w:szCs w:val="20"/>
                <w:color w:val="auto"/>
              </w:rPr>
            </w:pPr>
            <w:r>
              <w:rPr>
                <w:rFonts w:ascii="Arial" w:cs="Arial" w:eastAsia="Arial" w:hAnsi="Arial"/>
                <w:sz w:val="12"/>
                <w:szCs w:val="12"/>
                <w:color w:val="auto"/>
              </w:rPr>
              <w:t>Financing</w:t>
            </w:r>
          </w:p>
        </w:tc>
        <w:tc>
          <w:tcPr>
            <w:tcW w:w="24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68</w:t>
            </w: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520" w:type="dxa"/>
            <w:vAlign w:val="bottom"/>
            <w:tcBorders>
              <w:bottom w:val="single" w:sz="8" w:color="auto"/>
            </w:tcBorders>
            <w:shd w:val="clear" w:color="auto" w:fill="CCEEFF"/>
          </w:tcPr>
          <w:p>
            <w:pPr>
              <w:ind w:left="13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68</w:t>
            </w:r>
          </w:p>
        </w:tc>
        <w:tc>
          <w:tcPr>
            <w:tcW w:w="0" w:type="dxa"/>
            <w:vAlign w:val="bottom"/>
          </w:tcPr>
          <w:p>
            <w:pPr>
              <w:spacing w:after="0"/>
              <w:rPr>
                <w:sz w:val="1"/>
                <w:szCs w:val="1"/>
                <w:color w:val="auto"/>
              </w:rPr>
            </w:pPr>
          </w:p>
        </w:tc>
      </w:tr>
      <w:tr>
        <w:trPr>
          <w:trHeight w:val="142"/>
        </w:trPr>
        <w:tc>
          <w:tcPr>
            <w:tcW w:w="4040" w:type="dxa"/>
            <w:vAlign w:val="bottom"/>
          </w:tcPr>
          <w:p>
            <w:pPr>
              <w:ind w:left="140"/>
              <w:spacing w:after="0"/>
              <w:rPr>
                <w:sz w:val="20"/>
                <w:szCs w:val="20"/>
                <w:color w:val="auto"/>
              </w:rPr>
            </w:pPr>
            <w:r>
              <w:rPr>
                <w:rFonts w:ascii="Arial" w:cs="Arial" w:eastAsia="Arial" w:hAnsi="Arial"/>
                <w:sz w:val="12"/>
                <w:szCs w:val="12"/>
                <w:color w:val="auto"/>
              </w:rPr>
              <w:t>Total Revenues</w:t>
            </w:r>
          </w:p>
        </w:tc>
        <w:tc>
          <w:tcPr>
            <w:tcW w:w="2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883</w:t>
            </w:r>
          </w:p>
        </w:tc>
        <w:tc>
          <w:tcPr>
            <w:tcW w:w="100" w:type="dxa"/>
            <w:vAlign w:val="bottom"/>
          </w:tcPr>
          <w:p>
            <w:pPr>
              <w:spacing w:after="0"/>
              <w:rPr>
                <w:sz w:val="12"/>
                <w:szCs w:val="12"/>
                <w:color w:val="auto"/>
              </w:rPr>
            </w:pPr>
          </w:p>
        </w:tc>
        <w:tc>
          <w:tcPr>
            <w:tcW w:w="1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86</w:t>
            </w:r>
          </w:p>
        </w:tc>
        <w:tc>
          <w:tcPr>
            <w:tcW w:w="100" w:type="dxa"/>
            <w:vAlign w:val="bottom"/>
          </w:tcPr>
          <w:p>
            <w:pPr>
              <w:spacing w:after="0"/>
              <w:rPr>
                <w:sz w:val="12"/>
                <w:szCs w:val="12"/>
                <w:color w:val="auto"/>
              </w:rPr>
            </w:pPr>
          </w:p>
        </w:tc>
        <w:tc>
          <w:tcPr>
            <w:tcW w:w="2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1520" w:type="dxa"/>
            <w:vAlign w:val="bottom"/>
            <w:tcBorders>
              <w:bottom w:val="single" w:sz="8" w:color="auto"/>
            </w:tcBorders>
          </w:tcPr>
          <w:p>
            <w:pPr>
              <w:ind w:left="1360"/>
              <w:spacing w:after="0"/>
              <w:rPr>
                <w:sz w:val="20"/>
                <w:szCs w:val="20"/>
                <w:color w:val="auto"/>
              </w:rPr>
            </w:pPr>
            <w:r>
              <w:rPr>
                <w:rFonts w:ascii="Arial" w:cs="Arial" w:eastAsia="Arial" w:hAnsi="Arial"/>
                <w:sz w:val="12"/>
                <w:szCs w:val="12"/>
                <w:color w:val="auto"/>
              </w:rPr>
              <w:t>10</w:t>
            </w:r>
          </w:p>
        </w:tc>
        <w:tc>
          <w:tcPr>
            <w:tcW w:w="80" w:type="dxa"/>
            <w:vAlign w:val="bottom"/>
          </w:tcPr>
          <w:p>
            <w:pPr>
              <w:spacing w:after="0"/>
              <w:rPr>
                <w:sz w:val="12"/>
                <w:szCs w:val="12"/>
                <w:color w:val="auto"/>
              </w:rPr>
            </w:pPr>
          </w:p>
        </w:tc>
        <w:tc>
          <w:tcPr>
            <w:tcW w:w="42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color w:val="auto"/>
                <w:w w:val="89"/>
              </w:rPr>
              <w:t>$</w:t>
            </w: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979</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40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5"/>
          </w:tcPr>
          <w:p>
            <w:pPr>
              <w:ind w:left="800"/>
              <w:spacing w:after="0"/>
              <w:rPr>
                <w:sz w:val="20"/>
                <w:szCs w:val="20"/>
                <w:color w:val="auto"/>
              </w:rPr>
            </w:pPr>
            <w:r>
              <w:rPr>
                <w:rFonts w:ascii="Arial" w:cs="Arial" w:eastAsia="Arial" w:hAnsi="Arial"/>
                <w:sz w:val="11"/>
                <w:szCs w:val="11"/>
                <w:b w:val="1"/>
                <w:bCs w:val="1"/>
                <w:color w:val="auto"/>
              </w:rPr>
              <w:t>Three Months Ended June 30, 2020</w:t>
            </w:r>
          </w:p>
        </w:tc>
        <w:tc>
          <w:tcPr>
            <w:tcW w:w="4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40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500" w:type="dxa"/>
            <w:vAlign w:val="bottom"/>
            <w:vMerge w:val="restart"/>
          </w:tcPr>
          <w:p>
            <w:pPr>
              <w:jc w:val="right"/>
              <w:ind w:right="341"/>
              <w:spacing w:after="0"/>
              <w:rPr>
                <w:sz w:val="20"/>
                <w:szCs w:val="20"/>
                <w:color w:val="auto"/>
              </w:rPr>
            </w:pPr>
            <w:r>
              <w:rPr>
                <w:rFonts w:ascii="Arial" w:cs="Arial" w:eastAsia="Arial" w:hAnsi="Arial"/>
                <w:sz w:val="11"/>
                <w:szCs w:val="11"/>
                <w:b w:val="1"/>
                <w:bCs w:val="1"/>
                <w:color w:val="auto"/>
              </w:rPr>
              <w:t>Vacation Ownership</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60" w:type="dxa"/>
            <w:vAlign w:val="bottom"/>
            <w:gridSpan w:val="2"/>
          </w:tcPr>
          <w:p>
            <w:pPr>
              <w:jc w:val="center"/>
              <w:ind w:right="260"/>
              <w:spacing w:after="0" w:line="99" w:lineRule="exact"/>
              <w:rPr>
                <w:sz w:val="20"/>
                <w:szCs w:val="20"/>
                <w:color w:val="auto"/>
              </w:rPr>
            </w:pPr>
            <w:r>
              <w:rPr>
                <w:rFonts w:ascii="Arial" w:cs="Arial" w:eastAsia="Arial" w:hAnsi="Arial"/>
                <w:sz w:val="11"/>
                <w:szCs w:val="11"/>
                <w:b w:val="1"/>
                <w:bCs w:val="1"/>
                <w:color w:val="auto"/>
                <w:w w:val="92"/>
              </w:rPr>
              <w:t>Exchange &amp; Third-Party</w:t>
            </w:r>
          </w:p>
        </w:tc>
        <w:tc>
          <w:tcPr>
            <w:tcW w:w="220" w:type="dxa"/>
            <w:vAlign w:val="bottom"/>
          </w:tcPr>
          <w:p>
            <w:pPr>
              <w:spacing w:after="0"/>
              <w:rPr>
                <w:sz w:val="8"/>
                <w:szCs w:val="8"/>
                <w:color w:val="auto"/>
              </w:rPr>
            </w:pPr>
          </w:p>
        </w:tc>
        <w:tc>
          <w:tcPr>
            <w:tcW w:w="152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Corporate and Other</w:t>
            </w:r>
          </w:p>
        </w:tc>
        <w:tc>
          <w:tcPr>
            <w:tcW w:w="80" w:type="dxa"/>
            <w:vAlign w:val="bottom"/>
            <w:vMerge w:val="restart"/>
          </w:tcPr>
          <w:p>
            <w:pPr>
              <w:spacing w:after="0"/>
              <w:rPr>
                <w:sz w:val="8"/>
                <w:szCs w:val="8"/>
                <w:color w:val="auto"/>
              </w:rPr>
            </w:pPr>
          </w:p>
        </w:tc>
        <w:tc>
          <w:tcPr>
            <w:tcW w:w="420" w:type="dxa"/>
            <w:vAlign w:val="bottom"/>
          </w:tcPr>
          <w:p>
            <w:pPr>
              <w:spacing w:after="0"/>
              <w:rPr>
                <w:sz w:val="8"/>
                <w:szCs w:val="8"/>
                <w:color w:val="auto"/>
              </w:rPr>
            </w:pPr>
          </w:p>
        </w:tc>
        <w:tc>
          <w:tcPr>
            <w:tcW w:w="1340" w:type="dxa"/>
            <w:vAlign w:val="bottom"/>
            <w:vMerge w:val="restart"/>
          </w:tcPr>
          <w:p>
            <w:pPr>
              <w:jc w:val="right"/>
              <w:ind w:right="701"/>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2"/>
        </w:trPr>
        <w:tc>
          <w:tcPr>
            <w:tcW w:w="404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24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center"/>
              <w:ind w:right="121"/>
              <w:spacing w:after="0"/>
              <w:rPr>
                <w:sz w:val="20"/>
                <w:szCs w:val="20"/>
                <w:color w:val="auto"/>
              </w:rPr>
            </w:pPr>
            <w:r>
              <w:rPr>
                <w:rFonts w:ascii="Arial" w:cs="Arial" w:eastAsia="Arial" w:hAnsi="Arial"/>
                <w:sz w:val="11"/>
                <w:szCs w:val="11"/>
                <w:b w:val="1"/>
                <w:bCs w:val="1"/>
                <w:color w:val="auto"/>
                <w:w w:val="92"/>
              </w:rPr>
              <w:t>Management</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vMerge w:val="continue"/>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40" w:type="dxa"/>
            <w:vAlign w:val="bottom"/>
            <w:shd w:val="clear" w:color="auto" w:fill="CCEEFF"/>
          </w:tcPr>
          <w:p>
            <w:pPr>
              <w:spacing w:after="0"/>
              <w:rPr>
                <w:sz w:val="20"/>
                <w:szCs w:val="20"/>
                <w:color w:val="auto"/>
              </w:rPr>
            </w:pPr>
            <w:r>
              <w:rPr>
                <w:rFonts w:ascii="Arial" w:cs="Arial" w:eastAsia="Arial" w:hAnsi="Arial"/>
                <w:sz w:val="12"/>
                <w:szCs w:val="12"/>
                <w:color w:val="auto"/>
              </w:rPr>
              <w:t>Sale of vacation ownership products</w:t>
            </w: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600" w:type="dxa"/>
            <w:vAlign w:val="bottom"/>
            <w:gridSpan w:val="2"/>
            <w:shd w:val="clear" w:color="auto" w:fill="CCEEFF"/>
          </w:tcPr>
          <w:p>
            <w:pPr>
              <w:ind w:left="136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w w:val="89"/>
              </w:rPr>
              <w:t>$</w:t>
            </w: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53</w:t>
            </w:r>
          </w:p>
        </w:tc>
        <w:tc>
          <w:tcPr>
            <w:tcW w:w="0" w:type="dxa"/>
            <w:vAlign w:val="bottom"/>
          </w:tcPr>
          <w:p>
            <w:pPr>
              <w:spacing w:after="0"/>
              <w:rPr>
                <w:sz w:val="1"/>
                <w:szCs w:val="1"/>
                <w:color w:val="auto"/>
              </w:rPr>
            </w:pPr>
          </w:p>
        </w:tc>
      </w:tr>
      <w:tr>
        <w:trPr>
          <w:trHeight w:val="180"/>
        </w:trPr>
        <w:tc>
          <w:tcPr>
            <w:tcW w:w="4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gridSpan w:val="2"/>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40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Ancillary revenues</w:t>
            </w:r>
          </w:p>
        </w:tc>
        <w:tc>
          <w:tcPr>
            <w:tcW w:w="24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1600" w:type="dxa"/>
            <w:vAlign w:val="bottom"/>
            <w:gridSpan w:val="2"/>
            <w:shd w:val="clear" w:color="auto" w:fill="CCEEFF"/>
          </w:tcPr>
          <w:p>
            <w:pPr>
              <w:ind w:left="136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53"/>
        </w:trPr>
        <w:tc>
          <w:tcPr>
            <w:tcW w:w="4040" w:type="dxa"/>
            <w:vAlign w:val="bottom"/>
          </w:tcPr>
          <w:p>
            <w:pPr>
              <w:ind w:left="140"/>
              <w:spacing w:after="0"/>
              <w:rPr>
                <w:sz w:val="20"/>
                <w:szCs w:val="20"/>
                <w:color w:val="auto"/>
              </w:rPr>
            </w:pPr>
            <w:r>
              <w:rPr>
                <w:rFonts w:ascii="Arial" w:cs="Arial" w:eastAsia="Arial" w:hAnsi="Arial"/>
                <w:sz w:val="12"/>
                <w:szCs w:val="12"/>
                <w:color w:val="auto"/>
              </w:rPr>
              <w:t>Management fee revenues</w:t>
            </w:r>
          </w:p>
        </w:tc>
        <w:tc>
          <w:tcPr>
            <w:tcW w:w="24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38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(5)</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jc w:val="right"/>
              <w:ind w:right="1"/>
              <w:spacing w:after="0"/>
              <w:rPr>
                <w:sz w:val="20"/>
                <w:szCs w:val="20"/>
                <w:color w:val="auto"/>
              </w:rPr>
            </w:pPr>
            <w:r>
              <w:rPr>
                <w:rFonts w:ascii="Arial" w:cs="Arial" w:eastAsia="Arial" w:hAnsi="Arial"/>
                <w:sz w:val="12"/>
                <w:szCs w:val="12"/>
                <w:color w:val="auto"/>
              </w:rPr>
              <w:t>33</w:t>
            </w:r>
          </w:p>
        </w:tc>
        <w:tc>
          <w:tcPr>
            <w:tcW w:w="0" w:type="dxa"/>
            <w:vAlign w:val="bottom"/>
          </w:tcPr>
          <w:p>
            <w:pPr>
              <w:spacing w:after="0"/>
              <w:rPr>
                <w:sz w:val="1"/>
                <w:szCs w:val="1"/>
                <w:color w:val="auto"/>
              </w:rPr>
            </w:pPr>
          </w:p>
        </w:tc>
      </w:tr>
      <w:tr>
        <w:trPr>
          <w:trHeight w:val="153"/>
        </w:trPr>
        <w:tc>
          <w:tcPr>
            <w:tcW w:w="40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Exchange and other services revenues</w:t>
            </w:r>
          </w:p>
        </w:tc>
        <w:tc>
          <w:tcPr>
            <w:tcW w:w="24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w:t>
            </w: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520" w:type="dxa"/>
            <w:vAlign w:val="bottom"/>
            <w:tcBorders>
              <w:bottom w:val="single" w:sz="8" w:color="auto"/>
            </w:tcBorders>
            <w:shd w:val="clear" w:color="auto" w:fill="CCEEFF"/>
          </w:tcPr>
          <w:p>
            <w:pPr>
              <w:ind w:left="1360"/>
              <w:spacing w:after="0"/>
              <w:rPr>
                <w:sz w:val="20"/>
                <w:szCs w:val="20"/>
                <w:color w:val="auto"/>
              </w:rPr>
            </w:pPr>
            <w:r>
              <w:rPr>
                <w:rFonts w:ascii="Arial" w:cs="Arial" w:eastAsia="Arial" w:hAnsi="Arial"/>
                <w:sz w:val="12"/>
                <w:szCs w:val="12"/>
                <w:color w:val="auto"/>
              </w:rPr>
              <w:t>38</w:t>
            </w:r>
          </w:p>
        </w:tc>
        <w:tc>
          <w:tcPr>
            <w:tcW w:w="8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106</w:t>
            </w:r>
          </w:p>
        </w:tc>
        <w:tc>
          <w:tcPr>
            <w:tcW w:w="0" w:type="dxa"/>
            <w:vAlign w:val="bottom"/>
          </w:tcPr>
          <w:p>
            <w:pPr>
              <w:spacing w:after="0"/>
              <w:rPr>
                <w:sz w:val="1"/>
                <w:szCs w:val="1"/>
                <w:color w:val="auto"/>
              </w:rPr>
            </w:pPr>
          </w:p>
        </w:tc>
      </w:tr>
      <w:tr>
        <w:trPr>
          <w:trHeight w:val="142"/>
        </w:trPr>
        <w:tc>
          <w:tcPr>
            <w:tcW w:w="4040" w:type="dxa"/>
            <w:vAlign w:val="bottom"/>
          </w:tcPr>
          <w:p>
            <w:pPr>
              <w:spacing w:after="0"/>
              <w:rPr>
                <w:sz w:val="20"/>
                <w:szCs w:val="20"/>
                <w:color w:val="auto"/>
              </w:rPr>
            </w:pPr>
            <w:r>
              <w:rPr>
                <w:rFonts w:ascii="Arial" w:cs="Arial" w:eastAsia="Arial" w:hAnsi="Arial"/>
                <w:sz w:val="12"/>
                <w:szCs w:val="12"/>
                <w:color w:val="auto"/>
              </w:rPr>
              <w:t>Management and exchange</w:t>
            </w:r>
          </w:p>
        </w:tc>
        <w:tc>
          <w:tcPr>
            <w:tcW w:w="24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73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39</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tcPr>
          <w:p>
            <w:pPr>
              <w:ind w:left="1360"/>
              <w:spacing w:after="0"/>
              <w:rPr>
                <w:sz w:val="20"/>
                <w:szCs w:val="20"/>
                <w:color w:val="auto"/>
              </w:rPr>
            </w:pPr>
            <w:r>
              <w:rPr>
                <w:rFonts w:ascii="Arial" w:cs="Arial" w:eastAsia="Arial" w:hAnsi="Arial"/>
                <w:sz w:val="12"/>
                <w:szCs w:val="12"/>
                <w:color w:val="auto"/>
              </w:rPr>
              <w:t>33</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tcPr>
          <w:p>
            <w:pPr>
              <w:jc w:val="right"/>
              <w:ind w:right="1"/>
              <w:spacing w:after="0"/>
              <w:rPr>
                <w:sz w:val="20"/>
                <w:szCs w:val="20"/>
                <w:color w:val="auto"/>
              </w:rPr>
            </w:pPr>
            <w:r>
              <w:rPr>
                <w:rFonts w:ascii="Arial" w:cs="Arial" w:eastAsia="Arial" w:hAnsi="Arial"/>
                <w:sz w:val="12"/>
                <w:szCs w:val="12"/>
                <w:color w:val="auto"/>
              </w:rPr>
              <w:t>145</w:t>
            </w:r>
          </w:p>
        </w:tc>
        <w:tc>
          <w:tcPr>
            <w:tcW w:w="0" w:type="dxa"/>
            <w:vAlign w:val="bottom"/>
          </w:tcPr>
          <w:p>
            <w:pPr>
              <w:spacing w:after="0"/>
              <w:rPr>
                <w:sz w:val="1"/>
                <w:szCs w:val="1"/>
                <w:color w:val="auto"/>
              </w:rPr>
            </w:pPr>
          </w:p>
        </w:tc>
      </w:tr>
      <w:tr>
        <w:trPr>
          <w:trHeight w:val="180"/>
        </w:trPr>
        <w:tc>
          <w:tcPr>
            <w:tcW w:w="4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4040" w:type="dxa"/>
            <w:vAlign w:val="bottom"/>
          </w:tcPr>
          <w:p>
            <w:pPr>
              <w:spacing w:after="0"/>
              <w:rPr>
                <w:sz w:val="20"/>
                <w:szCs w:val="20"/>
                <w:color w:val="auto"/>
              </w:rPr>
            </w:pPr>
            <w:r>
              <w:rPr>
                <w:rFonts w:ascii="Arial" w:cs="Arial" w:eastAsia="Arial" w:hAnsi="Arial"/>
                <w:sz w:val="12"/>
                <w:szCs w:val="12"/>
                <w:color w:val="auto"/>
              </w:rPr>
              <w:t>Rental</w:t>
            </w:r>
          </w:p>
        </w:tc>
        <w:tc>
          <w:tcPr>
            <w:tcW w:w="24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12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gridSpan w:val="2"/>
          </w:tcPr>
          <w:p>
            <w:pPr>
              <w:ind w:left="1360"/>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3"/>
                <w:szCs w:val="13"/>
                <w:color w:val="auto"/>
              </w:rPr>
            </w:pPr>
          </w:p>
        </w:tc>
        <w:tc>
          <w:tcPr>
            <w:tcW w:w="1340" w:type="dxa"/>
            <w:vAlign w:val="bottom"/>
          </w:tcPr>
          <w:p>
            <w:pPr>
              <w:jc w:val="right"/>
              <w:ind w:right="1"/>
              <w:spacing w:after="0"/>
              <w:rPr>
                <w:sz w:val="20"/>
                <w:szCs w:val="20"/>
                <w:color w:val="auto"/>
              </w:rPr>
            </w:pPr>
            <w:r>
              <w:rPr>
                <w:rFonts w:ascii="Arial" w:cs="Arial" w:eastAsia="Arial" w:hAnsi="Arial"/>
                <w:sz w:val="12"/>
                <w:szCs w:val="12"/>
                <w:color w:val="auto"/>
              </w:rPr>
              <w:t>18</w:t>
            </w:r>
          </w:p>
        </w:tc>
        <w:tc>
          <w:tcPr>
            <w:tcW w:w="0" w:type="dxa"/>
            <w:vAlign w:val="bottom"/>
          </w:tcPr>
          <w:p>
            <w:pPr>
              <w:spacing w:after="0"/>
              <w:rPr>
                <w:sz w:val="1"/>
                <w:szCs w:val="1"/>
                <w:color w:val="auto"/>
              </w:rPr>
            </w:pPr>
          </w:p>
        </w:tc>
      </w:tr>
      <w:tr>
        <w:trPr>
          <w:trHeight w:val="180"/>
        </w:trPr>
        <w:tc>
          <w:tcPr>
            <w:tcW w:w="4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40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Cost reimbursements</w:t>
            </w:r>
          </w:p>
        </w:tc>
        <w:tc>
          <w:tcPr>
            <w:tcW w:w="2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198</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w:t>
            </w:r>
          </w:p>
        </w:tc>
        <w:tc>
          <w:tcPr>
            <w:tcW w:w="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194</w:t>
            </w:r>
          </w:p>
        </w:tc>
        <w:tc>
          <w:tcPr>
            <w:tcW w:w="0" w:type="dxa"/>
            <w:vAlign w:val="bottom"/>
          </w:tcPr>
          <w:p>
            <w:pPr>
              <w:spacing w:after="0"/>
              <w:rPr>
                <w:sz w:val="1"/>
                <w:szCs w:val="1"/>
                <w:color w:val="auto"/>
              </w:rPr>
            </w:pPr>
          </w:p>
        </w:tc>
      </w:tr>
      <w:tr>
        <w:trPr>
          <w:trHeight w:val="142"/>
        </w:trPr>
        <w:tc>
          <w:tcPr>
            <w:tcW w:w="40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Revenue from contracts with customers</w:t>
            </w:r>
          </w:p>
        </w:tc>
        <w:tc>
          <w:tcPr>
            <w:tcW w:w="24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336</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20" w:type="dxa"/>
            <w:vAlign w:val="bottom"/>
            <w:shd w:val="clear" w:color="auto" w:fill="CCEEFF"/>
          </w:tcPr>
          <w:p>
            <w:pPr>
              <w:ind w:left="1360"/>
              <w:spacing w:after="0"/>
              <w:rPr>
                <w:sz w:val="20"/>
                <w:szCs w:val="20"/>
                <w:color w:val="auto"/>
              </w:rPr>
            </w:pPr>
            <w:r>
              <w:rPr>
                <w:rFonts w:ascii="Arial" w:cs="Arial" w:eastAsia="Arial" w:hAnsi="Arial"/>
                <w:sz w:val="12"/>
                <w:szCs w:val="12"/>
                <w:color w:val="auto"/>
              </w:rPr>
              <w:t>17</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410</w:t>
            </w:r>
          </w:p>
        </w:tc>
        <w:tc>
          <w:tcPr>
            <w:tcW w:w="0" w:type="dxa"/>
            <w:vAlign w:val="bottom"/>
          </w:tcPr>
          <w:p>
            <w:pPr>
              <w:spacing w:after="0"/>
              <w:rPr>
                <w:sz w:val="1"/>
                <w:szCs w:val="1"/>
                <w:color w:val="auto"/>
              </w:rPr>
            </w:pPr>
          </w:p>
        </w:tc>
      </w:tr>
      <w:tr>
        <w:trPr>
          <w:trHeight w:val="180"/>
        </w:trPr>
        <w:tc>
          <w:tcPr>
            <w:tcW w:w="4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gridSpan w:val="2"/>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4040" w:type="dxa"/>
            <w:vAlign w:val="bottom"/>
            <w:shd w:val="clear" w:color="auto" w:fill="CCEEFF"/>
          </w:tcPr>
          <w:p>
            <w:pPr>
              <w:spacing w:after="0"/>
              <w:rPr>
                <w:sz w:val="20"/>
                <w:szCs w:val="20"/>
                <w:color w:val="auto"/>
              </w:rPr>
            </w:pPr>
            <w:r>
              <w:rPr>
                <w:rFonts w:ascii="Arial" w:cs="Arial" w:eastAsia="Arial" w:hAnsi="Arial"/>
                <w:sz w:val="12"/>
                <w:szCs w:val="12"/>
                <w:color w:val="auto"/>
              </w:rPr>
              <w:t>Financing</w:t>
            </w:r>
          </w:p>
        </w:tc>
        <w:tc>
          <w:tcPr>
            <w:tcW w:w="24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69</w:t>
            </w: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520" w:type="dxa"/>
            <w:vAlign w:val="bottom"/>
            <w:tcBorders>
              <w:bottom w:val="single" w:sz="8" w:color="auto"/>
            </w:tcBorders>
            <w:shd w:val="clear" w:color="auto" w:fill="CCEEFF"/>
          </w:tcPr>
          <w:p>
            <w:pPr>
              <w:ind w:left="13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70</w:t>
            </w:r>
          </w:p>
        </w:tc>
        <w:tc>
          <w:tcPr>
            <w:tcW w:w="0" w:type="dxa"/>
            <w:vAlign w:val="bottom"/>
          </w:tcPr>
          <w:p>
            <w:pPr>
              <w:spacing w:after="0"/>
              <w:rPr>
                <w:sz w:val="1"/>
                <w:szCs w:val="1"/>
                <w:color w:val="auto"/>
              </w:rPr>
            </w:pPr>
          </w:p>
        </w:tc>
      </w:tr>
      <w:tr>
        <w:trPr>
          <w:trHeight w:val="142"/>
        </w:trPr>
        <w:tc>
          <w:tcPr>
            <w:tcW w:w="4040" w:type="dxa"/>
            <w:vAlign w:val="bottom"/>
          </w:tcPr>
          <w:p>
            <w:pPr>
              <w:ind w:left="140"/>
              <w:spacing w:after="0"/>
              <w:rPr>
                <w:sz w:val="20"/>
                <w:szCs w:val="20"/>
                <w:color w:val="auto"/>
              </w:rPr>
            </w:pPr>
            <w:r>
              <w:rPr>
                <w:rFonts w:ascii="Arial" w:cs="Arial" w:eastAsia="Arial" w:hAnsi="Arial"/>
                <w:sz w:val="12"/>
                <w:szCs w:val="12"/>
                <w:color w:val="auto"/>
              </w:rPr>
              <w:t>Total Revenues</w:t>
            </w:r>
          </w:p>
        </w:tc>
        <w:tc>
          <w:tcPr>
            <w:tcW w:w="2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405</w:t>
            </w:r>
          </w:p>
        </w:tc>
        <w:tc>
          <w:tcPr>
            <w:tcW w:w="100" w:type="dxa"/>
            <w:vAlign w:val="bottom"/>
          </w:tcPr>
          <w:p>
            <w:pPr>
              <w:spacing w:after="0"/>
              <w:rPr>
                <w:sz w:val="12"/>
                <w:szCs w:val="12"/>
                <w:color w:val="auto"/>
              </w:rPr>
            </w:pPr>
          </w:p>
        </w:tc>
        <w:tc>
          <w:tcPr>
            <w:tcW w:w="1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58</w:t>
            </w:r>
          </w:p>
        </w:tc>
        <w:tc>
          <w:tcPr>
            <w:tcW w:w="100" w:type="dxa"/>
            <w:vAlign w:val="bottom"/>
          </w:tcPr>
          <w:p>
            <w:pPr>
              <w:spacing w:after="0"/>
              <w:rPr>
                <w:sz w:val="12"/>
                <w:szCs w:val="12"/>
                <w:color w:val="auto"/>
              </w:rPr>
            </w:pPr>
          </w:p>
        </w:tc>
        <w:tc>
          <w:tcPr>
            <w:tcW w:w="2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1520" w:type="dxa"/>
            <w:vAlign w:val="bottom"/>
            <w:tcBorders>
              <w:bottom w:val="single" w:sz="8" w:color="auto"/>
            </w:tcBorders>
          </w:tcPr>
          <w:p>
            <w:pPr>
              <w:ind w:left="1360"/>
              <w:spacing w:after="0"/>
              <w:rPr>
                <w:sz w:val="20"/>
                <w:szCs w:val="20"/>
                <w:color w:val="auto"/>
              </w:rPr>
            </w:pPr>
            <w:r>
              <w:rPr>
                <w:rFonts w:ascii="Arial" w:cs="Arial" w:eastAsia="Arial" w:hAnsi="Arial"/>
                <w:sz w:val="12"/>
                <w:szCs w:val="12"/>
                <w:color w:val="auto"/>
              </w:rPr>
              <w:t>17</w:t>
            </w:r>
          </w:p>
        </w:tc>
        <w:tc>
          <w:tcPr>
            <w:tcW w:w="80" w:type="dxa"/>
            <w:vAlign w:val="bottom"/>
          </w:tcPr>
          <w:p>
            <w:pPr>
              <w:spacing w:after="0"/>
              <w:rPr>
                <w:sz w:val="12"/>
                <w:szCs w:val="12"/>
                <w:color w:val="auto"/>
              </w:rPr>
            </w:pPr>
          </w:p>
        </w:tc>
        <w:tc>
          <w:tcPr>
            <w:tcW w:w="42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color w:val="auto"/>
                <w:w w:val="89"/>
              </w:rPr>
              <w:t>$</w:t>
            </w: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480</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4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2"/>
                <w:szCs w:val="12"/>
                <w:color w:val="auto"/>
                <w:w w:val="89"/>
              </w:rPr>
              <w:t>12</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40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14" w:name="page15"/>
    <w:bookmarkEnd w:id="14"/>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0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480" w:type="dxa"/>
            <w:vAlign w:val="bottom"/>
            <w:tcBorders>
              <w:bottom w:val="single" w:sz="8" w:color="auto"/>
            </w:tcBorders>
            <w:gridSpan w:val="5"/>
          </w:tcPr>
          <w:p>
            <w:pPr>
              <w:ind w:left="860"/>
              <w:spacing w:after="0"/>
              <w:rPr>
                <w:sz w:val="20"/>
                <w:szCs w:val="20"/>
                <w:color w:val="auto"/>
              </w:rPr>
            </w:pPr>
            <w:r>
              <w:rPr>
                <w:rFonts w:ascii="Arial" w:cs="Arial" w:eastAsia="Arial" w:hAnsi="Arial"/>
                <w:sz w:val="11"/>
                <w:szCs w:val="11"/>
                <w:b w:val="1"/>
                <w:bCs w:val="1"/>
                <w:color w:val="auto"/>
              </w:rPr>
              <w:t>Six Months Ended June 30, 2021</w:t>
            </w:r>
          </w:p>
        </w:tc>
        <w:tc>
          <w:tcPr>
            <w:tcW w:w="4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4040" w:type="dxa"/>
            <w:vAlign w:val="bottom"/>
            <w:vMerge w:val="restart"/>
          </w:tcPr>
          <w:p>
            <w:pPr>
              <w:spacing w:after="0"/>
              <w:rPr>
                <w:sz w:val="20"/>
                <w:szCs w:val="20"/>
                <w:color w:val="auto"/>
              </w:rPr>
            </w:pPr>
            <w:r>
              <w:rPr>
                <w:rFonts w:ascii="Arial" w:cs="Arial" w:eastAsia="Arial" w:hAnsi="Arial"/>
                <w:sz w:val="11"/>
                <w:szCs w:val="11"/>
                <w:b w:val="1"/>
                <w:bCs w:val="1"/>
                <w:i w:val="1"/>
                <w:iCs w:val="1"/>
                <w:color w:val="auto"/>
              </w:rPr>
              <w:t>($ in millions)</w:t>
            </w:r>
          </w:p>
        </w:tc>
        <w:tc>
          <w:tcPr>
            <w:tcW w:w="240" w:type="dxa"/>
            <w:vAlign w:val="bottom"/>
          </w:tcPr>
          <w:p>
            <w:pPr>
              <w:spacing w:after="0"/>
              <w:rPr>
                <w:sz w:val="8"/>
                <w:szCs w:val="8"/>
                <w:color w:val="auto"/>
              </w:rPr>
            </w:pPr>
          </w:p>
        </w:tc>
        <w:tc>
          <w:tcPr>
            <w:tcW w:w="1500" w:type="dxa"/>
            <w:vAlign w:val="bottom"/>
            <w:vMerge w:val="restart"/>
          </w:tcPr>
          <w:p>
            <w:pPr>
              <w:jc w:val="right"/>
              <w:ind w:right="341"/>
              <w:spacing w:after="0"/>
              <w:rPr>
                <w:sz w:val="20"/>
                <w:szCs w:val="20"/>
                <w:color w:val="auto"/>
              </w:rPr>
            </w:pPr>
            <w:r>
              <w:rPr>
                <w:rFonts w:ascii="Arial" w:cs="Arial" w:eastAsia="Arial" w:hAnsi="Arial"/>
                <w:sz w:val="11"/>
                <w:szCs w:val="11"/>
                <w:b w:val="1"/>
                <w:bCs w:val="1"/>
                <w:color w:val="auto"/>
              </w:rPr>
              <w:t>Vacation Ownership</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60" w:type="dxa"/>
            <w:vAlign w:val="bottom"/>
            <w:gridSpan w:val="2"/>
          </w:tcPr>
          <w:p>
            <w:pPr>
              <w:jc w:val="center"/>
              <w:ind w:right="260"/>
              <w:spacing w:after="0" w:line="99" w:lineRule="exact"/>
              <w:rPr>
                <w:sz w:val="20"/>
                <w:szCs w:val="20"/>
                <w:color w:val="auto"/>
              </w:rPr>
            </w:pPr>
            <w:r>
              <w:rPr>
                <w:rFonts w:ascii="Arial" w:cs="Arial" w:eastAsia="Arial" w:hAnsi="Arial"/>
                <w:sz w:val="11"/>
                <w:szCs w:val="11"/>
                <w:b w:val="1"/>
                <w:bCs w:val="1"/>
                <w:color w:val="auto"/>
                <w:w w:val="92"/>
              </w:rPr>
              <w:t>Exchange &amp; Third-Party</w:t>
            </w:r>
          </w:p>
        </w:tc>
        <w:tc>
          <w:tcPr>
            <w:tcW w:w="220" w:type="dxa"/>
            <w:vAlign w:val="bottom"/>
          </w:tcPr>
          <w:p>
            <w:pPr>
              <w:spacing w:after="0"/>
              <w:rPr>
                <w:sz w:val="8"/>
                <w:szCs w:val="8"/>
                <w:color w:val="auto"/>
              </w:rPr>
            </w:pPr>
          </w:p>
        </w:tc>
        <w:tc>
          <w:tcPr>
            <w:tcW w:w="152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Corporate and Other</w:t>
            </w:r>
          </w:p>
        </w:tc>
        <w:tc>
          <w:tcPr>
            <w:tcW w:w="80" w:type="dxa"/>
            <w:vAlign w:val="bottom"/>
            <w:vMerge w:val="restart"/>
          </w:tcPr>
          <w:p>
            <w:pPr>
              <w:spacing w:after="0"/>
              <w:rPr>
                <w:sz w:val="8"/>
                <w:szCs w:val="8"/>
                <w:color w:val="auto"/>
              </w:rPr>
            </w:pPr>
          </w:p>
        </w:tc>
        <w:tc>
          <w:tcPr>
            <w:tcW w:w="420" w:type="dxa"/>
            <w:vAlign w:val="bottom"/>
          </w:tcPr>
          <w:p>
            <w:pPr>
              <w:spacing w:after="0"/>
              <w:rPr>
                <w:sz w:val="8"/>
                <w:szCs w:val="8"/>
                <w:color w:val="auto"/>
              </w:rPr>
            </w:pPr>
          </w:p>
        </w:tc>
        <w:tc>
          <w:tcPr>
            <w:tcW w:w="1340" w:type="dxa"/>
            <w:vAlign w:val="bottom"/>
            <w:vMerge w:val="restart"/>
          </w:tcPr>
          <w:p>
            <w:pPr>
              <w:jc w:val="right"/>
              <w:ind w:right="701"/>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2"/>
        </w:trPr>
        <w:tc>
          <w:tcPr>
            <w:tcW w:w="4040" w:type="dxa"/>
            <w:vAlign w:val="bottom"/>
            <w:tcBorders>
              <w:bottom w:val="single" w:sz="8" w:color="CCEEFF"/>
            </w:tcBorders>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center"/>
              <w:ind w:right="121"/>
              <w:spacing w:after="0"/>
              <w:rPr>
                <w:sz w:val="20"/>
                <w:szCs w:val="20"/>
                <w:color w:val="auto"/>
              </w:rPr>
            </w:pPr>
            <w:r>
              <w:rPr>
                <w:rFonts w:ascii="Arial" w:cs="Arial" w:eastAsia="Arial" w:hAnsi="Arial"/>
                <w:sz w:val="11"/>
                <w:szCs w:val="11"/>
                <w:b w:val="1"/>
                <w:bCs w:val="1"/>
                <w:color w:val="auto"/>
                <w:w w:val="92"/>
              </w:rPr>
              <w:t>Management</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vMerge w:val="continue"/>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40" w:type="dxa"/>
            <w:vAlign w:val="bottom"/>
            <w:shd w:val="clear" w:color="auto" w:fill="CCEEFF"/>
          </w:tcPr>
          <w:p>
            <w:pPr>
              <w:spacing w:after="0"/>
              <w:rPr>
                <w:sz w:val="20"/>
                <w:szCs w:val="20"/>
                <w:color w:val="auto"/>
              </w:rPr>
            </w:pPr>
            <w:r>
              <w:rPr>
                <w:rFonts w:ascii="Arial" w:cs="Arial" w:eastAsia="Arial" w:hAnsi="Arial"/>
                <w:sz w:val="12"/>
                <w:szCs w:val="12"/>
                <w:color w:val="auto"/>
              </w:rPr>
              <w:t>Sale of vacation ownership products</w:t>
            </w: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459</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600" w:type="dxa"/>
            <w:vAlign w:val="bottom"/>
            <w:gridSpan w:val="2"/>
            <w:shd w:val="clear" w:color="auto" w:fill="CCEEFF"/>
          </w:tcPr>
          <w:p>
            <w:pPr>
              <w:ind w:left="136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w w:val="89"/>
              </w:rPr>
              <w:t>$</w:t>
            </w: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459</w:t>
            </w:r>
          </w:p>
        </w:tc>
        <w:tc>
          <w:tcPr>
            <w:tcW w:w="0" w:type="dxa"/>
            <w:vAlign w:val="bottom"/>
          </w:tcPr>
          <w:p>
            <w:pPr>
              <w:spacing w:after="0"/>
              <w:rPr>
                <w:sz w:val="1"/>
                <w:szCs w:val="1"/>
                <w:color w:val="auto"/>
              </w:rPr>
            </w:pPr>
          </w:p>
        </w:tc>
      </w:tr>
      <w:tr>
        <w:trPr>
          <w:trHeight w:val="180"/>
        </w:trPr>
        <w:tc>
          <w:tcPr>
            <w:tcW w:w="4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40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Ancillary revenues</w:t>
            </w:r>
          </w:p>
        </w:tc>
        <w:tc>
          <w:tcPr>
            <w:tcW w:w="24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0" w:type="dxa"/>
            <w:vAlign w:val="bottom"/>
            <w:gridSpan w:val="2"/>
            <w:shd w:val="clear" w:color="auto" w:fill="CCEEFF"/>
          </w:tcPr>
          <w:p>
            <w:pPr>
              <w:ind w:left="136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81</w:t>
            </w:r>
          </w:p>
        </w:tc>
        <w:tc>
          <w:tcPr>
            <w:tcW w:w="0" w:type="dxa"/>
            <w:vAlign w:val="bottom"/>
          </w:tcPr>
          <w:p>
            <w:pPr>
              <w:spacing w:after="0"/>
              <w:rPr>
                <w:sz w:val="1"/>
                <w:szCs w:val="1"/>
                <w:color w:val="auto"/>
              </w:rPr>
            </w:pPr>
          </w:p>
        </w:tc>
      </w:tr>
      <w:tr>
        <w:trPr>
          <w:trHeight w:val="153"/>
        </w:trPr>
        <w:tc>
          <w:tcPr>
            <w:tcW w:w="4040" w:type="dxa"/>
            <w:vAlign w:val="bottom"/>
          </w:tcPr>
          <w:p>
            <w:pPr>
              <w:ind w:left="140"/>
              <w:spacing w:after="0"/>
              <w:rPr>
                <w:sz w:val="20"/>
                <w:szCs w:val="20"/>
                <w:color w:val="auto"/>
              </w:rPr>
            </w:pPr>
            <w:r>
              <w:rPr>
                <w:rFonts w:ascii="Arial" w:cs="Arial" w:eastAsia="Arial" w:hAnsi="Arial"/>
                <w:sz w:val="12"/>
                <w:szCs w:val="12"/>
                <w:color w:val="auto"/>
              </w:rPr>
              <w:t>Management fee revenues</w:t>
            </w:r>
          </w:p>
        </w:tc>
        <w:tc>
          <w:tcPr>
            <w:tcW w:w="24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77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(11)</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jc w:val="right"/>
              <w:ind w:right="1"/>
              <w:spacing w:after="0"/>
              <w:rPr>
                <w:sz w:val="20"/>
                <w:szCs w:val="20"/>
                <w:color w:val="auto"/>
              </w:rPr>
            </w:pPr>
            <w:r>
              <w:rPr>
                <w:rFonts w:ascii="Arial" w:cs="Arial" w:eastAsia="Arial" w:hAnsi="Arial"/>
                <w:sz w:val="12"/>
                <w:szCs w:val="12"/>
                <w:color w:val="auto"/>
              </w:rPr>
              <w:t>80</w:t>
            </w:r>
          </w:p>
        </w:tc>
        <w:tc>
          <w:tcPr>
            <w:tcW w:w="0" w:type="dxa"/>
            <w:vAlign w:val="bottom"/>
          </w:tcPr>
          <w:p>
            <w:pPr>
              <w:spacing w:after="0"/>
              <w:rPr>
                <w:sz w:val="1"/>
                <w:szCs w:val="1"/>
                <w:color w:val="auto"/>
              </w:rPr>
            </w:pPr>
          </w:p>
        </w:tc>
      </w:tr>
      <w:tr>
        <w:trPr>
          <w:trHeight w:val="153"/>
        </w:trPr>
        <w:tc>
          <w:tcPr>
            <w:tcW w:w="40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Exchange and other services revenues</w:t>
            </w:r>
          </w:p>
        </w:tc>
        <w:tc>
          <w:tcPr>
            <w:tcW w:w="24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60</w:t>
            </w: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105</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520" w:type="dxa"/>
            <w:vAlign w:val="bottom"/>
            <w:tcBorders>
              <w:bottom w:val="single" w:sz="8" w:color="auto"/>
            </w:tcBorders>
            <w:shd w:val="clear" w:color="auto" w:fill="CCEEFF"/>
          </w:tcPr>
          <w:p>
            <w:pPr>
              <w:ind w:left="1360"/>
              <w:spacing w:after="0"/>
              <w:rPr>
                <w:sz w:val="20"/>
                <w:szCs w:val="20"/>
                <w:color w:val="auto"/>
              </w:rPr>
            </w:pPr>
            <w:r>
              <w:rPr>
                <w:rFonts w:ascii="Arial" w:cs="Arial" w:eastAsia="Arial" w:hAnsi="Arial"/>
                <w:sz w:val="12"/>
                <w:szCs w:val="12"/>
                <w:color w:val="auto"/>
              </w:rPr>
              <w:t>87</w:t>
            </w:r>
          </w:p>
        </w:tc>
        <w:tc>
          <w:tcPr>
            <w:tcW w:w="8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252</w:t>
            </w:r>
          </w:p>
        </w:tc>
        <w:tc>
          <w:tcPr>
            <w:tcW w:w="0" w:type="dxa"/>
            <w:vAlign w:val="bottom"/>
          </w:tcPr>
          <w:p>
            <w:pPr>
              <w:spacing w:after="0"/>
              <w:rPr>
                <w:sz w:val="1"/>
                <w:szCs w:val="1"/>
                <w:color w:val="auto"/>
              </w:rPr>
            </w:pPr>
          </w:p>
        </w:tc>
      </w:tr>
      <w:tr>
        <w:trPr>
          <w:trHeight w:val="142"/>
        </w:trPr>
        <w:tc>
          <w:tcPr>
            <w:tcW w:w="4040" w:type="dxa"/>
            <w:vAlign w:val="bottom"/>
          </w:tcPr>
          <w:p>
            <w:pPr>
              <w:spacing w:after="0"/>
              <w:rPr>
                <w:sz w:val="20"/>
                <w:szCs w:val="20"/>
                <w:color w:val="auto"/>
              </w:rPr>
            </w:pPr>
            <w:r>
              <w:rPr>
                <w:rFonts w:ascii="Arial" w:cs="Arial" w:eastAsia="Arial" w:hAnsi="Arial"/>
                <w:sz w:val="12"/>
                <w:szCs w:val="12"/>
                <w:color w:val="auto"/>
              </w:rPr>
              <w:t>Management and exchange</w:t>
            </w:r>
          </w:p>
        </w:tc>
        <w:tc>
          <w:tcPr>
            <w:tcW w:w="24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217</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120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tcPr>
          <w:p>
            <w:pPr>
              <w:ind w:left="1360"/>
              <w:spacing w:after="0"/>
              <w:rPr>
                <w:sz w:val="20"/>
                <w:szCs w:val="20"/>
                <w:color w:val="auto"/>
              </w:rPr>
            </w:pPr>
            <w:r>
              <w:rPr>
                <w:rFonts w:ascii="Arial" w:cs="Arial" w:eastAsia="Arial" w:hAnsi="Arial"/>
                <w:sz w:val="12"/>
                <w:szCs w:val="12"/>
                <w:color w:val="auto"/>
              </w:rPr>
              <w:t>76</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tcPr>
          <w:p>
            <w:pPr>
              <w:jc w:val="right"/>
              <w:ind w:right="1"/>
              <w:spacing w:after="0"/>
              <w:rPr>
                <w:sz w:val="20"/>
                <w:szCs w:val="20"/>
                <w:color w:val="auto"/>
              </w:rPr>
            </w:pPr>
            <w:r>
              <w:rPr>
                <w:rFonts w:ascii="Arial" w:cs="Arial" w:eastAsia="Arial" w:hAnsi="Arial"/>
                <w:sz w:val="12"/>
                <w:szCs w:val="12"/>
                <w:color w:val="auto"/>
              </w:rPr>
              <w:t>413</w:t>
            </w:r>
          </w:p>
        </w:tc>
        <w:tc>
          <w:tcPr>
            <w:tcW w:w="0" w:type="dxa"/>
            <w:vAlign w:val="bottom"/>
          </w:tcPr>
          <w:p>
            <w:pPr>
              <w:spacing w:after="0"/>
              <w:rPr>
                <w:sz w:val="1"/>
                <w:szCs w:val="1"/>
                <w:color w:val="auto"/>
              </w:rPr>
            </w:pPr>
          </w:p>
        </w:tc>
      </w:tr>
      <w:tr>
        <w:trPr>
          <w:trHeight w:val="180"/>
        </w:trPr>
        <w:tc>
          <w:tcPr>
            <w:tcW w:w="4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4040" w:type="dxa"/>
            <w:vAlign w:val="bottom"/>
          </w:tcPr>
          <w:p>
            <w:pPr>
              <w:spacing w:after="0"/>
              <w:rPr>
                <w:sz w:val="20"/>
                <w:szCs w:val="20"/>
                <w:color w:val="auto"/>
              </w:rPr>
            </w:pPr>
            <w:r>
              <w:rPr>
                <w:rFonts w:ascii="Arial" w:cs="Arial" w:eastAsia="Arial" w:hAnsi="Arial"/>
                <w:sz w:val="12"/>
                <w:szCs w:val="12"/>
                <w:color w:val="auto"/>
              </w:rPr>
              <w:t>Rental</w:t>
            </w:r>
          </w:p>
        </w:tc>
        <w:tc>
          <w:tcPr>
            <w:tcW w:w="24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187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23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gridSpan w:val="2"/>
          </w:tcPr>
          <w:p>
            <w:pPr>
              <w:ind w:left="1360"/>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3"/>
                <w:szCs w:val="13"/>
                <w:color w:val="auto"/>
              </w:rPr>
            </w:pPr>
          </w:p>
        </w:tc>
        <w:tc>
          <w:tcPr>
            <w:tcW w:w="1340" w:type="dxa"/>
            <w:vAlign w:val="bottom"/>
          </w:tcPr>
          <w:p>
            <w:pPr>
              <w:jc w:val="right"/>
              <w:ind w:right="1"/>
              <w:spacing w:after="0"/>
              <w:rPr>
                <w:sz w:val="20"/>
                <w:szCs w:val="20"/>
                <w:color w:val="auto"/>
              </w:rPr>
            </w:pPr>
            <w:r>
              <w:rPr>
                <w:rFonts w:ascii="Arial" w:cs="Arial" w:eastAsia="Arial" w:hAnsi="Arial"/>
                <w:sz w:val="12"/>
                <w:szCs w:val="12"/>
                <w:color w:val="auto"/>
              </w:rPr>
              <w:t>210</w:t>
            </w:r>
          </w:p>
        </w:tc>
        <w:tc>
          <w:tcPr>
            <w:tcW w:w="0" w:type="dxa"/>
            <w:vAlign w:val="bottom"/>
          </w:tcPr>
          <w:p>
            <w:pPr>
              <w:spacing w:after="0"/>
              <w:rPr>
                <w:sz w:val="1"/>
                <w:szCs w:val="1"/>
                <w:color w:val="auto"/>
              </w:rPr>
            </w:pPr>
          </w:p>
        </w:tc>
      </w:tr>
      <w:tr>
        <w:trPr>
          <w:trHeight w:val="180"/>
        </w:trPr>
        <w:tc>
          <w:tcPr>
            <w:tcW w:w="4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40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Cost reimbursements</w:t>
            </w:r>
          </w:p>
        </w:tc>
        <w:tc>
          <w:tcPr>
            <w:tcW w:w="2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554</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(54)</w:t>
            </w:r>
          </w:p>
        </w:tc>
        <w:tc>
          <w:tcPr>
            <w:tcW w:w="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529</w:t>
            </w:r>
          </w:p>
        </w:tc>
        <w:tc>
          <w:tcPr>
            <w:tcW w:w="0" w:type="dxa"/>
            <w:vAlign w:val="bottom"/>
          </w:tcPr>
          <w:p>
            <w:pPr>
              <w:spacing w:after="0"/>
              <w:rPr>
                <w:sz w:val="1"/>
                <w:szCs w:val="1"/>
                <w:color w:val="auto"/>
              </w:rPr>
            </w:pPr>
          </w:p>
        </w:tc>
      </w:tr>
      <w:tr>
        <w:trPr>
          <w:trHeight w:val="142"/>
        </w:trPr>
        <w:tc>
          <w:tcPr>
            <w:tcW w:w="40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Revenue from contracts with customers</w:t>
            </w:r>
          </w:p>
        </w:tc>
        <w:tc>
          <w:tcPr>
            <w:tcW w:w="24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1,417</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172</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20" w:type="dxa"/>
            <w:vAlign w:val="bottom"/>
            <w:shd w:val="clear" w:color="auto" w:fill="CCEEFF"/>
          </w:tcPr>
          <w:p>
            <w:pPr>
              <w:ind w:left="1360"/>
              <w:spacing w:after="0"/>
              <w:rPr>
                <w:sz w:val="20"/>
                <w:szCs w:val="20"/>
                <w:color w:val="auto"/>
              </w:rPr>
            </w:pPr>
            <w:r>
              <w:rPr>
                <w:rFonts w:ascii="Arial" w:cs="Arial" w:eastAsia="Arial" w:hAnsi="Arial"/>
                <w:sz w:val="12"/>
                <w:szCs w:val="12"/>
                <w:color w:val="auto"/>
              </w:rPr>
              <w:t>22</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1,611</w:t>
            </w:r>
          </w:p>
        </w:tc>
        <w:tc>
          <w:tcPr>
            <w:tcW w:w="0" w:type="dxa"/>
            <w:vAlign w:val="bottom"/>
          </w:tcPr>
          <w:p>
            <w:pPr>
              <w:spacing w:after="0"/>
              <w:rPr>
                <w:sz w:val="1"/>
                <w:szCs w:val="1"/>
                <w:color w:val="auto"/>
              </w:rPr>
            </w:pPr>
          </w:p>
        </w:tc>
      </w:tr>
      <w:tr>
        <w:trPr>
          <w:trHeight w:val="180"/>
        </w:trPr>
        <w:tc>
          <w:tcPr>
            <w:tcW w:w="4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4040" w:type="dxa"/>
            <w:vAlign w:val="bottom"/>
            <w:shd w:val="clear" w:color="auto" w:fill="CCEEFF"/>
          </w:tcPr>
          <w:p>
            <w:pPr>
              <w:spacing w:after="0"/>
              <w:rPr>
                <w:sz w:val="20"/>
                <w:szCs w:val="20"/>
                <w:color w:val="auto"/>
              </w:rPr>
            </w:pPr>
            <w:r>
              <w:rPr>
                <w:rFonts w:ascii="Arial" w:cs="Arial" w:eastAsia="Arial" w:hAnsi="Arial"/>
                <w:sz w:val="12"/>
                <w:szCs w:val="12"/>
                <w:color w:val="auto"/>
              </w:rPr>
              <w:t>Financing</w:t>
            </w:r>
          </w:p>
        </w:tc>
        <w:tc>
          <w:tcPr>
            <w:tcW w:w="24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127</w:t>
            </w: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520" w:type="dxa"/>
            <w:vAlign w:val="bottom"/>
            <w:tcBorders>
              <w:bottom w:val="single" w:sz="8" w:color="auto"/>
            </w:tcBorders>
            <w:shd w:val="clear" w:color="auto" w:fill="CCEEFF"/>
          </w:tcPr>
          <w:p>
            <w:pPr>
              <w:ind w:left="13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127</w:t>
            </w:r>
          </w:p>
        </w:tc>
        <w:tc>
          <w:tcPr>
            <w:tcW w:w="0" w:type="dxa"/>
            <w:vAlign w:val="bottom"/>
          </w:tcPr>
          <w:p>
            <w:pPr>
              <w:spacing w:after="0"/>
              <w:rPr>
                <w:sz w:val="1"/>
                <w:szCs w:val="1"/>
                <w:color w:val="auto"/>
              </w:rPr>
            </w:pPr>
          </w:p>
        </w:tc>
      </w:tr>
      <w:tr>
        <w:trPr>
          <w:trHeight w:val="142"/>
        </w:trPr>
        <w:tc>
          <w:tcPr>
            <w:tcW w:w="4040" w:type="dxa"/>
            <w:vAlign w:val="bottom"/>
          </w:tcPr>
          <w:p>
            <w:pPr>
              <w:ind w:left="140"/>
              <w:spacing w:after="0"/>
              <w:rPr>
                <w:sz w:val="20"/>
                <w:szCs w:val="20"/>
                <w:color w:val="auto"/>
              </w:rPr>
            </w:pPr>
            <w:r>
              <w:rPr>
                <w:rFonts w:ascii="Arial" w:cs="Arial" w:eastAsia="Arial" w:hAnsi="Arial"/>
                <w:sz w:val="12"/>
                <w:szCs w:val="12"/>
                <w:color w:val="auto"/>
              </w:rPr>
              <w:t>Total Revenues</w:t>
            </w:r>
          </w:p>
        </w:tc>
        <w:tc>
          <w:tcPr>
            <w:tcW w:w="2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1,544</w:t>
            </w:r>
          </w:p>
        </w:tc>
        <w:tc>
          <w:tcPr>
            <w:tcW w:w="100" w:type="dxa"/>
            <w:vAlign w:val="bottom"/>
          </w:tcPr>
          <w:p>
            <w:pPr>
              <w:spacing w:after="0"/>
              <w:rPr>
                <w:sz w:val="12"/>
                <w:szCs w:val="12"/>
                <w:color w:val="auto"/>
              </w:rPr>
            </w:pPr>
          </w:p>
        </w:tc>
        <w:tc>
          <w:tcPr>
            <w:tcW w:w="1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172</w:t>
            </w:r>
          </w:p>
        </w:tc>
        <w:tc>
          <w:tcPr>
            <w:tcW w:w="100" w:type="dxa"/>
            <w:vAlign w:val="bottom"/>
          </w:tcPr>
          <w:p>
            <w:pPr>
              <w:spacing w:after="0"/>
              <w:rPr>
                <w:sz w:val="12"/>
                <w:szCs w:val="12"/>
                <w:color w:val="auto"/>
              </w:rPr>
            </w:pPr>
          </w:p>
        </w:tc>
        <w:tc>
          <w:tcPr>
            <w:tcW w:w="2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1520" w:type="dxa"/>
            <w:vAlign w:val="bottom"/>
            <w:tcBorders>
              <w:bottom w:val="single" w:sz="8" w:color="auto"/>
            </w:tcBorders>
          </w:tcPr>
          <w:p>
            <w:pPr>
              <w:ind w:left="1360"/>
              <w:spacing w:after="0"/>
              <w:rPr>
                <w:sz w:val="20"/>
                <w:szCs w:val="20"/>
                <w:color w:val="auto"/>
              </w:rPr>
            </w:pPr>
            <w:r>
              <w:rPr>
                <w:rFonts w:ascii="Arial" w:cs="Arial" w:eastAsia="Arial" w:hAnsi="Arial"/>
                <w:sz w:val="12"/>
                <w:szCs w:val="12"/>
                <w:color w:val="auto"/>
              </w:rPr>
              <w:t>22</w:t>
            </w:r>
          </w:p>
        </w:tc>
        <w:tc>
          <w:tcPr>
            <w:tcW w:w="80" w:type="dxa"/>
            <w:vAlign w:val="bottom"/>
          </w:tcPr>
          <w:p>
            <w:pPr>
              <w:spacing w:after="0"/>
              <w:rPr>
                <w:sz w:val="12"/>
                <w:szCs w:val="12"/>
                <w:color w:val="auto"/>
              </w:rPr>
            </w:pPr>
          </w:p>
        </w:tc>
        <w:tc>
          <w:tcPr>
            <w:tcW w:w="42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color w:val="auto"/>
                <w:w w:val="89"/>
              </w:rPr>
              <w:t>$</w:t>
            </w: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1,738</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40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5"/>
          </w:tcPr>
          <w:p>
            <w:pPr>
              <w:ind w:left="860"/>
              <w:spacing w:after="0"/>
              <w:rPr>
                <w:sz w:val="20"/>
                <w:szCs w:val="20"/>
                <w:color w:val="auto"/>
              </w:rPr>
            </w:pPr>
            <w:r>
              <w:rPr>
                <w:rFonts w:ascii="Arial" w:cs="Arial" w:eastAsia="Arial" w:hAnsi="Arial"/>
                <w:sz w:val="11"/>
                <w:szCs w:val="11"/>
                <w:b w:val="1"/>
                <w:bCs w:val="1"/>
                <w:color w:val="auto"/>
              </w:rPr>
              <w:t>Six Months Ended June 30, 2020</w:t>
            </w:r>
          </w:p>
        </w:tc>
        <w:tc>
          <w:tcPr>
            <w:tcW w:w="4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4040" w:type="dxa"/>
            <w:vAlign w:val="bottom"/>
            <w:vMerge w:val="restart"/>
          </w:tcPr>
          <w:p>
            <w:pPr>
              <w:spacing w:after="0"/>
              <w:rPr>
                <w:sz w:val="20"/>
                <w:szCs w:val="20"/>
                <w:color w:val="auto"/>
              </w:rPr>
            </w:pPr>
            <w:r>
              <w:rPr>
                <w:rFonts w:ascii="Arial" w:cs="Arial" w:eastAsia="Arial" w:hAnsi="Arial"/>
                <w:sz w:val="11"/>
                <w:szCs w:val="11"/>
                <w:b w:val="1"/>
                <w:bCs w:val="1"/>
                <w:i w:val="1"/>
                <w:iCs w:val="1"/>
                <w:color w:val="auto"/>
              </w:rPr>
              <w:t>($ in millions)</w:t>
            </w:r>
          </w:p>
        </w:tc>
        <w:tc>
          <w:tcPr>
            <w:tcW w:w="240" w:type="dxa"/>
            <w:vAlign w:val="bottom"/>
          </w:tcPr>
          <w:p>
            <w:pPr>
              <w:spacing w:after="0"/>
              <w:rPr>
                <w:sz w:val="8"/>
                <w:szCs w:val="8"/>
                <w:color w:val="auto"/>
              </w:rPr>
            </w:pPr>
          </w:p>
        </w:tc>
        <w:tc>
          <w:tcPr>
            <w:tcW w:w="1500" w:type="dxa"/>
            <w:vAlign w:val="bottom"/>
            <w:vMerge w:val="restart"/>
          </w:tcPr>
          <w:p>
            <w:pPr>
              <w:jc w:val="right"/>
              <w:ind w:right="341"/>
              <w:spacing w:after="0"/>
              <w:rPr>
                <w:sz w:val="20"/>
                <w:szCs w:val="20"/>
                <w:color w:val="auto"/>
              </w:rPr>
            </w:pPr>
            <w:r>
              <w:rPr>
                <w:rFonts w:ascii="Arial" w:cs="Arial" w:eastAsia="Arial" w:hAnsi="Arial"/>
                <w:sz w:val="11"/>
                <w:szCs w:val="11"/>
                <w:b w:val="1"/>
                <w:bCs w:val="1"/>
                <w:color w:val="auto"/>
              </w:rPr>
              <w:t>Vacation Ownership</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60" w:type="dxa"/>
            <w:vAlign w:val="bottom"/>
            <w:gridSpan w:val="2"/>
          </w:tcPr>
          <w:p>
            <w:pPr>
              <w:jc w:val="center"/>
              <w:ind w:right="260"/>
              <w:spacing w:after="0" w:line="99" w:lineRule="exact"/>
              <w:rPr>
                <w:sz w:val="20"/>
                <w:szCs w:val="20"/>
                <w:color w:val="auto"/>
              </w:rPr>
            </w:pPr>
            <w:r>
              <w:rPr>
                <w:rFonts w:ascii="Arial" w:cs="Arial" w:eastAsia="Arial" w:hAnsi="Arial"/>
                <w:sz w:val="11"/>
                <w:szCs w:val="11"/>
                <w:b w:val="1"/>
                <w:bCs w:val="1"/>
                <w:color w:val="auto"/>
                <w:w w:val="92"/>
              </w:rPr>
              <w:t>Exchange &amp; Third-Party</w:t>
            </w:r>
          </w:p>
        </w:tc>
        <w:tc>
          <w:tcPr>
            <w:tcW w:w="220" w:type="dxa"/>
            <w:vAlign w:val="bottom"/>
          </w:tcPr>
          <w:p>
            <w:pPr>
              <w:spacing w:after="0"/>
              <w:rPr>
                <w:sz w:val="8"/>
                <w:szCs w:val="8"/>
                <w:color w:val="auto"/>
              </w:rPr>
            </w:pPr>
          </w:p>
        </w:tc>
        <w:tc>
          <w:tcPr>
            <w:tcW w:w="152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Corporate and Other</w:t>
            </w:r>
          </w:p>
        </w:tc>
        <w:tc>
          <w:tcPr>
            <w:tcW w:w="80" w:type="dxa"/>
            <w:vAlign w:val="bottom"/>
            <w:vMerge w:val="restart"/>
          </w:tcPr>
          <w:p>
            <w:pPr>
              <w:spacing w:after="0"/>
              <w:rPr>
                <w:sz w:val="8"/>
                <w:szCs w:val="8"/>
                <w:color w:val="auto"/>
              </w:rPr>
            </w:pPr>
          </w:p>
        </w:tc>
        <w:tc>
          <w:tcPr>
            <w:tcW w:w="420" w:type="dxa"/>
            <w:vAlign w:val="bottom"/>
          </w:tcPr>
          <w:p>
            <w:pPr>
              <w:spacing w:after="0"/>
              <w:rPr>
                <w:sz w:val="8"/>
                <w:szCs w:val="8"/>
                <w:color w:val="auto"/>
              </w:rPr>
            </w:pPr>
          </w:p>
        </w:tc>
        <w:tc>
          <w:tcPr>
            <w:tcW w:w="1340" w:type="dxa"/>
            <w:vAlign w:val="bottom"/>
            <w:vMerge w:val="restart"/>
          </w:tcPr>
          <w:p>
            <w:pPr>
              <w:jc w:val="right"/>
              <w:ind w:right="701"/>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2"/>
        </w:trPr>
        <w:tc>
          <w:tcPr>
            <w:tcW w:w="4040" w:type="dxa"/>
            <w:vAlign w:val="bottom"/>
            <w:tcBorders>
              <w:bottom w:val="single" w:sz="8" w:color="CCEEFF"/>
            </w:tcBorders>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center"/>
              <w:ind w:right="121"/>
              <w:spacing w:after="0"/>
              <w:rPr>
                <w:sz w:val="20"/>
                <w:szCs w:val="20"/>
                <w:color w:val="auto"/>
              </w:rPr>
            </w:pPr>
            <w:r>
              <w:rPr>
                <w:rFonts w:ascii="Arial" w:cs="Arial" w:eastAsia="Arial" w:hAnsi="Arial"/>
                <w:sz w:val="11"/>
                <w:szCs w:val="11"/>
                <w:b w:val="1"/>
                <w:bCs w:val="1"/>
                <w:color w:val="auto"/>
                <w:w w:val="92"/>
              </w:rPr>
              <w:t>Management</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vMerge w:val="continue"/>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40" w:type="dxa"/>
            <w:vAlign w:val="bottom"/>
            <w:shd w:val="clear" w:color="auto" w:fill="CCEEFF"/>
          </w:tcPr>
          <w:p>
            <w:pPr>
              <w:spacing w:after="0"/>
              <w:rPr>
                <w:sz w:val="20"/>
                <w:szCs w:val="20"/>
                <w:color w:val="auto"/>
              </w:rPr>
            </w:pPr>
            <w:r>
              <w:rPr>
                <w:rFonts w:ascii="Arial" w:cs="Arial" w:eastAsia="Arial" w:hAnsi="Arial"/>
                <w:sz w:val="12"/>
                <w:szCs w:val="12"/>
                <w:color w:val="auto"/>
              </w:rPr>
              <w:t>Sale of vacation ownership products</w:t>
            </w: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311</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600" w:type="dxa"/>
            <w:vAlign w:val="bottom"/>
            <w:gridSpan w:val="2"/>
            <w:shd w:val="clear" w:color="auto" w:fill="CCEEFF"/>
          </w:tcPr>
          <w:p>
            <w:pPr>
              <w:ind w:left="136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w w:val="89"/>
              </w:rPr>
              <w:t>$</w:t>
            </w: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311</w:t>
            </w:r>
          </w:p>
        </w:tc>
        <w:tc>
          <w:tcPr>
            <w:tcW w:w="0" w:type="dxa"/>
            <w:vAlign w:val="bottom"/>
          </w:tcPr>
          <w:p>
            <w:pPr>
              <w:spacing w:after="0"/>
              <w:rPr>
                <w:sz w:val="1"/>
                <w:szCs w:val="1"/>
                <w:color w:val="auto"/>
              </w:rPr>
            </w:pPr>
          </w:p>
        </w:tc>
      </w:tr>
      <w:tr>
        <w:trPr>
          <w:trHeight w:val="180"/>
        </w:trPr>
        <w:tc>
          <w:tcPr>
            <w:tcW w:w="4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gridSpan w:val="2"/>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40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Ancillary revenues</w:t>
            </w:r>
          </w:p>
        </w:tc>
        <w:tc>
          <w:tcPr>
            <w:tcW w:w="24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0" w:type="dxa"/>
            <w:vAlign w:val="bottom"/>
            <w:gridSpan w:val="2"/>
            <w:shd w:val="clear" w:color="auto" w:fill="CCEEFF"/>
          </w:tcPr>
          <w:p>
            <w:pPr>
              <w:ind w:left="136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53</w:t>
            </w:r>
          </w:p>
        </w:tc>
        <w:tc>
          <w:tcPr>
            <w:tcW w:w="0" w:type="dxa"/>
            <w:vAlign w:val="bottom"/>
          </w:tcPr>
          <w:p>
            <w:pPr>
              <w:spacing w:after="0"/>
              <w:rPr>
                <w:sz w:val="1"/>
                <w:szCs w:val="1"/>
                <w:color w:val="auto"/>
              </w:rPr>
            </w:pPr>
          </w:p>
        </w:tc>
      </w:tr>
      <w:tr>
        <w:trPr>
          <w:trHeight w:val="153"/>
        </w:trPr>
        <w:tc>
          <w:tcPr>
            <w:tcW w:w="4040" w:type="dxa"/>
            <w:vAlign w:val="bottom"/>
          </w:tcPr>
          <w:p>
            <w:pPr>
              <w:ind w:left="140"/>
              <w:spacing w:after="0"/>
              <w:rPr>
                <w:sz w:val="20"/>
                <w:szCs w:val="20"/>
                <w:color w:val="auto"/>
              </w:rPr>
            </w:pPr>
            <w:r>
              <w:rPr>
                <w:rFonts w:ascii="Arial" w:cs="Arial" w:eastAsia="Arial" w:hAnsi="Arial"/>
                <w:sz w:val="12"/>
                <w:szCs w:val="12"/>
                <w:color w:val="auto"/>
              </w:rPr>
              <w:t>Management fee revenues</w:t>
            </w:r>
          </w:p>
        </w:tc>
        <w:tc>
          <w:tcPr>
            <w:tcW w:w="24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76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(9)</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jc w:val="right"/>
              <w:ind w:right="1"/>
              <w:spacing w:after="0"/>
              <w:rPr>
                <w:sz w:val="20"/>
                <w:szCs w:val="20"/>
                <w:color w:val="auto"/>
              </w:rPr>
            </w:pPr>
            <w:r>
              <w:rPr>
                <w:rFonts w:ascii="Arial" w:cs="Arial" w:eastAsia="Arial" w:hAnsi="Arial"/>
                <w:sz w:val="12"/>
                <w:szCs w:val="12"/>
                <w:color w:val="auto"/>
              </w:rPr>
              <w:t>77</w:t>
            </w:r>
          </w:p>
        </w:tc>
        <w:tc>
          <w:tcPr>
            <w:tcW w:w="0" w:type="dxa"/>
            <w:vAlign w:val="bottom"/>
          </w:tcPr>
          <w:p>
            <w:pPr>
              <w:spacing w:after="0"/>
              <w:rPr>
                <w:sz w:val="1"/>
                <w:szCs w:val="1"/>
                <w:color w:val="auto"/>
              </w:rPr>
            </w:pPr>
          </w:p>
        </w:tc>
      </w:tr>
      <w:tr>
        <w:trPr>
          <w:trHeight w:val="153"/>
        </w:trPr>
        <w:tc>
          <w:tcPr>
            <w:tcW w:w="40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Exchange and other services revenues</w:t>
            </w:r>
          </w:p>
        </w:tc>
        <w:tc>
          <w:tcPr>
            <w:tcW w:w="24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57</w:t>
            </w: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520" w:type="dxa"/>
            <w:vAlign w:val="bottom"/>
            <w:tcBorders>
              <w:bottom w:val="single" w:sz="8" w:color="auto"/>
            </w:tcBorders>
            <w:shd w:val="clear" w:color="auto" w:fill="CCEEFF"/>
          </w:tcPr>
          <w:p>
            <w:pPr>
              <w:ind w:left="1360"/>
              <w:spacing w:after="0"/>
              <w:rPr>
                <w:sz w:val="20"/>
                <w:szCs w:val="20"/>
                <w:color w:val="auto"/>
              </w:rPr>
            </w:pPr>
            <w:r>
              <w:rPr>
                <w:rFonts w:ascii="Arial" w:cs="Arial" w:eastAsia="Arial" w:hAnsi="Arial"/>
                <w:sz w:val="12"/>
                <w:szCs w:val="12"/>
                <w:color w:val="auto"/>
              </w:rPr>
              <w:t>85</w:t>
            </w:r>
          </w:p>
        </w:tc>
        <w:tc>
          <w:tcPr>
            <w:tcW w:w="8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242</w:t>
            </w:r>
          </w:p>
        </w:tc>
        <w:tc>
          <w:tcPr>
            <w:tcW w:w="0" w:type="dxa"/>
            <w:vAlign w:val="bottom"/>
          </w:tcPr>
          <w:p>
            <w:pPr>
              <w:spacing w:after="0"/>
              <w:rPr>
                <w:sz w:val="1"/>
                <w:szCs w:val="1"/>
                <w:color w:val="auto"/>
              </w:rPr>
            </w:pPr>
          </w:p>
        </w:tc>
      </w:tr>
      <w:tr>
        <w:trPr>
          <w:trHeight w:val="142"/>
        </w:trPr>
        <w:tc>
          <w:tcPr>
            <w:tcW w:w="4040" w:type="dxa"/>
            <w:vAlign w:val="bottom"/>
          </w:tcPr>
          <w:p>
            <w:pPr>
              <w:spacing w:after="0"/>
              <w:rPr>
                <w:sz w:val="20"/>
                <w:szCs w:val="20"/>
                <w:color w:val="auto"/>
              </w:rPr>
            </w:pPr>
            <w:r>
              <w:rPr>
                <w:rFonts w:ascii="Arial" w:cs="Arial" w:eastAsia="Arial" w:hAnsi="Arial"/>
                <w:sz w:val="12"/>
                <w:szCs w:val="12"/>
                <w:color w:val="auto"/>
              </w:rPr>
              <w:t>Management and exchange</w:t>
            </w:r>
          </w:p>
        </w:tc>
        <w:tc>
          <w:tcPr>
            <w:tcW w:w="24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185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111</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tcPr>
          <w:p>
            <w:pPr>
              <w:ind w:left="1360"/>
              <w:spacing w:after="0"/>
              <w:rPr>
                <w:sz w:val="20"/>
                <w:szCs w:val="20"/>
                <w:color w:val="auto"/>
              </w:rPr>
            </w:pPr>
            <w:r>
              <w:rPr>
                <w:rFonts w:ascii="Arial" w:cs="Arial" w:eastAsia="Arial" w:hAnsi="Arial"/>
                <w:sz w:val="12"/>
                <w:szCs w:val="12"/>
                <w:color w:val="auto"/>
              </w:rPr>
              <w:t>76</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tcPr>
          <w:p>
            <w:pPr>
              <w:jc w:val="right"/>
              <w:ind w:right="1"/>
              <w:spacing w:after="0"/>
              <w:rPr>
                <w:sz w:val="20"/>
                <w:szCs w:val="20"/>
                <w:color w:val="auto"/>
              </w:rPr>
            </w:pPr>
            <w:r>
              <w:rPr>
                <w:rFonts w:ascii="Arial" w:cs="Arial" w:eastAsia="Arial" w:hAnsi="Arial"/>
                <w:sz w:val="12"/>
                <w:szCs w:val="12"/>
                <w:color w:val="auto"/>
              </w:rPr>
              <w:t>372</w:t>
            </w:r>
          </w:p>
        </w:tc>
        <w:tc>
          <w:tcPr>
            <w:tcW w:w="0" w:type="dxa"/>
            <w:vAlign w:val="bottom"/>
          </w:tcPr>
          <w:p>
            <w:pPr>
              <w:spacing w:after="0"/>
              <w:rPr>
                <w:sz w:val="1"/>
                <w:szCs w:val="1"/>
                <w:color w:val="auto"/>
              </w:rPr>
            </w:pPr>
          </w:p>
        </w:tc>
      </w:tr>
      <w:tr>
        <w:trPr>
          <w:trHeight w:val="180"/>
        </w:trPr>
        <w:tc>
          <w:tcPr>
            <w:tcW w:w="4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4040" w:type="dxa"/>
            <w:vAlign w:val="bottom"/>
          </w:tcPr>
          <w:p>
            <w:pPr>
              <w:spacing w:after="0"/>
              <w:rPr>
                <w:sz w:val="20"/>
                <w:szCs w:val="20"/>
                <w:color w:val="auto"/>
              </w:rPr>
            </w:pPr>
            <w:r>
              <w:rPr>
                <w:rFonts w:ascii="Arial" w:cs="Arial" w:eastAsia="Arial" w:hAnsi="Arial"/>
                <w:sz w:val="12"/>
                <w:szCs w:val="12"/>
                <w:color w:val="auto"/>
              </w:rPr>
              <w:t>Rental</w:t>
            </w:r>
          </w:p>
        </w:tc>
        <w:tc>
          <w:tcPr>
            <w:tcW w:w="24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134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19</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gridSpan w:val="2"/>
          </w:tcPr>
          <w:p>
            <w:pPr>
              <w:ind w:left="1360"/>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3"/>
                <w:szCs w:val="13"/>
                <w:color w:val="auto"/>
              </w:rPr>
            </w:pPr>
          </w:p>
        </w:tc>
        <w:tc>
          <w:tcPr>
            <w:tcW w:w="1340" w:type="dxa"/>
            <w:vAlign w:val="bottom"/>
          </w:tcPr>
          <w:p>
            <w:pPr>
              <w:jc w:val="right"/>
              <w:ind w:right="1"/>
              <w:spacing w:after="0"/>
              <w:rPr>
                <w:sz w:val="20"/>
                <w:szCs w:val="20"/>
                <w:color w:val="auto"/>
              </w:rPr>
            </w:pPr>
            <w:r>
              <w:rPr>
                <w:rFonts w:ascii="Arial" w:cs="Arial" w:eastAsia="Arial" w:hAnsi="Arial"/>
                <w:sz w:val="12"/>
                <w:szCs w:val="12"/>
                <w:color w:val="auto"/>
              </w:rPr>
              <w:t>153</w:t>
            </w:r>
          </w:p>
        </w:tc>
        <w:tc>
          <w:tcPr>
            <w:tcW w:w="0" w:type="dxa"/>
            <w:vAlign w:val="bottom"/>
          </w:tcPr>
          <w:p>
            <w:pPr>
              <w:spacing w:after="0"/>
              <w:rPr>
                <w:sz w:val="1"/>
                <w:szCs w:val="1"/>
                <w:color w:val="auto"/>
              </w:rPr>
            </w:pPr>
          </w:p>
        </w:tc>
      </w:tr>
      <w:tr>
        <w:trPr>
          <w:trHeight w:val="180"/>
        </w:trPr>
        <w:tc>
          <w:tcPr>
            <w:tcW w:w="4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40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Cost reimbursements</w:t>
            </w:r>
          </w:p>
        </w:tc>
        <w:tc>
          <w:tcPr>
            <w:tcW w:w="2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543</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(64)</w:t>
            </w:r>
          </w:p>
        </w:tc>
        <w:tc>
          <w:tcPr>
            <w:tcW w:w="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512</w:t>
            </w:r>
          </w:p>
        </w:tc>
        <w:tc>
          <w:tcPr>
            <w:tcW w:w="0" w:type="dxa"/>
            <w:vAlign w:val="bottom"/>
          </w:tcPr>
          <w:p>
            <w:pPr>
              <w:spacing w:after="0"/>
              <w:rPr>
                <w:sz w:val="1"/>
                <w:szCs w:val="1"/>
                <w:color w:val="auto"/>
              </w:rPr>
            </w:pPr>
          </w:p>
        </w:tc>
      </w:tr>
      <w:tr>
        <w:trPr>
          <w:trHeight w:val="142"/>
        </w:trPr>
        <w:tc>
          <w:tcPr>
            <w:tcW w:w="40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Revenue from contracts with customers</w:t>
            </w:r>
          </w:p>
        </w:tc>
        <w:tc>
          <w:tcPr>
            <w:tcW w:w="24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1,173</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163</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20" w:type="dxa"/>
            <w:vAlign w:val="bottom"/>
            <w:shd w:val="clear" w:color="auto" w:fill="CCEEFF"/>
          </w:tcPr>
          <w:p>
            <w:pPr>
              <w:ind w:left="1360"/>
              <w:spacing w:after="0"/>
              <w:rPr>
                <w:sz w:val="20"/>
                <w:szCs w:val="20"/>
                <w:color w:val="auto"/>
              </w:rPr>
            </w:pPr>
            <w:r>
              <w:rPr>
                <w:rFonts w:ascii="Arial" w:cs="Arial" w:eastAsia="Arial" w:hAnsi="Arial"/>
                <w:sz w:val="12"/>
                <w:szCs w:val="12"/>
                <w:color w:val="auto"/>
              </w:rPr>
              <w:t>12</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1,348</w:t>
            </w:r>
          </w:p>
        </w:tc>
        <w:tc>
          <w:tcPr>
            <w:tcW w:w="0" w:type="dxa"/>
            <w:vAlign w:val="bottom"/>
          </w:tcPr>
          <w:p>
            <w:pPr>
              <w:spacing w:after="0"/>
              <w:rPr>
                <w:sz w:val="1"/>
                <w:szCs w:val="1"/>
                <w:color w:val="auto"/>
              </w:rPr>
            </w:pPr>
          </w:p>
        </w:tc>
      </w:tr>
      <w:tr>
        <w:trPr>
          <w:trHeight w:val="180"/>
        </w:trPr>
        <w:tc>
          <w:tcPr>
            <w:tcW w:w="4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gridSpan w:val="2"/>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4040" w:type="dxa"/>
            <w:vAlign w:val="bottom"/>
            <w:shd w:val="clear" w:color="auto" w:fill="CCEEFF"/>
          </w:tcPr>
          <w:p>
            <w:pPr>
              <w:spacing w:after="0"/>
              <w:rPr>
                <w:sz w:val="20"/>
                <w:szCs w:val="20"/>
                <w:color w:val="auto"/>
              </w:rPr>
            </w:pPr>
            <w:r>
              <w:rPr>
                <w:rFonts w:ascii="Arial" w:cs="Arial" w:eastAsia="Arial" w:hAnsi="Arial"/>
                <w:sz w:val="12"/>
                <w:szCs w:val="12"/>
                <w:color w:val="auto"/>
              </w:rPr>
              <w:t>Financing</w:t>
            </w:r>
          </w:p>
        </w:tc>
        <w:tc>
          <w:tcPr>
            <w:tcW w:w="24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140</w:t>
            </w: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520" w:type="dxa"/>
            <w:vAlign w:val="bottom"/>
            <w:tcBorders>
              <w:bottom w:val="single" w:sz="8" w:color="auto"/>
            </w:tcBorders>
            <w:shd w:val="clear" w:color="auto" w:fill="CCEEFF"/>
          </w:tcPr>
          <w:p>
            <w:pPr>
              <w:ind w:left="13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142</w:t>
            </w:r>
          </w:p>
        </w:tc>
        <w:tc>
          <w:tcPr>
            <w:tcW w:w="0" w:type="dxa"/>
            <w:vAlign w:val="bottom"/>
          </w:tcPr>
          <w:p>
            <w:pPr>
              <w:spacing w:after="0"/>
              <w:rPr>
                <w:sz w:val="1"/>
                <w:szCs w:val="1"/>
                <w:color w:val="auto"/>
              </w:rPr>
            </w:pPr>
          </w:p>
        </w:tc>
      </w:tr>
      <w:tr>
        <w:trPr>
          <w:trHeight w:val="142"/>
        </w:trPr>
        <w:tc>
          <w:tcPr>
            <w:tcW w:w="4040" w:type="dxa"/>
            <w:vAlign w:val="bottom"/>
          </w:tcPr>
          <w:p>
            <w:pPr>
              <w:ind w:left="140"/>
              <w:spacing w:after="0"/>
              <w:rPr>
                <w:sz w:val="20"/>
                <w:szCs w:val="20"/>
                <w:color w:val="auto"/>
              </w:rPr>
            </w:pPr>
            <w:r>
              <w:rPr>
                <w:rFonts w:ascii="Arial" w:cs="Arial" w:eastAsia="Arial" w:hAnsi="Arial"/>
                <w:sz w:val="12"/>
                <w:szCs w:val="12"/>
                <w:color w:val="auto"/>
              </w:rPr>
              <w:t>Total Revenues</w:t>
            </w:r>
          </w:p>
        </w:tc>
        <w:tc>
          <w:tcPr>
            <w:tcW w:w="2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1,313</w:t>
            </w:r>
          </w:p>
        </w:tc>
        <w:tc>
          <w:tcPr>
            <w:tcW w:w="100" w:type="dxa"/>
            <w:vAlign w:val="bottom"/>
          </w:tcPr>
          <w:p>
            <w:pPr>
              <w:spacing w:after="0"/>
              <w:rPr>
                <w:sz w:val="12"/>
                <w:szCs w:val="12"/>
                <w:color w:val="auto"/>
              </w:rPr>
            </w:pPr>
          </w:p>
        </w:tc>
        <w:tc>
          <w:tcPr>
            <w:tcW w:w="1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165</w:t>
            </w:r>
          </w:p>
        </w:tc>
        <w:tc>
          <w:tcPr>
            <w:tcW w:w="100" w:type="dxa"/>
            <w:vAlign w:val="bottom"/>
          </w:tcPr>
          <w:p>
            <w:pPr>
              <w:spacing w:after="0"/>
              <w:rPr>
                <w:sz w:val="12"/>
                <w:szCs w:val="12"/>
                <w:color w:val="auto"/>
              </w:rPr>
            </w:pPr>
          </w:p>
        </w:tc>
        <w:tc>
          <w:tcPr>
            <w:tcW w:w="2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1520" w:type="dxa"/>
            <w:vAlign w:val="bottom"/>
            <w:tcBorders>
              <w:bottom w:val="single" w:sz="8" w:color="auto"/>
            </w:tcBorders>
          </w:tcPr>
          <w:p>
            <w:pPr>
              <w:ind w:left="1360"/>
              <w:spacing w:after="0"/>
              <w:rPr>
                <w:sz w:val="20"/>
                <w:szCs w:val="20"/>
                <w:color w:val="auto"/>
              </w:rPr>
            </w:pPr>
            <w:r>
              <w:rPr>
                <w:rFonts w:ascii="Arial" w:cs="Arial" w:eastAsia="Arial" w:hAnsi="Arial"/>
                <w:sz w:val="12"/>
                <w:szCs w:val="12"/>
                <w:color w:val="auto"/>
              </w:rPr>
              <w:t>12</w:t>
            </w:r>
          </w:p>
        </w:tc>
        <w:tc>
          <w:tcPr>
            <w:tcW w:w="80" w:type="dxa"/>
            <w:vAlign w:val="bottom"/>
          </w:tcPr>
          <w:p>
            <w:pPr>
              <w:spacing w:after="0"/>
              <w:rPr>
                <w:sz w:val="12"/>
                <w:szCs w:val="12"/>
                <w:color w:val="auto"/>
              </w:rPr>
            </w:pPr>
          </w:p>
        </w:tc>
        <w:tc>
          <w:tcPr>
            <w:tcW w:w="42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color w:val="auto"/>
                <w:w w:val="89"/>
              </w:rPr>
              <w:t>$</w:t>
            </w: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1,490</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4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2"/>
                <w:szCs w:val="12"/>
                <w:color w:val="auto"/>
                <w:w w:val="89"/>
              </w:rPr>
              <w:t>13</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40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15" w:name="page16"/>
    <w:bookmarkEnd w:id="15"/>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Timing of Revenue from Contracts with Customers by Segment</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tables detail the timing of revenue from contracts with customers by segment for the time periods presented.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5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24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1"/>
                <w:szCs w:val="11"/>
                <w:b w:val="1"/>
                <w:bCs w:val="1"/>
                <w:color w:val="auto"/>
                <w:w w:val="89"/>
              </w:rPr>
              <w:t>Three Months Ended June 30, 2021</w:t>
            </w:r>
          </w:p>
        </w:tc>
        <w:tc>
          <w:tcPr>
            <w:tcW w:w="3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4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0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Vacation Ownership</w:t>
            </w:r>
          </w:p>
        </w:tc>
        <w:tc>
          <w:tcPr>
            <w:tcW w:w="160" w:type="dxa"/>
            <w:vAlign w:val="bottom"/>
          </w:tcPr>
          <w:p>
            <w:pPr>
              <w:spacing w:after="0"/>
              <w:rPr>
                <w:sz w:val="8"/>
                <w:szCs w:val="8"/>
                <w:color w:val="auto"/>
              </w:rPr>
            </w:pPr>
          </w:p>
        </w:tc>
        <w:tc>
          <w:tcPr>
            <w:tcW w:w="1540" w:type="dxa"/>
            <w:vAlign w:val="bottom"/>
            <w:gridSpan w:val="2"/>
          </w:tcPr>
          <w:p>
            <w:pPr>
              <w:jc w:val="center"/>
              <w:ind w:right="260"/>
              <w:spacing w:after="0" w:line="99" w:lineRule="exact"/>
              <w:rPr>
                <w:sz w:val="20"/>
                <w:szCs w:val="20"/>
                <w:color w:val="auto"/>
              </w:rPr>
            </w:pPr>
            <w:r>
              <w:rPr>
                <w:rFonts w:ascii="Arial" w:cs="Arial" w:eastAsia="Arial" w:hAnsi="Arial"/>
                <w:sz w:val="11"/>
                <w:szCs w:val="11"/>
                <w:b w:val="1"/>
                <w:bCs w:val="1"/>
                <w:color w:val="auto"/>
                <w:w w:val="92"/>
              </w:rPr>
              <w:t>Exchange &amp; Third-Party</w:t>
            </w:r>
          </w:p>
        </w:tc>
        <w:tc>
          <w:tcPr>
            <w:tcW w:w="200" w:type="dxa"/>
            <w:vAlign w:val="bottom"/>
          </w:tcPr>
          <w:p>
            <w:pPr>
              <w:spacing w:after="0"/>
              <w:rPr>
                <w:sz w:val="8"/>
                <w:szCs w:val="8"/>
                <w:color w:val="auto"/>
              </w:rPr>
            </w:pPr>
          </w:p>
        </w:tc>
        <w:tc>
          <w:tcPr>
            <w:tcW w:w="150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Corporate and Other</w:t>
            </w:r>
          </w:p>
        </w:tc>
        <w:tc>
          <w:tcPr>
            <w:tcW w:w="380" w:type="dxa"/>
            <w:vAlign w:val="bottom"/>
          </w:tcPr>
          <w:p>
            <w:pPr>
              <w:spacing w:after="0"/>
              <w:rPr>
                <w:sz w:val="8"/>
                <w:szCs w:val="8"/>
                <w:color w:val="auto"/>
              </w:rPr>
            </w:pPr>
          </w:p>
        </w:tc>
        <w:tc>
          <w:tcPr>
            <w:tcW w:w="1240" w:type="dxa"/>
            <w:vAlign w:val="bottom"/>
            <w:vMerge w:val="restart"/>
          </w:tcPr>
          <w:p>
            <w:pPr>
              <w:jc w:val="right"/>
              <w:ind w:right="642"/>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2"/>
        </w:trPr>
        <w:tc>
          <w:tcPr>
            <w:tcW w:w="4580" w:type="dxa"/>
            <w:vAlign w:val="bottom"/>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20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2"/>
              </w:rPr>
              <w:t>Management</w:t>
            </w:r>
          </w:p>
        </w:tc>
        <w:tc>
          <w:tcPr>
            <w:tcW w:w="20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Services transferred over time</w:t>
            </w:r>
          </w:p>
        </w:tc>
        <w:tc>
          <w:tcPr>
            <w:tcW w:w="20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4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463</w:t>
            </w: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4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43</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4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10</w:t>
            </w:r>
          </w:p>
        </w:tc>
        <w:tc>
          <w:tcPr>
            <w:tcW w:w="8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2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516</w:t>
            </w:r>
          </w:p>
        </w:tc>
        <w:tc>
          <w:tcPr>
            <w:tcW w:w="0" w:type="dxa"/>
            <w:vAlign w:val="bottom"/>
          </w:tcPr>
          <w:p>
            <w:pPr>
              <w:spacing w:after="0"/>
              <w:rPr>
                <w:sz w:val="1"/>
                <w:szCs w:val="1"/>
                <w:color w:val="auto"/>
              </w:rPr>
            </w:pPr>
          </w:p>
        </w:tc>
      </w:tr>
      <w:tr>
        <w:trPr>
          <w:trHeight w:val="153"/>
        </w:trPr>
        <w:tc>
          <w:tcPr>
            <w:tcW w:w="4580" w:type="dxa"/>
            <w:vAlign w:val="bottom"/>
          </w:tcPr>
          <w:p>
            <w:pPr>
              <w:spacing w:after="0"/>
              <w:rPr>
                <w:sz w:val="20"/>
                <w:szCs w:val="20"/>
                <w:color w:val="auto"/>
              </w:rPr>
            </w:pPr>
            <w:r>
              <w:rPr>
                <w:rFonts w:ascii="Arial" w:cs="Arial" w:eastAsia="Arial" w:hAnsi="Arial"/>
                <w:sz w:val="12"/>
                <w:szCs w:val="12"/>
                <w:color w:val="auto"/>
              </w:rPr>
              <w:t>Goods or services transferred at a point in time</w:t>
            </w:r>
          </w:p>
        </w:tc>
        <w:tc>
          <w:tcPr>
            <w:tcW w:w="200" w:type="dxa"/>
            <w:vAlign w:val="bottom"/>
          </w:tcPr>
          <w:p>
            <w:pPr>
              <w:spacing w:after="0"/>
              <w:rPr>
                <w:sz w:val="13"/>
                <w:szCs w:val="13"/>
                <w:color w:val="auto"/>
              </w:rPr>
            </w:pPr>
          </w:p>
        </w:tc>
        <w:tc>
          <w:tcPr>
            <w:tcW w:w="1420" w:type="dxa"/>
            <w:vAlign w:val="bottom"/>
          </w:tcPr>
          <w:p>
            <w:pPr>
              <w:jc w:val="right"/>
              <w:ind w:right="2"/>
              <w:spacing w:after="0"/>
              <w:rPr>
                <w:sz w:val="20"/>
                <w:szCs w:val="20"/>
                <w:color w:val="auto"/>
              </w:rPr>
            </w:pPr>
            <w:r>
              <w:rPr>
                <w:rFonts w:ascii="Arial" w:cs="Arial" w:eastAsia="Arial" w:hAnsi="Arial"/>
                <w:sz w:val="12"/>
                <w:szCs w:val="12"/>
                <w:color w:val="auto"/>
              </w:rPr>
              <w:t>352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Pr>
          <w:p>
            <w:pPr>
              <w:jc w:val="right"/>
              <w:ind w:right="3"/>
              <w:spacing w:after="0"/>
              <w:rPr>
                <w:sz w:val="20"/>
                <w:szCs w:val="20"/>
                <w:color w:val="auto"/>
              </w:rPr>
            </w:pPr>
            <w:r>
              <w:rPr>
                <w:rFonts w:ascii="Arial" w:cs="Arial" w:eastAsia="Arial" w:hAnsi="Arial"/>
                <w:sz w:val="12"/>
                <w:szCs w:val="12"/>
                <w:color w:val="auto"/>
              </w:rPr>
              <w:t>43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3"/>
                <w:szCs w:val="13"/>
                <w:color w:val="auto"/>
              </w:rPr>
            </w:pPr>
          </w:p>
        </w:tc>
        <w:tc>
          <w:tcPr>
            <w:tcW w:w="1240" w:type="dxa"/>
            <w:vAlign w:val="bottom"/>
          </w:tcPr>
          <w:p>
            <w:pPr>
              <w:jc w:val="right"/>
              <w:ind w:right="2"/>
              <w:spacing w:after="0"/>
              <w:rPr>
                <w:sz w:val="20"/>
                <w:szCs w:val="20"/>
                <w:color w:val="auto"/>
              </w:rPr>
            </w:pPr>
            <w:r>
              <w:rPr>
                <w:rFonts w:ascii="Arial" w:cs="Arial" w:eastAsia="Arial" w:hAnsi="Arial"/>
                <w:sz w:val="12"/>
                <w:szCs w:val="12"/>
                <w:color w:val="auto"/>
              </w:rPr>
              <w:t>395</w:t>
            </w:r>
          </w:p>
        </w:tc>
        <w:tc>
          <w:tcPr>
            <w:tcW w:w="0" w:type="dxa"/>
            <w:vAlign w:val="bottom"/>
          </w:tcPr>
          <w:p>
            <w:pPr>
              <w:spacing w:after="0"/>
              <w:rPr>
                <w:sz w:val="1"/>
                <w:szCs w:val="1"/>
                <w:color w:val="auto"/>
              </w:rPr>
            </w:pPr>
          </w:p>
        </w:tc>
      </w:tr>
      <w:tr>
        <w:trPr>
          <w:trHeight w:val="149"/>
        </w:trPr>
        <w:tc>
          <w:tcPr>
            <w:tcW w:w="45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Revenue from contracts with customers</w:t>
            </w:r>
          </w:p>
        </w:tc>
        <w:tc>
          <w:tcPr>
            <w:tcW w:w="20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4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815</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4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86</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420" w:type="dxa"/>
            <w:vAlign w:val="bottom"/>
            <w:tcBorders>
              <w:top w:val="single" w:sz="8" w:color="auto"/>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10</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380" w:type="dxa"/>
            <w:vAlign w:val="bottom"/>
            <w:tcBorders>
              <w:top w:val="single" w:sz="8" w:color="auto"/>
              <w:bottom w:val="single" w:sz="8" w:color="auto"/>
            </w:tcBorders>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2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911</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45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1"/>
                <w:szCs w:val="11"/>
                <w:b w:val="1"/>
                <w:bCs w:val="1"/>
                <w:color w:val="auto"/>
                <w:w w:val="89"/>
              </w:rPr>
              <w:t>Three Months Ended June 30, 2020</w:t>
            </w: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4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0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Vacation Ownership</w:t>
            </w:r>
          </w:p>
        </w:tc>
        <w:tc>
          <w:tcPr>
            <w:tcW w:w="160" w:type="dxa"/>
            <w:vAlign w:val="bottom"/>
          </w:tcPr>
          <w:p>
            <w:pPr>
              <w:spacing w:after="0"/>
              <w:rPr>
                <w:sz w:val="8"/>
                <w:szCs w:val="8"/>
                <w:color w:val="auto"/>
              </w:rPr>
            </w:pPr>
          </w:p>
        </w:tc>
        <w:tc>
          <w:tcPr>
            <w:tcW w:w="1540" w:type="dxa"/>
            <w:vAlign w:val="bottom"/>
            <w:gridSpan w:val="2"/>
          </w:tcPr>
          <w:p>
            <w:pPr>
              <w:jc w:val="center"/>
              <w:ind w:right="260"/>
              <w:spacing w:after="0" w:line="99" w:lineRule="exact"/>
              <w:rPr>
                <w:sz w:val="20"/>
                <w:szCs w:val="20"/>
                <w:color w:val="auto"/>
              </w:rPr>
            </w:pPr>
            <w:r>
              <w:rPr>
                <w:rFonts w:ascii="Arial" w:cs="Arial" w:eastAsia="Arial" w:hAnsi="Arial"/>
                <w:sz w:val="11"/>
                <w:szCs w:val="11"/>
                <w:b w:val="1"/>
                <w:bCs w:val="1"/>
                <w:color w:val="auto"/>
                <w:w w:val="92"/>
              </w:rPr>
              <w:t>Exchange &amp; Third-Party</w:t>
            </w:r>
          </w:p>
        </w:tc>
        <w:tc>
          <w:tcPr>
            <w:tcW w:w="200" w:type="dxa"/>
            <w:vAlign w:val="bottom"/>
          </w:tcPr>
          <w:p>
            <w:pPr>
              <w:spacing w:after="0"/>
              <w:rPr>
                <w:sz w:val="8"/>
                <w:szCs w:val="8"/>
                <w:color w:val="auto"/>
              </w:rPr>
            </w:pPr>
          </w:p>
        </w:tc>
        <w:tc>
          <w:tcPr>
            <w:tcW w:w="150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Corporate and Other</w:t>
            </w:r>
          </w:p>
        </w:tc>
        <w:tc>
          <w:tcPr>
            <w:tcW w:w="380" w:type="dxa"/>
            <w:vAlign w:val="bottom"/>
          </w:tcPr>
          <w:p>
            <w:pPr>
              <w:spacing w:after="0"/>
              <w:rPr>
                <w:sz w:val="8"/>
                <w:szCs w:val="8"/>
                <w:color w:val="auto"/>
              </w:rPr>
            </w:pPr>
          </w:p>
        </w:tc>
        <w:tc>
          <w:tcPr>
            <w:tcW w:w="1240" w:type="dxa"/>
            <w:vAlign w:val="bottom"/>
            <w:vMerge w:val="restart"/>
          </w:tcPr>
          <w:p>
            <w:pPr>
              <w:jc w:val="right"/>
              <w:ind w:right="642"/>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2"/>
        </w:trPr>
        <w:tc>
          <w:tcPr>
            <w:tcW w:w="4580" w:type="dxa"/>
            <w:vAlign w:val="bottom"/>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20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2"/>
              </w:rPr>
              <w:t>Management</w:t>
            </w:r>
          </w:p>
        </w:tc>
        <w:tc>
          <w:tcPr>
            <w:tcW w:w="20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Services transferred over time</w:t>
            </w:r>
          </w:p>
        </w:tc>
        <w:tc>
          <w:tcPr>
            <w:tcW w:w="20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4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275</w:t>
            </w: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4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30</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4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17</w:t>
            </w:r>
          </w:p>
        </w:tc>
        <w:tc>
          <w:tcPr>
            <w:tcW w:w="8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2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322</w:t>
            </w:r>
          </w:p>
        </w:tc>
        <w:tc>
          <w:tcPr>
            <w:tcW w:w="0" w:type="dxa"/>
            <w:vAlign w:val="bottom"/>
          </w:tcPr>
          <w:p>
            <w:pPr>
              <w:spacing w:after="0"/>
              <w:rPr>
                <w:sz w:val="1"/>
                <w:szCs w:val="1"/>
                <w:color w:val="auto"/>
              </w:rPr>
            </w:pPr>
          </w:p>
        </w:tc>
      </w:tr>
      <w:tr>
        <w:trPr>
          <w:trHeight w:val="153"/>
        </w:trPr>
        <w:tc>
          <w:tcPr>
            <w:tcW w:w="4580" w:type="dxa"/>
            <w:vAlign w:val="bottom"/>
          </w:tcPr>
          <w:p>
            <w:pPr>
              <w:spacing w:after="0"/>
              <w:rPr>
                <w:sz w:val="20"/>
                <w:szCs w:val="20"/>
                <w:color w:val="auto"/>
              </w:rPr>
            </w:pPr>
            <w:r>
              <w:rPr>
                <w:rFonts w:ascii="Arial" w:cs="Arial" w:eastAsia="Arial" w:hAnsi="Arial"/>
                <w:sz w:val="12"/>
                <w:szCs w:val="12"/>
                <w:color w:val="auto"/>
              </w:rPr>
              <w:t>Goods or services transferred at a point in time</w:t>
            </w:r>
          </w:p>
        </w:tc>
        <w:tc>
          <w:tcPr>
            <w:tcW w:w="200" w:type="dxa"/>
            <w:vAlign w:val="bottom"/>
          </w:tcPr>
          <w:p>
            <w:pPr>
              <w:spacing w:after="0"/>
              <w:rPr>
                <w:sz w:val="13"/>
                <w:szCs w:val="13"/>
                <w:color w:val="auto"/>
              </w:rPr>
            </w:pPr>
          </w:p>
        </w:tc>
        <w:tc>
          <w:tcPr>
            <w:tcW w:w="1420" w:type="dxa"/>
            <w:vAlign w:val="bottom"/>
          </w:tcPr>
          <w:p>
            <w:pPr>
              <w:jc w:val="right"/>
              <w:ind w:right="2"/>
              <w:spacing w:after="0"/>
              <w:rPr>
                <w:sz w:val="20"/>
                <w:szCs w:val="20"/>
                <w:color w:val="auto"/>
              </w:rPr>
            </w:pPr>
            <w:r>
              <w:rPr>
                <w:rFonts w:ascii="Arial" w:cs="Arial" w:eastAsia="Arial" w:hAnsi="Arial"/>
                <w:sz w:val="12"/>
                <w:szCs w:val="12"/>
                <w:color w:val="auto"/>
              </w:rPr>
              <w:t>61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Pr>
          <w:p>
            <w:pPr>
              <w:jc w:val="right"/>
              <w:ind w:right="3"/>
              <w:spacing w:after="0"/>
              <w:rPr>
                <w:sz w:val="20"/>
                <w:szCs w:val="20"/>
                <w:color w:val="auto"/>
              </w:rPr>
            </w:pPr>
            <w:r>
              <w:rPr>
                <w:rFonts w:ascii="Arial" w:cs="Arial" w:eastAsia="Arial" w:hAnsi="Arial"/>
                <w:sz w:val="12"/>
                <w:szCs w:val="12"/>
                <w:color w:val="auto"/>
              </w:rPr>
              <w:t>27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3"/>
                <w:szCs w:val="13"/>
                <w:color w:val="auto"/>
              </w:rPr>
            </w:pPr>
          </w:p>
        </w:tc>
        <w:tc>
          <w:tcPr>
            <w:tcW w:w="1240" w:type="dxa"/>
            <w:vAlign w:val="bottom"/>
          </w:tcPr>
          <w:p>
            <w:pPr>
              <w:jc w:val="right"/>
              <w:ind w:right="2"/>
              <w:spacing w:after="0"/>
              <w:rPr>
                <w:sz w:val="20"/>
                <w:szCs w:val="20"/>
                <w:color w:val="auto"/>
              </w:rPr>
            </w:pPr>
            <w:r>
              <w:rPr>
                <w:rFonts w:ascii="Arial" w:cs="Arial" w:eastAsia="Arial" w:hAnsi="Arial"/>
                <w:sz w:val="12"/>
                <w:szCs w:val="12"/>
                <w:color w:val="auto"/>
              </w:rPr>
              <w:t>88</w:t>
            </w:r>
          </w:p>
        </w:tc>
        <w:tc>
          <w:tcPr>
            <w:tcW w:w="0" w:type="dxa"/>
            <w:vAlign w:val="bottom"/>
          </w:tcPr>
          <w:p>
            <w:pPr>
              <w:spacing w:after="0"/>
              <w:rPr>
                <w:sz w:val="1"/>
                <w:szCs w:val="1"/>
                <w:color w:val="auto"/>
              </w:rPr>
            </w:pPr>
          </w:p>
        </w:tc>
      </w:tr>
      <w:tr>
        <w:trPr>
          <w:trHeight w:val="158"/>
        </w:trPr>
        <w:tc>
          <w:tcPr>
            <w:tcW w:w="45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Revenue from contracts with customers</w:t>
            </w:r>
          </w:p>
        </w:tc>
        <w:tc>
          <w:tcPr>
            <w:tcW w:w="20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4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336</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4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57</w:t>
            </w:r>
          </w:p>
        </w:tc>
        <w:tc>
          <w:tcPr>
            <w:tcW w:w="80" w:type="dxa"/>
            <w:vAlign w:val="bottom"/>
            <w:tcBorders>
              <w:top w:val="single" w:sz="8" w:color="CCEEFF"/>
              <w:bottom w:val="single" w:sz="8" w:color="auto"/>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4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17</w:t>
            </w:r>
          </w:p>
        </w:tc>
        <w:tc>
          <w:tcPr>
            <w:tcW w:w="80" w:type="dxa"/>
            <w:vAlign w:val="bottom"/>
            <w:tcBorders>
              <w:top w:val="single" w:sz="8" w:color="CCEEFF"/>
              <w:bottom w:val="single" w:sz="8" w:color="auto"/>
            </w:tcBorders>
            <w:shd w:val="clear" w:color="auto" w:fill="CCEEFF"/>
          </w:tcPr>
          <w:p>
            <w:pPr>
              <w:spacing w:after="0"/>
              <w:rPr>
                <w:sz w:val="13"/>
                <w:szCs w:val="13"/>
                <w:color w:val="auto"/>
              </w:rPr>
            </w:pPr>
          </w:p>
        </w:tc>
        <w:tc>
          <w:tcPr>
            <w:tcW w:w="380" w:type="dxa"/>
            <w:vAlign w:val="bottom"/>
            <w:tcBorders>
              <w:top w:val="single" w:sz="8" w:color="auto"/>
              <w:bottom w:val="single" w:sz="8" w:color="auto"/>
            </w:tcBorders>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2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410</w:t>
            </w:r>
          </w:p>
        </w:tc>
        <w:tc>
          <w:tcPr>
            <w:tcW w:w="0" w:type="dxa"/>
            <w:vAlign w:val="bottom"/>
          </w:tcPr>
          <w:p>
            <w:pPr>
              <w:spacing w:after="0"/>
              <w:rPr>
                <w:sz w:val="1"/>
                <w:szCs w:val="1"/>
                <w:color w:val="auto"/>
              </w:rPr>
            </w:pPr>
          </w:p>
        </w:tc>
      </w:tr>
      <w:tr>
        <w:trPr>
          <w:trHeight w:val="340"/>
        </w:trPr>
        <w:tc>
          <w:tcPr>
            <w:tcW w:w="45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1"/>
                <w:szCs w:val="11"/>
                <w:b w:val="1"/>
                <w:bCs w:val="1"/>
                <w:color w:val="auto"/>
                <w:w w:val="89"/>
              </w:rPr>
              <w:t>Six Months Ended June 30, 2021</w:t>
            </w: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4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0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Vacation Ownership</w:t>
            </w:r>
          </w:p>
        </w:tc>
        <w:tc>
          <w:tcPr>
            <w:tcW w:w="160" w:type="dxa"/>
            <w:vAlign w:val="bottom"/>
          </w:tcPr>
          <w:p>
            <w:pPr>
              <w:spacing w:after="0"/>
              <w:rPr>
                <w:sz w:val="8"/>
                <w:szCs w:val="8"/>
                <w:color w:val="auto"/>
              </w:rPr>
            </w:pPr>
          </w:p>
        </w:tc>
        <w:tc>
          <w:tcPr>
            <w:tcW w:w="1540" w:type="dxa"/>
            <w:vAlign w:val="bottom"/>
            <w:gridSpan w:val="2"/>
          </w:tcPr>
          <w:p>
            <w:pPr>
              <w:jc w:val="center"/>
              <w:ind w:right="260"/>
              <w:spacing w:after="0" w:line="99" w:lineRule="exact"/>
              <w:rPr>
                <w:sz w:val="20"/>
                <w:szCs w:val="20"/>
                <w:color w:val="auto"/>
              </w:rPr>
            </w:pPr>
            <w:r>
              <w:rPr>
                <w:rFonts w:ascii="Arial" w:cs="Arial" w:eastAsia="Arial" w:hAnsi="Arial"/>
                <w:sz w:val="11"/>
                <w:szCs w:val="11"/>
                <w:b w:val="1"/>
                <w:bCs w:val="1"/>
                <w:color w:val="auto"/>
                <w:w w:val="92"/>
              </w:rPr>
              <w:t>Exchange &amp; Third-Party</w:t>
            </w:r>
          </w:p>
        </w:tc>
        <w:tc>
          <w:tcPr>
            <w:tcW w:w="200" w:type="dxa"/>
            <w:vAlign w:val="bottom"/>
          </w:tcPr>
          <w:p>
            <w:pPr>
              <w:spacing w:after="0"/>
              <w:rPr>
                <w:sz w:val="8"/>
                <w:szCs w:val="8"/>
                <w:color w:val="auto"/>
              </w:rPr>
            </w:pPr>
          </w:p>
        </w:tc>
        <w:tc>
          <w:tcPr>
            <w:tcW w:w="150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Corporate and Other</w:t>
            </w:r>
          </w:p>
        </w:tc>
        <w:tc>
          <w:tcPr>
            <w:tcW w:w="380" w:type="dxa"/>
            <w:vAlign w:val="bottom"/>
          </w:tcPr>
          <w:p>
            <w:pPr>
              <w:spacing w:after="0"/>
              <w:rPr>
                <w:sz w:val="8"/>
                <w:szCs w:val="8"/>
                <w:color w:val="auto"/>
              </w:rPr>
            </w:pPr>
          </w:p>
        </w:tc>
        <w:tc>
          <w:tcPr>
            <w:tcW w:w="1240" w:type="dxa"/>
            <w:vAlign w:val="bottom"/>
            <w:vMerge w:val="restart"/>
          </w:tcPr>
          <w:p>
            <w:pPr>
              <w:jc w:val="right"/>
              <w:ind w:right="642"/>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2"/>
        </w:trPr>
        <w:tc>
          <w:tcPr>
            <w:tcW w:w="4580" w:type="dxa"/>
            <w:vAlign w:val="bottom"/>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20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2"/>
              </w:rPr>
              <w:t>Management</w:t>
            </w:r>
          </w:p>
        </w:tc>
        <w:tc>
          <w:tcPr>
            <w:tcW w:w="20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Services transferred over time</w:t>
            </w:r>
          </w:p>
        </w:tc>
        <w:tc>
          <w:tcPr>
            <w:tcW w:w="20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4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871</w:t>
            </w: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4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80</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4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22</w:t>
            </w:r>
          </w:p>
        </w:tc>
        <w:tc>
          <w:tcPr>
            <w:tcW w:w="8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2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973</w:t>
            </w:r>
          </w:p>
        </w:tc>
        <w:tc>
          <w:tcPr>
            <w:tcW w:w="0" w:type="dxa"/>
            <w:vAlign w:val="bottom"/>
          </w:tcPr>
          <w:p>
            <w:pPr>
              <w:spacing w:after="0"/>
              <w:rPr>
                <w:sz w:val="1"/>
                <w:szCs w:val="1"/>
                <w:color w:val="auto"/>
              </w:rPr>
            </w:pPr>
          </w:p>
        </w:tc>
      </w:tr>
      <w:tr>
        <w:trPr>
          <w:trHeight w:val="153"/>
        </w:trPr>
        <w:tc>
          <w:tcPr>
            <w:tcW w:w="4580" w:type="dxa"/>
            <w:vAlign w:val="bottom"/>
          </w:tcPr>
          <w:p>
            <w:pPr>
              <w:spacing w:after="0"/>
              <w:rPr>
                <w:sz w:val="20"/>
                <w:szCs w:val="20"/>
                <w:color w:val="auto"/>
              </w:rPr>
            </w:pPr>
            <w:r>
              <w:rPr>
                <w:rFonts w:ascii="Arial" w:cs="Arial" w:eastAsia="Arial" w:hAnsi="Arial"/>
                <w:sz w:val="12"/>
                <w:szCs w:val="12"/>
                <w:color w:val="auto"/>
              </w:rPr>
              <w:t>Goods or services transferred at a point in time</w:t>
            </w:r>
          </w:p>
        </w:tc>
        <w:tc>
          <w:tcPr>
            <w:tcW w:w="200" w:type="dxa"/>
            <w:vAlign w:val="bottom"/>
          </w:tcPr>
          <w:p>
            <w:pPr>
              <w:spacing w:after="0"/>
              <w:rPr>
                <w:sz w:val="13"/>
                <w:szCs w:val="13"/>
                <w:color w:val="auto"/>
              </w:rPr>
            </w:pPr>
          </w:p>
        </w:tc>
        <w:tc>
          <w:tcPr>
            <w:tcW w:w="1420" w:type="dxa"/>
            <w:vAlign w:val="bottom"/>
          </w:tcPr>
          <w:p>
            <w:pPr>
              <w:jc w:val="right"/>
              <w:ind w:right="2"/>
              <w:spacing w:after="0"/>
              <w:rPr>
                <w:sz w:val="20"/>
                <w:szCs w:val="20"/>
                <w:color w:val="auto"/>
              </w:rPr>
            </w:pPr>
            <w:r>
              <w:rPr>
                <w:rFonts w:ascii="Arial" w:cs="Arial" w:eastAsia="Arial" w:hAnsi="Arial"/>
                <w:sz w:val="12"/>
                <w:szCs w:val="12"/>
                <w:color w:val="auto"/>
              </w:rPr>
              <w:t>546</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Pr>
          <w:p>
            <w:pPr>
              <w:jc w:val="right"/>
              <w:ind w:right="3"/>
              <w:spacing w:after="0"/>
              <w:rPr>
                <w:sz w:val="20"/>
                <w:szCs w:val="20"/>
                <w:color w:val="auto"/>
              </w:rPr>
            </w:pPr>
            <w:r>
              <w:rPr>
                <w:rFonts w:ascii="Arial" w:cs="Arial" w:eastAsia="Arial" w:hAnsi="Arial"/>
                <w:sz w:val="12"/>
                <w:szCs w:val="12"/>
                <w:color w:val="auto"/>
              </w:rPr>
              <w:t>92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3"/>
                <w:szCs w:val="13"/>
                <w:color w:val="auto"/>
              </w:rPr>
            </w:pPr>
          </w:p>
        </w:tc>
        <w:tc>
          <w:tcPr>
            <w:tcW w:w="1240" w:type="dxa"/>
            <w:vAlign w:val="bottom"/>
          </w:tcPr>
          <w:p>
            <w:pPr>
              <w:jc w:val="right"/>
              <w:ind w:right="2"/>
              <w:spacing w:after="0"/>
              <w:rPr>
                <w:sz w:val="20"/>
                <w:szCs w:val="20"/>
                <w:color w:val="auto"/>
              </w:rPr>
            </w:pPr>
            <w:r>
              <w:rPr>
                <w:rFonts w:ascii="Arial" w:cs="Arial" w:eastAsia="Arial" w:hAnsi="Arial"/>
                <w:sz w:val="12"/>
                <w:szCs w:val="12"/>
                <w:color w:val="auto"/>
              </w:rPr>
              <w:t>638</w:t>
            </w:r>
          </w:p>
        </w:tc>
        <w:tc>
          <w:tcPr>
            <w:tcW w:w="0" w:type="dxa"/>
            <w:vAlign w:val="bottom"/>
          </w:tcPr>
          <w:p>
            <w:pPr>
              <w:spacing w:after="0"/>
              <w:rPr>
                <w:sz w:val="1"/>
                <w:szCs w:val="1"/>
                <w:color w:val="auto"/>
              </w:rPr>
            </w:pPr>
          </w:p>
        </w:tc>
      </w:tr>
      <w:tr>
        <w:trPr>
          <w:trHeight w:val="158"/>
        </w:trPr>
        <w:tc>
          <w:tcPr>
            <w:tcW w:w="45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Revenue from contracts with customers</w:t>
            </w:r>
          </w:p>
        </w:tc>
        <w:tc>
          <w:tcPr>
            <w:tcW w:w="20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4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1,417</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4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172</w:t>
            </w:r>
          </w:p>
        </w:tc>
        <w:tc>
          <w:tcPr>
            <w:tcW w:w="80" w:type="dxa"/>
            <w:vAlign w:val="bottom"/>
            <w:tcBorders>
              <w:top w:val="single" w:sz="8" w:color="CCEEFF"/>
              <w:bottom w:val="single" w:sz="8" w:color="auto"/>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4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22</w:t>
            </w:r>
          </w:p>
        </w:tc>
        <w:tc>
          <w:tcPr>
            <w:tcW w:w="80" w:type="dxa"/>
            <w:vAlign w:val="bottom"/>
            <w:tcBorders>
              <w:top w:val="single" w:sz="8" w:color="CCEEFF"/>
              <w:bottom w:val="single" w:sz="8" w:color="auto"/>
            </w:tcBorders>
            <w:shd w:val="clear" w:color="auto" w:fill="CCEEFF"/>
          </w:tcPr>
          <w:p>
            <w:pPr>
              <w:spacing w:after="0"/>
              <w:rPr>
                <w:sz w:val="13"/>
                <w:szCs w:val="13"/>
                <w:color w:val="auto"/>
              </w:rPr>
            </w:pPr>
          </w:p>
        </w:tc>
        <w:tc>
          <w:tcPr>
            <w:tcW w:w="380" w:type="dxa"/>
            <w:vAlign w:val="bottom"/>
            <w:tcBorders>
              <w:top w:val="single" w:sz="8" w:color="auto"/>
              <w:bottom w:val="single" w:sz="8" w:color="auto"/>
            </w:tcBorders>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2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1,611</w:t>
            </w:r>
          </w:p>
        </w:tc>
        <w:tc>
          <w:tcPr>
            <w:tcW w:w="0" w:type="dxa"/>
            <w:vAlign w:val="bottom"/>
          </w:tcPr>
          <w:p>
            <w:pPr>
              <w:spacing w:after="0"/>
              <w:rPr>
                <w:sz w:val="1"/>
                <w:szCs w:val="1"/>
                <w:color w:val="auto"/>
              </w:rPr>
            </w:pPr>
          </w:p>
        </w:tc>
      </w:tr>
      <w:tr>
        <w:trPr>
          <w:trHeight w:val="340"/>
        </w:trPr>
        <w:tc>
          <w:tcPr>
            <w:tcW w:w="45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1"/>
                <w:szCs w:val="11"/>
                <w:b w:val="1"/>
                <w:bCs w:val="1"/>
                <w:color w:val="auto"/>
                <w:w w:val="89"/>
              </w:rPr>
              <w:t>Six Months Ended June 30, 2020</w:t>
            </w: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4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0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Vacation Ownership</w:t>
            </w:r>
          </w:p>
        </w:tc>
        <w:tc>
          <w:tcPr>
            <w:tcW w:w="160" w:type="dxa"/>
            <w:vAlign w:val="bottom"/>
          </w:tcPr>
          <w:p>
            <w:pPr>
              <w:spacing w:after="0"/>
              <w:rPr>
                <w:sz w:val="8"/>
                <w:szCs w:val="8"/>
                <w:color w:val="auto"/>
              </w:rPr>
            </w:pPr>
          </w:p>
        </w:tc>
        <w:tc>
          <w:tcPr>
            <w:tcW w:w="1540" w:type="dxa"/>
            <w:vAlign w:val="bottom"/>
            <w:gridSpan w:val="2"/>
          </w:tcPr>
          <w:p>
            <w:pPr>
              <w:jc w:val="center"/>
              <w:ind w:right="260"/>
              <w:spacing w:after="0" w:line="99" w:lineRule="exact"/>
              <w:rPr>
                <w:sz w:val="20"/>
                <w:szCs w:val="20"/>
                <w:color w:val="auto"/>
              </w:rPr>
            </w:pPr>
            <w:r>
              <w:rPr>
                <w:rFonts w:ascii="Arial" w:cs="Arial" w:eastAsia="Arial" w:hAnsi="Arial"/>
                <w:sz w:val="11"/>
                <w:szCs w:val="11"/>
                <w:b w:val="1"/>
                <w:bCs w:val="1"/>
                <w:color w:val="auto"/>
                <w:w w:val="92"/>
              </w:rPr>
              <w:t>Exchange &amp; Third-Party</w:t>
            </w:r>
          </w:p>
        </w:tc>
        <w:tc>
          <w:tcPr>
            <w:tcW w:w="200" w:type="dxa"/>
            <w:vAlign w:val="bottom"/>
          </w:tcPr>
          <w:p>
            <w:pPr>
              <w:spacing w:after="0"/>
              <w:rPr>
                <w:sz w:val="8"/>
                <w:szCs w:val="8"/>
                <w:color w:val="auto"/>
              </w:rPr>
            </w:pPr>
          </w:p>
        </w:tc>
        <w:tc>
          <w:tcPr>
            <w:tcW w:w="150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Corporate and Other</w:t>
            </w:r>
          </w:p>
        </w:tc>
        <w:tc>
          <w:tcPr>
            <w:tcW w:w="380" w:type="dxa"/>
            <w:vAlign w:val="bottom"/>
          </w:tcPr>
          <w:p>
            <w:pPr>
              <w:spacing w:after="0"/>
              <w:rPr>
                <w:sz w:val="8"/>
                <w:szCs w:val="8"/>
                <w:color w:val="auto"/>
              </w:rPr>
            </w:pPr>
          </w:p>
        </w:tc>
        <w:tc>
          <w:tcPr>
            <w:tcW w:w="1240" w:type="dxa"/>
            <w:vAlign w:val="bottom"/>
            <w:vMerge w:val="restart"/>
          </w:tcPr>
          <w:p>
            <w:pPr>
              <w:jc w:val="right"/>
              <w:ind w:right="642"/>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2"/>
        </w:trPr>
        <w:tc>
          <w:tcPr>
            <w:tcW w:w="4580" w:type="dxa"/>
            <w:vAlign w:val="bottom"/>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20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2"/>
              </w:rPr>
              <w:t>Management</w:t>
            </w:r>
          </w:p>
        </w:tc>
        <w:tc>
          <w:tcPr>
            <w:tcW w:w="20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Services transferred over time</w:t>
            </w:r>
          </w:p>
        </w:tc>
        <w:tc>
          <w:tcPr>
            <w:tcW w:w="20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4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805</w:t>
            </w: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4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84</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4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12</w:t>
            </w:r>
          </w:p>
        </w:tc>
        <w:tc>
          <w:tcPr>
            <w:tcW w:w="8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2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901</w:t>
            </w:r>
          </w:p>
        </w:tc>
        <w:tc>
          <w:tcPr>
            <w:tcW w:w="0" w:type="dxa"/>
            <w:vAlign w:val="bottom"/>
          </w:tcPr>
          <w:p>
            <w:pPr>
              <w:spacing w:after="0"/>
              <w:rPr>
                <w:sz w:val="1"/>
                <w:szCs w:val="1"/>
                <w:color w:val="auto"/>
              </w:rPr>
            </w:pPr>
          </w:p>
        </w:tc>
      </w:tr>
      <w:tr>
        <w:trPr>
          <w:trHeight w:val="153"/>
        </w:trPr>
        <w:tc>
          <w:tcPr>
            <w:tcW w:w="4580" w:type="dxa"/>
            <w:vAlign w:val="bottom"/>
          </w:tcPr>
          <w:p>
            <w:pPr>
              <w:spacing w:after="0"/>
              <w:rPr>
                <w:sz w:val="20"/>
                <w:szCs w:val="20"/>
                <w:color w:val="auto"/>
              </w:rPr>
            </w:pPr>
            <w:r>
              <w:rPr>
                <w:rFonts w:ascii="Arial" w:cs="Arial" w:eastAsia="Arial" w:hAnsi="Arial"/>
                <w:sz w:val="12"/>
                <w:szCs w:val="12"/>
                <w:color w:val="auto"/>
              </w:rPr>
              <w:t>Goods or services transferred at a point in time</w:t>
            </w:r>
          </w:p>
        </w:tc>
        <w:tc>
          <w:tcPr>
            <w:tcW w:w="200" w:type="dxa"/>
            <w:vAlign w:val="bottom"/>
          </w:tcPr>
          <w:p>
            <w:pPr>
              <w:spacing w:after="0"/>
              <w:rPr>
                <w:sz w:val="13"/>
                <w:szCs w:val="13"/>
                <w:color w:val="auto"/>
              </w:rPr>
            </w:pPr>
          </w:p>
        </w:tc>
        <w:tc>
          <w:tcPr>
            <w:tcW w:w="1420" w:type="dxa"/>
            <w:vAlign w:val="bottom"/>
          </w:tcPr>
          <w:p>
            <w:pPr>
              <w:jc w:val="right"/>
              <w:ind w:right="2"/>
              <w:spacing w:after="0"/>
              <w:rPr>
                <w:sz w:val="20"/>
                <w:szCs w:val="20"/>
                <w:color w:val="auto"/>
              </w:rPr>
            </w:pPr>
            <w:r>
              <w:rPr>
                <w:rFonts w:ascii="Arial" w:cs="Arial" w:eastAsia="Arial" w:hAnsi="Arial"/>
                <w:sz w:val="12"/>
                <w:szCs w:val="12"/>
                <w:color w:val="auto"/>
              </w:rPr>
              <w:t>368</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Pr>
          <w:p>
            <w:pPr>
              <w:jc w:val="right"/>
              <w:ind w:right="3"/>
              <w:spacing w:after="0"/>
              <w:rPr>
                <w:sz w:val="20"/>
                <w:szCs w:val="20"/>
                <w:color w:val="auto"/>
              </w:rPr>
            </w:pPr>
            <w:r>
              <w:rPr>
                <w:rFonts w:ascii="Arial" w:cs="Arial" w:eastAsia="Arial" w:hAnsi="Arial"/>
                <w:sz w:val="12"/>
                <w:szCs w:val="12"/>
                <w:color w:val="auto"/>
              </w:rPr>
              <w:t>79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3"/>
                <w:szCs w:val="13"/>
                <w:color w:val="auto"/>
              </w:rPr>
            </w:pPr>
          </w:p>
        </w:tc>
        <w:tc>
          <w:tcPr>
            <w:tcW w:w="1240" w:type="dxa"/>
            <w:vAlign w:val="bottom"/>
          </w:tcPr>
          <w:p>
            <w:pPr>
              <w:jc w:val="right"/>
              <w:ind w:right="2"/>
              <w:spacing w:after="0"/>
              <w:rPr>
                <w:sz w:val="20"/>
                <w:szCs w:val="20"/>
                <w:color w:val="auto"/>
              </w:rPr>
            </w:pPr>
            <w:r>
              <w:rPr>
                <w:rFonts w:ascii="Arial" w:cs="Arial" w:eastAsia="Arial" w:hAnsi="Arial"/>
                <w:sz w:val="12"/>
                <w:szCs w:val="12"/>
                <w:color w:val="auto"/>
              </w:rPr>
              <w:t>447</w:t>
            </w:r>
          </w:p>
        </w:tc>
        <w:tc>
          <w:tcPr>
            <w:tcW w:w="0" w:type="dxa"/>
            <w:vAlign w:val="bottom"/>
          </w:tcPr>
          <w:p>
            <w:pPr>
              <w:spacing w:after="0"/>
              <w:rPr>
                <w:sz w:val="1"/>
                <w:szCs w:val="1"/>
                <w:color w:val="auto"/>
              </w:rPr>
            </w:pPr>
          </w:p>
        </w:tc>
      </w:tr>
      <w:tr>
        <w:trPr>
          <w:trHeight w:val="158"/>
        </w:trPr>
        <w:tc>
          <w:tcPr>
            <w:tcW w:w="45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Revenue from contracts with customers</w:t>
            </w:r>
          </w:p>
        </w:tc>
        <w:tc>
          <w:tcPr>
            <w:tcW w:w="20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4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1,173</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4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163</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4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12</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380" w:type="dxa"/>
            <w:vAlign w:val="bottom"/>
            <w:tcBorders>
              <w:top w:val="single" w:sz="8" w:color="auto"/>
              <w:bottom w:val="single" w:sz="8" w:color="auto"/>
            </w:tcBorders>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2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1,348</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Sale of Vacation Ownership Products</w:t>
      </w:r>
    </w:p>
    <w:p>
      <w:pPr>
        <w:spacing w:after="0" w:line="78" w:lineRule="exact"/>
        <w:rPr>
          <w:sz w:val="20"/>
          <w:szCs w:val="20"/>
          <w:color w:val="auto"/>
        </w:rPr>
      </w:pPr>
    </w:p>
    <w:p>
      <w:pPr>
        <w:ind w:right="220" w:firstLine="432"/>
        <w:spacing w:after="0" w:line="276" w:lineRule="auto"/>
        <w:rPr>
          <w:sz w:val="20"/>
          <w:szCs w:val="20"/>
          <w:color w:val="auto"/>
        </w:rPr>
      </w:pPr>
      <w:r>
        <w:rPr>
          <w:rFonts w:ascii="Arial" w:cs="Arial" w:eastAsia="Arial" w:hAnsi="Arial"/>
          <w:sz w:val="12"/>
          <w:szCs w:val="12"/>
          <w:color w:val="auto"/>
        </w:rPr>
        <w:t>Revenues were reduced during the second quarter and first half of 2021 by $3 million and $8 million, respectively, due to changes in our estimates of variable consideration for performance obligations that were satisfied in prior periods.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Receivables from Contracts with Customers, Contract Assets &amp; Contract Liabilities</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shows the composition of our receivables from contracts with customers and contract liabilities. We had no contract assets at either June 30, 2021 or December 31, 2020.</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040" w:type="dxa"/>
            <w:vAlign w:val="bottom"/>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2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20" w:type="dxa"/>
            <w:vAlign w:val="bottom"/>
            <w:gridSpan w:val="2"/>
          </w:tcPr>
          <w:p>
            <w:pPr>
              <w:ind w:left="320"/>
              <w:spacing w:after="0"/>
              <w:rPr>
                <w:sz w:val="20"/>
                <w:szCs w:val="20"/>
                <w:color w:val="auto"/>
              </w:rPr>
            </w:pPr>
            <w:r>
              <w:rPr>
                <w:rFonts w:ascii="Arial" w:cs="Arial" w:eastAsia="Arial" w:hAnsi="Arial"/>
                <w:sz w:val="11"/>
                <w:szCs w:val="11"/>
                <w:b w:val="1"/>
                <w:bCs w:val="1"/>
                <w:color w:val="auto"/>
              </w:rPr>
              <w:t>At June 30, 2021</w:t>
            </w:r>
          </w:p>
        </w:tc>
        <w:tc>
          <w:tcPr>
            <w:tcW w:w="340" w:type="dxa"/>
            <w:vAlign w:val="bottom"/>
          </w:tcPr>
          <w:p>
            <w:pPr>
              <w:spacing w:after="0"/>
              <w:rPr>
                <w:sz w:val="12"/>
                <w:szCs w:val="12"/>
                <w:color w:val="auto"/>
              </w:rPr>
            </w:pPr>
          </w:p>
        </w:tc>
        <w:tc>
          <w:tcPr>
            <w:tcW w:w="1900" w:type="dxa"/>
            <w:vAlign w:val="bottom"/>
          </w:tcPr>
          <w:p>
            <w:pPr>
              <w:jc w:val="right"/>
              <w:ind w:right="561"/>
              <w:spacing w:after="0"/>
              <w:rPr>
                <w:sz w:val="20"/>
                <w:szCs w:val="20"/>
                <w:color w:val="auto"/>
              </w:rPr>
            </w:pPr>
            <w:r>
              <w:rPr>
                <w:rFonts w:ascii="Arial" w:cs="Arial" w:eastAsia="Arial" w:hAnsi="Arial"/>
                <w:sz w:val="11"/>
                <w:szCs w:val="11"/>
                <w:b w:val="1"/>
                <w:bCs w:val="1"/>
                <w:color w:val="auto"/>
              </w:rPr>
              <w:t>At December 31, 2020</w:t>
            </w:r>
          </w:p>
        </w:tc>
        <w:tc>
          <w:tcPr>
            <w:tcW w:w="0" w:type="dxa"/>
            <w:vAlign w:val="bottom"/>
          </w:tcPr>
          <w:p>
            <w:pPr>
              <w:spacing w:after="0"/>
              <w:rPr>
                <w:sz w:val="1"/>
                <w:szCs w:val="1"/>
                <w:color w:val="auto"/>
              </w:rPr>
            </w:pPr>
          </w:p>
        </w:tc>
      </w:tr>
      <w:tr>
        <w:trPr>
          <w:trHeight w:val="135"/>
        </w:trPr>
        <w:tc>
          <w:tcPr>
            <w:tcW w:w="4040" w:type="dxa"/>
            <w:vAlign w:val="bottom"/>
            <w:tcBorders>
              <w:top w:val="single" w:sz="8" w:color="CCEEFF"/>
            </w:tcBorders>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Receivables from Contracts with Customers</w:t>
            </w:r>
          </w:p>
        </w:tc>
        <w:tc>
          <w:tcPr>
            <w:tcW w:w="270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8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9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040" w:type="dxa"/>
            <w:vAlign w:val="bottom"/>
          </w:tcPr>
          <w:p>
            <w:pPr>
              <w:ind w:left="140"/>
              <w:spacing w:after="0"/>
              <w:rPr>
                <w:sz w:val="20"/>
                <w:szCs w:val="20"/>
                <w:color w:val="auto"/>
              </w:rPr>
            </w:pPr>
            <w:r>
              <w:rPr>
                <w:rFonts w:ascii="Arial" w:cs="Arial" w:eastAsia="Arial" w:hAnsi="Arial"/>
                <w:sz w:val="12"/>
                <w:szCs w:val="12"/>
                <w:color w:val="auto"/>
              </w:rPr>
              <w:t>Accounts receivable</w:t>
            </w:r>
          </w:p>
        </w:tc>
        <w:tc>
          <w:tcPr>
            <w:tcW w:w="310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1820" w:type="dxa"/>
            <w:vAlign w:val="bottom"/>
          </w:tcPr>
          <w:p>
            <w:pPr>
              <w:jc w:val="right"/>
              <w:spacing w:after="0"/>
              <w:rPr>
                <w:sz w:val="20"/>
                <w:szCs w:val="20"/>
                <w:color w:val="auto"/>
              </w:rPr>
            </w:pPr>
            <w:r>
              <w:rPr>
                <w:rFonts w:ascii="Arial" w:cs="Arial" w:eastAsia="Arial" w:hAnsi="Arial"/>
                <w:sz w:val="12"/>
                <w:szCs w:val="12"/>
                <w:color w:val="auto"/>
              </w:rPr>
              <w:t>108</w:t>
            </w:r>
          </w:p>
        </w:tc>
        <w:tc>
          <w:tcPr>
            <w:tcW w:w="100" w:type="dxa"/>
            <w:vAlign w:val="bottom"/>
          </w:tcPr>
          <w:p>
            <w:pPr>
              <w:spacing w:after="0"/>
              <w:rPr>
                <w:sz w:val="13"/>
                <w:szCs w:val="13"/>
                <w:color w:val="auto"/>
              </w:rPr>
            </w:pPr>
          </w:p>
        </w:tc>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1900" w:type="dxa"/>
            <w:vAlign w:val="bottom"/>
          </w:tcPr>
          <w:p>
            <w:pPr>
              <w:jc w:val="right"/>
              <w:ind w:right="1"/>
              <w:spacing w:after="0"/>
              <w:rPr>
                <w:sz w:val="20"/>
                <w:szCs w:val="20"/>
                <w:color w:val="auto"/>
              </w:rPr>
            </w:pPr>
            <w:r>
              <w:rPr>
                <w:rFonts w:ascii="Arial" w:cs="Arial" w:eastAsia="Arial" w:hAnsi="Arial"/>
                <w:sz w:val="12"/>
                <w:szCs w:val="12"/>
                <w:color w:val="auto"/>
              </w:rPr>
              <w:t>150</w:t>
            </w:r>
          </w:p>
        </w:tc>
        <w:tc>
          <w:tcPr>
            <w:tcW w:w="0" w:type="dxa"/>
            <w:vAlign w:val="bottom"/>
          </w:tcPr>
          <w:p>
            <w:pPr>
              <w:spacing w:after="0"/>
              <w:rPr>
                <w:sz w:val="1"/>
                <w:szCs w:val="1"/>
                <w:color w:val="auto"/>
              </w:rPr>
            </w:pPr>
          </w:p>
        </w:tc>
      </w:tr>
      <w:tr>
        <w:trPr>
          <w:trHeight w:val="153"/>
        </w:trPr>
        <w:tc>
          <w:tcPr>
            <w:tcW w:w="40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Vacation ownership notes receivable, net</w:t>
            </w:r>
          </w:p>
        </w:tc>
        <w:tc>
          <w:tcPr>
            <w:tcW w:w="270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1,991</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1,840</w:t>
            </w:r>
          </w:p>
        </w:tc>
        <w:tc>
          <w:tcPr>
            <w:tcW w:w="0" w:type="dxa"/>
            <w:vAlign w:val="bottom"/>
          </w:tcPr>
          <w:p>
            <w:pPr>
              <w:spacing w:after="0"/>
              <w:rPr>
                <w:sz w:val="1"/>
                <w:szCs w:val="1"/>
                <w:color w:val="auto"/>
              </w:rPr>
            </w:pPr>
          </w:p>
        </w:tc>
      </w:tr>
      <w:tr>
        <w:trPr>
          <w:trHeight w:val="158"/>
        </w:trPr>
        <w:tc>
          <w:tcPr>
            <w:tcW w:w="4040" w:type="dxa"/>
            <w:vAlign w:val="bottom"/>
          </w:tcPr>
          <w:p>
            <w:pPr>
              <w:spacing w:after="0"/>
              <w:rPr>
                <w:sz w:val="13"/>
                <w:szCs w:val="13"/>
                <w:color w:val="auto"/>
              </w:rPr>
            </w:pPr>
          </w:p>
        </w:tc>
        <w:tc>
          <w:tcPr>
            <w:tcW w:w="310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1820" w:type="dxa"/>
            <w:vAlign w:val="bottom"/>
          </w:tcPr>
          <w:p>
            <w:pPr>
              <w:jc w:val="right"/>
              <w:spacing w:after="0"/>
              <w:rPr>
                <w:sz w:val="20"/>
                <w:szCs w:val="20"/>
                <w:color w:val="auto"/>
              </w:rPr>
            </w:pPr>
            <w:r>
              <w:rPr>
                <w:rFonts w:ascii="Arial" w:cs="Arial" w:eastAsia="Arial" w:hAnsi="Arial"/>
                <w:sz w:val="12"/>
                <w:szCs w:val="12"/>
                <w:color w:val="auto"/>
              </w:rPr>
              <w:t>2,099</w:t>
            </w:r>
          </w:p>
        </w:tc>
        <w:tc>
          <w:tcPr>
            <w:tcW w:w="100" w:type="dxa"/>
            <w:vAlign w:val="bottom"/>
          </w:tcPr>
          <w:p>
            <w:pPr>
              <w:spacing w:after="0"/>
              <w:rPr>
                <w:sz w:val="13"/>
                <w:szCs w:val="13"/>
                <w:color w:val="auto"/>
              </w:rPr>
            </w:pPr>
          </w:p>
        </w:tc>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1900" w:type="dxa"/>
            <w:vAlign w:val="bottom"/>
          </w:tcPr>
          <w:p>
            <w:pPr>
              <w:jc w:val="right"/>
              <w:ind w:right="1"/>
              <w:spacing w:after="0"/>
              <w:rPr>
                <w:sz w:val="20"/>
                <w:szCs w:val="20"/>
                <w:color w:val="auto"/>
              </w:rPr>
            </w:pPr>
            <w:r>
              <w:rPr>
                <w:rFonts w:ascii="Arial" w:cs="Arial" w:eastAsia="Arial" w:hAnsi="Arial"/>
                <w:sz w:val="12"/>
                <w:szCs w:val="12"/>
                <w:color w:val="auto"/>
              </w:rPr>
              <w:t>1,990</w:t>
            </w:r>
          </w:p>
        </w:tc>
        <w:tc>
          <w:tcPr>
            <w:tcW w:w="0" w:type="dxa"/>
            <w:vAlign w:val="bottom"/>
          </w:tcPr>
          <w:p>
            <w:pPr>
              <w:spacing w:after="0"/>
              <w:rPr>
                <w:sz w:val="1"/>
                <w:szCs w:val="1"/>
                <w:color w:val="auto"/>
              </w:rPr>
            </w:pPr>
          </w:p>
        </w:tc>
      </w:tr>
      <w:tr>
        <w:trPr>
          <w:trHeight w:val="135"/>
        </w:trPr>
        <w:tc>
          <w:tcPr>
            <w:tcW w:w="4040" w:type="dxa"/>
            <w:vAlign w:val="bottom"/>
            <w:tcBorders>
              <w:top w:val="single" w:sz="8" w:color="CCEEFF"/>
            </w:tcBorders>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Contract Liabilities</w:t>
            </w:r>
          </w:p>
        </w:tc>
        <w:tc>
          <w:tcPr>
            <w:tcW w:w="270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8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9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040" w:type="dxa"/>
            <w:vAlign w:val="bottom"/>
          </w:tcPr>
          <w:p>
            <w:pPr>
              <w:ind w:left="140"/>
              <w:spacing w:after="0"/>
              <w:rPr>
                <w:sz w:val="20"/>
                <w:szCs w:val="20"/>
                <w:color w:val="auto"/>
              </w:rPr>
            </w:pPr>
            <w:r>
              <w:rPr>
                <w:rFonts w:ascii="Arial" w:cs="Arial" w:eastAsia="Arial" w:hAnsi="Arial"/>
                <w:sz w:val="12"/>
                <w:szCs w:val="12"/>
                <w:color w:val="auto"/>
              </w:rPr>
              <w:t>Advance deposits</w:t>
            </w:r>
          </w:p>
        </w:tc>
        <w:tc>
          <w:tcPr>
            <w:tcW w:w="310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1820" w:type="dxa"/>
            <w:vAlign w:val="bottom"/>
          </w:tcPr>
          <w:p>
            <w:pPr>
              <w:jc w:val="right"/>
              <w:spacing w:after="0"/>
              <w:rPr>
                <w:sz w:val="20"/>
                <w:szCs w:val="20"/>
                <w:color w:val="auto"/>
              </w:rPr>
            </w:pPr>
            <w:r>
              <w:rPr>
                <w:rFonts w:ascii="Arial" w:cs="Arial" w:eastAsia="Arial" w:hAnsi="Arial"/>
                <w:sz w:val="12"/>
                <w:szCs w:val="12"/>
                <w:color w:val="auto"/>
              </w:rPr>
              <w:t>176</w:t>
            </w:r>
          </w:p>
        </w:tc>
        <w:tc>
          <w:tcPr>
            <w:tcW w:w="100" w:type="dxa"/>
            <w:vAlign w:val="bottom"/>
          </w:tcPr>
          <w:p>
            <w:pPr>
              <w:spacing w:after="0"/>
              <w:rPr>
                <w:sz w:val="13"/>
                <w:szCs w:val="13"/>
                <w:color w:val="auto"/>
              </w:rPr>
            </w:pPr>
          </w:p>
        </w:tc>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1900" w:type="dxa"/>
            <w:vAlign w:val="bottom"/>
          </w:tcPr>
          <w:p>
            <w:pPr>
              <w:jc w:val="right"/>
              <w:ind w:right="1"/>
              <w:spacing w:after="0"/>
              <w:rPr>
                <w:sz w:val="20"/>
                <w:szCs w:val="20"/>
                <w:color w:val="auto"/>
              </w:rPr>
            </w:pPr>
            <w:r>
              <w:rPr>
                <w:rFonts w:ascii="Arial" w:cs="Arial" w:eastAsia="Arial" w:hAnsi="Arial"/>
                <w:sz w:val="12"/>
                <w:szCs w:val="12"/>
                <w:color w:val="auto"/>
              </w:rPr>
              <w:t>147</w:t>
            </w:r>
          </w:p>
        </w:tc>
        <w:tc>
          <w:tcPr>
            <w:tcW w:w="0" w:type="dxa"/>
            <w:vAlign w:val="bottom"/>
          </w:tcPr>
          <w:p>
            <w:pPr>
              <w:spacing w:after="0"/>
              <w:rPr>
                <w:sz w:val="1"/>
                <w:szCs w:val="1"/>
                <w:color w:val="auto"/>
              </w:rPr>
            </w:pPr>
          </w:p>
        </w:tc>
      </w:tr>
      <w:tr>
        <w:trPr>
          <w:trHeight w:val="153"/>
        </w:trPr>
        <w:tc>
          <w:tcPr>
            <w:tcW w:w="40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Deferred revenue</w:t>
            </w:r>
          </w:p>
        </w:tc>
        <w:tc>
          <w:tcPr>
            <w:tcW w:w="270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474</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488</w:t>
            </w:r>
          </w:p>
        </w:tc>
        <w:tc>
          <w:tcPr>
            <w:tcW w:w="0" w:type="dxa"/>
            <w:vAlign w:val="bottom"/>
          </w:tcPr>
          <w:p>
            <w:pPr>
              <w:spacing w:after="0"/>
              <w:rPr>
                <w:sz w:val="1"/>
                <w:szCs w:val="1"/>
                <w:color w:val="auto"/>
              </w:rPr>
            </w:pPr>
          </w:p>
        </w:tc>
      </w:tr>
      <w:tr>
        <w:trPr>
          <w:trHeight w:val="142"/>
        </w:trPr>
        <w:tc>
          <w:tcPr>
            <w:tcW w:w="4040" w:type="dxa"/>
            <w:vAlign w:val="bottom"/>
          </w:tcPr>
          <w:p>
            <w:pPr>
              <w:spacing w:after="0"/>
              <w:rPr>
                <w:sz w:val="12"/>
                <w:szCs w:val="12"/>
                <w:color w:val="auto"/>
              </w:rPr>
            </w:pPr>
          </w:p>
        </w:tc>
        <w:tc>
          <w:tcPr>
            <w:tcW w:w="310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1820" w:type="dxa"/>
            <w:vAlign w:val="bottom"/>
          </w:tcPr>
          <w:p>
            <w:pPr>
              <w:jc w:val="right"/>
              <w:spacing w:after="0"/>
              <w:rPr>
                <w:sz w:val="20"/>
                <w:szCs w:val="20"/>
                <w:color w:val="auto"/>
              </w:rPr>
            </w:pPr>
            <w:r>
              <w:rPr>
                <w:rFonts w:ascii="Arial" w:cs="Arial" w:eastAsia="Arial" w:hAnsi="Arial"/>
                <w:sz w:val="12"/>
                <w:szCs w:val="12"/>
                <w:color w:val="auto"/>
              </w:rPr>
              <w:t>650</w:t>
            </w:r>
          </w:p>
        </w:tc>
        <w:tc>
          <w:tcPr>
            <w:tcW w:w="100" w:type="dxa"/>
            <w:vAlign w:val="bottom"/>
          </w:tcPr>
          <w:p>
            <w:pPr>
              <w:spacing w:after="0"/>
              <w:rPr>
                <w:sz w:val="12"/>
                <w:szCs w:val="12"/>
                <w:color w:val="auto"/>
              </w:rPr>
            </w:pPr>
          </w:p>
        </w:tc>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1900" w:type="dxa"/>
            <w:vAlign w:val="bottom"/>
          </w:tcPr>
          <w:p>
            <w:pPr>
              <w:jc w:val="right"/>
              <w:ind w:right="1"/>
              <w:spacing w:after="0"/>
              <w:rPr>
                <w:sz w:val="20"/>
                <w:szCs w:val="20"/>
                <w:color w:val="auto"/>
              </w:rPr>
            </w:pPr>
            <w:r>
              <w:rPr>
                <w:rFonts w:ascii="Arial" w:cs="Arial" w:eastAsia="Arial" w:hAnsi="Arial"/>
                <w:sz w:val="12"/>
                <w:szCs w:val="12"/>
                <w:color w:val="auto"/>
              </w:rPr>
              <w:t>635</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700" w:type="dxa"/>
            <w:vAlign w:val="bottom"/>
            <w:vMerge w:val="restart"/>
          </w:tcPr>
          <w:p>
            <w:pPr>
              <w:jc w:val="right"/>
              <w:ind w:right="760"/>
              <w:spacing w:after="0"/>
              <w:rPr>
                <w:sz w:val="20"/>
                <w:szCs w:val="20"/>
                <w:color w:val="auto"/>
              </w:rPr>
            </w:pPr>
            <w:r>
              <w:rPr>
                <w:rFonts w:ascii="Arial" w:cs="Arial" w:eastAsia="Arial" w:hAnsi="Arial"/>
                <w:sz w:val="12"/>
                <w:szCs w:val="12"/>
                <w:color w:val="auto"/>
              </w:rPr>
              <w:t>14</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4040" w:type="dxa"/>
            <w:vAlign w:val="bottom"/>
          </w:tcPr>
          <w:p>
            <w:pPr>
              <w:spacing w:after="0"/>
              <w:rPr>
                <w:sz w:val="24"/>
                <w:szCs w:val="24"/>
                <w:color w:val="auto"/>
              </w:rPr>
            </w:pPr>
          </w:p>
        </w:tc>
        <w:tc>
          <w:tcPr>
            <w:tcW w:w="27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404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16" w:name="page17"/>
    <w:bookmarkEnd w:id="16"/>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5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Revenue recognized during the second quarter and first half of 2021 that was included in our contract liabilities balance at December 31, 2020 was $89 million and $203 million,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Remaining Performance Obligations</w:t>
      </w:r>
    </w:p>
    <w:p>
      <w:pPr>
        <w:spacing w:after="0" w:line="78" w:lineRule="exact"/>
        <w:rPr>
          <w:sz w:val="20"/>
          <w:szCs w:val="20"/>
          <w:color w:val="auto"/>
        </w:rPr>
      </w:pPr>
    </w:p>
    <w:p>
      <w:pPr>
        <w:ind w:right="380" w:firstLine="432"/>
        <w:spacing w:after="0" w:line="276" w:lineRule="auto"/>
        <w:rPr>
          <w:sz w:val="20"/>
          <w:szCs w:val="20"/>
          <w:color w:val="auto"/>
        </w:rPr>
      </w:pPr>
      <w:r>
        <w:rPr>
          <w:rFonts w:ascii="Arial" w:cs="Arial" w:eastAsia="Arial" w:hAnsi="Arial"/>
          <w:sz w:val="12"/>
          <w:szCs w:val="12"/>
          <w:color w:val="auto"/>
        </w:rPr>
        <w:t>Our remaining performance obligations represent the expected transaction price allocated to our contracts that we expect to recognize as revenue in future periods when we perform under the contracts. At June 30, 2021, approximately 84 percent of this amount is expected to be recognized as revenue over the next two years.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Accounts Receivable</w:t>
      </w:r>
    </w:p>
    <w:p>
      <w:pPr>
        <w:spacing w:after="0" w:line="78" w:lineRule="exact"/>
        <w:rPr>
          <w:sz w:val="20"/>
          <w:szCs w:val="20"/>
          <w:color w:val="auto"/>
        </w:rPr>
      </w:pPr>
    </w:p>
    <w:p>
      <w:pPr>
        <w:ind w:right="240" w:firstLine="432"/>
        <w:spacing w:after="0" w:line="276" w:lineRule="auto"/>
        <w:rPr>
          <w:sz w:val="20"/>
          <w:szCs w:val="20"/>
          <w:color w:val="auto"/>
        </w:rPr>
      </w:pPr>
      <w:r>
        <w:rPr>
          <w:rFonts w:ascii="Arial" w:cs="Arial" w:eastAsia="Arial" w:hAnsi="Arial"/>
          <w:sz w:val="12"/>
          <w:szCs w:val="12"/>
          <w:color w:val="auto"/>
        </w:rPr>
        <w:t>Accounts receivable is comprised of amounts due from customers, primarily property owners’ associations, resort developers and members, credit card receivables, interest receivables, amounts due from taxing authorities, indemnification assets and other miscellaneous receivables. The following table shows the composition of our accounts receivable balances: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740" w:type="dxa"/>
            <w:vAlign w:val="bottom"/>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400" w:type="dxa"/>
            <w:vAlign w:val="bottom"/>
          </w:tcPr>
          <w:p>
            <w:pPr>
              <w:spacing w:after="0"/>
              <w:rPr>
                <w:sz w:val="12"/>
                <w:szCs w:val="12"/>
                <w:color w:val="auto"/>
              </w:rPr>
            </w:pPr>
          </w:p>
        </w:tc>
        <w:tc>
          <w:tcPr>
            <w:tcW w:w="1920" w:type="dxa"/>
            <w:vAlign w:val="bottom"/>
            <w:gridSpan w:val="2"/>
          </w:tcPr>
          <w:p>
            <w:pPr>
              <w:ind w:left="320"/>
              <w:spacing w:after="0"/>
              <w:rPr>
                <w:sz w:val="20"/>
                <w:szCs w:val="20"/>
                <w:color w:val="auto"/>
              </w:rPr>
            </w:pPr>
            <w:r>
              <w:rPr>
                <w:rFonts w:ascii="Arial" w:cs="Arial" w:eastAsia="Arial" w:hAnsi="Arial"/>
                <w:sz w:val="11"/>
                <w:szCs w:val="11"/>
                <w:b w:val="1"/>
                <w:bCs w:val="1"/>
                <w:color w:val="auto"/>
              </w:rPr>
              <w:t>At June 30, 2021</w:t>
            </w:r>
          </w:p>
        </w:tc>
        <w:tc>
          <w:tcPr>
            <w:tcW w:w="340" w:type="dxa"/>
            <w:vAlign w:val="bottom"/>
          </w:tcPr>
          <w:p>
            <w:pPr>
              <w:spacing w:after="0"/>
              <w:rPr>
                <w:sz w:val="12"/>
                <w:szCs w:val="12"/>
                <w:color w:val="auto"/>
              </w:rPr>
            </w:pPr>
          </w:p>
        </w:tc>
        <w:tc>
          <w:tcPr>
            <w:tcW w:w="1900" w:type="dxa"/>
            <w:vAlign w:val="bottom"/>
          </w:tcPr>
          <w:p>
            <w:pPr>
              <w:jc w:val="right"/>
              <w:ind w:right="561"/>
              <w:spacing w:after="0"/>
              <w:rPr>
                <w:sz w:val="20"/>
                <w:szCs w:val="20"/>
                <w:color w:val="auto"/>
              </w:rPr>
            </w:pPr>
            <w:r>
              <w:rPr>
                <w:rFonts w:ascii="Arial" w:cs="Arial" w:eastAsia="Arial" w:hAnsi="Arial"/>
                <w:sz w:val="11"/>
                <w:szCs w:val="11"/>
                <w:b w:val="1"/>
                <w:bCs w:val="1"/>
                <w:color w:val="auto"/>
              </w:rPr>
              <w:t>At December 31, 2020</w:t>
            </w:r>
          </w:p>
        </w:tc>
      </w:tr>
      <w:tr>
        <w:trPr>
          <w:trHeight w:val="144"/>
        </w:trPr>
        <w:tc>
          <w:tcPr>
            <w:tcW w:w="6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Receivables from contracts with customers</w:t>
            </w:r>
          </w:p>
        </w:tc>
        <w:tc>
          <w:tcPr>
            <w:tcW w:w="400" w:type="dxa"/>
            <w:vAlign w:val="bottom"/>
            <w:tcBorders>
              <w:top w:val="single" w:sz="8" w:color="auto"/>
            </w:tcBorders>
            <w:shd w:val="clear" w:color="auto" w:fill="CCEEFF"/>
          </w:tcPr>
          <w:p>
            <w:pPr>
              <w:jc w:val="right"/>
              <w:ind w:right="292"/>
              <w:spacing w:after="0"/>
              <w:rPr>
                <w:sz w:val="20"/>
                <w:szCs w:val="20"/>
                <w:color w:val="auto"/>
              </w:rPr>
            </w:pPr>
            <w:r>
              <w:rPr>
                <w:rFonts w:ascii="Arial" w:cs="Arial" w:eastAsia="Arial" w:hAnsi="Arial"/>
                <w:sz w:val="10"/>
                <w:szCs w:val="10"/>
                <w:color w:val="auto"/>
                <w:w w:val="71"/>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108</w:t>
            </w: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19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150</w:t>
            </w:r>
          </w:p>
        </w:tc>
      </w:tr>
      <w:tr>
        <w:trPr>
          <w:trHeight w:val="153"/>
        </w:trPr>
        <w:tc>
          <w:tcPr>
            <w:tcW w:w="6740" w:type="dxa"/>
            <w:vAlign w:val="bottom"/>
          </w:tcPr>
          <w:p>
            <w:pPr>
              <w:spacing w:after="0"/>
              <w:rPr>
                <w:sz w:val="20"/>
                <w:szCs w:val="20"/>
                <w:color w:val="auto"/>
              </w:rPr>
            </w:pPr>
            <w:r>
              <w:rPr>
                <w:rFonts w:ascii="Arial" w:cs="Arial" w:eastAsia="Arial" w:hAnsi="Arial"/>
                <w:sz w:val="12"/>
                <w:szCs w:val="12"/>
                <w:color w:val="auto"/>
              </w:rPr>
              <w:t>Interest receivable</w:t>
            </w:r>
          </w:p>
        </w:tc>
        <w:tc>
          <w:tcPr>
            <w:tcW w:w="400" w:type="dxa"/>
            <w:vAlign w:val="bottom"/>
          </w:tcPr>
          <w:p>
            <w:pPr>
              <w:spacing w:after="0"/>
              <w:rPr>
                <w:sz w:val="13"/>
                <w:szCs w:val="13"/>
                <w:color w:val="auto"/>
              </w:rPr>
            </w:pPr>
          </w:p>
        </w:tc>
        <w:tc>
          <w:tcPr>
            <w:tcW w:w="1820" w:type="dxa"/>
            <w:vAlign w:val="bottom"/>
          </w:tcPr>
          <w:p>
            <w:pPr>
              <w:jc w:val="right"/>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00" w:type="dxa"/>
            <w:vAlign w:val="bottom"/>
          </w:tcPr>
          <w:p>
            <w:pPr>
              <w:jc w:val="right"/>
              <w:ind w:right="1"/>
              <w:spacing w:after="0"/>
              <w:rPr>
                <w:sz w:val="20"/>
                <w:szCs w:val="20"/>
                <w:color w:val="auto"/>
              </w:rPr>
            </w:pPr>
            <w:r>
              <w:rPr>
                <w:rFonts w:ascii="Arial" w:cs="Arial" w:eastAsia="Arial" w:hAnsi="Arial"/>
                <w:sz w:val="12"/>
                <w:szCs w:val="12"/>
                <w:color w:val="auto"/>
              </w:rPr>
              <w:t>13</w:t>
            </w:r>
          </w:p>
        </w:tc>
      </w:tr>
      <w:tr>
        <w:trPr>
          <w:trHeight w:val="153"/>
        </w:trPr>
        <w:tc>
          <w:tcPr>
            <w:tcW w:w="6740" w:type="dxa"/>
            <w:vAlign w:val="bottom"/>
            <w:shd w:val="clear" w:color="auto" w:fill="CCEEFF"/>
          </w:tcPr>
          <w:p>
            <w:pPr>
              <w:spacing w:after="0"/>
              <w:rPr>
                <w:sz w:val="20"/>
                <w:szCs w:val="20"/>
                <w:color w:val="auto"/>
              </w:rPr>
            </w:pPr>
            <w:r>
              <w:rPr>
                <w:rFonts w:ascii="Arial" w:cs="Arial" w:eastAsia="Arial" w:hAnsi="Arial"/>
                <w:sz w:val="12"/>
                <w:szCs w:val="12"/>
                <w:color w:val="auto"/>
              </w:rPr>
              <w:t>Tax receivable</w:t>
            </w:r>
          </w:p>
        </w:tc>
        <w:tc>
          <w:tcPr>
            <w:tcW w:w="400" w:type="dxa"/>
            <w:vAlign w:val="bottom"/>
            <w:shd w:val="clear" w:color="auto" w:fill="CCEEFF"/>
          </w:tcPr>
          <w:p>
            <w:pPr>
              <w:spacing w:after="0"/>
              <w:rPr>
                <w:sz w:val="13"/>
                <w:szCs w:val="13"/>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9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60</w:t>
            </w:r>
          </w:p>
        </w:tc>
      </w:tr>
      <w:tr>
        <w:trPr>
          <w:trHeight w:val="153"/>
        </w:trPr>
        <w:tc>
          <w:tcPr>
            <w:tcW w:w="6740" w:type="dxa"/>
            <w:vAlign w:val="bottom"/>
          </w:tcPr>
          <w:p>
            <w:pPr>
              <w:spacing w:after="0"/>
              <w:rPr>
                <w:sz w:val="20"/>
                <w:szCs w:val="20"/>
                <w:color w:val="auto"/>
              </w:rPr>
            </w:pPr>
            <w:r>
              <w:rPr>
                <w:rFonts w:ascii="Arial" w:cs="Arial" w:eastAsia="Arial" w:hAnsi="Arial"/>
                <w:sz w:val="12"/>
                <w:szCs w:val="12"/>
                <w:color w:val="auto"/>
              </w:rPr>
              <w:t>Indemnification assets</w:t>
            </w:r>
          </w:p>
        </w:tc>
        <w:tc>
          <w:tcPr>
            <w:tcW w:w="400" w:type="dxa"/>
            <w:vAlign w:val="bottom"/>
          </w:tcPr>
          <w:p>
            <w:pPr>
              <w:spacing w:after="0"/>
              <w:rPr>
                <w:sz w:val="13"/>
                <w:szCs w:val="13"/>
                <w:color w:val="auto"/>
              </w:rPr>
            </w:pPr>
          </w:p>
        </w:tc>
        <w:tc>
          <w:tcPr>
            <w:tcW w:w="1820" w:type="dxa"/>
            <w:vAlign w:val="bottom"/>
          </w:tcPr>
          <w:p>
            <w:pPr>
              <w:jc w:val="right"/>
              <w:spacing w:after="0"/>
              <w:rPr>
                <w:sz w:val="20"/>
                <w:szCs w:val="20"/>
                <w:color w:val="auto"/>
              </w:rPr>
            </w:pPr>
            <w:r>
              <w:rPr>
                <w:rFonts w:ascii="Arial" w:cs="Arial" w:eastAsia="Arial" w:hAnsi="Arial"/>
                <w:sz w:val="12"/>
                <w:szCs w:val="12"/>
                <w:color w:val="auto"/>
              </w:rPr>
              <w:t>13</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00" w:type="dxa"/>
            <w:vAlign w:val="bottom"/>
          </w:tcPr>
          <w:p>
            <w:pPr>
              <w:jc w:val="right"/>
              <w:ind w:right="1"/>
              <w:spacing w:after="0"/>
              <w:rPr>
                <w:sz w:val="20"/>
                <w:szCs w:val="20"/>
                <w:color w:val="auto"/>
              </w:rPr>
            </w:pPr>
            <w:r>
              <w:rPr>
                <w:rFonts w:ascii="Arial" w:cs="Arial" w:eastAsia="Arial" w:hAnsi="Arial"/>
                <w:sz w:val="12"/>
                <w:szCs w:val="12"/>
                <w:color w:val="auto"/>
              </w:rPr>
              <w:t>15</w:t>
            </w:r>
          </w:p>
        </w:tc>
      </w:tr>
      <w:tr>
        <w:trPr>
          <w:trHeight w:val="153"/>
        </w:trPr>
        <w:tc>
          <w:tcPr>
            <w:tcW w:w="6740" w:type="dxa"/>
            <w:vAlign w:val="bottom"/>
            <w:shd w:val="clear" w:color="auto" w:fill="CCEEFF"/>
          </w:tcPr>
          <w:p>
            <w:pPr>
              <w:spacing w:after="0"/>
              <w:rPr>
                <w:sz w:val="20"/>
                <w:szCs w:val="20"/>
                <w:color w:val="auto"/>
              </w:rPr>
            </w:pPr>
            <w:r>
              <w:rPr>
                <w:rFonts w:ascii="Arial" w:cs="Arial" w:eastAsia="Arial" w:hAnsi="Arial"/>
                <w:sz w:val="12"/>
                <w:szCs w:val="12"/>
                <w:color w:val="auto"/>
              </w:rPr>
              <w:t>Employee tax credit receivable</w:t>
            </w:r>
          </w:p>
        </w:tc>
        <w:tc>
          <w:tcPr>
            <w:tcW w:w="400" w:type="dxa"/>
            <w:vAlign w:val="bottom"/>
            <w:shd w:val="clear" w:color="auto" w:fill="CCEEFF"/>
          </w:tcPr>
          <w:p>
            <w:pPr>
              <w:spacing w:after="0"/>
              <w:rPr>
                <w:sz w:val="13"/>
                <w:szCs w:val="13"/>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9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19</w:t>
            </w:r>
          </w:p>
        </w:tc>
      </w:tr>
      <w:tr>
        <w:trPr>
          <w:trHeight w:val="153"/>
        </w:trPr>
        <w:tc>
          <w:tcPr>
            <w:tcW w:w="67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Other</w:t>
            </w:r>
          </w:p>
        </w:tc>
        <w:tc>
          <w:tcPr>
            <w:tcW w:w="40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19</w:t>
            </w:r>
          </w:p>
        </w:tc>
      </w:tr>
      <w:tr>
        <w:trPr>
          <w:trHeight w:val="158"/>
        </w:trPr>
        <w:tc>
          <w:tcPr>
            <w:tcW w:w="674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0"/>
                <w:szCs w:val="10"/>
                <w:color w:val="auto"/>
                <w:w w:val="71"/>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217</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1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276</w:t>
            </w:r>
          </w:p>
        </w:tc>
      </w:tr>
    </w:tbl>
    <w:p>
      <w:pPr>
        <w:spacing w:after="0" w:line="248" w:lineRule="exact"/>
        <w:rPr>
          <w:sz w:val="20"/>
          <w:szCs w:val="20"/>
          <w:color w:val="auto"/>
        </w:rPr>
      </w:pPr>
    </w:p>
    <w:p>
      <w:pPr>
        <w:ind w:left="260" w:hanging="256"/>
        <w:spacing w:after="0"/>
        <w:tabs>
          <w:tab w:leader="none" w:pos="260" w:val="left"/>
        </w:tabs>
        <w:numPr>
          <w:ilvl w:val="0"/>
          <w:numId w:val="10"/>
        </w:numPr>
        <w:rPr>
          <w:rFonts w:ascii="Arial" w:cs="Arial" w:eastAsia="Arial" w:hAnsi="Arial"/>
          <w:sz w:val="12"/>
          <w:szCs w:val="12"/>
          <w:b w:val="1"/>
          <w:bCs w:val="1"/>
          <w:color w:val="auto"/>
        </w:rPr>
      </w:pPr>
      <w:r>
        <w:rPr>
          <w:rFonts w:ascii="Arial" w:cs="Arial" w:eastAsia="Arial" w:hAnsi="Arial"/>
          <w:sz w:val="12"/>
          <w:szCs w:val="12"/>
          <w:b w:val="1"/>
          <w:bCs w:val="1"/>
          <w:color w:val="auto"/>
        </w:rPr>
        <w:t>INCOME TAXES</w:t>
      </w:r>
    </w:p>
    <w:p>
      <w:pPr>
        <w:spacing w:after="0" w:line="145" w:lineRule="exact"/>
        <w:rPr>
          <w:sz w:val="20"/>
          <w:szCs w:val="20"/>
          <w:color w:val="auto"/>
        </w:rPr>
      </w:pPr>
    </w:p>
    <w:p>
      <w:pPr>
        <w:ind w:right="20" w:firstLine="432"/>
        <w:spacing w:after="0" w:line="276" w:lineRule="auto"/>
        <w:rPr>
          <w:sz w:val="20"/>
          <w:szCs w:val="20"/>
          <w:color w:val="auto"/>
        </w:rPr>
      </w:pPr>
      <w:r>
        <w:rPr>
          <w:rFonts w:ascii="Arial" w:cs="Arial" w:eastAsia="Arial" w:hAnsi="Arial"/>
          <w:sz w:val="12"/>
          <w:szCs w:val="12"/>
          <w:color w:val="auto"/>
        </w:rPr>
        <w:t>Our provision for income taxes is calculated using an estimated annual effective tax rate, based upon expected annual income, less losses in certain jurisdictions, permanent items, statutory rates and planned tax strategies in the various jurisdictions in which we operate. However, discrete items related to prior year tax items are treated separately.</w:t>
      </w:r>
    </w:p>
    <w:p>
      <w:pPr>
        <w:spacing w:after="0" w:line="43" w:lineRule="exact"/>
        <w:rPr>
          <w:sz w:val="20"/>
          <w:szCs w:val="20"/>
          <w:color w:val="auto"/>
        </w:rPr>
      </w:pPr>
    </w:p>
    <w:p>
      <w:pPr>
        <w:ind w:right="60" w:firstLine="432"/>
        <w:spacing w:after="0" w:line="276" w:lineRule="auto"/>
        <w:rPr>
          <w:sz w:val="20"/>
          <w:szCs w:val="20"/>
          <w:color w:val="auto"/>
        </w:rPr>
      </w:pPr>
      <w:r>
        <w:rPr>
          <w:rFonts w:ascii="Arial" w:cs="Arial" w:eastAsia="Arial" w:hAnsi="Arial"/>
          <w:sz w:val="12"/>
          <w:szCs w:val="12"/>
          <w:color w:val="auto"/>
        </w:rPr>
        <w:t>Our interim effective tax rate was 75.4 percent and 23.3 percent for the three months ended June 30, 2021 and June 30, 2020, respectively. The change in the effective tax rate is predominately attributable to an increase in pre-tax income.</w:t>
      </w:r>
    </w:p>
    <w:p>
      <w:pPr>
        <w:spacing w:after="0" w:line="43" w:lineRule="exact"/>
        <w:rPr>
          <w:sz w:val="20"/>
          <w:szCs w:val="20"/>
          <w:color w:val="auto"/>
        </w:rPr>
      </w:pPr>
    </w:p>
    <w:p>
      <w:pPr>
        <w:ind w:right="200" w:firstLine="432"/>
        <w:spacing w:after="0" w:line="276" w:lineRule="auto"/>
        <w:rPr>
          <w:sz w:val="20"/>
          <w:szCs w:val="20"/>
          <w:color w:val="auto"/>
        </w:rPr>
      </w:pPr>
      <w:r>
        <w:rPr>
          <w:rFonts w:ascii="Arial" w:cs="Arial" w:eastAsia="Arial" w:hAnsi="Arial"/>
          <w:sz w:val="12"/>
          <w:szCs w:val="12"/>
          <w:color w:val="auto"/>
        </w:rPr>
        <w:t>Our interim effective tax rate was (1,737.7) percent and 31.4 percent for the six months ended June 30, 2021 and June 30, 2020, respectively. The change in the effective tax rate is predominately attributable to a decrease in pre-tax loss and a release in the reserve for uncertain tax benefits included in the six months ended June 30, 2020.</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U.S. Tax Law Update</w:t>
      </w:r>
    </w:p>
    <w:p>
      <w:pPr>
        <w:spacing w:after="0" w:line="78" w:lineRule="exact"/>
        <w:rPr>
          <w:sz w:val="20"/>
          <w:szCs w:val="20"/>
          <w:color w:val="auto"/>
        </w:rPr>
      </w:pPr>
    </w:p>
    <w:p>
      <w:pPr>
        <w:ind w:right="60" w:firstLine="432"/>
        <w:spacing w:after="0" w:line="259" w:lineRule="auto"/>
        <w:rPr>
          <w:sz w:val="20"/>
          <w:szCs w:val="20"/>
          <w:color w:val="auto"/>
        </w:rPr>
      </w:pPr>
      <w:r>
        <w:rPr>
          <w:rFonts w:ascii="Arial" w:cs="Arial" w:eastAsia="Arial" w:hAnsi="Arial"/>
          <w:sz w:val="12"/>
          <w:szCs w:val="12"/>
          <w:color w:val="auto"/>
        </w:rPr>
        <w:t>We have considered the income tax accounting and disclosure implications of the relief provided by the Coronavirus Aid, Relief, and Economic Security Act (the “CARES Act”), enacted in March 2020, and the Consolidated Appropriations Act, 2021, enacted in December 2020. As of June 30, 2021, we evaluated the income tax provisions of the above mentioned acts and have determined there to be minimal effect on either the June 30, 2021 tax rate or the computation of the estimated effective tax rate for the year ended December 31, 2021. We will continue to evaluate the income tax provisions of the above mentioned acts and monitor the developments in the jurisdictions where we have significant operations for tax law changes that could have additional income tax accounting and disclosure implications.</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Unrecognized Tax Benefits</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summarizes the activity related to our unrecognized tax benefits (excluding interest and penalties) during the six months ended June 30, 2021.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52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47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tcPr>
          <w:p>
            <w:pPr>
              <w:jc w:val="right"/>
              <w:ind w:right="342"/>
              <w:spacing w:after="0"/>
              <w:rPr>
                <w:sz w:val="20"/>
                <w:szCs w:val="20"/>
                <w:color w:val="auto"/>
              </w:rPr>
            </w:pPr>
            <w:r>
              <w:rPr>
                <w:rFonts w:ascii="Arial" w:cs="Arial" w:eastAsia="Arial" w:hAnsi="Arial"/>
                <w:sz w:val="11"/>
                <w:szCs w:val="11"/>
                <w:b w:val="1"/>
                <w:bCs w:val="1"/>
                <w:color w:val="auto"/>
                <w:w w:val="97"/>
              </w:rPr>
              <w:t>Unrecognized Tax Benefits</w:t>
            </w:r>
          </w:p>
        </w:tc>
      </w:tr>
      <w:tr>
        <w:trPr>
          <w:trHeight w:val="144"/>
        </w:trPr>
        <w:tc>
          <w:tcPr>
            <w:tcW w:w="45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Balance at December 31, 2020</w:t>
            </w:r>
          </w:p>
        </w:tc>
        <w:tc>
          <w:tcPr>
            <w:tcW w:w="49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14</w:t>
            </w:r>
          </w:p>
        </w:tc>
      </w:tr>
      <w:tr>
        <w:trPr>
          <w:trHeight w:val="153"/>
        </w:trPr>
        <w:tc>
          <w:tcPr>
            <w:tcW w:w="452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Increases related to tax positions taken during the current period</w:t>
            </w:r>
          </w:p>
        </w:tc>
        <w:tc>
          <w:tcPr>
            <w:tcW w:w="476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w:t>
            </w:r>
          </w:p>
        </w:tc>
      </w:tr>
      <w:tr>
        <w:trPr>
          <w:trHeight w:val="162"/>
        </w:trPr>
        <w:tc>
          <w:tcPr>
            <w:tcW w:w="452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Balance at June 30, 2021</w:t>
            </w:r>
          </w:p>
        </w:tc>
        <w:tc>
          <w:tcPr>
            <w:tcW w:w="49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15</w:t>
            </w:r>
          </w:p>
        </w:tc>
      </w:tr>
      <w:tr>
        <w:trPr>
          <w:trHeight w:val="329"/>
        </w:trPr>
        <w:tc>
          <w:tcPr>
            <w:tcW w:w="4520" w:type="dxa"/>
            <w:vAlign w:val="bottom"/>
            <w:tcBorders>
              <w:top w:val="single" w:sz="8" w:color="CCEEFF"/>
            </w:tcBorders>
          </w:tcPr>
          <w:p>
            <w:pPr>
              <w:spacing w:after="0"/>
              <w:rPr>
                <w:sz w:val="24"/>
                <w:szCs w:val="24"/>
                <w:color w:val="auto"/>
              </w:rPr>
            </w:pPr>
          </w:p>
        </w:tc>
        <w:tc>
          <w:tcPr>
            <w:tcW w:w="4760" w:type="dxa"/>
            <w:vAlign w:val="bottom"/>
            <w:tcBorders>
              <w:top w:val="single" w:sz="8" w:color="CCEEFF"/>
            </w:tcBorders>
          </w:tcPr>
          <w:p>
            <w:pPr>
              <w:jc w:val="right"/>
              <w:ind w:right="3300"/>
              <w:spacing w:after="0"/>
              <w:rPr>
                <w:sz w:val="20"/>
                <w:szCs w:val="20"/>
                <w:color w:val="auto"/>
              </w:rPr>
            </w:pPr>
            <w:r>
              <w:rPr>
                <w:rFonts w:ascii="Arial" w:cs="Arial" w:eastAsia="Arial" w:hAnsi="Arial"/>
                <w:sz w:val="12"/>
                <w:szCs w:val="12"/>
                <w:color w:val="auto"/>
              </w:rPr>
              <w:t>15</w:t>
            </w:r>
          </w:p>
        </w:tc>
        <w:tc>
          <w:tcPr>
            <w:tcW w:w="220" w:type="dxa"/>
            <w:vAlign w:val="bottom"/>
            <w:tcBorders>
              <w:top w:val="single" w:sz="8" w:color="auto"/>
            </w:tcBorders>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r>
      <w:tr>
        <w:trPr>
          <w:trHeight w:val="306"/>
        </w:trPr>
        <w:tc>
          <w:tcPr>
            <w:tcW w:w="4520" w:type="dxa"/>
            <w:vAlign w:val="bottom"/>
            <w:tcBorders>
              <w:bottom w:val="single" w:sz="8" w:color="9A9A9A"/>
            </w:tcBorders>
          </w:tcPr>
          <w:p>
            <w:pPr>
              <w:spacing w:after="0"/>
              <w:rPr>
                <w:sz w:val="24"/>
                <w:szCs w:val="24"/>
                <w:color w:val="auto"/>
              </w:rPr>
            </w:pPr>
          </w:p>
        </w:tc>
        <w:tc>
          <w:tcPr>
            <w:tcW w:w="47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17" w:name="page18"/>
    <w:bookmarkEnd w:id="17"/>
    <w:p>
      <w:pPr>
        <w:ind w:left="8"/>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83" w:lineRule="exact"/>
        <w:rPr>
          <w:sz w:val="20"/>
          <w:szCs w:val="20"/>
          <w:color w:val="auto"/>
        </w:rPr>
      </w:pPr>
    </w:p>
    <w:p>
      <w:pPr>
        <w:ind w:left="8" w:right="20" w:firstLine="432"/>
        <w:spacing w:after="0" w:line="276" w:lineRule="auto"/>
        <w:rPr>
          <w:sz w:val="20"/>
          <w:szCs w:val="20"/>
          <w:color w:val="auto"/>
        </w:rPr>
      </w:pPr>
      <w:r>
        <w:rPr>
          <w:rFonts w:ascii="Arial" w:cs="Arial" w:eastAsia="Arial" w:hAnsi="Arial"/>
          <w:sz w:val="12"/>
          <w:szCs w:val="12"/>
          <w:color w:val="auto"/>
        </w:rPr>
        <w:t>The total unrecognized tax benefits related to uncertain income tax positions, which would affect the effective tax rate if recognized, was $15 million at June 30, 2021 and $14 million at December 31, 2020. The total amount of gross interest and penalties accrued was $29 million at June 30, 2021 and $25 million at December 31, 2020.</w:t>
      </w:r>
    </w:p>
    <w:p>
      <w:pPr>
        <w:spacing w:after="0" w:line="43" w:lineRule="exact"/>
        <w:rPr>
          <w:sz w:val="20"/>
          <w:szCs w:val="20"/>
          <w:color w:val="auto"/>
        </w:rPr>
      </w:pPr>
    </w:p>
    <w:p>
      <w:pPr>
        <w:ind w:left="8" w:right="160" w:firstLine="432"/>
        <w:spacing w:after="0" w:line="263" w:lineRule="auto"/>
        <w:rPr>
          <w:sz w:val="20"/>
          <w:szCs w:val="20"/>
          <w:color w:val="auto"/>
        </w:rPr>
      </w:pPr>
      <w:r>
        <w:rPr>
          <w:rFonts w:ascii="Arial" w:cs="Arial" w:eastAsia="Arial" w:hAnsi="Arial"/>
          <w:sz w:val="12"/>
          <w:szCs w:val="12"/>
          <w:color w:val="auto"/>
        </w:rPr>
        <w:t>We anticipate $4 million of unrecognized tax benefits, including interest and penalties, to be indemnified pursuant to a Tax Matters Agreement dated May 11, 2016 by and among Starwood Hotels &amp; Resorts Worldwide, Inc., Vistana Signature Experiences, Inc., and Interval Leisure Group, Inc., and consequently have recorded a corresponding indemnification asset. The unrecognized tax benefits, including accrued interest and penalties, are included in Other liabilities on our Balance Sheet.</w:t>
      </w:r>
    </w:p>
    <w:p>
      <w:pPr>
        <w:spacing w:after="0" w:line="50" w:lineRule="exact"/>
        <w:rPr>
          <w:sz w:val="20"/>
          <w:szCs w:val="20"/>
          <w:color w:val="auto"/>
        </w:rPr>
      </w:pPr>
    </w:p>
    <w:p>
      <w:pPr>
        <w:ind w:left="8" w:right="140" w:firstLine="432"/>
        <w:spacing w:after="0" w:line="276" w:lineRule="auto"/>
        <w:rPr>
          <w:sz w:val="20"/>
          <w:szCs w:val="20"/>
          <w:color w:val="auto"/>
        </w:rPr>
      </w:pPr>
      <w:r>
        <w:rPr>
          <w:rFonts w:ascii="Arial" w:cs="Arial" w:eastAsia="Arial" w:hAnsi="Arial"/>
          <w:sz w:val="12"/>
          <w:szCs w:val="12"/>
          <w:color w:val="auto"/>
        </w:rPr>
        <w:t>Our income tax returns are subject to examination by relevant tax authorities. Certain of our returns are being audited in various jurisdictions for tax years 2013 through 2018. The amount of the unrecognized tax benefit may increase or decrease within the next twelve months as a result of audits or audit settlements.</w:t>
      </w:r>
    </w:p>
    <w:p>
      <w:pPr>
        <w:spacing w:after="0" w:line="165" w:lineRule="exact"/>
        <w:rPr>
          <w:sz w:val="20"/>
          <w:szCs w:val="20"/>
          <w:color w:val="auto"/>
        </w:rPr>
      </w:pPr>
    </w:p>
    <w:p>
      <w:pPr>
        <w:ind w:left="268" w:hanging="256"/>
        <w:spacing w:after="0"/>
        <w:tabs>
          <w:tab w:leader="none" w:pos="268" w:val="left"/>
        </w:tabs>
        <w:numPr>
          <w:ilvl w:val="0"/>
          <w:numId w:val="11"/>
        </w:numPr>
        <w:rPr>
          <w:rFonts w:ascii="Arial" w:cs="Arial" w:eastAsia="Arial" w:hAnsi="Arial"/>
          <w:sz w:val="12"/>
          <w:szCs w:val="12"/>
          <w:b w:val="1"/>
          <w:bCs w:val="1"/>
          <w:color w:val="auto"/>
        </w:rPr>
      </w:pPr>
      <w:r>
        <w:rPr>
          <w:rFonts w:ascii="Arial" w:cs="Arial" w:eastAsia="Arial" w:hAnsi="Arial"/>
          <w:sz w:val="12"/>
          <w:szCs w:val="12"/>
          <w:b w:val="1"/>
          <w:bCs w:val="1"/>
          <w:color w:val="auto"/>
        </w:rPr>
        <w:t>VACATION OWNERSHIP NOTES RECEIVABLE</w:t>
      </w:r>
    </w:p>
    <w:p>
      <w:pPr>
        <w:spacing w:after="0" w:line="145"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following table shows the composition of our vacation ownership notes receivable balances, net of reserves.</w:t>
      </w:r>
    </w:p>
    <w:p>
      <w:pPr>
        <w:spacing w:after="0" w:line="87"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31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June 30, 2021</w:t>
            </w: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1"/>
                <w:szCs w:val="11"/>
                <w:b w:val="1"/>
                <w:bCs w:val="1"/>
                <w:color w:val="auto"/>
                <w:w w:val="86"/>
              </w:rPr>
              <w:t>December 31, 2020</w:t>
            </w: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r>
      <w:tr>
        <w:trPr>
          <w:trHeight w:val="133"/>
        </w:trPr>
        <w:tc>
          <w:tcPr>
            <w:tcW w:w="3140" w:type="dxa"/>
            <w:vAlign w:val="bottom"/>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240" w:type="dxa"/>
            <w:vAlign w:val="bottom"/>
          </w:tcPr>
          <w:p>
            <w:pPr>
              <w:spacing w:after="0"/>
              <w:rPr>
                <w:sz w:val="11"/>
                <w:szCs w:val="11"/>
                <w:color w:val="auto"/>
              </w:rPr>
            </w:pPr>
          </w:p>
        </w:tc>
        <w:tc>
          <w:tcPr>
            <w:tcW w:w="1120" w:type="dxa"/>
            <w:vAlign w:val="bottom"/>
            <w:gridSpan w:val="2"/>
          </w:tcPr>
          <w:p>
            <w:pPr>
              <w:ind w:left="140"/>
              <w:spacing w:after="0"/>
              <w:rPr>
                <w:sz w:val="20"/>
                <w:szCs w:val="20"/>
                <w:color w:val="auto"/>
              </w:rPr>
            </w:pPr>
            <w:r>
              <w:rPr>
                <w:rFonts w:ascii="Arial" w:cs="Arial" w:eastAsia="Arial" w:hAnsi="Arial"/>
                <w:sz w:val="11"/>
                <w:szCs w:val="11"/>
                <w:b w:val="1"/>
                <w:bCs w:val="1"/>
                <w:color w:val="auto"/>
              </w:rPr>
              <w:t>Originated</w:t>
            </w:r>
          </w:p>
        </w:tc>
        <w:tc>
          <w:tcPr>
            <w:tcW w:w="1020" w:type="dxa"/>
            <w:vAlign w:val="bottom"/>
          </w:tcPr>
          <w:p>
            <w:pPr>
              <w:jc w:val="right"/>
              <w:ind w:right="103"/>
              <w:spacing w:after="0"/>
              <w:rPr>
                <w:sz w:val="20"/>
                <w:szCs w:val="20"/>
                <w:color w:val="auto"/>
              </w:rPr>
            </w:pPr>
            <w:r>
              <w:rPr>
                <w:rFonts w:ascii="Arial" w:cs="Arial" w:eastAsia="Arial" w:hAnsi="Arial"/>
                <w:sz w:val="11"/>
                <w:szCs w:val="11"/>
                <w:b w:val="1"/>
                <w:bCs w:val="1"/>
                <w:color w:val="auto"/>
              </w:rPr>
              <w:t>Acquired</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jc w:val="right"/>
              <w:ind w:right="461"/>
              <w:spacing w:after="0"/>
              <w:rPr>
                <w:sz w:val="20"/>
                <w:szCs w:val="20"/>
                <w:color w:val="auto"/>
              </w:rPr>
            </w:pPr>
            <w:r>
              <w:rPr>
                <w:rFonts w:ascii="Arial" w:cs="Arial" w:eastAsia="Arial" w:hAnsi="Arial"/>
                <w:sz w:val="11"/>
                <w:szCs w:val="11"/>
                <w:b w:val="1"/>
                <w:bCs w:val="1"/>
                <w:color w:val="auto"/>
              </w:rPr>
              <w:t>Total</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160"/>
              <w:spacing w:after="0"/>
              <w:rPr>
                <w:sz w:val="20"/>
                <w:szCs w:val="20"/>
                <w:color w:val="auto"/>
              </w:rPr>
            </w:pPr>
            <w:r>
              <w:rPr>
                <w:rFonts w:ascii="Arial" w:cs="Arial" w:eastAsia="Arial" w:hAnsi="Arial"/>
                <w:sz w:val="11"/>
                <w:szCs w:val="11"/>
                <w:b w:val="1"/>
                <w:bCs w:val="1"/>
                <w:color w:val="auto"/>
              </w:rPr>
              <w:t>Originated</w:t>
            </w:r>
          </w:p>
        </w:tc>
        <w:tc>
          <w:tcPr>
            <w:tcW w:w="120" w:type="dxa"/>
            <w:vAlign w:val="bottom"/>
          </w:tcPr>
          <w:p>
            <w:pPr>
              <w:spacing w:after="0"/>
              <w:rPr>
                <w:sz w:val="11"/>
                <w:szCs w:val="11"/>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7"/>
              </w:rPr>
              <w:t>Acquired</w:t>
            </w:r>
          </w:p>
        </w:tc>
        <w:tc>
          <w:tcPr>
            <w:tcW w:w="300" w:type="dxa"/>
            <w:vAlign w:val="bottom"/>
          </w:tcPr>
          <w:p>
            <w:pPr>
              <w:spacing w:after="0"/>
              <w:rPr>
                <w:sz w:val="11"/>
                <w:szCs w:val="11"/>
                <w:color w:val="auto"/>
              </w:rPr>
            </w:pPr>
          </w:p>
        </w:tc>
        <w:tc>
          <w:tcPr>
            <w:tcW w:w="1000" w:type="dxa"/>
            <w:vAlign w:val="bottom"/>
          </w:tcPr>
          <w:p>
            <w:pPr>
              <w:jc w:val="right"/>
              <w:ind w:right="481"/>
              <w:spacing w:after="0"/>
              <w:rPr>
                <w:sz w:val="20"/>
                <w:szCs w:val="20"/>
                <w:color w:val="auto"/>
              </w:rPr>
            </w:pPr>
            <w:r>
              <w:rPr>
                <w:rFonts w:ascii="Arial" w:cs="Arial" w:eastAsia="Arial" w:hAnsi="Arial"/>
                <w:sz w:val="11"/>
                <w:szCs w:val="11"/>
                <w:b w:val="1"/>
                <w:bCs w:val="1"/>
                <w:color w:val="auto"/>
              </w:rPr>
              <w:t>Total</w:t>
            </w:r>
          </w:p>
        </w:tc>
      </w:tr>
      <w:tr>
        <w:trPr>
          <w:trHeight w:val="144"/>
        </w:trPr>
        <w:tc>
          <w:tcPr>
            <w:tcW w:w="314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Securitized</w:t>
            </w:r>
          </w:p>
        </w:tc>
        <w:tc>
          <w:tcPr>
            <w:tcW w:w="240" w:type="dxa"/>
            <w:vAlign w:val="bottom"/>
            <w:tcBorders>
              <w:top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1,220</w:t>
            </w:r>
          </w:p>
        </w:tc>
        <w:tc>
          <w:tcPr>
            <w:tcW w:w="8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jc w:val="right"/>
              <w:ind w:right="883"/>
              <w:spacing w:after="0"/>
              <w:rPr>
                <w:sz w:val="20"/>
                <w:szCs w:val="20"/>
                <w:color w:val="auto"/>
              </w:rPr>
            </w:pPr>
            <w:r>
              <w:rPr>
                <w:rFonts w:ascii="Arial" w:cs="Arial" w:eastAsia="Arial" w:hAnsi="Arial"/>
                <w:sz w:val="12"/>
                <w:szCs w:val="12"/>
                <w:color w:val="auto"/>
                <w:w w:val="8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9"/>
              </w:rPr>
              <w:t>425</w:t>
            </w:r>
          </w:p>
        </w:tc>
        <w:tc>
          <w:tcPr>
            <w:tcW w:w="1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1,645</w:t>
            </w:r>
          </w:p>
        </w:tc>
        <w:tc>
          <w:tcPr>
            <w:tcW w:w="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1,220</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273</w:t>
            </w:r>
          </w:p>
        </w:tc>
        <w:tc>
          <w:tcPr>
            <w:tcW w:w="1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0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1,493</w:t>
            </w:r>
          </w:p>
        </w:tc>
      </w:tr>
      <w:tr>
        <w:trPr>
          <w:trHeight w:val="153"/>
        </w:trPr>
        <w:tc>
          <w:tcPr>
            <w:tcW w:w="3140" w:type="dxa"/>
            <w:vAlign w:val="bottom"/>
          </w:tcPr>
          <w:p>
            <w:pPr>
              <w:ind w:left="80"/>
              <w:spacing w:after="0"/>
              <w:rPr>
                <w:sz w:val="20"/>
                <w:szCs w:val="20"/>
                <w:color w:val="auto"/>
              </w:rPr>
            </w:pPr>
            <w:r>
              <w:rPr>
                <w:rFonts w:ascii="Arial" w:cs="Arial" w:eastAsia="Arial" w:hAnsi="Arial"/>
                <w:sz w:val="12"/>
                <w:szCs w:val="12"/>
                <w:color w:val="auto"/>
              </w:rPr>
              <w:t>Non-securitized</w:t>
            </w: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53"/>
        </w:trPr>
        <w:tc>
          <w:tcPr>
            <w:tcW w:w="31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Eligible for securitization</w:t>
            </w:r>
            <w:r>
              <w:rPr>
                <w:rFonts w:ascii="Arial" w:cs="Arial" w:eastAsia="Arial" w:hAnsi="Arial"/>
                <w:sz w:val="7"/>
                <w:szCs w:val="7"/>
                <w:color w:val="auto"/>
              </w:rPr>
              <w:t>(1)</w:t>
            </w:r>
          </w:p>
        </w:tc>
        <w:tc>
          <w:tcPr>
            <w:tcW w:w="24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w:t>
            </w: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81</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126</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128</w:t>
            </w:r>
          </w:p>
        </w:tc>
      </w:tr>
      <w:tr>
        <w:trPr>
          <w:trHeight w:val="153"/>
        </w:trPr>
        <w:tc>
          <w:tcPr>
            <w:tcW w:w="314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Not eligible for securitization</w:t>
            </w:r>
            <w:r>
              <w:rPr>
                <w:rFonts w:ascii="Arial" w:cs="Arial" w:eastAsia="Arial" w:hAnsi="Arial"/>
                <w:sz w:val="7"/>
                <w:szCs w:val="7"/>
                <w:color w:val="auto"/>
              </w:rPr>
              <w:t>(1)</w:t>
            </w:r>
          </w:p>
        </w:tc>
        <w:tc>
          <w:tcPr>
            <w:tcW w:w="2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230</w:t>
            </w:r>
          </w:p>
        </w:tc>
        <w:tc>
          <w:tcPr>
            <w:tcW w:w="8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265</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185</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219</w:t>
            </w:r>
          </w:p>
        </w:tc>
      </w:tr>
      <w:tr>
        <w:trPr>
          <w:trHeight w:val="142"/>
        </w:trPr>
        <w:tc>
          <w:tcPr>
            <w:tcW w:w="31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Subtotal</w:t>
            </w:r>
          </w:p>
        </w:tc>
        <w:tc>
          <w:tcPr>
            <w:tcW w:w="24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309</w:t>
            </w:r>
          </w:p>
        </w:tc>
        <w:tc>
          <w:tcPr>
            <w:tcW w:w="80" w:type="dxa"/>
            <w:vAlign w:val="bottom"/>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37</w:t>
            </w:r>
          </w:p>
        </w:tc>
        <w:tc>
          <w:tcPr>
            <w:tcW w:w="10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346</w:t>
            </w:r>
          </w:p>
        </w:tc>
        <w:tc>
          <w:tcPr>
            <w:tcW w:w="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311</w:t>
            </w: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w:t>
            </w:r>
          </w:p>
        </w:tc>
        <w:tc>
          <w:tcPr>
            <w:tcW w:w="10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347</w:t>
            </w:r>
          </w:p>
        </w:tc>
      </w:tr>
      <w:tr>
        <w:trPr>
          <w:trHeight w:val="142"/>
        </w:trPr>
        <w:tc>
          <w:tcPr>
            <w:tcW w:w="3140" w:type="dxa"/>
            <w:vAlign w:val="bottom"/>
          </w:tcPr>
          <w:p>
            <w:pPr>
              <w:spacing w:after="0"/>
              <w:rPr>
                <w:sz w:val="12"/>
                <w:szCs w:val="12"/>
                <w:color w:val="auto"/>
              </w:rPr>
            </w:pPr>
          </w:p>
        </w:tc>
        <w:tc>
          <w:tcPr>
            <w:tcW w:w="2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1,529</w:t>
            </w:r>
          </w:p>
        </w:tc>
        <w:tc>
          <w:tcPr>
            <w:tcW w:w="80" w:type="dxa"/>
            <w:vAlign w:val="bottom"/>
          </w:tcPr>
          <w:p>
            <w:pPr>
              <w:spacing w:after="0"/>
              <w:rPr>
                <w:sz w:val="12"/>
                <w:szCs w:val="12"/>
                <w:color w:val="auto"/>
              </w:rPr>
            </w:pPr>
          </w:p>
        </w:tc>
        <w:tc>
          <w:tcPr>
            <w:tcW w:w="1020" w:type="dxa"/>
            <w:vAlign w:val="bottom"/>
            <w:tcBorders>
              <w:bottom w:val="single" w:sz="8" w:color="auto"/>
            </w:tcBorders>
          </w:tcPr>
          <w:p>
            <w:pPr>
              <w:jc w:val="right"/>
              <w:ind w:right="883"/>
              <w:spacing w:after="0"/>
              <w:rPr>
                <w:sz w:val="20"/>
                <w:szCs w:val="20"/>
                <w:color w:val="auto"/>
              </w:rPr>
            </w:pPr>
            <w:r>
              <w:rPr>
                <w:rFonts w:ascii="Arial" w:cs="Arial" w:eastAsia="Arial" w:hAnsi="Arial"/>
                <w:sz w:val="12"/>
                <w:szCs w:val="12"/>
                <w:color w:val="auto"/>
                <w:w w:val="89"/>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462</w:t>
            </w:r>
          </w:p>
        </w:tc>
        <w:tc>
          <w:tcPr>
            <w:tcW w:w="100" w:type="dxa"/>
            <w:vAlign w:val="bottom"/>
          </w:tcPr>
          <w:p>
            <w:pPr>
              <w:spacing w:after="0"/>
              <w:rPr>
                <w:sz w:val="12"/>
                <w:szCs w:val="12"/>
                <w:color w:val="auto"/>
              </w:rPr>
            </w:pP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1,991</w:t>
            </w:r>
          </w:p>
        </w:tc>
        <w:tc>
          <w:tcPr>
            <w:tcW w:w="80" w:type="dxa"/>
            <w:vAlign w:val="bottom"/>
          </w:tcPr>
          <w:p>
            <w:pPr>
              <w:spacing w:after="0"/>
              <w:rPr>
                <w:sz w:val="12"/>
                <w:szCs w:val="12"/>
                <w:color w:val="auto"/>
              </w:rPr>
            </w:pPr>
          </w:p>
        </w:tc>
        <w:tc>
          <w:tcPr>
            <w:tcW w:w="2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1,531</w:t>
            </w:r>
          </w:p>
        </w:tc>
        <w:tc>
          <w:tcPr>
            <w:tcW w:w="100" w:type="dxa"/>
            <w:vAlign w:val="bottom"/>
          </w:tcPr>
          <w:p>
            <w:pPr>
              <w:spacing w:after="0"/>
              <w:rPr>
                <w:sz w:val="12"/>
                <w:szCs w:val="12"/>
                <w:color w:val="auto"/>
              </w:rPr>
            </w:pP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309</w:t>
            </w:r>
          </w:p>
        </w:tc>
        <w:tc>
          <w:tcPr>
            <w:tcW w:w="100" w:type="dxa"/>
            <w:vAlign w:val="bottom"/>
          </w:tcPr>
          <w:p>
            <w:pPr>
              <w:spacing w:after="0"/>
              <w:rPr>
                <w:sz w:val="12"/>
                <w:szCs w:val="12"/>
                <w:color w:val="auto"/>
              </w:rPr>
            </w:pP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1,840</w:t>
            </w:r>
          </w:p>
        </w:tc>
      </w:tr>
      <w:tr>
        <w:trPr>
          <w:trHeight w:val="20"/>
        </w:trPr>
        <w:tc>
          <w:tcPr>
            <w:tcW w:w="3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54" w:lineRule="exact"/>
        <w:rPr>
          <w:sz w:val="20"/>
          <w:szCs w:val="20"/>
          <w:color w:val="auto"/>
        </w:rPr>
      </w:pPr>
    </w:p>
    <w:p>
      <w:pPr>
        <w:ind w:left="8"/>
        <w:spacing w:after="0"/>
        <w:rPr>
          <w:sz w:val="20"/>
          <w:szCs w:val="20"/>
          <w:color w:val="auto"/>
        </w:rPr>
      </w:pPr>
      <w:r>
        <w:rPr>
          <w:rFonts w:ascii="Arial" w:cs="Arial" w:eastAsia="Arial" w:hAnsi="Arial"/>
          <w:sz w:val="12"/>
          <w:szCs w:val="12"/>
          <w:color w:val="auto"/>
        </w:rPr>
        <w:t>_________________________</w:t>
      </w:r>
    </w:p>
    <w:p>
      <w:pPr>
        <w:spacing w:after="0" w:line="11" w:lineRule="exact"/>
        <w:rPr>
          <w:sz w:val="20"/>
          <w:szCs w:val="20"/>
          <w:color w:val="auto"/>
        </w:rPr>
      </w:pPr>
    </w:p>
    <w:p>
      <w:pPr>
        <w:ind w:left="428" w:hanging="428"/>
        <w:spacing w:after="0"/>
        <w:tabs>
          <w:tab w:leader="none" w:pos="428" w:val="left"/>
        </w:tabs>
        <w:numPr>
          <w:ilvl w:val="0"/>
          <w:numId w:val="12"/>
        </w:numPr>
        <w:rPr>
          <w:rFonts w:ascii="Arial" w:cs="Arial" w:eastAsia="Arial" w:hAnsi="Arial"/>
          <w:sz w:val="16"/>
          <w:szCs w:val="16"/>
          <w:color w:val="auto"/>
          <w:vertAlign w:val="superscript"/>
        </w:rPr>
      </w:pPr>
      <w:r>
        <w:rPr>
          <w:rFonts w:ascii="Arial" w:cs="Arial" w:eastAsia="Arial" w:hAnsi="Arial"/>
          <w:sz w:val="12"/>
          <w:szCs w:val="12"/>
          <w:color w:val="auto"/>
        </w:rPr>
        <w:t>Refer to Footnote 7 “Financial Instruments” for a discussion of eligibility of our vacation ownership notes receivable for securitization.</w:t>
      </w:r>
    </w:p>
    <w:p>
      <w:pPr>
        <w:spacing w:after="0" w:line="135" w:lineRule="exact"/>
        <w:rPr>
          <w:sz w:val="20"/>
          <w:szCs w:val="20"/>
          <w:color w:val="auto"/>
        </w:rPr>
      </w:pPr>
    </w:p>
    <w:p>
      <w:pPr>
        <w:ind w:left="8" w:right="60" w:firstLine="432"/>
        <w:spacing w:after="0" w:line="273" w:lineRule="auto"/>
        <w:rPr>
          <w:sz w:val="20"/>
          <w:szCs w:val="20"/>
          <w:color w:val="auto"/>
        </w:rPr>
      </w:pPr>
      <w:r>
        <w:rPr>
          <w:rFonts w:ascii="Arial" w:cs="Arial" w:eastAsia="Arial" w:hAnsi="Arial"/>
          <w:sz w:val="12"/>
          <w:szCs w:val="12"/>
          <w:color w:val="auto"/>
        </w:rPr>
        <w:t>We reflect interest income associated with vacation ownership notes receivable in our Income Statements in the Financing revenues caption. The following table summarizes interest income associated with vacation ownership notes receivable.</w:t>
      </w:r>
    </w:p>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5340" w:type="dxa"/>
            <w:vAlign w:val="bottom"/>
          </w:tcPr>
          <w:p>
            <w:pPr>
              <w:spacing w:after="0"/>
              <w:rPr>
                <w:sz w:val="12"/>
                <w:szCs w:val="12"/>
                <w:color w:val="auto"/>
              </w:rPr>
            </w:pPr>
          </w:p>
        </w:tc>
        <w:tc>
          <w:tcPr>
            <w:tcW w:w="2660" w:type="dxa"/>
            <w:vAlign w:val="bottom"/>
            <w:tcBorders>
              <w:bottom w:val="single" w:sz="8" w:color="auto"/>
            </w:tcBorders>
            <w:gridSpan w:val="4"/>
          </w:tcPr>
          <w:p>
            <w:pPr>
              <w:jc w:val="right"/>
              <w:ind w:right="642"/>
              <w:spacing w:after="0"/>
              <w:rPr>
                <w:sz w:val="20"/>
                <w:szCs w:val="20"/>
                <w:color w:val="auto"/>
              </w:rPr>
            </w:pPr>
            <w:r>
              <w:rPr>
                <w:rFonts w:ascii="Arial" w:cs="Arial" w:eastAsia="Arial" w:hAnsi="Arial"/>
                <w:sz w:val="11"/>
                <w:szCs w:val="11"/>
                <w:b w:val="1"/>
                <w:bCs w:val="1"/>
                <w:color w:val="auto"/>
              </w:rPr>
              <w:t>Three Months Ended</w:t>
            </w:r>
          </w:p>
        </w:tc>
        <w:tc>
          <w:tcPr>
            <w:tcW w:w="2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88"/>
              </w:rPr>
              <w:t>Six Months Ended</w:t>
            </w:r>
          </w:p>
        </w:tc>
        <w:tc>
          <w:tcPr>
            <w:tcW w:w="1040" w:type="dxa"/>
            <w:vAlign w:val="bottom"/>
            <w:tcBorders>
              <w:bottom w:val="single" w:sz="8" w:color="auto"/>
            </w:tcBorders>
          </w:tcPr>
          <w:p>
            <w:pPr>
              <w:spacing w:after="0"/>
              <w:rPr>
                <w:sz w:val="12"/>
                <w:szCs w:val="12"/>
                <w:color w:val="auto"/>
              </w:rPr>
            </w:pPr>
          </w:p>
        </w:tc>
      </w:tr>
      <w:tr>
        <w:trPr>
          <w:trHeight w:val="133"/>
        </w:trPr>
        <w:tc>
          <w:tcPr>
            <w:tcW w:w="534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114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June 30, 2021</w:t>
            </w:r>
          </w:p>
        </w:tc>
        <w:tc>
          <w:tcPr>
            <w:tcW w:w="2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140" w:type="dxa"/>
            <w:vAlign w:val="bottom"/>
            <w:tcBorders>
              <w:bottom w:val="single" w:sz="8" w:color="auto"/>
            </w:tcBorders>
          </w:tcPr>
          <w:p>
            <w:pPr>
              <w:jc w:val="right"/>
              <w:ind w:right="62"/>
              <w:spacing w:after="0"/>
              <w:rPr>
                <w:sz w:val="20"/>
                <w:szCs w:val="20"/>
                <w:color w:val="auto"/>
              </w:rPr>
            </w:pPr>
            <w:r>
              <w:rPr>
                <w:rFonts w:ascii="Arial" w:cs="Arial" w:eastAsia="Arial" w:hAnsi="Arial"/>
                <w:sz w:val="11"/>
                <w:szCs w:val="11"/>
                <w:b w:val="1"/>
                <w:bCs w:val="1"/>
                <w:color w:val="auto"/>
              </w:rPr>
              <w:t>June 30, 2020</w:t>
            </w: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June 30, 2021</w:t>
            </w:r>
          </w:p>
        </w:tc>
        <w:tc>
          <w:tcPr>
            <w:tcW w:w="400" w:type="dxa"/>
            <w:vAlign w:val="bottom"/>
            <w:tcBorders>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342"/>
              <w:spacing w:after="0"/>
              <w:rPr>
                <w:sz w:val="20"/>
                <w:szCs w:val="20"/>
                <w:color w:val="auto"/>
              </w:rPr>
            </w:pPr>
            <w:r>
              <w:rPr>
                <w:rFonts w:ascii="Arial" w:cs="Arial" w:eastAsia="Arial" w:hAnsi="Arial"/>
                <w:sz w:val="11"/>
                <w:szCs w:val="11"/>
                <w:b w:val="1"/>
                <w:bCs w:val="1"/>
                <w:color w:val="auto"/>
                <w:w w:val="86"/>
              </w:rPr>
              <w:t>June 30, 2020</w:t>
            </w:r>
          </w:p>
        </w:tc>
      </w:tr>
      <w:tr>
        <w:trPr>
          <w:trHeight w:val="144"/>
        </w:trPr>
        <w:tc>
          <w:tcPr>
            <w:tcW w:w="53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Interest income associated with vacation ownership notes receivable — securitized</w:t>
            </w:r>
          </w:p>
        </w:tc>
        <w:tc>
          <w:tcPr>
            <w:tcW w:w="1140" w:type="dxa"/>
            <w:vAlign w:val="bottom"/>
            <w:shd w:val="clear" w:color="auto" w:fill="CCEEFF"/>
          </w:tcPr>
          <w:p>
            <w:pPr>
              <w:jc w:val="right"/>
              <w:ind w:right="1003"/>
              <w:spacing w:after="0"/>
              <w:rPr>
                <w:sz w:val="20"/>
                <w:szCs w:val="20"/>
                <w:color w:val="auto"/>
              </w:rPr>
            </w:pPr>
            <w:r>
              <w:rPr>
                <w:rFonts w:ascii="Arial" w:cs="Arial" w:eastAsia="Arial" w:hAnsi="Arial"/>
                <w:sz w:val="12"/>
                <w:szCs w:val="12"/>
                <w:color w:val="auto"/>
                <w:w w:val="8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w:t>
            </w: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1002"/>
              <w:spacing w:after="0"/>
              <w:rPr>
                <w:sz w:val="20"/>
                <w:szCs w:val="20"/>
                <w:color w:val="auto"/>
              </w:rPr>
            </w:pPr>
            <w:r>
              <w:rPr>
                <w:rFonts w:ascii="Arial" w:cs="Arial" w:eastAsia="Arial" w:hAnsi="Arial"/>
                <w:sz w:val="12"/>
                <w:szCs w:val="12"/>
                <w:color w:val="auto"/>
                <w:w w:val="8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w:t>
            </w: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902"/>
              <w:spacing w:after="0"/>
              <w:rPr>
                <w:sz w:val="20"/>
                <w:szCs w:val="20"/>
                <w:color w:val="auto"/>
              </w:rPr>
            </w:pPr>
            <w:r>
              <w:rPr>
                <w:rFonts w:ascii="Arial" w:cs="Arial" w:eastAsia="Arial" w:hAnsi="Arial"/>
                <w:sz w:val="12"/>
                <w:szCs w:val="12"/>
                <w:color w:val="auto"/>
                <w:w w:val="89"/>
              </w:rPr>
              <w:t>$</w:t>
            </w:r>
          </w:p>
        </w:tc>
        <w:tc>
          <w:tcPr>
            <w:tcW w:w="4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105</w:t>
            </w: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127</w:t>
            </w:r>
          </w:p>
        </w:tc>
      </w:tr>
      <w:tr>
        <w:trPr>
          <w:trHeight w:val="153"/>
        </w:trPr>
        <w:tc>
          <w:tcPr>
            <w:tcW w:w="53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Interest income associated with vacation ownership notes receivable — non-securitized</w:t>
            </w:r>
          </w:p>
        </w:tc>
        <w:tc>
          <w:tcPr>
            <w:tcW w:w="11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w:t>
            </w:r>
          </w:p>
        </w:tc>
        <w:tc>
          <w:tcPr>
            <w:tcW w:w="10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w:t>
            </w:r>
          </w:p>
        </w:tc>
        <w:tc>
          <w:tcPr>
            <w:tcW w:w="8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18</w:t>
            </w:r>
          </w:p>
        </w:tc>
        <w:tc>
          <w:tcPr>
            <w:tcW w:w="6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9</w:t>
            </w:r>
          </w:p>
        </w:tc>
      </w:tr>
      <w:tr>
        <w:trPr>
          <w:trHeight w:val="158"/>
        </w:trPr>
        <w:tc>
          <w:tcPr>
            <w:tcW w:w="5340" w:type="dxa"/>
            <w:vAlign w:val="bottom"/>
            <w:tcBorders>
              <w:bottom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Total interest income associated with vacation ownership notes receivable</w:t>
            </w:r>
          </w:p>
        </w:tc>
        <w:tc>
          <w:tcPr>
            <w:tcW w:w="1140" w:type="dxa"/>
            <w:vAlign w:val="bottom"/>
            <w:tcBorders>
              <w:bottom w:val="single" w:sz="8" w:color="auto"/>
            </w:tcBorders>
            <w:shd w:val="clear" w:color="auto" w:fill="CCEEFF"/>
          </w:tcPr>
          <w:p>
            <w:pPr>
              <w:jc w:val="right"/>
              <w:ind w:right="1003"/>
              <w:spacing w:after="0"/>
              <w:rPr>
                <w:sz w:val="20"/>
                <w:szCs w:val="20"/>
                <w:color w:val="auto"/>
              </w:rPr>
            </w:pPr>
            <w:r>
              <w:rPr>
                <w:rFonts w:ascii="Arial" w:cs="Arial" w:eastAsia="Arial" w:hAnsi="Arial"/>
                <w:sz w:val="12"/>
                <w:szCs w:val="12"/>
                <w:color w:val="auto"/>
                <w:w w:val="89"/>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65</w:t>
            </w:r>
          </w:p>
        </w:tc>
        <w:tc>
          <w:tcPr>
            <w:tcW w:w="10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1002"/>
              <w:spacing w:after="0"/>
              <w:rPr>
                <w:sz w:val="20"/>
                <w:szCs w:val="20"/>
                <w:color w:val="auto"/>
              </w:rPr>
            </w:pPr>
            <w:r>
              <w:rPr>
                <w:rFonts w:ascii="Arial" w:cs="Arial" w:eastAsia="Arial" w:hAnsi="Arial"/>
                <w:sz w:val="12"/>
                <w:szCs w:val="12"/>
                <w:color w:val="auto"/>
                <w:w w:val="89"/>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67</w:t>
            </w:r>
          </w:p>
        </w:tc>
        <w:tc>
          <w:tcPr>
            <w:tcW w:w="8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ind w:right="902"/>
              <w:spacing w:after="0"/>
              <w:rPr>
                <w:sz w:val="20"/>
                <w:szCs w:val="20"/>
                <w:color w:val="auto"/>
              </w:rPr>
            </w:pPr>
            <w:r>
              <w:rPr>
                <w:rFonts w:ascii="Arial" w:cs="Arial" w:eastAsia="Arial" w:hAnsi="Arial"/>
                <w:sz w:val="12"/>
                <w:szCs w:val="12"/>
                <w:color w:val="auto"/>
                <w:w w:val="89"/>
              </w:rPr>
              <w:t>$</w:t>
            </w:r>
          </w:p>
        </w:tc>
        <w:tc>
          <w:tcPr>
            <w:tcW w:w="4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123</w:t>
            </w:r>
          </w:p>
        </w:tc>
        <w:tc>
          <w:tcPr>
            <w:tcW w:w="6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136</w:t>
            </w:r>
          </w:p>
        </w:tc>
      </w:tr>
    </w:tbl>
    <w:p>
      <w:pPr>
        <w:spacing w:after="0" w:line="198"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COVID-19 Impact on Vacation Ownership Notes Receivable Reserves</w:t>
      </w:r>
    </w:p>
    <w:p>
      <w:pPr>
        <w:spacing w:after="0" w:line="78" w:lineRule="exact"/>
        <w:rPr>
          <w:sz w:val="20"/>
          <w:szCs w:val="20"/>
          <w:color w:val="auto"/>
        </w:rPr>
      </w:pPr>
    </w:p>
    <w:p>
      <w:pPr>
        <w:ind w:left="8" w:right="100" w:firstLine="432"/>
        <w:spacing w:after="0" w:line="263" w:lineRule="auto"/>
        <w:rPr>
          <w:sz w:val="20"/>
          <w:szCs w:val="20"/>
          <w:color w:val="auto"/>
        </w:rPr>
      </w:pPr>
      <w:r>
        <w:rPr>
          <w:rFonts w:ascii="Arial" w:cs="Arial" w:eastAsia="Arial" w:hAnsi="Arial"/>
          <w:sz w:val="12"/>
          <w:szCs w:val="12"/>
          <w:color w:val="auto"/>
        </w:rPr>
        <w:t>We increased our vacation ownership notes receivable reserves by $52 million in the first quarter of 2020 as a result of higher actual and projected default activity related predominantly to the COVID-19 pandemic. In the fourth quarter of 2020, we increased our vacation ownership notes receivable reserve by an additional $17 million due to higher than previously expected default activity. During the first half of 2021, there were no additional increases to our vacation ownership notes receivable reserves due to the COVID-19 pandemic.</w:t>
      </w:r>
    </w:p>
    <w:p>
      <w:pPr>
        <w:spacing w:after="0" w:line="113" w:lineRule="exact"/>
        <w:rPr>
          <w:sz w:val="20"/>
          <w:szCs w:val="20"/>
          <w:color w:val="auto"/>
        </w:rPr>
      </w:pPr>
    </w:p>
    <w:p>
      <w:pPr>
        <w:jc w:val="center"/>
        <w:ind w:left="420"/>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191135</wp:posOffset>
            </wp:positionV>
            <wp:extent cx="7203440"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03" w:right="299" w:bottom="1440" w:gutter="0" w:footer="0" w:header="0"/>
        </w:sectPr>
      </w:pPr>
    </w:p>
    <w:bookmarkStart w:id="18" w:name="page19"/>
    <w:bookmarkEnd w:id="18"/>
    <w:p>
      <w:pPr>
        <w:ind w:left="8"/>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Acquired Vacation Ownership Notes Receivable</w:t>
      </w:r>
    </w:p>
    <w:p>
      <w:pPr>
        <w:spacing w:after="0" w:line="78" w:lineRule="exact"/>
        <w:rPr>
          <w:sz w:val="20"/>
          <w:szCs w:val="20"/>
          <w:color w:val="auto"/>
        </w:rPr>
      </w:pPr>
    </w:p>
    <w:p>
      <w:pPr>
        <w:ind w:left="8" w:right="60" w:firstLine="432"/>
        <w:spacing w:after="0" w:line="276" w:lineRule="auto"/>
        <w:rPr>
          <w:sz w:val="20"/>
          <w:szCs w:val="20"/>
          <w:color w:val="auto"/>
        </w:rPr>
      </w:pPr>
      <w:r>
        <w:rPr>
          <w:rFonts w:ascii="Arial" w:cs="Arial" w:eastAsia="Arial" w:hAnsi="Arial"/>
          <w:sz w:val="12"/>
          <w:szCs w:val="12"/>
          <w:color w:val="auto"/>
        </w:rPr>
        <w:t>Acquired vacation ownership notes receivable represent vacation ownership notes receivable acquired as part of the ILG Acquisition and the Welk Acquisition. The following table shows future contractual principal payments, net of reserves, and interest rates for our acquired non-securitized and securitized vacation ownership notes receivable at June 30, 2021.</w:t>
      </w:r>
    </w:p>
    <w:p>
      <w:pPr>
        <w:spacing w:after="0" w:line="69"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54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4000" w:type="dxa"/>
            <w:vAlign w:val="bottom"/>
            <w:tcBorders>
              <w:bottom w:val="single" w:sz="8" w:color="auto"/>
            </w:tcBorders>
            <w:gridSpan w:val="6"/>
          </w:tcPr>
          <w:p>
            <w:pPr>
              <w:jc w:val="center"/>
              <w:ind w:left="1021"/>
              <w:spacing w:after="0"/>
              <w:rPr>
                <w:sz w:val="20"/>
                <w:szCs w:val="20"/>
                <w:color w:val="auto"/>
              </w:rPr>
            </w:pPr>
            <w:r>
              <w:rPr>
                <w:rFonts w:ascii="Arial" w:cs="Arial" w:eastAsia="Arial" w:hAnsi="Arial"/>
                <w:sz w:val="11"/>
                <w:szCs w:val="11"/>
                <w:b w:val="1"/>
                <w:bCs w:val="1"/>
                <w:color w:val="auto"/>
                <w:w w:val="87"/>
              </w:rPr>
              <w:t>Acquired Vacation Ownership Notes Receivable</w:t>
            </w:r>
          </w:p>
        </w:tc>
        <w:tc>
          <w:tcPr>
            <w:tcW w:w="1480" w:type="dxa"/>
            <w:vAlign w:val="bottom"/>
            <w:tcBorders>
              <w:bottom w:val="single" w:sz="8" w:color="auto"/>
            </w:tcBorders>
          </w:tcPr>
          <w:p>
            <w:pPr>
              <w:spacing w:after="0"/>
              <w:rPr>
                <w:sz w:val="12"/>
                <w:szCs w:val="12"/>
                <w:color w:val="auto"/>
              </w:rPr>
            </w:pPr>
          </w:p>
        </w:tc>
      </w:tr>
      <w:tr>
        <w:trPr>
          <w:trHeight w:val="133"/>
        </w:trPr>
        <w:tc>
          <w:tcPr>
            <w:tcW w:w="5420" w:type="dxa"/>
            <w:vAlign w:val="bottom"/>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400" w:type="dxa"/>
            <w:vAlign w:val="bottom"/>
          </w:tcPr>
          <w:p>
            <w:pPr>
              <w:spacing w:after="0"/>
              <w:rPr>
                <w:sz w:val="11"/>
                <w:szCs w:val="11"/>
                <w:color w:val="auto"/>
              </w:rPr>
            </w:pPr>
          </w:p>
        </w:tc>
        <w:tc>
          <w:tcPr>
            <w:tcW w:w="1580" w:type="dxa"/>
            <w:vAlign w:val="bottom"/>
            <w:gridSpan w:val="2"/>
          </w:tcPr>
          <w:p>
            <w:pPr>
              <w:jc w:val="center"/>
              <w:ind w:right="480"/>
              <w:spacing w:after="0"/>
              <w:rPr>
                <w:sz w:val="20"/>
                <w:szCs w:val="20"/>
                <w:color w:val="auto"/>
              </w:rPr>
            </w:pPr>
            <w:r>
              <w:rPr>
                <w:rFonts w:ascii="Arial" w:cs="Arial" w:eastAsia="Arial" w:hAnsi="Arial"/>
                <w:sz w:val="11"/>
                <w:szCs w:val="11"/>
                <w:b w:val="1"/>
                <w:bCs w:val="1"/>
                <w:color w:val="auto"/>
                <w:w w:val="88"/>
              </w:rPr>
              <w:t>Non-Securitized</w:t>
            </w:r>
          </w:p>
        </w:tc>
        <w:tc>
          <w:tcPr>
            <w:tcW w:w="340" w:type="dxa"/>
            <w:vAlign w:val="bottom"/>
          </w:tcPr>
          <w:p>
            <w:pPr>
              <w:spacing w:after="0"/>
              <w:rPr>
                <w:sz w:val="11"/>
                <w:szCs w:val="11"/>
                <w:color w:val="auto"/>
              </w:rPr>
            </w:pPr>
          </w:p>
        </w:tc>
        <w:tc>
          <w:tcPr>
            <w:tcW w:w="1660" w:type="dxa"/>
            <w:vAlign w:val="bottom"/>
            <w:gridSpan w:val="2"/>
          </w:tcPr>
          <w:p>
            <w:pPr>
              <w:jc w:val="center"/>
              <w:ind w:right="420"/>
              <w:spacing w:after="0"/>
              <w:rPr>
                <w:sz w:val="20"/>
                <w:szCs w:val="20"/>
                <w:color w:val="auto"/>
              </w:rPr>
            </w:pPr>
            <w:r>
              <w:rPr>
                <w:rFonts w:ascii="Arial" w:cs="Arial" w:eastAsia="Arial" w:hAnsi="Arial"/>
                <w:sz w:val="11"/>
                <w:szCs w:val="11"/>
                <w:b w:val="1"/>
                <w:bCs w:val="1"/>
                <w:color w:val="auto"/>
                <w:w w:val="88"/>
              </w:rPr>
              <w:t>Securitized</w:t>
            </w:r>
          </w:p>
        </w:tc>
        <w:tc>
          <w:tcPr>
            <w:tcW w:w="420" w:type="dxa"/>
            <w:vAlign w:val="bottom"/>
          </w:tcPr>
          <w:p>
            <w:pPr>
              <w:spacing w:after="0"/>
              <w:rPr>
                <w:sz w:val="11"/>
                <w:szCs w:val="11"/>
                <w:color w:val="auto"/>
              </w:rPr>
            </w:pPr>
          </w:p>
        </w:tc>
        <w:tc>
          <w:tcPr>
            <w:tcW w:w="1480" w:type="dxa"/>
            <w:vAlign w:val="bottom"/>
          </w:tcPr>
          <w:p>
            <w:pPr>
              <w:jc w:val="center"/>
              <w:ind w:right="381"/>
              <w:spacing w:after="0"/>
              <w:rPr>
                <w:sz w:val="20"/>
                <w:szCs w:val="20"/>
                <w:color w:val="auto"/>
              </w:rPr>
            </w:pPr>
            <w:r>
              <w:rPr>
                <w:rFonts w:ascii="Arial" w:cs="Arial" w:eastAsia="Arial" w:hAnsi="Arial"/>
                <w:sz w:val="11"/>
                <w:szCs w:val="11"/>
                <w:b w:val="1"/>
                <w:bCs w:val="1"/>
                <w:color w:val="auto"/>
                <w:w w:val="91"/>
              </w:rPr>
              <w:t>Total</w:t>
            </w:r>
          </w:p>
        </w:tc>
      </w:tr>
      <w:tr>
        <w:trPr>
          <w:trHeight w:val="144"/>
        </w:trPr>
        <w:tc>
          <w:tcPr>
            <w:tcW w:w="5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2021, remaining</w:t>
            </w:r>
          </w:p>
        </w:tc>
        <w:tc>
          <w:tcPr>
            <w:tcW w:w="400" w:type="dxa"/>
            <w:vAlign w:val="bottom"/>
            <w:tcBorders>
              <w:top w:val="single" w:sz="8" w:color="auto"/>
            </w:tcBorders>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8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w:t>
            </w:r>
          </w:p>
        </w:tc>
        <w:tc>
          <w:tcPr>
            <w:tcW w:w="10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ind w:right="312"/>
              <w:spacing w:after="0"/>
              <w:rPr>
                <w:sz w:val="20"/>
                <w:szCs w:val="20"/>
                <w:color w:val="auto"/>
              </w:rPr>
            </w:pPr>
            <w:r>
              <w:rPr>
                <w:rFonts w:ascii="Arial" w:cs="Arial" w:eastAsia="Arial" w:hAnsi="Arial"/>
                <w:sz w:val="10"/>
                <w:szCs w:val="10"/>
                <w:color w:val="auto"/>
                <w:w w:val="71"/>
              </w:rPr>
              <w:t>$</w:t>
            </w:r>
          </w:p>
        </w:tc>
        <w:tc>
          <w:tcPr>
            <w:tcW w:w="14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29</w:t>
            </w:r>
          </w:p>
        </w:tc>
      </w:tr>
      <w:tr>
        <w:trPr>
          <w:trHeight w:val="153"/>
        </w:trPr>
        <w:tc>
          <w:tcPr>
            <w:tcW w:w="5420" w:type="dxa"/>
            <w:vAlign w:val="bottom"/>
          </w:tcPr>
          <w:p>
            <w:pPr>
              <w:spacing w:after="0"/>
              <w:rPr>
                <w:sz w:val="20"/>
                <w:szCs w:val="20"/>
                <w:color w:val="auto"/>
              </w:rPr>
            </w:pPr>
            <w:r>
              <w:rPr>
                <w:rFonts w:ascii="Arial" w:cs="Arial" w:eastAsia="Arial" w:hAnsi="Arial"/>
                <w:sz w:val="12"/>
                <w:szCs w:val="12"/>
                <w:color w:val="auto"/>
              </w:rPr>
              <w:t>2022</w:t>
            </w:r>
          </w:p>
        </w:tc>
        <w:tc>
          <w:tcPr>
            <w:tcW w:w="40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4</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55</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80" w:type="dxa"/>
            <w:vAlign w:val="bottom"/>
          </w:tcPr>
          <w:p>
            <w:pPr>
              <w:jc w:val="right"/>
              <w:ind w:right="1"/>
              <w:spacing w:after="0"/>
              <w:rPr>
                <w:sz w:val="20"/>
                <w:szCs w:val="20"/>
                <w:color w:val="auto"/>
              </w:rPr>
            </w:pPr>
            <w:r>
              <w:rPr>
                <w:rFonts w:ascii="Arial" w:cs="Arial" w:eastAsia="Arial" w:hAnsi="Arial"/>
                <w:sz w:val="12"/>
                <w:szCs w:val="12"/>
                <w:color w:val="auto"/>
              </w:rPr>
              <w:t>59</w:t>
            </w:r>
          </w:p>
        </w:tc>
      </w:tr>
      <w:tr>
        <w:trPr>
          <w:trHeight w:val="153"/>
        </w:trPr>
        <w:tc>
          <w:tcPr>
            <w:tcW w:w="5420" w:type="dxa"/>
            <w:vAlign w:val="bottom"/>
            <w:shd w:val="clear" w:color="auto" w:fill="CCEEFF"/>
          </w:tcPr>
          <w:p>
            <w:pPr>
              <w:spacing w:after="0"/>
              <w:rPr>
                <w:sz w:val="20"/>
                <w:szCs w:val="20"/>
                <w:color w:val="auto"/>
              </w:rPr>
            </w:pPr>
            <w:r>
              <w:rPr>
                <w:rFonts w:ascii="Arial" w:cs="Arial" w:eastAsia="Arial" w:hAnsi="Arial"/>
                <w:sz w:val="12"/>
                <w:szCs w:val="12"/>
                <w:color w:val="auto"/>
              </w:rPr>
              <w:t>2023</w:t>
            </w:r>
          </w:p>
        </w:tc>
        <w:tc>
          <w:tcPr>
            <w:tcW w:w="40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60</w:t>
            </w:r>
          </w:p>
        </w:tc>
      </w:tr>
      <w:tr>
        <w:trPr>
          <w:trHeight w:val="153"/>
        </w:trPr>
        <w:tc>
          <w:tcPr>
            <w:tcW w:w="5420" w:type="dxa"/>
            <w:vAlign w:val="bottom"/>
          </w:tcPr>
          <w:p>
            <w:pPr>
              <w:spacing w:after="0"/>
              <w:rPr>
                <w:sz w:val="20"/>
                <w:szCs w:val="20"/>
                <w:color w:val="auto"/>
              </w:rPr>
            </w:pPr>
            <w:r>
              <w:rPr>
                <w:rFonts w:ascii="Arial" w:cs="Arial" w:eastAsia="Arial" w:hAnsi="Arial"/>
                <w:sz w:val="12"/>
                <w:szCs w:val="12"/>
                <w:color w:val="auto"/>
              </w:rPr>
              <w:t>2024</w:t>
            </w:r>
          </w:p>
        </w:tc>
        <w:tc>
          <w:tcPr>
            <w:tcW w:w="40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4</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56</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80" w:type="dxa"/>
            <w:vAlign w:val="bottom"/>
          </w:tcPr>
          <w:p>
            <w:pPr>
              <w:jc w:val="right"/>
              <w:ind w:right="1"/>
              <w:spacing w:after="0"/>
              <w:rPr>
                <w:sz w:val="20"/>
                <w:szCs w:val="20"/>
                <w:color w:val="auto"/>
              </w:rPr>
            </w:pPr>
            <w:r>
              <w:rPr>
                <w:rFonts w:ascii="Arial" w:cs="Arial" w:eastAsia="Arial" w:hAnsi="Arial"/>
                <w:sz w:val="12"/>
                <w:szCs w:val="12"/>
                <w:color w:val="auto"/>
              </w:rPr>
              <w:t>60</w:t>
            </w:r>
          </w:p>
        </w:tc>
      </w:tr>
      <w:tr>
        <w:trPr>
          <w:trHeight w:val="153"/>
        </w:trPr>
        <w:tc>
          <w:tcPr>
            <w:tcW w:w="5420" w:type="dxa"/>
            <w:vAlign w:val="bottom"/>
            <w:shd w:val="clear" w:color="auto" w:fill="CCEEFF"/>
          </w:tcPr>
          <w:p>
            <w:pPr>
              <w:spacing w:after="0"/>
              <w:rPr>
                <w:sz w:val="20"/>
                <w:szCs w:val="20"/>
                <w:color w:val="auto"/>
              </w:rPr>
            </w:pPr>
            <w:r>
              <w:rPr>
                <w:rFonts w:ascii="Arial" w:cs="Arial" w:eastAsia="Arial" w:hAnsi="Arial"/>
                <w:sz w:val="12"/>
                <w:szCs w:val="12"/>
                <w:color w:val="auto"/>
              </w:rPr>
              <w:t>2025</w:t>
            </w:r>
          </w:p>
        </w:tc>
        <w:tc>
          <w:tcPr>
            <w:tcW w:w="40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57</w:t>
            </w:r>
          </w:p>
        </w:tc>
      </w:tr>
      <w:tr>
        <w:trPr>
          <w:trHeight w:val="153"/>
        </w:trPr>
        <w:tc>
          <w:tcPr>
            <w:tcW w:w="54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Thereafter</w:t>
            </w:r>
          </w:p>
        </w:tc>
        <w:tc>
          <w:tcPr>
            <w:tcW w:w="4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178</w:t>
            </w: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197</w:t>
            </w:r>
          </w:p>
        </w:tc>
      </w:tr>
      <w:tr>
        <w:trPr>
          <w:trHeight w:val="162"/>
        </w:trPr>
        <w:tc>
          <w:tcPr>
            <w:tcW w:w="5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Balance at June 30, 2021</w:t>
            </w:r>
          </w:p>
        </w:tc>
        <w:tc>
          <w:tcPr>
            <w:tcW w:w="40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37</w:t>
            </w: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425</w:t>
            </w:r>
          </w:p>
        </w:tc>
        <w:tc>
          <w:tcPr>
            <w:tcW w:w="10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0"/>
                <w:szCs w:val="10"/>
                <w:color w:val="auto"/>
                <w:w w:val="71"/>
              </w:rPr>
              <w:t>$</w:t>
            </w:r>
          </w:p>
        </w:tc>
        <w:tc>
          <w:tcPr>
            <w:tcW w:w="14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462</w:t>
            </w:r>
          </w:p>
        </w:tc>
      </w:tr>
      <w:tr>
        <w:trPr>
          <w:trHeight w:val="149"/>
        </w:trPr>
        <w:tc>
          <w:tcPr>
            <w:tcW w:w="5420" w:type="dxa"/>
            <w:vAlign w:val="bottom"/>
          </w:tcPr>
          <w:p>
            <w:pPr>
              <w:spacing w:after="0"/>
              <w:rPr>
                <w:sz w:val="20"/>
                <w:szCs w:val="20"/>
                <w:color w:val="auto"/>
              </w:rPr>
            </w:pPr>
            <w:r>
              <w:rPr>
                <w:rFonts w:ascii="Arial" w:cs="Arial" w:eastAsia="Arial" w:hAnsi="Arial"/>
                <w:sz w:val="12"/>
                <w:szCs w:val="12"/>
                <w:color w:val="auto"/>
              </w:rPr>
              <w:t>Weighted average stated interest rate</w:t>
            </w:r>
          </w:p>
        </w:tc>
        <w:tc>
          <w:tcPr>
            <w:tcW w:w="400" w:type="dxa"/>
            <w:vAlign w:val="bottom"/>
          </w:tcPr>
          <w:p>
            <w:pPr>
              <w:spacing w:after="0"/>
              <w:rPr>
                <w:sz w:val="12"/>
                <w:szCs w:val="12"/>
                <w:color w:val="auto"/>
              </w:rPr>
            </w:pPr>
          </w:p>
        </w:tc>
        <w:tc>
          <w:tcPr>
            <w:tcW w:w="1500" w:type="dxa"/>
            <w:vAlign w:val="bottom"/>
          </w:tcPr>
          <w:p>
            <w:pPr>
              <w:jc w:val="center"/>
              <w:ind w:right="341"/>
              <w:spacing w:after="0"/>
              <w:rPr>
                <w:sz w:val="20"/>
                <w:szCs w:val="20"/>
                <w:color w:val="auto"/>
              </w:rPr>
            </w:pPr>
            <w:r>
              <w:rPr>
                <w:rFonts w:ascii="Arial" w:cs="Arial" w:eastAsia="Arial" w:hAnsi="Arial"/>
                <w:sz w:val="12"/>
                <w:szCs w:val="12"/>
                <w:color w:val="auto"/>
                <w:w w:val="88"/>
              </w:rPr>
              <w:t>13.8%</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60" w:type="dxa"/>
            <w:vAlign w:val="bottom"/>
          </w:tcPr>
          <w:p>
            <w:pPr>
              <w:jc w:val="center"/>
              <w:ind w:right="261"/>
              <w:spacing w:after="0"/>
              <w:rPr>
                <w:sz w:val="20"/>
                <w:szCs w:val="20"/>
                <w:color w:val="auto"/>
              </w:rPr>
            </w:pPr>
            <w:r>
              <w:rPr>
                <w:rFonts w:ascii="Arial" w:cs="Arial" w:eastAsia="Arial" w:hAnsi="Arial"/>
                <w:sz w:val="12"/>
                <w:szCs w:val="12"/>
                <w:color w:val="auto"/>
                <w:w w:val="93"/>
              </w:rPr>
              <w:t>14.1%</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80" w:type="dxa"/>
            <w:vAlign w:val="bottom"/>
          </w:tcPr>
          <w:p>
            <w:pPr>
              <w:jc w:val="center"/>
              <w:ind w:right="361"/>
              <w:spacing w:after="0"/>
              <w:rPr>
                <w:sz w:val="20"/>
                <w:szCs w:val="20"/>
                <w:color w:val="auto"/>
              </w:rPr>
            </w:pPr>
            <w:r>
              <w:rPr>
                <w:rFonts w:ascii="Arial" w:cs="Arial" w:eastAsia="Arial" w:hAnsi="Arial"/>
                <w:sz w:val="12"/>
                <w:szCs w:val="12"/>
                <w:color w:val="auto"/>
                <w:w w:val="88"/>
              </w:rPr>
              <w:t>14.1%</w:t>
            </w:r>
          </w:p>
        </w:tc>
      </w:tr>
      <w:tr>
        <w:trPr>
          <w:trHeight w:val="153"/>
        </w:trPr>
        <w:tc>
          <w:tcPr>
            <w:tcW w:w="5420" w:type="dxa"/>
            <w:vAlign w:val="bottom"/>
            <w:shd w:val="clear" w:color="auto" w:fill="CCEEFF"/>
          </w:tcPr>
          <w:p>
            <w:pPr>
              <w:spacing w:after="0"/>
              <w:rPr>
                <w:sz w:val="20"/>
                <w:szCs w:val="20"/>
                <w:color w:val="auto"/>
              </w:rPr>
            </w:pPr>
            <w:r>
              <w:rPr>
                <w:rFonts w:ascii="Arial" w:cs="Arial" w:eastAsia="Arial" w:hAnsi="Arial"/>
                <w:sz w:val="12"/>
                <w:szCs w:val="12"/>
                <w:color w:val="auto"/>
              </w:rPr>
              <w:t>Range of stated interest rates</w:t>
            </w:r>
          </w:p>
        </w:tc>
        <w:tc>
          <w:tcPr>
            <w:tcW w:w="400" w:type="dxa"/>
            <w:vAlign w:val="bottom"/>
            <w:shd w:val="clear" w:color="auto" w:fill="CCEEFF"/>
          </w:tcPr>
          <w:p>
            <w:pPr>
              <w:spacing w:after="0"/>
              <w:rPr>
                <w:sz w:val="13"/>
                <w:szCs w:val="13"/>
                <w:color w:val="auto"/>
              </w:rPr>
            </w:pPr>
          </w:p>
        </w:tc>
        <w:tc>
          <w:tcPr>
            <w:tcW w:w="1580" w:type="dxa"/>
            <w:vAlign w:val="bottom"/>
            <w:gridSpan w:val="2"/>
            <w:shd w:val="clear" w:color="auto" w:fill="CCEEFF"/>
          </w:tcPr>
          <w:p>
            <w:pPr>
              <w:jc w:val="center"/>
              <w:ind w:right="480"/>
              <w:spacing w:after="0"/>
              <w:rPr>
                <w:sz w:val="20"/>
                <w:szCs w:val="20"/>
                <w:color w:val="auto"/>
              </w:rPr>
            </w:pPr>
            <w:r>
              <w:rPr>
                <w:rFonts w:ascii="Arial" w:cs="Arial" w:eastAsia="Arial" w:hAnsi="Arial"/>
                <w:sz w:val="12"/>
                <w:szCs w:val="12"/>
                <w:color w:val="auto"/>
                <w:w w:val="89"/>
              </w:rPr>
              <w:t>0.0% to 21.9%</w:t>
            </w:r>
          </w:p>
        </w:tc>
        <w:tc>
          <w:tcPr>
            <w:tcW w:w="340" w:type="dxa"/>
            <w:vAlign w:val="bottom"/>
            <w:shd w:val="clear" w:color="auto" w:fill="CCEEFF"/>
          </w:tcPr>
          <w:p>
            <w:pPr>
              <w:spacing w:after="0"/>
              <w:rPr>
                <w:sz w:val="13"/>
                <w:szCs w:val="13"/>
                <w:color w:val="auto"/>
              </w:rPr>
            </w:pPr>
          </w:p>
        </w:tc>
        <w:tc>
          <w:tcPr>
            <w:tcW w:w="1660" w:type="dxa"/>
            <w:vAlign w:val="bottom"/>
            <w:gridSpan w:val="2"/>
            <w:shd w:val="clear" w:color="auto" w:fill="CCEEFF"/>
          </w:tcPr>
          <w:p>
            <w:pPr>
              <w:jc w:val="center"/>
              <w:ind w:right="420"/>
              <w:spacing w:after="0"/>
              <w:rPr>
                <w:sz w:val="20"/>
                <w:szCs w:val="20"/>
                <w:color w:val="auto"/>
              </w:rPr>
            </w:pPr>
            <w:r>
              <w:rPr>
                <w:rFonts w:ascii="Arial" w:cs="Arial" w:eastAsia="Arial" w:hAnsi="Arial"/>
                <w:sz w:val="12"/>
                <w:szCs w:val="12"/>
                <w:color w:val="auto"/>
                <w:w w:val="92"/>
              </w:rPr>
              <w:t>0.0% to 21.9%</w:t>
            </w:r>
          </w:p>
        </w:tc>
        <w:tc>
          <w:tcPr>
            <w:tcW w:w="420" w:type="dxa"/>
            <w:vAlign w:val="bottom"/>
            <w:shd w:val="clear" w:color="auto" w:fill="CCEEFF"/>
          </w:tcPr>
          <w:p>
            <w:pPr>
              <w:spacing w:after="0"/>
              <w:rPr>
                <w:sz w:val="13"/>
                <w:szCs w:val="13"/>
                <w:color w:val="auto"/>
              </w:rPr>
            </w:pPr>
          </w:p>
        </w:tc>
        <w:tc>
          <w:tcPr>
            <w:tcW w:w="1480" w:type="dxa"/>
            <w:vAlign w:val="bottom"/>
            <w:shd w:val="clear" w:color="auto" w:fill="CCEEFF"/>
          </w:tcPr>
          <w:p>
            <w:pPr>
              <w:jc w:val="center"/>
              <w:ind w:right="361"/>
              <w:spacing w:after="0"/>
              <w:rPr>
                <w:sz w:val="20"/>
                <w:szCs w:val="20"/>
                <w:color w:val="auto"/>
              </w:rPr>
            </w:pPr>
            <w:r>
              <w:rPr>
                <w:rFonts w:ascii="Arial" w:cs="Arial" w:eastAsia="Arial" w:hAnsi="Arial"/>
                <w:sz w:val="12"/>
                <w:szCs w:val="12"/>
                <w:color w:val="auto"/>
                <w:w w:val="89"/>
              </w:rPr>
              <w:t>0.0% to 21.9%</w:t>
            </w:r>
          </w:p>
        </w:tc>
      </w:tr>
      <w:tr>
        <w:trPr>
          <w:trHeight w:val="351"/>
        </w:trPr>
        <w:tc>
          <w:tcPr>
            <w:tcW w:w="5820" w:type="dxa"/>
            <w:vAlign w:val="bottom"/>
            <w:gridSpan w:val="2"/>
          </w:tcPr>
          <w:p>
            <w:pPr>
              <w:ind w:left="420"/>
              <w:spacing w:after="0"/>
              <w:rPr>
                <w:sz w:val="20"/>
                <w:szCs w:val="20"/>
                <w:color w:val="auto"/>
              </w:rPr>
            </w:pPr>
            <w:r>
              <w:rPr>
                <w:rFonts w:ascii="Arial" w:cs="Arial" w:eastAsia="Arial" w:hAnsi="Arial"/>
                <w:sz w:val="12"/>
                <w:szCs w:val="12"/>
                <w:color w:val="auto"/>
                <w:w w:val="93"/>
              </w:rPr>
              <w:t>The following table summarizes activity related to our acquired vacation ownership notes receivable reserve.</w:t>
            </w: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32"/>
        </w:trPr>
        <w:tc>
          <w:tcPr>
            <w:tcW w:w="54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4000" w:type="dxa"/>
            <w:vAlign w:val="bottom"/>
            <w:tcBorders>
              <w:bottom w:val="single" w:sz="8" w:color="auto"/>
            </w:tcBorders>
            <w:gridSpan w:val="6"/>
          </w:tcPr>
          <w:p>
            <w:pPr>
              <w:jc w:val="center"/>
              <w:ind w:left="1021"/>
              <w:spacing w:after="0"/>
              <w:rPr>
                <w:sz w:val="20"/>
                <w:szCs w:val="20"/>
                <w:color w:val="auto"/>
              </w:rPr>
            </w:pPr>
            <w:r>
              <w:rPr>
                <w:rFonts w:ascii="Arial" w:cs="Arial" w:eastAsia="Arial" w:hAnsi="Arial"/>
                <w:sz w:val="11"/>
                <w:szCs w:val="11"/>
                <w:b w:val="1"/>
                <w:bCs w:val="1"/>
                <w:color w:val="auto"/>
                <w:w w:val="87"/>
              </w:rPr>
              <w:t>Acquired Vacation Ownership Notes Receivable Reserve</w:t>
            </w:r>
          </w:p>
        </w:tc>
        <w:tc>
          <w:tcPr>
            <w:tcW w:w="1480" w:type="dxa"/>
            <w:vAlign w:val="bottom"/>
            <w:tcBorders>
              <w:bottom w:val="single" w:sz="8" w:color="auto"/>
            </w:tcBorders>
          </w:tcPr>
          <w:p>
            <w:pPr>
              <w:spacing w:after="0"/>
              <w:rPr>
                <w:sz w:val="20"/>
                <w:szCs w:val="20"/>
                <w:color w:val="auto"/>
              </w:rPr>
            </w:pPr>
          </w:p>
        </w:tc>
      </w:tr>
      <w:tr>
        <w:trPr>
          <w:trHeight w:val="133"/>
        </w:trPr>
        <w:tc>
          <w:tcPr>
            <w:tcW w:w="5420" w:type="dxa"/>
            <w:vAlign w:val="bottom"/>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400" w:type="dxa"/>
            <w:vAlign w:val="bottom"/>
          </w:tcPr>
          <w:p>
            <w:pPr>
              <w:spacing w:after="0"/>
              <w:rPr>
                <w:sz w:val="11"/>
                <w:szCs w:val="11"/>
                <w:color w:val="auto"/>
              </w:rPr>
            </w:pPr>
          </w:p>
        </w:tc>
        <w:tc>
          <w:tcPr>
            <w:tcW w:w="1580" w:type="dxa"/>
            <w:vAlign w:val="bottom"/>
            <w:gridSpan w:val="2"/>
          </w:tcPr>
          <w:p>
            <w:pPr>
              <w:jc w:val="center"/>
              <w:ind w:right="480"/>
              <w:spacing w:after="0"/>
              <w:rPr>
                <w:sz w:val="20"/>
                <w:szCs w:val="20"/>
                <w:color w:val="auto"/>
              </w:rPr>
            </w:pPr>
            <w:r>
              <w:rPr>
                <w:rFonts w:ascii="Arial" w:cs="Arial" w:eastAsia="Arial" w:hAnsi="Arial"/>
                <w:sz w:val="11"/>
                <w:szCs w:val="11"/>
                <w:b w:val="1"/>
                <w:bCs w:val="1"/>
                <w:color w:val="auto"/>
                <w:w w:val="88"/>
              </w:rPr>
              <w:t>Non-Securitized</w:t>
            </w:r>
          </w:p>
        </w:tc>
        <w:tc>
          <w:tcPr>
            <w:tcW w:w="340" w:type="dxa"/>
            <w:vAlign w:val="bottom"/>
          </w:tcPr>
          <w:p>
            <w:pPr>
              <w:spacing w:after="0"/>
              <w:rPr>
                <w:sz w:val="11"/>
                <w:szCs w:val="11"/>
                <w:color w:val="auto"/>
              </w:rPr>
            </w:pPr>
          </w:p>
        </w:tc>
        <w:tc>
          <w:tcPr>
            <w:tcW w:w="1660" w:type="dxa"/>
            <w:vAlign w:val="bottom"/>
            <w:gridSpan w:val="2"/>
          </w:tcPr>
          <w:p>
            <w:pPr>
              <w:jc w:val="center"/>
              <w:ind w:right="420"/>
              <w:spacing w:after="0"/>
              <w:rPr>
                <w:sz w:val="20"/>
                <w:szCs w:val="20"/>
                <w:color w:val="auto"/>
              </w:rPr>
            </w:pPr>
            <w:r>
              <w:rPr>
                <w:rFonts w:ascii="Arial" w:cs="Arial" w:eastAsia="Arial" w:hAnsi="Arial"/>
                <w:sz w:val="11"/>
                <w:szCs w:val="11"/>
                <w:b w:val="1"/>
                <w:bCs w:val="1"/>
                <w:color w:val="auto"/>
                <w:w w:val="88"/>
              </w:rPr>
              <w:t>Securitized</w:t>
            </w:r>
          </w:p>
        </w:tc>
        <w:tc>
          <w:tcPr>
            <w:tcW w:w="420" w:type="dxa"/>
            <w:vAlign w:val="bottom"/>
          </w:tcPr>
          <w:p>
            <w:pPr>
              <w:spacing w:after="0"/>
              <w:rPr>
                <w:sz w:val="11"/>
                <w:szCs w:val="11"/>
                <w:color w:val="auto"/>
              </w:rPr>
            </w:pPr>
          </w:p>
        </w:tc>
        <w:tc>
          <w:tcPr>
            <w:tcW w:w="1480" w:type="dxa"/>
            <w:vAlign w:val="bottom"/>
          </w:tcPr>
          <w:p>
            <w:pPr>
              <w:jc w:val="center"/>
              <w:ind w:right="381"/>
              <w:spacing w:after="0"/>
              <w:rPr>
                <w:sz w:val="20"/>
                <w:szCs w:val="20"/>
                <w:color w:val="auto"/>
              </w:rPr>
            </w:pPr>
            <w:r>
              <w:rPr>
                <w:rFonts w:ascii="Arial" w:cs="Arial" w:eastAsia="Arial" w:hAnsi="Arial"/>
                <w:sz w:val="11"/>
                <w:szCs w:val="11"/>
                <w:b w:val="1"/>
                <w:bCs w:val="1"/>
                <w:color w:val="auto"/>
                <w:w w:val="91"/>
              </w:rPr>
              <w:t>Total</w:t>
            </w:r>
          </w:p>
        </w:tc>
      </w:tr>
      <w:tr>
        <w:trPr>
          <w:trHeight w:val="144"/>
        </w:trPr>
        <w:tc>
          <w:tcPr>
            <w:tcW w:w="5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Balance at December 31, 2020</w:t>
            </w:r>
          </w:p>
        </w:tc>
        <w:tc>
          <w:tcPr>
            <w:tcW w:w="400" w:type="dxa"/>
            <w:vAlign w:val="bottom"/>
            <w:tcBorders>
              <w:top w:val="single" w:sz="8" w:color="auto"/>
            </w:tcBorders>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w:t>
            </w:r>
          </w:p>
        </w:tc>
        <w:tc>
          <w:tcPr>
            <w:tcW w:w="8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w:t>
            </w:r>
          </w:p>
        </w:tc>
        <w:tc>
          <w:tcPr>
            <w:tcW w:w="10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ind w:right="312"/>
              <w:spacing w:after="0"/>
              <w:rPr>
                <w:sz w:val="20"/>
                <w:szCs w:val="20"/>
                <w:color w:val="auto"/>
              </w:rPr>
            </w:pPr>
            <w:r>
              <w:rPr>
                <w:rFonts w:ascii="Arial" w:cs="Arial" w:eastAsia="Arial" w:hAnsi="Arial"/>
                <w:sz w:val="10"/>
                <w:szCs w:val="10"/>
                <w:color w:val="auto"/>
                <w:w w:val="71"/>
              </w:rPr>
              <w:t>$</w:t>
            </w:r>
          </w:p>
        </w:tc>
        <w:tc>
          <w:tcPr>
            <w:tcW w:w="14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60</w:t>
            </w:r>
          </w:p>
        </w:tc>
      </w:tr>
      <w:tr>
        <w:trPr>
          <w:trHeight w:val="153"/>
        </w:trPr>
        <w:tc>
          <w:tcPr>
            <w:tcW w:w="5420" w:type="dxa"/>
            <w:vAlign w:val="bottom"/>
          </w:tcPr>
          <w:p>
            <w:pPr>
              <w:ind w:left="140"/>
              <w:spacing w:after="0"/>
              <w:rPr>
                <w:sz w:val="20"/>
                <w:szCs w:val="20"/>
                <w:color w:val="auto"/>
              </w:rPr>
            </w:pPr>
            <w:r>
              <w:rPr>
                <w:rFonts w:ascii="Arial" w:cs="Arial" w:eastAsia="Arial" w:hAnsi="Arial"/>
                <w:sz w:val="12"/>
                <w:szCs w:val="12"/>
                <w:color w:val="auto"/>
              </w:rPr>
              <w:t>Securitizations</w:t>
            </w:r>
          </w:p>
        </w:tc>
        <w:tc>
          <w:tcPr>
            <w:tcW w:w="40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(6)</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80" w:type="dxa"/>
            <w:vAlign w:val="bottom"/>
          </w:tcPr>
          <w:p>
            <w:pPr>
              <w:jc w:val="right"/>
              <w:ind w:right="1"/>
              <w:spacing w:after="0"/>
              <w:rPr>
                <w:sz w:val="20"/>
                <w:szCs w:val="20"/>
                <w:color w:val="auto"/>
              </w:rPr>
            </w:pPr>
            <w:r>
              <w:rPr>
                <w:rFonts w:ascii="Arial" w:cs="Arial" w:eastAsia="Arial" w:hAnsi="Arial"/>
                <w:sz w:val="12"/>
                <w:szCs w:val="12"/>
                <w:color w:val="auto"/>
              </w:rPr>
              <w:t>—</w:t>
            </w:r>
          </w:p>
        </w:tc>
      </w:tr>
      <w:tr>
        <w:trPr>
          <w:trHeight w:val="153"/>
        </w:trPr>
        <w:tc>
          <w:tcPr>
            <w:tcW w:w="54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Clean-up call</w:t>
            </w:r>
          </w:p>
        </w:tc>
        <w:tc>
          <w:tcPr>
            <w:tcW w:w="40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r>
      <w:tr>
        <w:trPr>
          <w:trHeight w:val="153"/>
        </w:trPr>
        <w:tc>
          <w:tcPr>
            <w:tcW w:w="5420" w:type="dxa"/>
            <w:vAlign w:val="bottom"/>
          </w:tcPr>
          <w:p>
            <w:pPr>
              <w:ind w:left="140"/>
              <w:spacing w:after="0"/>
              <w:rPr>
                <w:sz w:val="20"/>
                <w:szCs w:val="20"/>
                <w:color w:val="auto"/>
              </w:rPr>
            </w:pPr>
            <w:r>
              <w:rPr>
                <w:rFonts w:ascii="Arial" w:cs="Arial" w:eastAsia="Arial" w:hAnsi="Arial"/>
                <w:sz w:val="12"/>
                <w:szCs w:val="12"/>
                <w:color w:val="auto"/>
              </w:rPr>
              <w:t>Write-offs</w:t>
            </w:r>
          </w:p>
        </w:tc>
        <w:tc>
          <w:tcPr>
            <w:tcW w:w="40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(22)</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(22)</w:t>
            </w:r>
          </w:p>
        </w:tc>
      </w:tr>
      <w:tr>
        <w:trPr>
          <w:trHeight w:val="153"/>
        </w:trPr>
        <w:tc>
          <w:tcPr>
            <w:tcW w:w="54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Recoveries</w:t>
            </w:r>
          </w:p>
        </w:tc>
        <w:tc>
          <w:tcPr>
            <w:tcW w:w="40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13"/>
                <w:szCs w:val="13"/>
                <w:color w:val="auto"/>
              </w:rPr>
            </w:pPr>
          </w:p>
        </w:tc>
        <w:tc>
          <w:tcPr>
            <w:tcW w:w="14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10</w:t>
            </w:r>
          </w:p>
        </w:tc>
      </w:tr>
      <w:tr>
        <w:trPr>
          <w:trHeight w:val="153"/>
        </w:trPr>
        <w:tc>
          <w:tcPr>
            <w:tcW w:w="5420" w:type="dxa"/>
            <w:vAlign w:val="bottom"/>
          </w:tcPr>
          <w:p>
            <w:pPr>
              <w:ind w:left="140"/>
              <w:spacing w:after="0"/>
              <w:rPr>
                <w:sz w:val="20"/>
                <w:szCs w:val="20"/>
                <w:color w:val="auto"/>
              </w:rPr>
            </w:pPr>
            <w:r>
              <w:rPr>
                <w:rFonts w:ascii="Arial" w:cs="Arial" w:eastAsia="Arial" w:hAnsi="Arial"/>
                <w:sz w:val="12"/>
                <w:szCs w:val="12"/>
                <w:color w:val="auto"/>
              </w:rPr>
              <w:t>Defaulted vacation ownership notes receivable repurchase activity</w:t>
            </w:r>
            <w:r>
              <w:rPr>
                <w:rFonts w:ascii="Arial" w:cs="Arial" w:eastAsia="Arial" w:hAnsi="Arial"/>
                <w:sz w:val="6"/>
                <w:szCs w:val="6"/>
                <w:color w:val="auto"/>
              </w:rPr>
              <w:t>(1)</w:t>
            </w:r>
          </w:p>
        </w:tc>
        <w:tc>
          <w:tcPr>
            <w:tcW w:w="40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17</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(17)</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80" w:type="dxa"/>
            <w:vAlign w:val="bottom"/>
          </w:tcPr>
          <w:p>
            <w:pPr>
              <w:jc w:val="right"/>
              <w:ind w:right="1"/>
              <w:spacing w:after="0"/>
              <w:rPr>
                <w:sz w:val="20"/>
                <w:szCs w:val="20"/>
                <w:color w:val="auto"/>
              </w:rPr>
            </w:pPr>
            <w:r>
              <w:rPr>
                <w:rFonts w:ascii="Arial" w:cs="Arial" w:eastAsia="Arial" w:hAnsi="Arial"/>
                <w:sz w:val="12"/>
                <w:szCs w:val="12"/>
                <w:color w:val="auto"/>
              </w:rPr>
              <w:t>—</w:t>
            </w:r>
          </w:p>
        </w:tc>
      </w:tr>
      <w:tr>
        <w:trPr>
          <w:trHeight w:val="153"/>
        </w:trPr>
        <w:tc>
          <w:tcPr>
            <w:tcW w:w="54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Initial allowance for credit losses for Legacy-Welk vacation ownership notes receivable</w:t>
            </w:r>
          </w:p>
        </w:tc>
        <w:tc>
          <w:tcPr>
            <w:tcW w:w="40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51</w:t>
            </w:r>
          </w:p>
        </w:tc>
      </w:tr>
      <w:tr>
        <w:trPr>
          <w:trHeight w:val="153"/>
        </w:trPr>
        <w:tc>
          <w:tcPr>
            <w:tcW w:w="542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(Decrease) increase in vacation ownership notes receivable reserve</w:t>
            </w:r>
          </w:p>
        </w:tc>
        <w:tc>
          <w:tcPr>
            <w:tcW w:w="4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w:t>
            </w: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w:t>
            </w:r>
          </w:p>
        </w:tc>
      </w:tr>
      <w:tr>
        <w:trPr>
          <w:trHeight w:val="158"/>
        </w:trPr>
        <w:tc>
          <w:tcPr>
            <w:tcW w:w="5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Balance at June 30, 2021</w:t>
            </w:r>
          </w:p>
        </w:tc>
        <w:tc>
          <w:tcPr>
            <w:tcW w:w="40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53</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w:t>
            </w:r>
          </w:p>
        </w:tc>
        <w:tc>
          <w:tcPr>
            <w:tcW w:w="10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0"/>
                <w:szCs w:val="10"/>
                <w:color w:val="auto"/>
                <w:w w:val="71"/>
              </w:rPr>
              <w:t>$</w:t>
            </w:r>
          </w:p>
        </w:tc>
        <w:tc>
          <w:tcPr>
            <w:tcW w:w="14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96</w:t>
            </w:r>
          </w:p>
        </w:tc>
      </w:tr>
    </w:tbl>
    <w:p>
      <w:pPr>
        <w:spacing w:after="0" w:line="45" w:lineRule="exact"/>
        <w:rPr>
          <w:sz w:val="20"/>
          <w:szCs w:val="20"/>
          <w:color w:val="auto"/>
        </w:rPr>
      </w:pPr>
    </w:p>
    <w:p>
      <w:pPr>
        <w:ind w:left="8"/>
        <w:spacing w:after="0"/>
        <w:rPr>
          <w:sz w:val="20"/>
          <w:szCs w:val="20"/>
          <w:color w:val="auto"/>
        </w:rPr>
      </w:pPr>
      <w:r>
        <w:rPr>
          <w:rFonts w:ascii="Arial" w:cs="Arial" w:eastAsia="Arial" w:hAnsi="Arial"/>
          <w:sz w:val="12"/>
          <w:szCs w:val="12"/>
          <w:color w:val="auto"/>
        </w:rPr>
        <w:t>_________________________</w:t>
      </w:r>
    </w:p>
    <w:p>
      <w:pPr>
        <w:spacing w:after="0" w:line="42" w:lineRule="exact"/>
        <w:rPr>
          <w:sz w:val="20"/>
          <w:szCs w:val="20"/>
          <w:color w:val="auto"/>
        </w:rPr>
      </w:pPr>
    </w:p>
    <w:p>
      <w:pPr>
        <w:ind w:left="428" w:right="200" w:hanging="428"/>
        <w:spacing w:after="0" w:line="221" w:lineRule="auto"/>
        <w:tabs>
          <w:tab w:leader="none" w:pos="420" w:val="left"/>
        </w:tabs>
        <w:numPr>
          <w:ilvl w:val="0"/>
          <w:numId w:val="13"/>
        </w:numPr>
        <w:rPr>
          <w:rFonts w:ascii="Arial" w:cs="Arial" w:eastAsia="Arial" w:hAnsi="Arial"/>
          <w:sz w:val="16"/>
          <w:szCs w:val="16"/>
          <w:color w:val="auto"/>
          <w:vertAlign w:val="superscript"/>
        </w:rPr>
      </w:pPr>
      <w:r>
        <w:rPr>
          <w:rFonts w:ascii="Arial" w:cs="Arial" w:eastAsia="Arial" w:hAnsi="Arial"/>
          <w:sz w:val="12"/>
          <w:szCs w:val="12"/>
          <w:color w:val="auto"/>
        </w:rPr>
        <w:t>Decrease in securitized vacation ownership notes receivable reserve and increase in non-securitized vacation ownership notes receivable reserve are attributable to the transfer of the reserve when we voluntarily repurchased defaulted securitized vacation ownership notes receivable.</w:t>
      </w:r>
    </w:p>
    <w:p>
      <w:pPr>
        <w:spacing w:after="0" w:line="127" w:lineRule="exact"/>
        <w:rPr>
          <w:sz w:val="20"/>
          <w:szCs w:val="20"/>
          <w:color w:val="auto"/>
        </w:rPr>
      </w:pPr>
    </w:p>
    <w:p>
      <w:pPr>
        <w:jc w:val="center"/>
        <w:ind w:left="420"/>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191135</wp:posOffset>
            </wp:positionV>
            <wp:extent cx="7203440"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03" w:right="299" w:bottom="1440" w:gutter="0" w:footer="0" w:header="0"/>
        </w:sectPr>
      </w:pPr>
    </w:p>
    <w:bookmarkStart w:id="19" w:name="page20"/>
    <w:bookmarkEnd w:id="19"/>
    <w:p>
      <w:pPr>
        <w:ind w:left="8"/>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Originated Vacation Ownership Notes Receivable</w:t>
      </w:r>
    </w:p>
    <w:p>
      <w:pPr>
        <w:spacing w:after="0" w:line="78" w:lineRule="exact"/>
        <w:rPr>
          <w:sz w:val="20"/>
          <w:szCs w:val="20"/>
          <w:color w:val="auto"/>
        </w:rPr>
      </w:pPr>
    </w:p>
    <w:p>
      <w:pPr>
        <w:ind w:left="8" w:right="240" w:firstLine="432"/>
        <w:spacing w:after="0" w:line="365" w:lineRule="auto"/>
        <w:rPr>
          <w:sz w:val="20"/>
          <w:szCs w:val="20"/>
          <w:color w:val="auto"/>
        </w:rPr>
      </w:pPr>
      <w:r>
        <w:rPr>
          <w:rFonts w:ascii="Arial" w:cs="Arial" w:eastAsia="Arial" w:hAnsi="Arial"/>
          <w:sz w:val="10"/>
          <w:szCs w:val="10"/>
          <w:color w:val="auto"/>
        </w:rPr>
        <w:t>Originated vacation ownership notes receivable represent vacation ownership notes receivable originated by Legacy-ILG and Legacy-Welk subsequent to each respective acquisition date and all Legacy-MVW vacation ownership notes receivable. The following table shows future principal payments, net of reserves, and interest rates for our originated non-securitized and securitized originated vacation ownership notes receivable at June 30, 2021.</w:t>
      </w:r>
    </w:p>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54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4000" w:type="dxa"/>
            <w:vAlign w:val="bottom"/>
            <w:tcBorders>
              <w:bottom w:val="single" w:sz="8" w:color="auto"/>
            </w:tcBorders>
            <w:gridSpan w:val="6"/>
          </w:tcPr>
          <w:p>
            <w:pPr>
              <w:jc w:val="center"/>
              <w:ind w:left="1181"/>
              <w:spacing w:after="0"/>
              <w:rPr>
                <w:sz w:val="20"/>
                <w:szCs w:val="20"/>
                <w:color w:val="auto"/>
              </w:rPr>
            </w:pPr>
            <w:r>
              <w:rPr>
                <w:rFonts w:ascii="Arial" w:cs="Arial" w:eastAsia="Arial" w:hAnsi="Arial"/>
                <w:sz w:val="11"/>
                <w:szCs w:val="11"/>
                <w:b w:val="1"/>
                <w:bCs w:val="1"/>
                <w:color w:val="auto"/>
                <w:w w:val="88"/>
              </w:rPr>
              <w:t>Originated Vacation Ownership Notes Receivable</w:t>
            </w:r>
          </w:p>
        </w:tc>
        <w:tc>
          <w:tcPr>
            <w:tcW w:w="1560" w:type="dxa"/>
            <w:vAlign w:val="bottom"/>
            <w:tcBorders>
              <w:bottom w:val="single" w:sz="8" w:color="auto"/>
            </w:tcBorders>
          </w:tcPr>
          <w:p>
            <w:pPr>
              <w:spacing w:after="0"/>
              <w:rPr>
                <w:sz w:val="12"/>
                <w:szCs w:val="12"/>
                <w:color w:val="auto"/>
              </w:rPr>
            </w:pPr>
          </w:p>
        </w:tc>
      </w:tr>
      <w:tr>
        <w:trPr>
          <w:trHeight w:val="133"/>
        </w:trPr>
        <w:tc>
          <w:tcPr>
            <w:tcW w:w="5420" w:type="dxa"/>
            <w:vAlign w:val="bottom"/>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320" w:type="dxa"/>
            <w:vAlign w:val="bottom"/>
          </w:tcPr>
          <w:p>
            <w:pPr>
              <w:spacing w:after="0"/>
              <w:rPr>
                <w:sz w:val="11"/>
                <w:szCs w:val="11"/>
                <w:color w:val="auto"/>
              </w:rPr>
            </w:pPr>
          </w:p>
        </w:tc>
        <w:tc>
          <w:tcPr>
            <w:tcW w:w="166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w w:val="88"/>
              </w:rPr>
              <w:t>Non-Securitized</w:t>
            </w:r>
          </w:p>
        </w:tc>
        <w:tc>
          <w:tcPr>
            <w:tcW w:w="340" w:type="dxa"/>
            <w:vAlign w:val="bottom"/>
          </w:tcPr>
          <w:p>
            <w:pPr>
              <w:spacing w:after="0"/>
              <w:rPr>
                <w:sz w:val="11"/>
                <w:szCs w:val="11"/>
                <w:color w:val="auto"/>
              </w:rPr>
            </w:pPr>
          </w:p>
        </w:tc>
        <w:tc>
          <w:tcPr>
            <w:tcW w:w="1660" w:type="dxa"/>
            <w:vAlign w:val="bottom"/>
            <w:gridSpan w:val="2"/>
          </w:tcPr>
          <w:p>
            <w:pPr>
              <w:jc w:val="center"/>
              <w:ind w:right="420"/>
              <w:spacing w:after="0"/>
              <w:rPr>
                <w:sz w:val="20"/>
                <w:szCs w:val="20"/>
                <w:color w:val="auto"/>
              </w:rPr>
            </w:pPr>
            <w:r>
              <w:rPr>
                <w:rFonts w:ascii="Arial" w:cs="Arial" w:eastAsia="Arial" w:hAnsi="Arial"/>
                <w:sz w:val="11"/>
                <w:szCs w:val="11"/>
                <w:b w:val="1"/>
                <w:bCs w:val="1"/>
                <w:color w:val="auto"/>
                <w:w w:val="88"/>
              </w:rPr>
              <w:t>Securitized</w:t>
            </w:r>
          </w:p>
        </w:tc>
        <w:tc>
          <w:tcPr>
            <w:tcW w:w="340" w:type="dxa"/>
            <w:vAlign w:val="bottom"/>
          </w:tcPr>
          <w:p>
            <w:pPr>
              <w:spacing w:after="0"/>
              <w:rPr>
                <w:sz w:val="11"/>
                <w:szCs w:val="11"/>
                <w:color w:val="auto"/>
              </w:rPr>
            </w:pPr>
          </w:p>
        </w:tc>
        <w:tc>
          <w:tcPr>
            <w:tcW w:w="1560" w:type="dxa"/>
            <w:vAlign w:val="bottom"/>
          </w:tcPr>
          <w:p>
            <w:pPr>
              <w:jc w:val="center"/>
              <w:ind w:right="301"/>
              <w:spacing w:after="0"/>
              <w:rPr>
                <w:sz w:val="20"/>
                <w:szCs w:val="20"/>
                <w:color w:val="auto"/>
              </w:rPr>
            </w:pPr>
            <w:r>
              <w:rPr>
                <w:rFonts w:ascii="Arial" w:cs="Arial" w:eastAsia="Arial" w:hAnsi="Arial"/>
                <w:sz w:val="11"/>
                <w:szCs w:val="11"/>
                <w:b w:val="1"/>
                <w:bCs w:val="1"/>
                <w:color w:val="auto"/>
                <w:w w:val="91"/>
              </w:rPr>
              <w:t>Total</w:t>
            </w:r>
          </w:p>
        </w:tc>
      </w:tr>
      <w:tr>
        <w:trPr>
          <w:trHeight w:val="144"/>
        </w:trPr>
        <w:tc>
          <w:tcPr>
            <w:tcW w:w="5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2021, remaining</w:t>
            </w:r>
          </w:p>
        </w:tc>
        <w:tc>
          <w:tcPr>
            <w:tcW w:w="320" w:type="dxa"/>
            <w:vAlign w:val="bottom"/>
            <w:tcBorders>
              <w:top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w:t>
            </w:r>
          </w:p>
        </w:tc>
        <w:tc>
          <w:tcPr>
            <w:tcW w:w="8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59</w:t>
            </w: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15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80</w:t>
            </w:r>
          </w:p>
        </w:tc>
      </w:tr>
      <w:tr>
        <w:trPr>
          <w:trHeight w:val="153"/>
        </w:trPr>
        <w:tc>
          <w:tcPr>
            <w:tcW w:w="5420" w:type="dxa"/>
            <w:vAlign w:val="bottom"/>
          </w:tcPr>
          <w:p>
            <w:pPr>
              <w:spacing w:after="0"/>
              <w:rPr>
                <w:sz w:val="20"/>
                <w:szCs w:val="20"/>
                <w:color w:val="auto"/>
              </w:rPr>
            </w:pPr>
            <w:r>
              <w:rPr>
                <w:rFonts w:ascii="Arial" w:cs="Arial" w:eastAsia="Arial" w:hAnsi="Arial"/>
                <w:sz w:val="12"/>
                <w:szCs w:val="12"/>
                <w:color w:val="auto"/>
              </w:rPr>
              <w:t>2022</w:t>
            </w:r>
          </w:p>
        </w:tc>
        <w:tc>
          <w:tcPr>
            <w:tcW w:w="32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Arial" w:cs="Arial" w:eastAsia="Arial" w:hAnsi="Arial"/>
                <w:sz w:val="12"/>
                <w:szCs w:val="12"/>
                <w:color w:val="auto"/>
              </w:rPr>
              <w:t>35</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122</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60" w:type="dxa"/>
            <w:vAlign w:val="bottom"/>
          </w:tcPr>
          <w:p>
            <w:pPr>
              <w:jc w:val="right"/>
              <w:ind w:right="1"/>
              <w:spacing w:after="0"/>
              <w:rPr>
                <w:sz w:val="20"/>
                <w:szCs w:val="20"/>
                <w:color w:val="auto"/>
              </w:rPr>
            </w:pPr>
            <w:r>
              <w:rPr>
                <w:rFonts w:ascii="Arial" w:cs="Arial" w:eastAsia="Arial" w:hAnsi="Arial"/>
                <w:sz w:val="12"/>
                <w:szCs w:val="12"/>
                <w:color w:val="auto"/>
              </w:rPr>
              <w:t>157</w:t>
            </w:r>
          </w:p>
        </w:tc>
      </w:tr>
      <w:tr>
        <w:trPr>
          <w:trHeight w:val="153"/>
        </w:trPr>
        <w:tc>
          <w:tcPr>
            <w:tcW w:w="5420" w:type="dxa"/>
            <w:vAlign w:val="bottom"/>
            <w:shd w:val="clear" w:color="auto" w:fill="CCEEFF"/>
          </w:tcPr>
          <w:p>
            <w:pPr>
              <w:spacing w:after="0"/>
              <w:rPr>
                <w:sz w:val="20"/>
                <w:szCs w:val="20"/>
                <w:color w:val="auto"/>
              </w:rPr>
            </w:pPr>
            <w:r>
              <w:rPr>
                <w:rFonts w:ascii="Arial" w:cs="Arial" w:eastAsia="Arial" w:hAnsi="Arial"/>
                <w:sz w:val="12"/>
                <w:szCs w:val="12"/>
                <w:color w:val="auto"/>
              </w:rPr>
              <w:t>2023</w:t>
            </w:r>
          </w:p>
        </w:tc>
        <w:tc>
          <w:tcPr>
            <w:tcW w:w="320" w:type="dxa"/>
            <w:vAlign w:val="bottom"/>
            <w:shd w:val="clear" w:color="auto" w:fill="CCEEFF"/>
          </w:tcPr>
          <w:p>
            <w:pPr>
              <w:spacing w:after="0"/>
              <w:rPr>
                <w:sz w:val="13"/>
                <w:szCs w:val="13"/>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125</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5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154</w:t>
            </w:r>
          </w:p>
        </w:tc>
      </w:tr>
      <w:tr>
        <w:trPr>
          <w:trHeight w:val="153"/>
        </w:trPr>
        <w:tc>
          <w:tcPr>
            <w:tcW w:w="5420" w:type="dxa"/>
            <w:vAlign w:val="bottom"/>
          </w:tcPr>
          <w:p>
            <w:pPr>
              <w:spacing w:after="0"/>
              <w:rPr>
                <w:sz w:val="20"/>
                <w:szCs w:val="20"/>
                <w:color w:val="auto"/>
              </w:rPr>
            </w:pPr>
            <w:r>
              <w:rPr>
                <w:rFonts w:ascii="Arial" w:cs="Arial" w:eastAsia="Arial" w:hAnsi="Arial"/>
                <w:sz w:val="12"/>
                <w:szCs w:val="12"/>
                <w:color w:val="auto"/>
              </w:rPr>
              <w:t>2024</w:t>
            </w:r>
          </w:p>
        </w:tc>
        <w:tc>
          <w:tcPr>
            <w:tcW w:w="32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Arial" w:cs="Arial" w:eastAsia="Arial" w:hAnsi="Arial"/>
                <w:sz w:val="12"/>
                <w:szCs w:val="12"/>
                <w:color w:val="auto"/>
              </w:rPr>
              <w:t>26</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127</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60" w:type="dxa"/>
            <w:vAlign w:val="bottom"/>
          </w:tcPr>
          <w:p>
            <w:pPr>
              <w:jc w:val="right"/>
              <w:ind w:right="1"/>
              <w:spacing w:after="0"/>
              <w:rPr>
                <w:sz w:val="20"/>
                <w:szCs w:val="20"/>
                <w:color w:val="auto"/>
              </w:rPr>
            </w:pPr>
            <w:r>
              <w:rPr>
                <w:rFonts w:ascii="Arial" w:cs="Arial" w:eastAsia="Arial" w:hAnsi="Arial"/>
                <w:sz w:val="12"/>
                <w:szCs w:val="12"/>
                <w:color w:val="auto"/>
              </w:rPr>
              <w:t>153</w:t>
            </w:r>
          </w:p>
        </w:tc>
      </w:tr>
      <w:tr>
        <w:trPr>
          <w:trHeight w:val="153"/>
        </w:trPr>
        <w:tc>
          <w:tcPr>
            <w:tcW w:w="5420" w:type="dxa"/>
            <w:vAlign w:val="bottom"/>
            <w:shd w:val="clear" w:color="auto" w:fill="CCEEFF"/>
          </w:tcPr>
          <w:p>
            <w:pPr>
              <w:spacing w:after="0"/>
              <w:rPr>
                <w:sz w:val="20"/>
                <w:szCs w:val="20"/>
                <w:color w:val="auto"/>
              </w:rPr>
            </w:pPr>
            <w:r>
              <w:rPr>
                <w:rFonts w:ascii="Arial" w:cs="Arial" w:eastAsia="Arial" w:hAnsi="Arial"/>
                <w:sz w:val="12"/>
                <w:szCs w:val="12"/>
                <w:color w:val="auto"/>
              </w:rPr>
              <w:t>2025</w:t>
            </w:r>
          </w:p>
        </w:tc>
        <w:tc>
          <w:tcPr>
            <w:tcW w:w="320" w:type="dxa"/>
            <w:vAlign w:val="bottom"/>
            <w:shd w:val="clear" w:color="auto" w:fill="CCEEFF"/>
          </w:tcPr>
          <w:p>
            <w:pPr>
              <w:spacing w:after="0"/>
              <w:rPr>
                <w:sz w:val="13"/>
                <w:szCs w:val="13"/>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131</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5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154</w:t>
            </w:r>
          </w:p>
        </w:tc>
      </w:tr>
      <w:tr>
        <w:trPr>
          <w:trHeight w:val="153"/>
        </w:trPr>
        <w:tc>
          <w:tcPr>
            <w:tcW w:w="54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Thereafter</w:t>
            </w:r>
          </w:p>
        </w:tc>
        <w:tc>
          <w:tcPr>
            <w:tcW w:w="32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175</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656</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831</w:t>
            </w:r>
          </w:p>
        </w:tc>
      </w:tr>
      <w:tr>
        <w:trPr>
          <w:trHeight w:val="162"/>
        </w:trPr>
        <w:tc>
          <w:tcPr>
            <w:tcW w:w="5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Balance at June 30, 2021</w:t>
            </w: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309</w:t>
            </w: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1,220</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15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1,529</w:t>
            </w:r>
          </w:p>
        </w:tc>
      </w:tr>
      <w:tr>
        <w:trPr>
          <w:trHeight w:val="149"/>
        </w:trPr>
        <w:tc>
          <w:tcPr>
            <w:tcW w:w="5420" w:type="dxa"/>
            <w:vAlign w:val="bottom"/>
          </w:tcPr>
          <w:p>
            <w:pPr>
              <w:spacing w:after="0"/>
              <w:rPr>
                <w:sz w:val="20"/>
                <w:szCs w:val="20"/>
                <w:color w:val="auto"/>
              </w:rPr>
            </w:pPr>
            <w:r>
              <w:rPr>
                <w:rFonts w:ascii="Arial" w:cs="Arial" w:eastAsia="Arial" w:hAnsi="Arial"/>
                <w:sz w:val="12"/>
                <w:szCs w:val="12"/>
                <w:color w:val="auto"/>
              </w:rPr>
              <w:t>Weighted average stated interest rate</w:t>
            </w:r>
          </w:p>
        </w:tc>
        <w:tc>
          <w:tcPr>
            <w:tcW w:w="320" w:type="dxa"/>
            <w:vAlign w:val="bottom"/>
          </w:tcPr>
          <w:p>
            <w:pPr>
              <w:spacing w:after="0"/>
              <w:rPr>
                <w:sz w:val="12"/>
                <w:szCs w:val="12"/>
                <w:color w:val="auto"/>
              </w:rPr>
            </w:pPr>
          </w:p>
        </w:tc>
        <w:tc>
          <w:tcPr>
            <w:tcW w:w="1580" w:type="dxa"/>
            <w:vAlign w:val="bottom"/>
          </w:tcPr>
          <w:p>
            <w:pPr>
              <w:jc w:val="center"/>
              <w:ind w:right="261"/>
              <w:spacing w:after="0"/>
              <w:rPr>
                <w:sz w:val="20"/>
                <w:szCs w:val="20"/>
                <w:color w:val="auto"/>
              </w:rPr>
            </w:pPr>
            <w:r>
              <w:rPr>
                <w:rFonts w:ascii="Arial" w:cs="Arial" w:eastAsia="Arial" w:hAnsi="Arial"/>
                <w:sz w:val="12"/>
                <w:szCs w:val="12"/>
                <w:color w:val="auto"/>
                <w:w w:val="88"/>
              </w:rPr>
              <w:t>12.6%</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60" w:type="dxa"/>
            <w:vAlign w:val="bottom"/>
          </w:tcPr>
          <w:p>
            <w:pPr>
              <w:jc w:val="center"/>
              <w:ind w:right="261"/>
              <w:spacing w:after="0"/>
              <w:rPr>
                <w:sz w:val="20"/>
                <w:szCs w:val="20"/>
                <w:color w:val="auto"/>
              </w:rPr>
            </w:pPr>
            <w:r>
              <w:rPr>
                <w:rFonts w:ascii="Arial" w:cs="Arial" w:eastAsia="Arial" w:hAnsi="Arial"/>
                <w:sz w:val="12"/>
                <w:szCs w:val="12"/>
                <w:color w:val="auto"/>
                <w:w w:val="93"/>
              </w:rPr>
              <w:t>12.8%</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60" w:type="dxa"/>
            <w:vAlign w:val="bottom"/>
          </w:tcPr>
          <w:p>
            <w:pPr>
              <w:jc w:val="center"/>
              <w:ind w:right="281"/>
              <w:spacing w:after="0"/>
              <w:rPr>
                <w:sz w:val="20"/>
                <w:szCs w:val="20"/>
                <w:color w:val="auto"/>
              </w:rPr>
            </w:pPr>
            <w:r>
              <w:rPr>
                <w:rFonts w:ascii="Arial" w:cs="Arial" w:eastAsia="Arial" w:hAnsi="Arial"/>
                <w:sz w:val="12"/>
                <w:szCs w:val="12"/>
                <w:color w:val="auto"/>
                <w:w w:val="88"/>
              </w:rPr>
              <w:t>12.8%</w:t>
            </w:r>
          </w:p>
        </w:tc>
      </w:tr>
      <w:tr>
        <w:trPr>
          <w:trHeight w:val="153"/>
        </w:trPr>
        <w:tc>
          <w:tcPr>
            <w:tcW w:w="5420" w:type="dxa"/>
            <w:vAlign w:val="bottom"/>
            <w:shd w:val="clear" w:color="auto" w:fill="CCEEFF"/>
          </w:tcPr>
          <w:p>
            <w:pPr>
              <w:spacing w:after="0"/>
              <w:rPr>
                <w:sz w:val="20"/>
                <w:szCs w:val="20"/>
                <w:color w:val="auto"/>
              </w:rPr>
            </w:pPr>
            <w:r>
              <w:rPr>
                <w:rFonts w:ascii="Arial" w:cs="Arial" w:eastAsia="Arial" w:hAnsi="Arial"/>
                <w:sz w:val="12"/>
                <w:szCs w:val="12"/>
                <w:color w:val="auto"/>
              </w:rPr>
              <w:t>Range of stated interest rates</w:t>
            </w:r>
          </w:p>
        </w:tc>
        <w:tc>
          <w:tcPr>
            <w:tcW w:w="320" w:type="dxa"/>
            <w:vAlign w:val="bottom"/>
            <w:shd w:val="clear" w:color="auto" w:fill="CCEEFF"/>
          </w:tcPr>
          <w:p>
            <w:pPr>
              <w:spacing w:after="0"/>
              <w:rPr>
                <w:sz w:val="13"/>
                <w:szCs w:val="13"/>
                <w:color w:val="auto"/>
              </w:rPr>
            </w:pPr>
          </w:p>
        </w:tc>
        <w:tc>
          <w:tcPr>
            <w:tcW w:w="1660" w:type="dxa"/>
            <w:vAlign w:val="bottom"/>
            <w:gridSpan w:val="2"/>
            <w:shd w:val="clear" w:color="auto" w:fill="CCEEFF"/>
          </w:tcPr>
          <w:p>
            <w:pPr>
              <w:jc w:val="center"/>
              <w:ind w:right="400"/>
              <w:spacing w:after="0"/>
              <w:rPr>
                <w:sz w:val="20"/>
                <w:szCs w:val="20"/>
                <w:color w:val="auto"/>
              </w:rPr>
            </w:pPr>
            <w:r>
              <w:rPr>
                <w:rFonts w:ascii="Arial" w:cs="Arial" w:eastAsia="Arial" w:hAnsi="Arial"/>
                <w:sz w:val="12"/>
                <w:szCs w:val="12"/>
                <w:color w:val="auto"/>
                <w:w w:val="89"/>
              </w:rPr>
              <w:t>0.0% to 20.9%</w:t>
            </w:r>
          </w:p>
        </w:tc>
        <w:tc>
          <w:tcPr>
            <w:tcW w:w="340" w:type="dxa"/>
            <w:vAlign w:val="bottom"/>
            <w:shd w:val="clear" w:color="auto" w:fill="CCEEFF"/>
          </w:tcPr>
          <w:p>
            <w:pPr>
              <w:spacing w:after="0"/>
              <w:rPr>
                <w:sz w:val="13"/>
                <w:szCs w:val="13"/>
                <w:color w:val="auto"/>
              </w:rPr>
            </w:pPr>
          </w:p>
        </w:tc>
        <w:tc>
          <w:tcPr>
            <w:tcW w:w="1660" w:type="dxa"/>
            <w:vAlign w:val="bottom"/>
            <w:gridSpan w:val="2"/>
            <w:shd w:val="clear" w:color="auto" w:fill="CCEEFF"/>
          </w:tcPr>
          <w:p>
            <w:pPr>
              <w:jc w:val="center"/>
              <w:ind w:right="420"/>
              <w:spacing w:after="0"/>
              <w:rPr>
                <w:sz w:val="20"/>
                <w:szCs w:val="20"/>
                <w:color w:val="auto"/>
              </w:rPr>
            </w:pPr>
            <w:r>
              <w:rPr>
                <w:rFonts w:ascii="Arial" w:cs="Arial" w:eastAsia="Arial" w:hAnsi="Arial"/>
                <w:sz w:val="12"/>
                <w:szCs w:val="12"/>
                <w:color w:val="auto"/>
                <w:w w:val="92"/>
              </w:rPr>
              <w:t>0.0% to 18.9%</w:t>
            </w:r>
          </w:p>
        </w:tc>
        <w:tc>
          <w:tcPr>
            <w:tcW w:w="340" w:type="dxa"/>
            <w:vAlign w:val="bottom"/>
            <w:shd w:val="clear" w:color="auto" w:fill="CCEEFF"/>
          </w:tcPr>
          <w:p>
            <w:pPr>
              <w:spacing w:after="0"/>
              <w:rPr>
                <w:sz w:val="13"/>
                <w:szCs w:val="13"/>
                <w:color w:val="auto"/>
              </w:rPr>
            </w:pPr>
          </w:p>
        </w:tc>
        <w:tc>
          <w:tcPr>
            <w:tcW w:w="1560" w:type="dxa"/>
            <w:vAlign w:val="bottom"/>
            <w:shd w:val="clear" w:color="auto" w:fill="CCEEFF"/>
          </w:tcPr>
          <w:p>
            <w:pPr>
              <w:jc w:val="center"/>
              <w:ind w:right="281"/>
              <w:spacing w:after="0"/>
              <w:rPr>
                <w:sz w:val="20"/>
                <w:szCs w:val="20"/>
                <w:color w:val="auto"/>
              </w:rPr>
            </w:pPr>
            <w:r>
              <w:rPr>
                <w:rFonts w:ascii="Arial" w:cs="Arial" w:eastAsia="Arial" w:hAnsi="Arial"/>
                <w:sz w:val="12"/>
                <w:szCs w:val="12"/>
                <w:color w:val="auto"/>
                <w:w w:val="89"/>
              </w:rPr>
              <w:t>0.0% to 20.9%</w:t>
            </w:r>
          </w:p>
        </w:tc>
      </w:tr>
    </w:tbl>
    <w:p>
      <w:pPr>
        <w:spacing w:after="0" w:line="162" w:lineRule="exact"/>
        <w:rPr>
          <w:sz w:val="20"/>
          <w:szCs w:val="20"/>
          <w:color w:val="auto"/>
        </w:rPr>
      </w:pPr>
    </w:p>
    <w:p>
      <w:pPr>
        <w:ind w:left="8" w:right="160" w:firstLine="432"/>
        <w:spacing w:after="0" w:line="298" w:lineRule="auto"/>
        <w:rPr>
          <w:sz w:val="20"/>
          <w:szCs w:val="20"/>
          <w:color w:val="auto"/>
        </w:rPr>
      </w:pPr>
      <w:r>
        <w:rPr>
          <w:rFonts w:ascii="Arial" w:cs="Arial" w:eastAsia="Arial" w:hAnsi="Arial"/>
          <w:sz w:val="11"/>
          <w:szCs w:val="11"/>
          <w:color w:val="auto"/>
        </w:rPr>
        <w:t>For originated vacation ownership notes receivable, we record the difference between the vacation ownership note receivable and the variable consideration included in the transaction price for the sale of the related vacation ownership product as a reserve on our vacation ownership notes receivable. The following table summarizes the activity related to our originated vacation ownership notes receivable reserve.</w:t>
      </w:r>
    </w:p>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54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4220" w:type="dxa"/>
            <w:vAlign w:val="bottom"/>
            <w:tcBorders>
              <w:bottom w:val="single" w:sz="8" w:color="auto"/>
            </w:tcBorders>
            <w:gridSpan w:val="6"/>
          </w:tcPr>
          <w:p>
            <w:pPr>
              <w:jc w:val="center"/>
              <w:ind w:left="961"/>
              <w:spacing w:after="0"/>
              <w:rPr>
                <w:sz w:val="20"/>
                <w:szCs w:val="20"/>
                <w:color w:val="auto"/>
              </w:rPr>
            </w:pPr>
            <w:r>
              <w:rPr>
                <w:rFonts w:ascii="Arial" w:cs="Arial" w:eastAsia="Arial" w:hAnsi="Arial"/>
                <w:sz w:val="11"/>
                <w:szCs w:val="11"/>
                <w:b w:val="1"/>
                <w:bCs w:val="1"/>
                <w:color w:val="auto"/>
                <w:w w:val="88"/>
              </w:rPr>
              <w:t>Originated Vacation Ownership Notes Receivable Reserve</w:t>
            </w:r>
          </w:p>
        </w:tc>
        <w:tc>
          <w:tcPr>
            <w:tcW w:w="1340" w:type="dxa"/>
            <w:vAlign w:val="bottom"/>
            <w:tcBorders>
              <w:bottom w:val="single" w:sz="8" w:color="auto"/>
            </w:tcBorders>
          </w:tcPr>
          <w:p>
            <w:pPr>
              <w:spacing w:after="0"/>
              <w:rPr>
                <w:sz w:val="12"/>
                <w:szCs w:val="12"/>
                <w:color w:val="auto"/>
              </w:rPr>
            </w:pPr>
          </w:p>
        </w:tc>
      </w:tr>
      <w:tr>
        <w:trPr>
          <w:trHeight w:val="133"/>
        </w:trPr>
        <w:tc>
          <w:tcPr>
            <w:tcW w:w="5420" w:type="dxa"/>
            <w:vAlign w:val="bottom"/>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320" w:type="dxa"/>
            <w:vAlign w:val="bottom"/>
          </w:tcPr>
          <w:p>
            <w:pPr>
              <w:spacing w:after="0"/>
              <w:rPr>
                <w:sz w:val="11"/>
                <w:szCs w:val="11"/>
                <w:color w:val="auto"/>
              </w:rPr>
            </w:pPr>
          </w:p>
        </w:tc>
        <w:tc>
          <w:tcPr>
            <w:tcW w:w="1660" w:type="dxa"/>
            <w:vAlign w:val="bottom"/>
            <w:gridSpan w:val="2"/>
          </w:tcPr>
          <w:p>
            <w:pPr>
              <w:ind w:left="260"/>
              <w:spacing w:after="0"/>
              <w:rPr>
                <w:sz w:val="20"/>
                <w:szCs w:val="20"/>
                <w:color w:val="auto"/>
              </w:rPr>
            </w:pPr>
            <w:r>
              <w:rPr>
                <w:rFonts w:ascii="Arial" w:cs="Arial" w:eastAsia="Arial" w:hAnsi="Arial"/>
                <w:sz w:val="11"/>
                <w:szCs w:val="11"/>
                <w:b w:val="1"/>
                <w:bCs w:val="1"/>
                <w:color w:val="auto"/>
              </w:rPr>
              <w:t>Non-Securitized</w:t>
            </w:r>
          </w:p>
        </w:tc>
        <w:tc>
          <w:tcPr>
            <w:tcW w:w="380" w:type="dxa"/>
            <w:vAlign w:val="bottom"/>
          </w:tcPr>
          <w:p>
            <w:pPr>
              <w:spacing w:after="0"/>
              <w:rPr>
                <w:sz w:val="11"/>
                <w:szCs w:val="11"/>
                <w:color w:val="auto"/>
              </w:rPr>
            </w:pPr>
          </w:p>
        </w:tc>
        <w:tc>
          <w:tcPr>
            <w:tcW w:w="1620" w:type="dxa"/>
            <w:vAlign w:val="bottom"/>
            <w:gridSpan w:val="2"/>
          </w:tcPr>
          <w:p>
            <w:pPr>
              <w:jc w:val="center"/>
              <w:ind w:right="460"/>
              <w:spacing w:after="0"/>
              <w:rPr>
                <w:sz w:val="20"/>
                <w:szCs w:val="20"/>
                <w:color w:val="auto"/>
              </w:rPr>
            </w:pPr>
            <w:r>
              <w:rPr>
                <w:rFonts w:ascii="Arial" w:cs="Arial" w:eastAsia="Arial" w:hAnsi="Arial"/>
                <w:sz w:val="11"/>
                <w:szCs w:val="11"/>
                <w:b w:val="1"/>
                <w:bCs w:val="1"/>
                <w:color w:val="auto"/>
                <w:w w:val="88"/>
              </w:rPr>
              <w:t>Securitized</w:t>
            </w:r>
          </w:p>
        </w:tc>
        <w:tc>
          <w:tcPr>
            <w:tcW w:w="560" w:type="dxa"/>
            <w:vAlign w:val="bottom"/>
          </w:tcPr>
          <w:p>
            <w:pPr>
              <w:spacing w:after="0"/>
              <w:rPr>
                <w:sz w:val="11"/>
                <w:szCs w:val="11"/>
                <w:color w:val="auto"/>
              </w:rPr>
            </w:pPr>
          </w:p>
        </w:tc>
        <w:tc>
          <w:tcPr>
            <w:tcW w:w="1340" w:type="dxa"/>
            <w:vAlign w:val="bottom"/>
          </w:tcPr>
          <w:p>
            <w:pPr>
              <w:jc w:val="right"/>
              <w:ind w:right="781"/>
              <w:spacing w:after="0"/>
              <w:rPr>
                <w:sz w:val="20"/>
                <w:szCs w:val="20"/>
                <w:color w:val="auto"/>
              </w:rPr>
            </w:pPr>
            <w:r>
              <w:rPr>
                <w:rFonts w:ascii="Arial" w:cs="Arial" w:eastAsia="Arial" w:hAnsi="Arial"/>
                <w:sz w:val="11"/>
                <w:szCs w:val="11"/>
                <w:b w:val="1"/>
                <w:bCs w:val="1"/>
                <w:color w:val="auto"/>
              </w:rPr>
              <w:t>Total</w:t>
            </w:r>
          </w:p>
        </w:tc>
      </w:tr>
      <w:tr>
        <w:trPr>
          <w:trHeight w:val="144"/>
        </w:trPr>
        <w:tc>
          <w:tcPr>
            <w:tcW w:w="5420" w:type="dxa"/>
            <w:vAlign w:val="bottom"/>
            <w:tcBorders>
              <w:top w:val="single" w:sz="8" w:color="CCEEFF"/>
            </w:tcBorders>
            <w:shd w:val="clear" w:color="auto" w:fill="CCEEFF"/>
          </w:tcPr>
          <w:p>
            <w:pPr>
              <w:spacing w:after="0" w:line="135" w:lineRule="exact"/>
              <w:rPr>
                <w:sz w:val="20"/>
                <w:szCs w:val="20"/>
                <w:color w:val="auto"/>
              </w:rPr>
            </w:pPr>
            <w:r>
              <w:rPr>
                <w:rFonts w:ascii="Arial" w:cs="Arial" w:eastAsia="Arial" w:hAnsi="Arial"/>
                <w:sz w:val="12"/>
                <w:szCs w:val="12"/>
                <w:color w:val="auto"/>
              </w:rPr>
              <w:t>Balance at December 31, 2020</w:t>
            </w:r>
          </w:p>
        </w:tc>
        <w:tc>
          <w:tcPr>
            <w:tcW w:w="320" w:type="dxa"/>
            <w:vAlign w:val="bottom"/>
            <w:tcBorders>
              <w:top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193</w:t>
            </w:r>
          </w:p>
        </w:tc>
        <w:tc>
          <w:tcPr>
            <w:tcW w:w="8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117</w:t>
            </w: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ind w:right="452"/>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310</w:t>
            </w:r>
          </w:p>
        </w:tc>
      </w:tr>
      <w:tr>
        <w:trPr>
          <w:trHeight w:val="153"/>
        </w:trPr>
        <w:tc>
          <w:tcPr>
            <w:tcW w:w="5420" w:type="dxa"/>
            <w:vAlign w:val="bottom"/>
          </w:tcPr>
          <w:p>
            <w:pPr>
              <w:ind w:left="140"/>
              <w:spacing w:after="0"/>
              <w:rPr>
                <w:sz w:val="20"/>
                <w:szCs w:val="20"/>
                <w:color w:val="auto"/>
              </w:rPr>
            </w:pPr>
            <w:r>
              <w:rPr>
                <w:rFonts w:ascii="Arial" w:cs="Arial" w:eastAsia="Arial" w:hAnsi="Arial"/>
                <w:sz w:val="12"/>
                <w:szCs w:val="12"/>
                <w:color w:val="auto"/>
              </w:rPr>
              <w:t>Increase in vacation ownership notes receivable reserve</w:t>
            </w:r>
          </w:p>
        </w:tc>
        <w:tc>
          <w:tcPr>
            <w:tcW w:w="32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Arial" w:cs="Arial" w:eastAsia="Arial" w:hAnsi="Arial"/>
                <w:sz w:val="12"/>
                <w:szCs w:val="12"/>
                <w:color w:val="auto"/>
              </w:rPr>
              <w:t>23</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19</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40" w:type="dxa"/>
            <w:vAlign w:val="bottom"/>
          </w:tcPr>
          <w:p>
            <w:pPr>
              <w:jc w:val="right"/>
              <w:ind w:right="1"/>
              <w:spacing w:after="0"/>
              <w:rPr>
                <w:sz w:val="20"/>
                <w:szCs w:val="20"/>
                <w:color w:val="auto"/>
              </w:rPr>
            </w:pPr>
            <w:r>
              <w:rPr>
                <w:rFonts w:ascii="Arial" w:cs="Arial" w:eastAsia="Arial" w:hAnsi="Arial"/>
                <w:sz w:val="12"/>
                <w:szCs w:val="12"/>
                <w:color w:val="auto"/>
              </w:rPr>
              <w:t>42</w:t>
            </w:r>
          </w:p>
        </w:tc>
      </w:tr>
      <w:tr>
        <w:trPr>
          <w:trHeight w:val="153"/>
        </w:trPr>
        <w:tc>
          <w:tcPr>
            <w:tcW w:w="54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Securitizations</w:t>
            </w:r>
          </w:p>
        </w:tc>
        <w:tc>
          <w:tcPr>
            <w:tcW w:w="320" w:type="dxa"/>
            <w:vAlign w:val="bottom"/>
            <w:shd w:val="clear" w:color="auto" w:fill="CCEEFF"/>
          </w:tcPr>
          <w:p>
            <w:pPr>
              <w:spacing w:after="0"/>
              <w:rPr>
                <w:sz w:val="13"/>
                <w:szCs w:val="13"/>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r>
      <w:tr>
        <w:trPr>
          <w:trHeight w:val="153"/>
        </w:trPr>
        <w:tc>
          <w:tcPr>
            <w:tcW w:w="5420" w:type="dxa"/>
            <w:vAlign w:val="bottom"/>
          </w:tcPr>
          <w:p>
            <w:pPr>
              <w:ind w:left="140"/>
              <w:spacing w:after="0"/>
              <w:rPr>
                <w:sz w:val="20"/>
                <w:szCs w:val="20"/>
                <w:color w:val="auto"/>
              </w:rPr>
            </w:pPr>
            <w:r>
              <w:rPr>
                <w:rFonts w:ascii="Arial" w:cs="Arial" w:eastAsia="Arial" w:hAnsi="Arial"/>
                <w:sz w:val="12"/>
                <w:szCs w:val="12"/>
                <w:color w:val="auto"/>
              </w:rPr>
              <w:t>Clean-up call</w:t>
            </w:r>
          </w:p>
        </w:tc>
        <w:tc>
          <w:tcPr>
            <w:tcW w:w="32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Arial" w:cs="Arial" w:eastAsia="Arial" w:hAnsi="Arial"/>
                <w:sz w:val="12"/>
                <w:szCs w:val="12"/>
                <w:color w:val="auto"/>
              </w:rPr>
              <w:t>3</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40" w:type="dxa"/>
            <w:vAlign w:val="bottom"/>
          </w:tcPr>
          <w:p>
            <w:pPr>
              <w:jc w:val="right"/>
              <w:ind w:right="1"/>
              <w:spacing w:after="0"/>
              <w:rPr>
                <w:sz w:val="20"/>
                <w:szCs w:val="20"/>
                <w:color w:val="auto"/>
              </w:rPr>
            </w:pPr>
            <w:r>
              <w:rPr>
                <w:rFonts w:ascii="Arial" w:cs="Arial" w:eastAsia="Arial" w:hAnsi="Arial"/>
                <w:sz w:val="12"/>
                <w:szCs w:val="12"/>
                <w:color w:val="auto"/>
              </w:rPr>
              <w:t>—</w:t>
            </w:r>
          </w:p>
        </w:tc>
      </w:tr>
      <w:tr>
        <w:trPr>
          <w:trHeight w:val="153"/>
        </w:trPr>
        <w:tc>
          <w:tcPr>
            <w:tcW w:w="54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Write-offs</w:t>
            </w:r>
          </w:p>
        </w:tc>
        <w:tc>
          <w:tcPr>
            <w:tcW w:w="320" w:type="dxa"/>
            <w:vAlign w:val="bottom"/>
            <w:shd w:val="clear" w:color="auto" w:fill="CCEEFF"/>
          </w:tcPr>
          <w:p>
            <w:pPr>
              <w:spacing w:after="0"/>
              <w:rPr>
                <w:sz w:val="13"/>
                <w:szCs w:val="13"/>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w:t>
            </w:r>
          </w:p>
        </w:tc>
      </w:tr>
      <w:tr>
        <w:trPr>
          <w:trHeight w:val="153"/>
        </w:trPr>
        <w:tc>
          <w:tcPr>
            <w:tcW w:w="542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Defaulted vacation ownership notes receivable repurchase activity</w:t>
            </w:r>
            <w:r>
              <w:rPr>
                <w:rFonts w:ascii="Arial" w:cs="Arial" w:eastAsia="Arial" w:hAnsi="Arial"/>
                <w:sz w:val="6"/>
                <w:szCs w:val="6"/>
                <w:color w:val="auto"/>
              </w:rPr>
              <w:t>(1)</w:t>
            </w:r>
          </w:p>
        </w:tc>
        <w:tc>
          <w:tcPr>
            <w:tcW w:w="32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w:t>
            </w:r>
          </w:p>
        </w:tc>
        <w:tc>
          <w:tcPr>
            <w:tcW w:w="10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r>
      <w:tr>
        <w:trPr>
          <w:trHeight w:val="158"/>
        </w:trPr>
        <w:tc>
          <w:tcPr>
            <w:tcW w:w="5420" w:type="dxa"/>
            <w:vAlign w:val="bottom"/>
            <w:tcBorders>
              <w:bottom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Balance at June 30, 2021</w:t>
            </w: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201</w:t>
            </w:r>
          </w:p>
        </w:tc>
        <w:tc>
          <w:tcPr>
            <w:tcW w:w="8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121</w:t>
            </w:r>
          </w:p>
        </w:tc>
        <w:tc>
          <w:tcPr>
            <w:tcW w:w="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ind w:right="452"/>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322</w:t>
            </w:r>
          </w:p>
        </w:tc>
      </w:tr>
    </w:tbl>
    <w:p>
      <w:pPr>
        <w:spacing w:after="0" w:line="45" w:lineRule="exact"/>
        <w:rPr>
          <w:sz w:val="20"/>
          <w:szCs w:val="20"/>
          <w:color w:val="auto"/>
        </w:rPr>
      </w:pPr>
    </w:p>
    <w:p>
      <w:pPr>
        <w:ind w:left="8"/>
        <w:spacing w:after="0"/>
        <w:rPr>
          <w:sz w:val="20"/>
          <w:szCs w:val="20"/>
          <w:color w:val="auto"/>
        </w:rPr>
      </w:pPr>
      <w:r>
        <w:rPr>
          <w:rFonts w:ascii="Arial" w:cs="Arial" w:eastAsia="Arial" w:hAnsi="Arial"/>
          <w:sz w:val="12"/>
          <w:szCs w:val="12"/>
          <w:color w:val="auto"/>
        </w:rPr>
        <w:t>_________________________</w:t>
      </w:r>
    </w:p>
    <w:p>
      <w:pPr>
        <w:spacing w:after="0" w:line="42" w:lineRule="exact"/>
        <w:rPr>
          <w:sz w:val="20"/>
          <w:szCs w:val="20"/>
          <w:color w:val="auto"/>
        </w:rPr>
      </w:pPr>
    </w:p>
    <w:p>
      <w:pPr>
        <w:ind w:left="428" w:right="200" w:hanging="428"/>
        <w:spacing w:after="0" w:line="221" w:lineRule="auto"/>
        <w:tabs>
          <w:tab w:leader="none" w:pos="420" w:val="left"/>
        </w:tabs>
        <w:numPr>
          <w:ilvl w:val="0"/>
          <w:numId w:val="14"/>
        </w:numPr>
        <w:rPr>
          <w:rFonts w:ascii="Arial" w:cs="Arial" w:eastAsia="Arial" w:hAnsi="Arial"/>
          <w:sz w:val="16"/>
          <w:szCs w:val="16"/>
          <w:color w:val="auto"/>
          <w:vertAlign w:val="superscript"/>
        </w:rPr>
      </w:pPr>
      <w:r>
        <w:rPr>
          <w:rFonts w:ascii="Arial" w:cs="Arial" w:eastAsia="Arial" w:hAnsi="Arial"/>
          <w:sz w:val="12"/>
          <w:szCs w:val="12"/>
          <w:color w:val="auto"/>
        </w:rPr>
        <w:t>Decrease in securitized vacation ownership notes receivable reserve and increase in non-securitized vacation ownership notes receivable reserve are attributable to the transfer of the reserve when we voluntarily repurchased defaulted securitized vacation ownership notes receivable.</w:t>
      </w:r>
    </w:p>
    <w:p>
      <w:pPr>
        <w:spacing w:after="0" w:line="127" w:lineRule="exact"/>
        <w:rPr>
          <w:sz w:val="20"/>
          <w:szCs w:val="20"/>
          <w:color w:val="auto"/>
        </w:rPr>
      </w:pPr>
    </w:p>
    <w:p>
      <w:pPr>
        <w:jc w:val="center"/>
        <w:ind w:left="420"/>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191135</wp:posOffset>
            </wp:positionV>
            <wp:extent cx="7203440"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03" w:right="299" w:bottom="1440" w:gutter="0" w:footer="0" w:header="0"/>
        </w:sectPr>
      </w:pPr>
    </w:p>
    <w:bookmarkStart w:id="20" w:name="page21"/>
    <w:bookmarkEnd w:id="20"/>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Credit Quality of Vacation Ownership Notes Receivable</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Legacy-MVW Vacation Ownership Notes Receivable</w:t>
      </w:r>
    </w:p>
    <w:p>
      <w:pPr>
        <w:spacing w:after="0" w:line="78" w:lineRule="exact"/>
        <w:rPr>
          <w:sz w:val="20"/>
          <w:szCs w:val="20"/>
          <w:color w:val="auto"/>
        </w:rPr>
      </w:pPr>
    </w:p>
    <w:p>
      <w:pPr>
        <w:ind w:right="80" w:firstLine="432"/>
        <w:spacing w:after="0" w:line="323" w:lineRule="auto"/>
        <w:rPr>
          <w:sz w:val="20"/>
          <w:szCs w:val="20"/>
          <w:color w:val="auto"/>
        </w:rPr>
      </w:pPr>
      <w:r>
        <w:rPr>
          <w:rFonts w:ascii="Arial" w:cs="Arial" w:eastAsia="Arial" w:hAnsi="Arial"/>
          <w:sz w:val="11"/>
          <w:szCs w:val="11"/>
          <w:color w:val="auto"/>
        </w:rPr>
        <w:t>For both Legacy-MVW non-securitized and securitized vacation ownership notes receivable, we estimated average remaining default rates of 6.59 percent as of June 30, 2021, and 6.74 percent as of December 31, 2020. A 0.5 percentage point increase in the estimated default rate would have resulted in an increase in the related vacation ownership notes receivable reserve of $6 million as of June 30, 2021, and $6 million as of December 31, 2020.</w:t>
      </w:r>
    </w:p>
    <w:p>
      <w:pPr>
        <w:spacing w:after="0" w:line="20" w:lineRule="exact"/>
        <w:rPr>
          <w:sz w:val="20"/>
          <w:szCs w:val="20"/>
          <w:color w:val="auto"/>
        </w:rPr>
      </w:pPr>
    </w:p>
    <w:p>
      <w:pPr>
        <w:ind w:right="280" w:firstLine="432"/>
        <w:spacing w:after="0" w:line="276" w:lineRule="auto"/>
        <w:rPr>
          <w:sz w:val="20"/>
          <w:szCs w:val="20"/>
          <w:color w:val="auto"/>
        </w:rPr>
      </w:pPr>
      <w:r>
        <w:rPr>
          <w:rFonts w:ascii="Arial" w:cs="Arial" w:eastAsia="Arial" w:hAnsi="Arial"/>
          <w:sz w:val="12"/>
          <w:szCs w:val="12"/>
          <w:color w:val="auto"/>
        </w:rPr>
        <w:t>We use the aging of the vacation ownership notes receivable as the primary credit quality indicator for our Legacy-MVW vacation ownership notes receivable, as historical performance indicates that there is a relationship between the default behavior of borrowers and the age of the receivable associated with the vacation ownership interest.</w:t>
      </w:r>
    </w:p>
    <w:p>
      <w:pPr>
        <w:spacing w:after="0" w:line="4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shows our recorded investment in non-accrual Legacy-MVW vacation ownership notes receivable, which are vacation ownership notes receivable that are 90 days or more past due.</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4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4160" w:type="dxa"/>
            <w:vAlign w:val="bottom"/>
            <w:tcBorders>
              <w:bottom w:val="single" w:sz="8" w:color="auto"/>
            </w:tcBorders>
            <w:gridSpan w:val="6"/>
          </w:tcPr>
          <w:p>
            <w:pPr>
              <w:jc w:val="center"/>
              <w:ind w:left="1023"/>
              <w:spacing w:after="0"/>
              <w:rPr>
                <w:sz w:val="20"/>
                <w:szCs w:val="20"/>
                <w:color w:val="auto"/>
              </w:rPr>
            </w:pPr>
            <w:r>
              <w:rPr>
                <w:rFonts w:ascii="Arial" w:cs="Arial" w:eastAsia="Arial" w:hAnsi="Arial"/>
                <w:sz w:val="11"/>
                <w:szCs w:val="11"/>
                <w:b w:val="1"/>
                <w:bCs w:val="1"/>
                <w:color w:val="auto"/>
                <w:w w:val="89"/>
              </w:rPr>
              <w:t>Legacy-MVW Vacation Ownership Notes Receivable</w:t>
            </w:r>
          </w:p>
        </w:tc>
        <w:tc>
          <w:tcPr>
            <w:tcW w:w="1400" w:type="dxa"/>
            <w:vAlign w:val="bottom"/>
            <w:tcBorders>
              <w:bottom w:val="single" w:sz="8" w:color="auto"/>
            </w:tcBorders>
          </w:tcPr>
          <w:p>
            <w:pPr>
              <w:spacing w:after="0"/>
              <w:rPr>
                <w:sz w:val="12"/>
                <w:szCs w:val="12"/>
                <w:color w:val="auto"/>
              </w:rPr>
            </w:pPr>
          </w:p>
        </w:tc>
      </w:tr>
      <w:tr>
        <w:trPr>
          <w:trHeight w:val="133"/>
        </w:trPr>
        <w:tc>
          <w:tcPr>
            <w:tcW w:w="5420" w:type="dxa"/>
            <w:vAlign w:val="bottom"/>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320" w:type="dxa"/>
            <w:vAlign w:val="bottom"/>
          </w:tcPr>
          <w:p>
            <w:pPr>
              <w:spacing w:after="0"/>
              <w:rPr>
                <w:sz w:val="11"/>
                <w:szCs w:val="11"/>
                <w:color w:val="auto"/>
              </w:rPr>
            </w:pPr>
          </w:p>
        </w:tc>
        <w:tc>
          <w:tcPr>
            <w:tcW w:w="1660" w:type="dxa"/>
            <w:vAlign w:val="bottom"/>
            <w:gridSpan w:val="2"/>
          </w:tcPr>
          <w:p>
            <w:pPr>
              <w:ind w:left="260"/>
              <w:spacing w:after="0"/>
              <w:rPr>
                <w:sz w:val="20"/>
                <w:szCs w:val="20"/>
                <w:color w:val="auto"/>
              </w:rPr>
            </w:pPr>
            <w:r>
              <w:rPr>
                <w:rFonts w:ascii="Arial" w:cs="Arial" w:eastAsia="Arial" w:hAnsi="Arial"/>
                <w:sz w:val="11"/>
                <w:szCs w:val="11"/>
                <w:b w:val="1"/>
                <w:bCs w:val="1"/>
                <w:color w:val="auto"/>
              </w:rPr>
              <w:t>Non-Securitized</w:t>
            </w:r>
          </w:p>
        </w:tc>
        <w:tc>
          <w:tcPr>
            <w:tcW w:w="380" w:type="dxa"/>
            <w:vAlign w:val="bottom"/>
          </w:tcPr>
          <w:p>
            <w:pPr>
              <w:spacing w:after="0"/>
              <w:rPr>
                <w:sz w:val="11"/>
                <w:szCs w:val="11"/>
                <w:color w:val="auto"/>
              </w:rPr>
            </w:pPr>
          </w:p>
        </w:tc>
        <w:tc>
          <w:tcPr>
            <w:tcW w:w="1620" w:type="dxa"/>
            <w:vAlign w:val="bottom"/>
            <w:gridSpan w:val="2"/>
          </w:tcPr>
          <w:p>
            <w:pPr>
              <w:jc w:val="center"/>
              <w:ind w:right="460"/>
              <w:spacing w:after="0"/>
              <w:rPr>
                <w:sz w:val="20"/>
                <w:szCs w:val="20"/>
                <w:color w:val="auto"/>
              </w:rPr>
            </w:pPr>
            <w:r>
              <w:rPr>
                <w:rFonts w:ascii="Arial" w:cs="Arial" w:eastAsia="Arial" w:hAnsi="Arial"/>
                <w:sz w:val="11"/>
                <w:szCs w:val="11"/>
                <w:b w:val="1"/>
                <w:bCs w:val="1"/>
                <w:color w:val="auto"/>
                <w:w w:val="88"/>
              </w:rPr>
              <w:t>Securitized</w:t>
            </w:r>
          </w:p>
        </w:tc>
        <w:tc>
          <w:tcPr>
            <w:tcW w:w="500" w:type="dxa"/>
            <w:vAlign w:val="bottom"/>
          </w:tcPr>
          <w:p>
            <w:pPr>
              <w:spacing w:after="0"/>
              <w:rPr>
                <w:sz w:val="11"/>
                <w:szCs w:val="11"/>
                <w:color w:val="auto"/>
              </w:rPr>
            </w:pPr>
          </w:p>
        </w:tc>
        <w:tc>
          <w:tcPr>
            <w:tcW w:w="1400" w:type="dxa"/>
            <w:vAlign w:val="bottom"/>
          </w:tcPr>
          <w:p>
            <w:pPr>
              <w:jc w:val="right"/>
              <w:ind w:right="782"/>
              <w:spacing w:after="0"/>
              <w:rPr>
                <w:sz w:val="20"/>
                <w:szCs w:val="20"/>
                <w:color w:val="auto"/>
              </w:rPr>
            </w:pPr>
            <w:r>
              <w:rPr>
                <w:rFonts w:ascii="Arial" w:cs="Arial" w:eastAsia="Arial" w:hAnsi="Arial"/>
                <w:sz w:val="11"/>
                <w:szCs w:val="11"/>
                <w:b w:val="1"/>
                <w:bCs w:val="1"/>
                <w:color w:val="auto"/>
              </w:rPr>
              <w:t>Total</w:t>
            </w:r>
          </w:p>
        </w:tc>
      </w:tr>
      <w:tr>
        <w:trPr>
          <w:trHeight w:val="144"/>
        </w:trPr>
        <w:tc>
          <w:tcPr>
            <w:tcW w:w="5420" w:type="dxa"/>
            <w:vAlign w:val="bottom"/>
            <w:tcBorders>
              <w:top w:val="single" w:sz="8" w:color="CCEEFF"/>
            </w:tcBorders>
            <w:shd w:val="clear" w:color="auto" w:fill="CCEEFF"/>
          </w:tcPr>
          <w:p>
            <w:pPr>
              <w:spacing w:after="0" w:line="135" w:lineRule="exact"/>
              <w:rPr>
                <w:sz w:val="20"/>
                <w:szCs w:val="20"/>
                <w:color w:val="auto"/>
              </w:rPr>
            </w:pPr>
            <w:r>
              <w:rPr>
                <w:rFonts w:ascii="Arial" w:cs="Arial" w:eastAsia="Arial" w:hAnsi="Arial"/>
                <w:sz w:val="12"/>
                <w:szCs w:val="12"/>
                <w:color w:val="auto"/>
              </w:rPr>
              <w:t>Investment in vacation ownership notes receivable on non-accrual status at June 30, 2021</w:t>
            </w:r>
          </w:p>
        </w:tc>
        <w:tc>
          <w:tcPr>
            <w:tcW w:w="320" w:type="dxa"/>
            <w:vAlign w:val="bottom"/>
            <w:tcBorders>
              <w:top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102</w:t>
            </w:r>
          </w:p>
        </w:tc>
        <w:tc>
          <w:tcPr>
            <w:tcW w:w="8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10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ind w:right="392"/>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108</w:t>
            </w:r>
          </w:p>
        </w:tc>
      </w:tr>
      <w:tr>
        <w:trPr>
          <w:trHeight w:val="153"/>
        </w:trPr>
        <w:tc>
          <w:tcPr>
            <w:tcW w:w="5420" w:type="dxa"/>
            <w:vAlign w:val="bottom"/>
          </w:tcPr>
          <w:p>
            <w:pPr>
              <w:spacing w:after="0"/>
              <w:rPr>
                <w:sz w:val="20"/>
                <w:szCs w:val="20"/>
                <w:color w:val="auto"/>
              </w:rPr>
            </w:pPr>
            <w:r>
              <w:rPr>
                <w:rFonts w:ascii="Arial" w:cs="Arial" w:eastAsia="Arial" w:hAnsi="Arial"/>
                <w:sz w:val="12"/>
                <w:szCs w:val="12"/>
                <w:color w:val="auto"/>
              </w:rPr>
              <w:t>Investment in vacation ownership notes receivable on non-accrual status at December 31, 2020</w:t>
            </w: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580" w:type="dxa"/>
            <w:vAlign w:val="bottom"/>
          </w:tcPr>
          <w:p>
            <w:pPr>
              <w:jc w:val="right"/>
              <w:spacing w:after="0"/>
              <w:rPr>
                <w:sz w:val="20"/>
                <w:szCs w:val="20"/>
                <w:color w:val="auto"/>
              </w:rPr>
            </w:pPr>
            <w:r>
              <w:rPr>
                <w:rFonts w:ascii="Arial" w:cs="Arial" w:eastAsia="Arial" w:hAnsi="Arial"/>
                <w:sz w:val="12"/>
                <w:szCs w:val="12"/>
                <w:color w:val="auto"/>
              </w:rPr>
              <w:t>100</w:t>
            </w:r>
          </w:p>
        </w:tc>
        <w:tc>
          <w:tcPr>
            <w:tcW w:w="80" w:type="dxa"/>
            <w:vAlign w:val="bottom"/>
          </w:tcPr>
          <w:p>
            <w:pPr>
              <w:spacing w:after="0"/>
              <w:rPr>
                <w:sz w:val="13"/>
                <w:szCs w:val="13"/>
                <w:color w:val="auto"/>
              </w:rPr>
            </w:pPr>
          </w:p>
        </w:tc>
        <w:tc>
          <w:tcPr>
            <w:tcW w:w="380" w:type="dxa"/>
            <w:vAlign w:val="bottom"/>
          </w:tcPr>
          <w:p>
            <w:pPr>
              <w:jc w:val="right"/>
              <w:ind w:right="240"/>
              <w:spacing w:after="0"/>
              <w:rPr>
                <w:sz w:val="20"/>
                <w:szCs w:val="20"/>
                <w:color w:val="auto"/>
              </w:rPr>
            </w:pPr>
            <w:r>
              <w:rPr>
                <w:rFonts w:ascii="Arial" w:cs="Arial" w:eastAsia="Arial" w:hAnsi="Arial"/>
                <w:sz w:val="12"/>
                <w:szCs w:val="12"/>
                <w:color w:val="auto"/>
                <w:w w:val="89"/>
              </w:rPr>
              <w:t>$</w:t>
            </w:r>
          </w:p>
        </w:tc>
        <w:tc>
          <w:tcPr>
            <w:tcW w:w="1520" w:type="dxa"/>
            <w:vAlign w:val="bottom"/>
          </w:tcPr>
          <w:p>
            <w:pPr>
              <w:jc w:val="right"/>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13"/>
                <w:szCs w:val="13"/>
                <w:color w:val="auto"/>
              </w:rPr>
            </w:pPr>
          </w:p>
        </w:tc>
        <w:tc>
          <w:tcPr>
            <w:tcW w:w="500" w:type="dxa"/>
            <w:vAlign w:val="bottom"/>
          </w:tcPr>
          <w:p>
            <w:pPr>
              <w:jc w:val="right"/>
              <w:ind w:right="392"/>
              <w:spacing w:after="0"/>
              <w:rPr>
                <w:sz w:val="20"/>
                <w:szCs w:val="20"/>
                <w:color w:val="auto"/>
              </w:rPr>
            </w:pPr>
            <w:r>
              <w:rPr>
                <w:rFonts w:ascii="Arial" w:cs="Arial" w:eastAsia="Arial" w:hAnsi="Arial"/>
                <w:sz w:val="10"/>
                <w:szCs w:val="10"/>
                <w:color w:val="auto"/>
                <w:w w:val="71"/>
              </w:rPr>
              <w:t>$</w:t>
            </w:r>
          </w:p>
        </w:tc>
        <w:tc>
          <w:tcPr>
            <w:tcW w:w="1400" w:type="dxa"/>
            <w:vAlign w:val="bottom"/>
          </w:tcPr>
          <w:p>
            <w:pPr>
              <w:jc w:val="right"/>
              <w:ind w:right="2"/>
              <w:spacing w:after="0"/>
              <w:rPr>
                <w:sz w:val="20"/>
                <w:szCs w:val="20"/>
                <w:color w:val="auto"/>
              </w:rPr>
            </w:pPr>
            <w:r>
              <w:rPr>
                <w:rFonts w:ascii="Arial" w:cs="Arial" w:eastAsia="Arial" w:hAnsi="Arial"/>
                <w:sz w:val="12"/>
                <w:szCs w:val="12"/>
                <w:color w:val="auto"/>
              </w:rPr>
              <w:t>114</w:t>
            </w:r>
          </w:p>
        </w:tc>
      </w:tr>
    </w:tbl>
    <w:p>
      <w:pPr>
        <w:spacing w:after="0" w:line="16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shows the aging of the recorded investment in principal, before reserves, in Legacy-MVW vacation ownership notes receivable as of June 30, 2021 and December 31, 2020.</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9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780" w:type="dxa"/>
            <w:vAlign w:val="bottom"/>
            <w:tcBorders>
              <w:bottom w:val="single" w:sz="8" w:color="auto"/>
            </w:tcBorders>
            <w:gridSpan w:val="7"/>
          </w:tcPr>
          <w:p>
            <w:pPr>
              <w:ind w:left="120"/>
              <w:spacing w:after="0"/>
              <w:rPr>
                <w:sz w:val="20"/>
                <w:szCs w:val="20"/>
                <w:color w:val="auto"/>
              </w:rPr>
            </w:pPr>
            <w:r>
              <w:rPr>
                <w:rFonts w:ascii="Arial" w:cs="Arial" w:eastAsia="Arial" w:hAnsi="Arial"/>
                <w:sz w:val="11"/>
                <w:szCs w:val="11"/>
                <w:b w:val="1"/>
                <w:bCs w:val="1"/>
                <w:color w:val="auto"/>
                <w:w w:val="97"/>
              </w:rPr>
              <w:t>Legacy-MVW Vacation Ownership Notes Receivable</w:t>
            </w: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r>
      <w:tr>
        <w:trPr>
          <w:trHeight w:val="133"/>
        </w:trPr>
        <w:tc>
          <w:tcPr>
            <w:tcW w:w="29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3"/>
          </w:tcPr>
          <w:p>
            <w:pPr>
              <w:ind w:left="60"/>
              <w:spacing w:after="0"/>
              <w:rPr>
                <w:sz w:val="20"/>
                <w:szCs w:val="20"/>
                <w:color w:val="auto"/>
              </w:rPr>
            </w:pPr>
            <w:r>
              <w:rPr>
                <w:rFonts w:ascii="Arial" w:cs="Arial" w:eastAsia="Arial" w:hAnsi="Arial"/>
                <w:sz w:val="11"/>
                <w:szCs w:val="11"/>
                <w:b w:val="1"/>
                <w:bCs w:val="1"/>
                <w:color w:val="auto"/>
              </w:rPr>
              <w:t>As of June 30, 2021</w:t>
            </w:r>
          </w:p>
        </w:tc>
        <w:tc>
          <w:tcPr>
            <w:tcW w:w="10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4"/>
          </w:tcPr>
          <w:p>
            <w:pPr>
              <w:spacing w:after="0"/>
              <w:rPr>
                <w:sz w:val="20"/>
                <w:szCs w:val="20"/>
                <w:color w:val="auto"/>
              </w:rPr>
            </w:pPr>
            <w:r>
              <w:rPr>
                <w:rFonts w:ascii="Arial" w:cs="Arial" w:eastAsia="Arial" w:hAnsi="Arial"/>
                <w:sz w:val="11"/>
                <w:szCs w:val="11"/>
                <w:b w:val="1"/>
                <w:bCs w:val="1"/>
                <w:color w:val="auto"/>
                <w:w w:val="98"/>
              </w:rPr>
              <w:t>As of December 31, 2020</w:t>
            </w:r>
          </w:p>
        </w:tc>
        <w:tc>
          <w:tcPr>
            <w:tcW w:w="1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r>
      <w:tr>
        <w:trPr>
          <w:trHeight w:val="133"/>
        </w:trPr>
        <w:tc>
          <w:tcPr>
            <w:tcW w:w="296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1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241"/>
              <w:spacing w:after="0"/>
              <w:rPr>
                <w:sz w:val="20"/>
                <w:szCs w:val="20"/>
                <w:color w:val="auto"/>
              </w:rPr>
            </w:pPr>
            <w:r>
              <w:rPr>
                <w:rFonts w:ascii="Arial" w:cs="Arial" w:eastAsia="Arial" w:hAnsi="Arial"/>
                <w:sz w:val="11"/>
                <w:szCs w:val="11"/>
                <w:b w:val="1"/>
                <w:bCs w:val="1"/>
                <w:color w:val="auto"/>
                <w:w w:val="97"/>
              </w:rPr>
              <w:t>Non-Securitized</w:t>
            </w: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1"/>
                <w:szCs w:val="11"/>
                <w:b w:val="1"/>
                <w:bCs w:val="1"/>
                <w:color w:val="auto"/>
              </w:rPr>
              <w:t>Securitized</w:t>
            </w:r>
          </w:p>
        </w:tc>
        <w:tc>
          <w:tcPr>
            <w:tcW w:w="100" w:type="dxa"/>
            <w:vAlign w:val="bottom"/>
            <w:tcBorders>
              <w:bottom w:val="single" w:sz="8" w:color="CCEEFF"/>
            </w:tcBorders>
          </w:tcPr>
          <w:p>
            <w:pPr>
              <w:spacing w:after="0"/>
              <w:rPr>
                <w:sz w:val="11"/>
                <w:szCs w:val="11"/>
                <w:color w:val="auto"/>
              </w:rPr>
            </w:pPr>
          </w:p>
        </w:tc>
        <w:tc>
          <w:tcPr>
            <w:tcW w:w="1000" w:type="dxa"/>
            <w:vAlign w:val="bottom"/>
            <w:tcBorders>
              <w:bottom w:val="single" w:sz="8" w:color="auto"/>
            </w:tcBorders>
          </w:tcPr>
          <w:p>
            <w:pPr>
              <w:ind w:left="540"/>
              <w:spacing w:after="0"/>
              <w:rPr>
                <w:sz w:val="20"/>
                <w:szCs w:val="20"/>
                <w:color w:val="auto"/>
              </w:rPr>
            </w:pPr>
            <w:r>
              <w:rPr>
                <w:rFonts w:ascii="Arial" w:cs="Arial" w:eastAsia="Arial" w:hAnsi="Arial"/>
                <w:sz w:val="11"/>
                <w:szCs w:val="11"/>
                <w:b w:val="1"/>
                <w:bCs w:val="1"/>
                <w:color w:val="auto"/>
              </w:rPr>
              <w:t>Total</w:t>
            </w: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241"/>
              <w:spacing w:after="0"/>
              <w:rPr>
                <w:sz w:val="20"/>
                <w:szCs w:val="20"/>
                <w:color w:val="auto"/>
              </w:rPr>
            </w:pPr>
            <w:r>
              <w:rPr>
                <w:rFonts w:ascii="Arial" w:cs="Arial" w:eastAsia="Arial" w:hAnsi="Arial"/>
                <w:sz w:val="11"/>
                <w:szCs w:val="11"/>
                <w:b w:val="1"/>
                <w:bCs w:val="1"/>
                <w:color w:val="auto"/>
                <w:w w:val="88"/>
              </w:rPr>
              <w:t>Non-Securitized</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3"/>
          </w:tcPr>
          <w:p>
            <w:pPr>
              <w:jc w:val="right"/>
              <w:ind w:right="363"/>
              <w:spacing w:after="0"/>
              <w:rPr>
                <w:sz w:val="20"/>
                <w:szCs w:val="20"/>
                <w:color w:val="auto"/>
              </w:rPr>
            </w:pPr>
            <w:r>
              <w:rPr>
                <w:rFonts w:ascii="Arial" w:cs="Arial" w:eastAsia="Arial" w:hAnsi="Arial"/>
                <w:sz w:val="11"/>
                <w:szCs w:val="11"/>
                <w:b w:val="1"/>
                <w:bCs w:val="1"/>
                <w:color w:val="auto"/>
              </w:rPr>
              <w:t>Securitized</w:t>
            </w:r>
          </w:p>
        </w:tc>
        <w:tc>
          <w:tcPr>
            <w:tcW w:w="6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501"/>
              <w:spacing w:after="0"/>
              <w:rPr>
                <w:sz w:val="20"/>
                <w:szCs w:val="20"/>
                <w:color w:val="auto"/>
              </w:rPr>
            </w:pPr>
            <w:r>
              <w:rPr>
                <w:rFonts w:ascii="Arial" w:cs="Arial" w:eastAsia="Arial" w:hAnsi="Arial"/>
                <w:sz w:val="11"/>
                <w:szCs w:val="11"/>
                <w:b w:val="1"/>
                <w:bCs w:val="1"/>
                <w:color w:val="auto"/>
              </w:rPr>
              <w:t>Total</w:t>
            </w:r>
          </w:p>
        </w:tc>
      </w:tr>
      <w:tr>
        <w:trPr>
          <w:trHeight w:val="144"/>
        </w:trPr>
        <w:tc>
          <w:tcPr>
            <w:tcW w:w="29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31 – 90 days past due</w:t>
            </w: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25</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33</w:t>
            </w:r>
          </w:p>
        </w:tc>
      </w:tr>
      <w:tr>
        <w:trPr>
          <w:trHeight w:val="153"/>
        </w:trPr>
        <w:tc>
          <w:tcPr>
            <w:tcW w:w="2960" w:type="dxa"/>
            <w:vAlign w:val="bottom"/>
          </w:tcPr>
          <w:p>
            <w:pPr>
              <w:spacing w:after="0"/>
              <w:rPr>
                <w:sz w:val="20"/>
                <w:szCs w:val="20"/>
                <w:color w:val="auto"/>
              </w:rPr>
            </w:pPr>
            <w:r>
              <w:rPr>
                <w:rFonts w:ascii="Arial" w:cs="Arial" w:eastAsia="Arial" w:hAnsi="Arial"/>
                <w:sz w:val="12"/>
                <w:szCs w:val="12"/>
                <w:color w:val="auto"/>
              </w:rPr>
              <w:t>91 – 150 days past due</w:t>
            </w:r>
          </w:p>
        </w:tc>
        <w:tc>
          <w:tcPr>
            <w:tcW w:w="180" w:type="dxa"/>
            <w:vAlign w:val="bottom"/>
          </w:tcPr>
          <w:p>
            <w:pPr>
              <w:spacing w:after="0"/>
              <w:rPr>
                <w:sz w:val="13"/>
                <w:szCs w:val="13"/>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4</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right"/>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10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Arial" w:cs="Arial" w:eastAsia="Arial" w:hAnsi="Arial"/>
                <w:sz w:val="12"/>
                <w:szCs w:val="12"/>
                <w:color w:val="auto"/>
              </w:rPr>
              <w:t>5</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3"/>
              <w:spacing w:after="0"/>
              <w:rPr>
                <w:sz w:val="20"/>
                <w:szCs w:val="20"/>
                <w:color w:val="auto"/>
              </w:rPr>
            </w:pPr>
            <w:r>
              <w:rPr>
                <w:rFonts w:ascii="Arial" w:cs="Arial" w:eastAsia="Arial" w:hAnsi="Arial"/>
                <w:sz w:val="12"/>
                <w:szCs w:val="12"/>
                <w:color w:val="auto"/>
              </w:rPr>
              <w:t>14</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jc w:val="right"/>
              <w:ind w:right="1"/>
              <w:spacing w:after="0"/>
              <w:rPr>
                <w:sz w:val="20"/>
                <w:szCs w:val="20"/>
                <w:color w:val="auto"/>
              </w:rPr>
            </w:pPr>
            <w:r>
              <w:rPr>
                <w:rFonts w:ascii="Arial" w:cs="Arial" w:eastAsia="Arial" w:hAnsi="Arial"/>
                <w:sz w:val="12"/>
                <w:szCs w:val="12"/>
                <w:color w:val="auto"/>
              </w:rPr>
              <w:t>19</w:t>
            </w:r>
          </w:p>
        </w:tc>
      </w:tr>
      <w:tr>
        <w:trPr>
          <w:trHeight w:val="153"/>
        </w:trPr>
        <w:tc>
          <w:tcPr>
            <w:tcW w:w="2960" w:type="dxa"/>
            <w:vAlign w:val="bottom"/>
            <w:shd w:val="clear" w:color="auto" w:fill="CCEEFF"/>
          </w:tcPr>
          <w:p>
            <w:pPr>
              <w:spacing w:after="0"/>
              <w:rPr>
                <w:sz w:val="20"/>
                <w:szCs w:val="20"/>
                <w:color w:val="auto"/>
              </w:rPr>
            </w:pPr>
            <w:r>
              <w:rPr>
                <w:rFonts w:ascii="Arial" w:cs="Arial" w:eastAsia="Arial" w:hAnsi="Arial"/>
                <w:sz w:val="12"/>
                <w:szCs w:val="12"/>
                <w:color w:val="auto"/>
              </w:rPr>
              <w:t>Greater than 150 days past due</w:t>
            </w: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98</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95</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95</w:t>
            </w:r>
          </w:p>
        </w:tc>
      </w:tr>
      <w:tr>
        <w:trPr>
          <w:trHeight w:val="142"/>
        </w:trPr>
        <w:tc>
          <w:tcPr>
            <w:tcW w:w="2960" w:type="dxa"/>
            <w:vAlign w:val="bottom"/>
          </w:tcPr>
          <w:p>
            <w:pPr>
              <w:ind w:left="140"/>
              <w:spacing w:after="0" w:line="133" w:lineRule="exact"/>
              <w:rPr>
                <w:sz w:val="20"/>
                <w:szCs w:val="20"/>
                <w:color w:val="auto"/>
              </w:rPr>
            </w:pPr>
            <w:r>
              <w:rPr>
                <w:rFonts w:ascii="Arial" w:cs="Arial" w:eastAsia="Arial" w:hAnsi="Arial"/>
                <w:sz w:val="12"/>
                <w:szCs w:val="12"/>
                <w:color w:val="auto"/>
              </w:rPr>
              <w:t>Total past due</w:t>
            </w:r>
          </w:p>
        </w:tc>
        <w:tc>
          <w:tcPr>
            <w:tcW w:w="1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109</w:t>
            </w: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jc w:val="right"/>
              <w:spacing w:after="0"/>
              <w:rPr>
                <w:sz w:val="20"/>
                <w:szCs w:val="20"/>
                <w:color w:val="auto"/>
              </w:rPr>
            </w:pPr>
            <w:r>
              <w:rPr>
                <w:rFonts w:ascii="Arial" w:cs="Arial" w:eastAsia="Arial" w:hAnsi="Arial"/>
                <w:sz w:val="12"/>
                <w:szCs w:val="12"/>
                <w:color w:val="auto"/>
              </w:rPr>
              <w:t>20</w:t>
            </w:r>
          </w:p>
        </w:tc>
        <w:tc>
          <w:tcPr>
            <w:tcW w:w="10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129</w:t>
            </w: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108</w:t>
            </w: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3"/>
              <w:spacing w:after="0"/>
              <w:rPr>
                <w:sz w:val="20"/>
                <w:szCs w:val="20"/>
                <w:color w:val="auto"/>
              </w:rPr>
            </w:pPr>
            <w:r>
              <w:rPr>
                <w:rFonts w:ascii="Arial" w:cs="Arial" w:eastAsia="Arial" w:hAnsi="Arial"/>
                <w:sz w:val="12"/>
                <w:szCs w:val="12"/>
                <w:color w:val="auto"/>
              </w:rPr>
              <w:t>39</w:t>
            </w:r>
          </w:p>
        </w:tc>
        <w:tc>
          <w:tcPr>
            <w:tcW w:w="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147</w:t>
            </w:r>
          </w:p>
        </w:tc>
      </w:tr>
      <w:tr>
        <w:trPr>
          <w:trHeight w:val="153"/>
        </w:trPr>
        <w:tc>
          <w:tcPr>
            <w:tcW w:w="2960" w:type="dxa"/>
            <w:vAlign w:val="bottom"/>
            <w:shd w:val="clear" w:color="auto" w:fill="CCEEFF"/>
          </w:tcPr>
          <w:p>
            <w:pPr>
              <w:spacing w:after="0"/>
              <w:rPr>
                <w:sz w:val="20"/>
                <w:szCs w:val="20"/>
                <w:color w:val="auto"/>
              </w:rPr>
            </w:pPr>
            <w:r>
              <w:rPr>
                <w:rFonts w:ascii="Arial" w:cs="Arial" w:eastAsia="Arial" w:hAnsi="Arial"/>
                <w:sz w:val="12"/>
                <w:szCs w:val="12"/>
                <w:color w:val="auto"/>
              </w:rPr>
              <w:t>Current</w:t>
            </w:r>
          </w:p>
        </w:tc>
        <w:tc>
          <w:tcPr>
            <w:tcW w:w="18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178</w:t>
            </w:r>
          </w:p>
        </w:tc>
        <w:tc>
          <w:tcPr>
            <w:tcW w:w="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1,008</w:t>
            </w:r>
          </w:p>
        </w:tc>
        <w:tc>
          <w:tcPr>
            <w:tcW w:w="100" w:type="dxa"/>
            <w:vAlign w:val="bottom"/>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6"/>
              </w:rPr>
              <w:t>1,186</w:t>
            </w: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231</w:t>
            </w:r>
          </w:p>
        </w:tc>
        <w:tc>
          <w:tcPr>
            <w:tcW w:w="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1,011</w:t>
            </w:r>
          </w:p>
        </w:tc>
        <w:tc>
          <w:tcPr>
            <w:tcW w:w="6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1,242</w:t>
            </w:r>
          </w:p>
        </w:tc>
      </w:tr>
      <w:tr>
        <w:trPr>
          <w:trHeight w:val="142"/>
        </w:trPr>
        <w:tc>
          <w:tcPr>
            <w:tcW w:w="2960" w:type="dxa"/>
            <w:vAlign w:val="bottom"/>
          </w:tcPr>
          <w:p>
            <w:pPr>
              <w:ind w:left="140"/>
              <w:spacing w:after="0" w:line="133" w:lineRule="exact"/>
              <w:rPr>
                <w:sz w:val="20"/>
                <w:szCs w:val="20"/>
                <w:color w:val="auto"/>
              </w:rPr>
            </w:pPr>
            <w:r>
              <w:rPr>
                <w:rFonts w:ascii="Arial" w:cs="Arial" w:eastAsia="Arial" w:hAnsi="Arial"/>
                <w:sz w:val="12"/>
                <w:szCs w:val="12"/>
                <w:color w:val="auto"/>
              </w:rPr>
              <w:t>Total vacation ownership notes receivable</w:t>
            </w:r>
          </w:p>
        </w:tc>
        <w:tc>
          <w:tcPr>
            <w:tcW w:w="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287</w:t>
            </w:r>
          </w:p>
        </w:tc>
        <w:tc>
          <w:tcPr>
            <w:tcW w:w="80" w:type="dxa"/>
            <w:vAlign w:val="bottom"/>
          </w:tcPr>
          <w:p>
            <w:pPr>
              <w:spacing w:after="0"/>
              <w:rPr>
                <w:sz w:val="12"/>
                <w:szCs w:val="12"/>
                <w:color w:val="auto"/>
              </w:rPr>
            </w:pPr>
          </w:p>
        </w:tc>
        <w:tc>
          <w:tcPr>
            <w:tcW w:w="1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w w:val="89"/>
              </w:rPr>
              <w:t>$</w:t>
            </w: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1,028</w:t>
            </w:r>
          </w:p>
        </w:tc>
        <w:tc>
          <w:tcPr>
            <w:tcW w:w="100" w:type="dxa"/>
            <w:vAlign w:val="bottom"/>
          </w:tcPr>
          <w:p>
            <w:pPr>
              <w:spacing w:after="0"/>
              <w:rPr>
                <w:sz w:val="12"/>
                <w:szCs w:val="12"/>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6"/>
              </w:rPr>
              <w:t>1,315</w:t>
            </w: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339</w:t>
            </w:r>
          </w:p>
        </w:tc>
        <w:tc>
          <w:tcPr>
            <w:tcW w:w="6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1,050</w:t>
            </w:r>
          </w:p>
        </w:tc>
        <w:tc>
          <w:tcPr>
            <w:tcW w:w="60" w:type="dxa"/>
            <w:vAlign w:val="bottom"/>
          </w:tcPr>
          <w:p>
            <w:pPr>
              <w:spacing w:after="0"/>
              <w:rPr>
                <w:sz w:val="12"/>
                <w:szCs w:val="12"/>
                <w:color w:val="auto"/>
              </w:rPr>
            </w:pPr>
          </w:p>
        </w:tc>
        <w:tc>
          <w:tcPr>
            <w:tcW w:w="1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1,389</w:t>
            </w:r>
          </w:p>
        </w:tc>
      </w:tr>
      <w:tr>
        <w:trPr>
          <w:trHeight w:val="20"/>
        </w:trPr>
        <w:tc>
          <w:tcPr>
            <w:tcW w:w="296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82"/>
        </w:trPr>
        <w:tc>
          <w:tcPr>
            <w:tcW w:w="6780" w:type="dxa"/>
            <w:vAlign w:val="bottom"/>
            <w:gridSpan w:val="9"/>
          </w:tcPr>
          <w:p>
            <w:pPr>
              <w:ind w:left="420"/>
              <w:spacing w:after="0"/>
              <w:rPr>
                <w:sz w:val="20"/>
                <w:szCs w:val="20"/>
                <w:color w:val="auto"/>
              </w:rPr>
            </w:pPr>
            <w:r>
              <w:rPr>
                <w:rFonts w:ascii="Arial" w:cs="Arial" w:eastAsia="Arial" w:hAnsi="Arial"/>
                <w:sz w:val="12"/>
                <w:szCs w:val="12"/>
                <w:color w:val="auto"/>
                <w:w w:val="95"/>
              </w:rPr>
              <w:t>The following table details the origination year of our Legacy-MVW vacation ownership notes receivable as of June 30, 2021.</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0"/>
        </w:trPr>
        <w:tc>
          <w:tcPr>
            <w:tcW w:w="2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860" w:type="dxa"/>
            <w:vAlign w:val="bottom"/>
            <w:tcBorders>
              <w:bottom w:val="single" w:sz="8" w:color="auto"/>
            </w:tcBorders>
            <w:gridSpan w:val="10"/>
          </w:tcPr>
          <w:p>
            <w:pPr>
              <w:ind w:left="60"/>
              <w:spacing w:after="0"/>
              <w:rPr>
                <w:sz w:val="20"/>
                <w:szCs w:val="20"/>
                <w:color w:val="auto"/>
              </w:rPr>
            </w:pPr>
            <w:r>
              <w:rPr>
                <w:rFonts w:ascii="Arial" w:cs="Arial" w:eastAsia="Arial" w:hAnsi="Arial"/>
                <w:sz w:val="11"/>
                <w:szCs w:val="11"/>
                <w:b w:val="1"/>
                <w:bCs w:val="1"/>
                <w:color w:val="auto"/>
              </w:rPr>
              <w:t>Legacy-MVW Vacation Ownership Notes Receivable</w:t>
            </w:r>
          </w:p>
        </w:tc>
        <w:tc>
          <w:tcPr>
            <w:tcW w:w="1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r>
      <w:tr>
        <w:trPr>
          <w:trHeight w:val="133"/>
        </w:trPr>
        <w:tc>
          <w:tcPr>
            <w:tcW w:w="296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180" w:type="dxa"/>
            <w:vAlign w:val="bottom"/>
            <w:tcBorders>
              <w:bottom w:val="single" w:sz="8" w:color="CCEEFF"/>
            </w:tcBorders>
          </w:tcPr>
          <w:p>
            <w:pPr>
              <w:spacing w:after="0"/>
              <w:rPr>
                <w:sz w:val="11"/>
                <w:szCs w:val="11"/>
                <w:color w:val="auto"/>
              </w:rPr>
            </w:pPr>
          </w:p>
        </w:tc>
        <w:tc>
          <w:tcPr>
            <w:tcW w:w="11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9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ind w:left="260"/>
              <w:spacing w:after="0"/>
              <w:rPr>
                <w:sz w:val="20"/>
                <w:szCs w:val="20"/>
                <w:color w:val="auto"/>
              </w:rPr>
            </w:pPr>
            <w:r>
              <w:rPr>
                <w:rFonts w:ascii="Arial" w:cs="Arial" w:eastAsia="Arial" w:hAnsi="Arial"/>
                <w:sz w:val="11"/>
                <w:szCs w:val="11"/>
                <w:b w:val="1"/>
                <w:bCs w:val="1"/>
                <w:color w:val="auto"/>
                <w:w w:val="85"/>
              </w:rPr>
              <w:t>Non-Securitized</w:t>
            </w: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Securitized</w:t>
            </w:r>
          </w:p>
        </w:tc>
        <w:tc>
          <w:tcPr>
            <w:tcW w:w="6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761"/>
              <w:spacing w:after="0"/>
              <w:rPr>
                <w:sz w:val="20"/>
                <w:szCs w:val="20"/>
                <w:color w:val="auto"/>
              </w:rPr>
            </w:pPr>
            <w:r>
              <w:rPr>
                <w:rFonts w:ascii="Arial" w:cs="Arial" w:eastAsia="Arial" w:hAnsi="Arial"/>
                <w:sz w:val="11"/>
                <w:szCs w:val="11"/>
                <w:b w:val="1"/>
                <w:bCs w:val="1"/>
                <w:color w:val="auto"/>
              </w:rPr>
              <w:t>Total</w:t>
            </w:r>
          </w:p>
        </w:tc>
      </w:tr>
      <w:tr>
        <w:trPr>
          <w:trHeight w:val="135"/>
        </w:trPr>
        <w:tc>
          <w:tcPr>
            <w:tcW w:w="296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Year of Origination</w:t>
            </w:r>
          </w:p>
        </w:tc>
        <w:tc>
          <w:tcPr>
            <w:tcW w:w="1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r>
      <w:tr>
        <w:trPr>
          <w:trHeight w:val="153"/>
        </w:trPr>
        <w:tc>
          <w:tcPr>
            <w:tcW w:w="2960" w:type="dxa"/>
            <w:vAlign w:val="bottom"/>
          </w:tcPr>
          <w:p>
            <w:pPr>
              <w:ind w:left="140"/>
              <w:spacing w:after="0"/>
              <w:rPr>
                <w:sz w:val="20"/>
                <w:szCs w:val="20"/>
                <w:color w:val="auto"/>
              </w:rPr>
            </w:pPr>
            <w:r>
              <w:rPr>
                <w:rFonts w:ascii="Arial" w:cs="Arial" w:eastAsia="Arial" w:hAnsi="Arial"/>
                <w:sz w:val="12"/>
                <w:szCs w:val="12"/>
                <w:color w:val="auto"/>
              </w:rPr>
              <w:t>2021</w:t>
            </w: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gridSpan w:val="2"/>
          </w:tcPr>
          <w:p>
            <w:pPr>
              <w:ind w:left="80"/>
              <w:spacing w:after="0"/>
              <w:rPr>
                <w:sz w:val="20"/>
                <w:szCs w:val="20"/>
                <w:color w:val="auto"/>
              </w:rPr>
            </w:pPr>
            <w:r>
              <w:rPr>
                <w:rFonts w:ascii="Arial" w:cs="Arial" w:eastAsia="Arial" w:hAnsi="Arial"/>
                <w:sz w:val="12"/>
                <w:szCs w:val="12"/>
                <w:color w:val="auto"/>
              </w:rPr>
              <w:t>88</w:t>
            </w:r>
          </w:p>
        </w:tc>
        <w:tc>
          <w:tcPr>
            <w:tcW w:w="80" w:type="dxa"/>
            <w:vAlign w:val="bottom"/>
          </w:tcPr>
          <w:p>
            <w:pPr>
              <w:spacing w:after="0"/>
              <w:rPr>
                <w:sz w:val="13"/>
                <w:szCs w:val="13"/>
                <w:color w:val="auto"/>
              </w:rPr>
            </w:pPr>
          </w:p>
        </w:tc>
        <w:tc>
          <w:tcPr>
            <w:tcW w:w="1060" w:type="dxa"/>
            <w:vAlign w:val="bottom"/>
          </w:tcPr>
          <w:p>
            <w:pPr>
              <w:jc w:val="right"/>
              <w:ind w:right="921"/>
              <w:spacing w:after="0"/>
              <w:rPr>
                <w:sz w:val="20"/>
                <w:szCs w:val="20"/>
                <w:color w:val="auto"/>
              </w:rPr>
            </w:pPr>
            <w:r>
              <w:rPr>
                <w:rFonts w:ascii="Arial" w:cs="Arial" w:eastAsia="Arial" w:hAnsi="Arial"/>
                <w:sz w:val="12"/>
                <w:szCs w:val="12"/>
                <w:color w:val="auto"/>
                <w:w w:val="89"/>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81</w:t>
            </w:r>
          </w:p>
        </w:tc>
        <w:tc>
          <w:tcPr>
            <w:tcW w:w="100" w:type="dxa"/>
            <w:vAlign w:val="bottom"/>
          </w:tcPr>
          <w:p>
            <w:pPr>
              <w:spacing w:after="0"/>
              <w:rPr>
                <w:sz w:val="13"/>
                <w:szCs w:val="13"/>
                <w:color w:val="auto"/>
              </w:rPr>
            </w:pPr>
          </w:p>
        </w:tc>
        <w:tc>
          <w:tcPr>
            <w:tcW w:w="480" w:type="dxa"/>
            <w:vAlign w:val="bottom"/>
          </w:tcPr>
          <w:p>
            <w:pPr>
              <w:jc w:val="right"/>
              <w:ind w:right="363"/>
              <w:spacing w:after="0"/>
              <w:rPr>
                <w:sz w:val="20"/>
                <w:szCs w:val="20"/>
                <w:color w:val="auto"/>
              </w:rPr>
            </w:pPr>
            <w:r>
              <w:rPr>
                <w:rFonts w:ascii="Arial" w:cs="Arial" w:eastAsia="Arial" w:hAnsi="Arial"/>
                <w:sz w:val="10"/>
                <w:szCs w:val="10"/>
                <w:color w:val="auto"/>
                <w:w w:val="71"/>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jc w:val="right"/>
              <w:ind w:right="1"/>
              <w:spacing w:after="0"/>
              <w:rPr>
                <w:sz w:val="20"/>
                <w:szCs w:val="20"/>
                <w:color w:val="auto"/>
              </w:rPr>
            </w:pPr>
            <w:r>
              <w:rPr>
                <w:rFonts w:ascii="Arial" w:cs="Arial" w:eastAsia="Arial" w:hAnsi="Arial"/>
                <w:sz w:val="12"/>
                <w:szCs w:val="12"/>
                <w:color w:val="auto"/>
              </w:rPr>
              <w:t>169</w:t>
            </w:r>
          </w:p>
        </w:tc>
      </w:tr>
      <w:tr>
        <w:trPr>
          <w:trHeight w:val="153"/>
        </w:trPr>
        <w:tc>
          <w:tcPr>
            <w:tcW w:w="29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2020</w:t>
            </w: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36</w:t>
            </w: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183</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219</w:t>
            </w:r>
          </w:p>
        </w:tc>
      </w:tr>
      <w:tr>
        <w:trPr>
          <w:trHeight w:val="153"/>
        </w:trPr>
        <w:tc>
          <w:tcPr>
            <w:tcW w:w="2960" w:type="dxa"/>
            <w:vAlign w:val="bottom"/>
          </w:tcPr>
          <w:p>
            <w:pPr>
              <w:ind w:left="140"/>
              <w:spacing w:after="0"/>
              <w:rPr>
                <w:sz w:val="20"/>
                <w:szCs w:val="20"/>
                <w:color w:val="auto"/>
              </w:rPr>
            </w:pPr>
            <w:r>
              <w:rPr>
                <w:rFonts w:ascii="Arial" w:cs="Arial" w:eastAsia="Arial" w:hAnsi="Arial"/>
                <w:sz w:val="12"/>
                <w:szCs w:val="12"/>
                <w:color w:val="auto"/>
              </w:rPr>
              <w:t>2019</w:t>
            </w: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gridSpan w:val="2"/>
          </w:tcPr>
          <w:p>
            <w:pPr>
              <w:ind w:left="80"/>
              <w:spacing w:after="0"/>
              <w:rPr>
                <w:sz w:val="20"/>
                <w:szCs w:val="20"/>
                <w:color w:val="auto"/>
              </w:rPr>
            </w:pPr>
            <w:r>
              <w:rPr>
                <w:rFonts w:ascii="Arial" w:cs="Arial" w:eastAsia="Arial" w:hAnsi="Arial"/>
                <w:sz w:val="12"/>
                <w:szCs w:val="12"/>
                <w:color w:val="auto"/>
              </w:rPr>
              <w:t>62</w:t>
            </w: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305</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jc w:val="right"/>
              <w:ind w:right="1"/>
              <w:spacing w:after="0"/>
              <w:rPr>
                <w:sz w:val="20"/>
                <w:szCs w:val="20"/>
                <w:color w:val="auto"/>
              </w:rPr>
            </w:pPr>
            <w:r>
              <w:rPr>
                <w:rFonts w:ascii="Arial" w:cs="Arial" w:eastAsia="Arial" w:hAnsi="Arial"/>
                <w:sz w:val="12"/>
                <w:szCs w:val="12"/>
                <w:color w:val="auto"/>
              </w:rPr>
              <w:t>367</w:t>
            </w:r>
          </w:p>
        </w:tc>
      </w:tr>
      <w:tr>
        <w:trPr>
          <w:trHeight w:val="153"/>
        </w:trPr>
        <w:tc>
          <w:tcPr>
            <w:tcW w:w="29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2018</w:t>
            </w: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37</w:t>
            </w: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237</w:t>
            </w:r>
          </w:p>
        </w:tc>
      </w:tr>
      <w:tr>
        <w:trPr>
          <w:trHeight w:val="153"/>
        </w:trPr>
        <w:tc>
          <w:tcPr>
            <w:tcW w:w="2960" w:type="dxa"/>
            <w:vAlign w:val="bottom"/>
          </w:tcPr>
          <w:p>
            <w:pPr>
              <w:ind w:left="140"/>
              <w:spacing w:after="0"/>
              <w:rPr>
                <w:sz w:val="20"/>
                <w:szCs w:val="20"/>
                <w:color w:val="auto"/>
              </w:rPr>
            </w:pPr>
            <w:r>
              <w:rPr>
                <w:rFonts w:ascii="Arial" w:cs="Arial" w:eastAsia="Arial" w:hAnsi="Arial"/>
                <w:sz w:val="12"/>
                <w:szCs w:val="12"/>
                <w:color w:val="auto"/>
              </w:rPr>
              <w:t>2017</w:t>
            </w: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gridSpan w:val="2"/>
          </w:tcPr>
          <w:p>
            <w:pPr>
              <w:ind w:left="80"/>
              <w:spacing w:after="0"/>
              <w:rPr>
                <w:sz w:val="20"/>
                <w:szCs w:val="20"/>
                <w:color w:val="auto"/>
              </w:rPr>
            </w:pPr>
            <w:r>
              <w:rPr>
                <w:rFonts w:ascii="Arial" w:cs="Arial" w:eastAsia="Arial" w:hAnsi="Arial"/>
                <w:sz w:val="12"/>
                <w:szCs w:val="12"/>
                <w:color w:val="auto"/>
              </w:rPr>
              <w:t>19</w:t>
            </w: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120</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jc w:val="right"/>
              <w:ind w:right="1"/>
              <w:spacing w:after="0"/>
              <w:rPr>
                <w:sz w:val="20"/>
                <w:szCs w:val="20"/>
                <w:color w:val="auto"/>
              </w:rPr>
            </w:pPr>
            <w:r>
              <w:rPr>
                <w:rFonts w:ascii="Arial" w:cs="Arial" w:eastAsia="Arial" w:hAnsi="Arial"/>
                <w:sz w:val="12"/>
                <w:szCs w:val="12"/>
                <w:color w:val="auto"/>
              </w:rPr>
              <w:t>139</w:t>
            </w:r>
          </w:p>
        </w:tc>
      </w:tr>
      <w:tr>
        <w:trPr>
          <w:trHeight w:val="153"/>
        </w:trPr>
        <w:tc>
          <w:tcPr>
            <w:tcW w:w="29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2016 and Prior</w:t>
            </w: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gridSpan w:val="2"/>
            <w:shd w:val="clear" w:color="auto" w:fill="CCEEFF"/>
          </w:tcPr>
          <w:p>
            <w:pPr>
              <w:ind w:left="80"/>
              <w:spacing w:after="0"/>
              <w:rPr>
                <w:sz w:val="20"/>
                <w:szCs w:val="20"/>
                <w:color w:val="auto"/>
              </w:rPr>
            </w:pPr>
            <w:r>
              <w:rPr>
                <w:rFonts w:ascii="Arial" w:cs="Arial" w:eastAsia="Arial" w:hAnsi="Arial"/>
                <w:sz w:val="12"/>
                <w:szCs w:val="12"/>
                <w:color w:val="auto"/>
              </w:rPr>
              <w:t>45</w:t>
            </w:r>
          </w:p>
        </w:tc>
        <w:tc>
          <w:tcPr>
            <w:tcW w:w="80" w:type="dxa"/>
            <w:vAlign w:val="bottom"/>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139</w:t>
            </w:r>
          </w:p>
        </w:tc>
        <w:tc>
          <w:tcPr>
            <w:tcW w:w="10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184</w:t>
            </w:r>
          </w:p>
        </w:tc>
      </w:tr>
      <w:tr>
        <w:trPr>
          <w:trHeight w:val="142"/>
        </w:trPr>
        <w:tc>
          <w:tcPr>
            <w:tcW w:w="2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gridSpan w:val="2"/>
          </w:tcPr>
          <w:p>
            <w:pPr>
              <w:jc w:val="right"/>
              <w:spacing w:after="0"/>
              <w:rPr>
                <w:sz w:val="20"/>
                <w:szCs w:val="20"/>
                <w:color w:val="auto"/>
              </w:rPr>
            </w:pPr>
            <w:r>
              <w:rPr>
                <w:rFonts w:ascii="Arial" w:cs="Arial" w:eastAsia="Arial" w:hAnsi="Arial"/>
                <w:sz w:val="12"/>
                <w:szCs w:val="12"/>
                <w:color w:val="auto"/>
                <w:w w:val="89"/>
              </w:rPr>
              <w:t>287</w:t>
            </w:r>
          </w:p>
        </w:tc>
        <w:tc>
          <w:tcPr>
            <w:tcW w:w="80" w:type="dxa"/>
            <w:vAlign w:val="bottom"/>
          </w:tcPr>
          <w:p>
            <w:pPr>
              <w:spacing w:after="0"/>
              <w:rPr>
                <w:sz w:val="12"/>
                <w:szCs w:val="12"/>
                <w:color w:val="auto"/>
              </w:rPr>
            </w:pPr>
          </w:p>
        </w:tc>
        <w:tc>
          <w:tcPr>
            <w:tcW w:w="1060" w:type="dxa"/>
            <w:vAlign w:val="bottom"/>
          </w:tcPr>
          <w:p>
            <w:pPr>
              <w:jc w:val="right"/>
              <w:ind w:right="921"/>
              <w:spacing w:after="0"/>
              <w:rPr>
                <w:sz w:val="20"/>
                <w:szCs w:val="20"/>
                <w:color w:val="auto"/>
              </w:rPr>
            </w:pPr>
            <w:r>
              <w:rPr>
                <w:rFonts w:ascii="Arial" w:cs="Arial" w:eastAsia="Arial" w:hAnsi="Arial"/>
                <w:sz w:val="12"/>
                <w:szCs w:val="12"/>
                <w:color w:val="auto"/>
                <w:w w:val="89"/>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1,028</w:t>
            </w:r>
          </w:p>
        </w:tc>
        <w:tc>
          <w:tcPr>
            <w:tcW w:w="100" w:type="dxa"/>
            <w:vAlign w:val="bottom"/>
          </w:tcPr>
          <w:p>
            <w:pPr>
              <w:spacing w:after="0"/>
              <w:rPr>
                <w:sz w:val="12"/>
                <w:szCs w:val="12"/>
                <w:color w:val="auto"/>
              </w:rPr>
            </w:pPr>
          </w:p>
        </w:tc>
        <w:tc>
          <w:tcPr>
            <w:tcW w:w="480" w:type="dxa"/>
            <w:vAlign w:val="bottom"/>
          </w:tcPr>
          <w:p>
            <w:pPr>
              <w:jc w:val="right"/>
              <w:ind w:right="363"/>
              <w:spacing w:after="0"/>
              <w:rPr>
                <w:sz w:val="20"/>
                <w:szCs w:val="20"/>
                <w:color w:val="auto"/>
              </w:rPr>
            </w:pPr>
            <w:r>
              <w:rPr>
                <w:rFonts w:ascii="Arial" w:cs="Arial" w:eastAsia="Arial" w:hAnsi="Arial"/>
                <w:sz w:val="10"/>
                <w:szCs w:val="10"/>
                <w:color w:val="auto"/>
                <w:w w:val="71"/>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right"/>
              <w:ind w:right="1"/>
              <w:spacing w:after="0"/>
              <w:rPr>
                <w:sz w:val="20"/>
                <w:szCs w:val="20"/>
                <w:color w:val="auto"/>
              </w:rPr>
            </w:pPr>
            <w:r>
              <w:rPr>
                <w:rFonts w:ascii="Arial" w:cs="Arial" w:eastAsia="Arial" w:hAnsi="Arial"/>
                <w:sz w:val="12"/>
                <w:szCs w:val="12"/>
                <w:color w:val="auto"/>
              </w:rPr>
              <w:t>1,315</w:t>
            </w:r>
          </w:p>
        </w:tc>
      </w:tr>
      <w:tr>
        <w:trPr>
          <w:trHeight w:val="20"/>
        </w:trPr>
        <w:tc>
          <w:tcPr>
            <w:tcW w:w="2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318"/>
        </w:trPr>
        <w:tc>
          <w:tcPr>
            <w:tcW w:w="2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2"/>
                <w:szCs w:val="12"/>
                <w:color w:val="auto"/>
              </w:rPr>
              <w:t>19</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06"/>
        </w:trPr>
        <w:tc>
          <w:tcPr>
            <w:tcW w:w="29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21" w:name="page22"/>
    <w:bookmarkEnd w:id="21"/>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83"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Legacy-ILG and Legacy-Welk Vacation Ownership Notes Receivable</w:t>
      </w:r>
    </w:p>
    <w:p>
      <w:pPr>
        <w:spacing w:after="0" w:line="78" w:lineRule="exact"/>
        <w:rPr>
          <w:sz w:val="20"/>
          <w:szCs w:val="20"/>
          <w:color w:val="auto"/>
        </w:rPr>
      </w:pPr>
    </w:p>
    <w:p>
      <w:pPr>
        <w:ind w:right="240" w:firstLine="432"/>
        <w:spacing w:after="0" w:line="289" w:lineRule="auto"/>
        <w:rPr>
          <w:sz w:val="20"/>
          <w:szCs w:val="20"/>
          <w:color w:val="auto"/>
        </w:rPr>
      </w:pPr>
      <w:r>
        <w:rPr>
          <w:rFonts w:ascii="Arial" w:cs="Arial" w:eastAsia="Arial" w:hAnsi="Arial"/>
          <w:sz w:val="11"/>
          <w:szCs w:val="11"/>
          <w:color w:val="auto"/>
        </w:rPr>
        <w:t>At June 30, 2021 and December 31, 2020, the weighted average FICO score within our consolidated Legacy-ILG and Legacy-Welk vacation ownership notes receivable pools was 706 and 708, respectively, based upon the outstanding vacation ownership notes receivable balance at time of origination. The average estimated rate for all future defaults for our Legacy-ILG and Legacy-Welk consolidated outstanding pool of vacation ownership notes receivable was 16.33 percent as of June 30, 2021 and 14.63 percent as of December 31, 2020. A 0.5 percentage point increase in the estimated default rate on the Legacy-ILG and Legacy-Welk vacation ownership notes receivable would have resulted in an increase in the related vacation ownership notes receivable reserve of $4 million as of June 30, 2021, and $3 million as of December 31, 2020.</w:t>
      </w:r>
    </w:p>
    <w:p>
      <w:pPr>
        <w:spacing w:after="0" w:line="39" w:lineRule="exact"/>
        <w:rPr>
          <w:sz w:val="20"/>
          <w:szCs w:val="20"/>
          <w:color w:val="auto"/>
        </w:rPr>
      </w:pPr>
    </w:p>
    <w:p>
      <w:pPr>
        <w:ind w:right="160" w:firstLine="432"/>
        <w:spacing w:after="0" w:line="263" w:lineRule="auto"/>
        <w:rPr>
          <w:sz w:val="20"/>
          <w:szCs w:val="20"/>
          <w:color w:val="auto"/>
        </w:rPr>
      </w:pPr>
      <w:r>
        <w:rPr>
          <w:rFonts w:ascii="Arial" w:cs="Arial" w:eastAsia="Arial" w:hAnsi="Arial"/>
          <w:sz w:val="12"/>
          <w:szCs w:val="12"/>
          <w:color w:val="auto"/>
        </w:rPr>
        <w:t>We use the origination of the vacation ownership notes receivable by brand (Westin, Sheraton, Hyatt, Welk) and the FICO scores of the customer as the primary credit quality indicators for our Legacy-ILG and Legacy-Welk vacation ownership notes receivable, as historical performance indicates that there is a relationship between the default behavior of borrowers and the brand associated with the vacation ownership interest they have acquired, supplemented by the FICO scores of the customers.</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1"/>
          <w:szCs w:val="11"/>
          <w:color w:val="auto"/>
        </w:rPr>
        <w:t>The following table shows our recorded investment in non-accrual Legacy-ILG and Legacy-Welk vacation ownership notes receivable, which are vacation ownership notes receivable that are 90 days or more past due.</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0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4560" w:type="dxa"/>
            <w:vAlign w:val="bottom"/>
            <w:tcBorders>
              <w:bottom w:val="single" w:sz="8" w:color="auto"/>
            </w:tcBorders>
            <w:gridSpan w:val="6"/>
          </w:tcPr>
          <w:p>
            <w:pPr>
              <w:jc w:val="center"/>
              <w:ind w:left="923"/>
              <w:spacing w:after="0"/>
              <w:rPr>
                <w:sz w:val="20"/>
                <w:szCs w:val="20"/>
                <w:color w:val="auto"/>
              </w:rPr>
            </w:pPr>
            <w:r>
              <w:rPr>
                <w:rFonts w:ascii="Arial" w:cs="Arial" w:eastAsia="Arial" w:hAnsi="Arial"/>
                <w:sz w:val="11"/>
                <w:szCs w:val="11"/>
                <w:b w:val="1"/>
                <w:bCs w:val="1"/>
                <w:color w:val="auto"/>
                <w:w w:val="89"/>
              </w:rPr>
              <w:t>Legacy-ILG and Legacy-Welk Vacation Ownership Notes Receivable</w:t>
            </w:r>
          </w:p>
        </w:tc>
        <w:tc>
          <w:tcPr>
            <w:tcW w:w="1320" w:type="dxa"/>
            <w:vAlign w:val="bottom"/>
            <w:tcBorders>
              <w:bottom w:val="single" w:sz="8" w:color="auto"/>
            </w:tcBorders>
          </w:tcPr>
          <w:p>
            <w:pPr>
              <w:spacing w:after="0"/>
              <w:rPr>
                <w:sz w:val="12"/>
                <w:szCs w:val="12"/>
                <w:color w:val="auto"/>
              </w:rPr>
            </w:pPr>
          </w:p>
        </w:tc>
      </w:tr>
      <w:tr>
        <w:trPr>
          <w:trHeight w:val="133"/>
        </w:trPr>
        <w:tc>
          <w:tcPr>
            <w:tcW w:w="5060" w:type="dxa"/>
            <w:vAlign w:val="bottom"/>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360" w:type="dxa"/>
            <w:vAlign w:val="bottom"/>
          </w:tcPr>
          <w:p>
            <w:pPr>
              <w:spacing w:after="0"/>
              <w:rPr>
                <w:sz w:val="11"/>
                <w:szCs w:val="11"/>
                <w:color w:val="auto"/>
              </w:rPr>
            </w:pPr>
          </w:p>
        </w:tc>
        <w:tc>
          <w:tcPr>
            <w:tcW w:w="1760" w:type="dxa"/>
            <w:vAlign w:val="bottom"/>
            <w:gridSpan w:val="2"/>
          </w:tcPr>
          <w:p>
            <w:pPr>
              <w:ind w:left="280"/>
              <w:spacing w:after="0"/>
              <w:rPr>
                <w:sz w:val="20"/>
                <w:szCs w:val="20"/>
                <w:color w:val="auto"/>
              </w:rPr>
            </w:pPr>
            <w:r>
              <w:rPr>
                <w:rFonts w:ascii="Arial" w:cs="Arial" w:eastAsia="Arial" w:hAnsi="Arial"/>
                <w:sz w:val="11"/>
                <w:szCs w:val="11"/>
                <w:b w:val="1"/>
                <w:bCs w:val="1"/>
                <w:color w:val="auto"/>
              </w:rPr>
              <w:t>Non-Securitized</w:t>
            </w:r>
          </w:p>
        </w:tc>
        <w:tc>
          <w:tcPr>
            <w:tcW w:w="400" w:type="dxa"/>
            <w:vAlign w:val="bottom"/>
          </w:tcPr>
          <w:p>
            <w:pPr>
              <w:spacing w:after="0"/>
              <w:rPr>
                <w:sz w:val="11"/>
                <w:szCs w:val="11"/>
                <w:color w:val="auto"/>
              </w:rPr>
            </w:pPr>
          </w:p>
        </w:tc>
        <w:tc>
          <w:tcPr>
            <w:tcW w:w="1700" w:type="dxa"/>
            <w:vAlign w:val="bottom"/>
            <w:gridSpan w:val="2"/>
          </w:tcPr>
          <w:p>
            <w:pPr>
              <w:jc w:val="center"/>
              <w:ind w:right="500"/>
              <w:spacing w:after="0"/>
              <w:rPr>
                <w:sz w:val="20"/>
                <w:szCs w:val="20"/>
                <w:color w:val="auto"/>
              </w:rPr>
            </w:pPr>
            <w:r>
              <w:rPr>
                <w:rFonts w:ascii="Arial" w:cs="Arial" w:eastAsia="Arial" w:hAnsi="Arial"/>
                <w:sz w:val="11"/>
                <w:szCs w:val="11"/>
                <w:b w:val="1"/>
                <w:bCs w:val="1"/>
                <w:color w:val="auto"/>
                <w:w w:val="88"/>
              </w:rPr>
              <w:t>Securitized</w:t>
            </w:r>
          </w:p>
        </w:tc>
        <w:tc>
          <w:tcPr>
            <w:tcW w:w="700" w:type="dxa"/>
            <w:vAlign w:val="bottom"/>
          </w:tcPr>
          <w:p>
            <w:pPr>
              <w:spacing w:after="0"/>
              <w:rPr>
                <w:sz w:val="11"/>
                <w:szCs w:val="11"/>
                <w:color w:val="auto"/>
              </w:rPr>
            </w:pPr>
          </w:p>
        </w:tc>
        <w:tc>
          <w:tcPr>
            <w:tcW w:w="1320" w:type="dxa"/>
            <w:vAlign w:val="bottom"/>
          </w:tcPr>
          <w:p>
            <w:pPr>
              <w:jc w:val="right"/>
              <w:ind w:right="842"/>
              <w:spacing w:after="0"/>
              <w:rPr>
                <w:sz w:val="20"/>
                <w:szCs w:val="20"/>
                <w:color w:val="auto"/>
              </w:rPr>
            </w:pPr>
            <w:r>
              <w:rPr>
                <w:rFonts w:ascii="Arial" w:cs="Arial" w:eastAsia="Arial" w:hAnsi="Arial"/>
                <w:sz w:val="11"/>
                <w:szCs w:val="11"/>
                <w:b w:val="1"/>
                <w:bCs w:val="1"/>
                <w:color w:val="auto"/>
              </w:rPr>
              <w:t>Total</w:t>
            </w:r>
          </w:p>
        </w:tc>
      </w:tr>
      <w:tr>
        <w:trPr>
          <w:trHeight w:val="144"/>
        </w:trPr>
        <w:tc>
          <w:tcPr>
            <w:tcW w:w="5060" w:type="dxa"/>
            <w:vAlign w:val="bottom"/>
            <w:tcBorders>
              <w:top w:val="single" w:sz="8" w:color="CCEEFF"/>
            </w:tcBorders>
            <w:shd w:val="clear" w:color="auto" w:fill="CCEEFF"/>
          </w:tcPr>
          <w:p>
            <w:pPr>
              <w:spacing w:after="0" w:line="135" w:lineRule="exact"/>
              <w:rPr>
                <w:sz w:val="20"/>
                <w:szCs w:val="20"/>
                <w:color w:val="auto"/>
              </w:rPr>
            </w:pPr>
            <w:r>
              <w:rPr>
                <w:rFonts w:ascii="Arial" w:cs="Arial" w:eastAsia="Arial" w:hAnsi="Arial"/>
                <w:sz w:val="12"/>
                <w:szCs w:val="12"/>
                <w:color w:val="auto"/>
              </w:rPr>
              <w:t>Investment in vacation ownership notes receivable on non-accrual status at June 30, 2021</w:t>
            </w:r>
          </w:p>
        </w:tc>
        <w:tc>
          <w:tcPr>
            <w:tcW w:w="360" w:type="dxa"/>
            <w:vAlign w:val="bottom"/>
            <w:tcBorders>
              <w:top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124</w:t>
            </w:r>
          </w:p>
        </w:tc>
        <w:tc>
          <w:tcPr>
            <w:tcW w:w="10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ind w:right="292"/>
              <w:spacing w:after="0"/>
              <w:rPr>
                <w:sz w:val="20"/>
                <w:szCs w:val="20"/>
                <w:color w:val="auto"/>
              </w:rPr>
            </w:pPr>
            <w:r>
              <w:rPr>
                <w:rFonts w:ascii="Arial" w:cs="Arial" w:eastAsia="Arial" w:hAnsi="Arial"/>
                <w:sz w:val="10"/>
                <w:szCs w:val="10"/>
                <w:color w:val="auto"/>
                <w:w w:val="71"/>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w:t>
            </w:r>
          </w:p>
        </w:tc>
        <w:tc>
          <w:tcPr>
            <w:tcW w:w="1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ind w:right="560"/>
              <w:spacing w:after="0"/>
              <w:rPr>
                <w:sz w:val="20"/>
                <w:szCs w:val="20"/>
                <w:color w:val="auto"/>
              </w:rPr>
            </w:pPr>
            <w:r>
              <w:rPr>
                <w:rFonts w:ascii="Arial" w:cs="Arial" w:eastAsia="Arial" w:hAnsi="Arial"/>
                <w:sz w:val="12"/>
                <w:szCs w:val="12"/>
                <w:color w:val="auto"/>
                <w:w w:val="89"/>
              </w:rPr>
              <w:t>$</w:t>
            </w:r>
          </w:p>
        </w:tc>
        <w:tc>
          <w:tcPr>
            <w:tcW w:w="13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132</w:t>
            </w:r>
          </w:p>
        </w:tc>
      </w:tr>
      <w:tr>
        <w:trPr>
          <w:trHeight w:val="153"/>
        </w:trPr>
        <w:tc>
          <w:tcPr>
            <w:tcW w:w="5060" w:type="dxa"/>
            <w:vAlign w:val="bottom"/>
          </w:tcPr>
          <w:p>
            <w:pPr>
              <w:spacing w:after="0"/>
              <w:rPr>
                <w:sz w:val="20"/>
                <w:szCs w:val="20"/>
                <w:color w:val="auto"/>
              </w:rPr>
            </w:pPr>
            <w:r>
              <w:rPr>
                <w:rFonts w:ascii="Arial" w:cs="Arial" w:eastAsia="Arial" w:hAnsi="Arial"/>
                <w:sz w:val="12"/>
                <w:szCs w:val="12"/>
                <w:color w:val="auto"/>
                <w:w w:val="99"/>
              </w:rPr>
              <w:t>Investment in vacation ownership notes receivable on non-accrual status at December 31, 2020</w:t>
            </w: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660" w:type="dxa"/>
            <w:vAlign w:val="bottom"/>
          </w:tcPr>
          <w:p>
            <w:pPr>
              <w:jc w:val="right"/>
              <w:spacing w:after="0"/>
              <w:rPr>
                <w:sz w:val="20"/>
                <w:szCs w:val="20"/>
                <w:color w:val="auto"/>
              </w:rPr>
            </w:pPr>
            <w:r>
              <w:rPr>
                <w:rFonts w:ascii="Arial" w:cs="Arial" w:eastAsia="Arial" w:hAnsi="Arial"/>
                <w:sz w:val="12"/>
                <w:szCs w:val="12"/>
                <w:color w:val="auto"/>
              </w:rPr>
              <w:t>109</w:t>
            </w:r>
          </w:p>
        </w:tc>
        <w:tc>
          <w:tcPr>
            <w:tcW w:w="100" w:type="dxa"/>
            <w:vAlign w:val="bottom"/>
          </w:tcPr>
          <w:p>
            <w:pPr>
              <w:spacing w:after="0"/>
              <w:rPr>
                <w:sz w:val="13"/>
                <w:szCs w:val="13"/>
                <w:color w:val="auto"/>
              </w:rPr>
            </w:pPr>
          </w:p>
        </w:tc>
        <w:tc>
          <w:tcPr>
            <w:tcW w:w="400" w:type="dxa"/>
            <w:vAlign w:val="bottom"/>
          </w:tcPr>
          <w:p>
            <w:pPr>
              <w:jc w:val="right"/>
              <w:ind w:right="292"/>
              <w:spacing w:after="0"/>
              <w:rPr>
                <w:sz w:val="20"/>
                <w:szCs w:val="20"/>
                <w:color w:val="auto"/>
              </w:rPr>
            </w:pPr>
            <w:r>
              <w:rPr>
                <w:rFonts w:ascii="Arial" w:cs="Arial" w:eastAsia="Arial" w:hAnsi="Arial"/>
                <w:sz w:val="10"/>
                <w:szCs w:val="10"/>
                <w:color w:val="auto"/>
                <w:w w:val="71"/>
              </w:rPr>
              <w:t>$</w:t>
            </w:r>
          </w:p>
        </w:tc>
        <w:tc>
          <w:tcPr>
            <w:tcW w:w="1600" w:type="dxa"/>
            <w:vAlign w:val="bottom"/>
          </w:tcPr>
          <w:p>
            <w:pPr>
              <w:jc w:val="right"/>
              <w:spacing w:after="0"/>
              <w:rPr>
                <w:sz w:val="20"/>
                <w:szCs w:val="20"/>
                <w:color w:val="auto"/>
              </w:rPr>
            </w:pPr>
            <w:r>
              <w:rPr>
                <w:rFonts w:ascii="Arial" w:cs="Arial" w:eastAsia="Arial" w:hAnsi="Arial"/>
                <w:sz w:val="12"/>
                <w:szCs w:val="12"/>
                <w:color w:val="auto"/>
              </w:rPr>
              <w:t>12</w:t>
            </w:r>
          </w:p>
        </w:tc>
        <w:tc>
          <w:tcPr>
            <w:tcW w:w="100" w:type="dxa"/>
            <w:vAlign w:val="bottom"/>
          </w:tcPr>
          <w:p>
            <w:pPr>
              <w:spacing w:after="0"/>
              <w:rPr>
                <w:sz w:val="13"/>
                <w:szCs w:val="13"/>
                <w:color w:val="auto"/>
              </w:rPr>
            </w:pPr>
          </w:p>
        </w:tc>
        <w:tc>
          <w:tcPr>
            <w:tcW w:w="700" w:type="dxa"/>
            <w:vAlign w:val="bottom"/>
          </w:tcPr>
          <w:p>
            <w:pPr>
              <w:jc w:val="right"/>
              <w:ind w:right="560"/>
              <w:spacing w:after="0"/>
              <w:rPr>
                <w:sz w:val="20"/>
                <w:szCs w:val="20"/>
                <w:color w:val="auto"/>
              </w:rPr>
            </w:pPr>
            <w:r>
              <w:rPr>
                <w:rFonts w:ascii="Arial" w:cs="Arial" w:eastAsia="Arial" w:hAnsi="Arial"/>
                <w:sz w:val="12"/>
                <w:szCs w:val="12"/>
                <w:color w:val="auto"/>
                <w:w w:val="89"/>
              </w:rPr>
              <w:t>$</w:t>
            </w:r>
          </w:p>
        </w:tc>
        <w:tc>
          <w:tcPr>
            <w:tcW w:w="1320" w:type="dxa"/>
            <w:vAlign w:val="bottom"/>
          </w:tcPr>
          <w:p>
            <w:pPr>
              <w:jc w:val="right"/>
              <w:ind w:right="2"/>
              <w:spacing w:after="0"/>
              <w:rPr>
                <w:sz w:val="20"/>
                <w:szCs w:val="20"/>
                <w:color w:val="auto"/>
              </w:rPr>
            </w:pPr>
            <w:r>
              <w:rPr>
                <w:rFonts w:ascii="Arial" w:cs="Arial" w:eastAsia="Arial" w:hAnsi="Arial"/>
                <w:sz w:val="12"/>
                <w:szCs w:val="12"/>
                <w:color w:val="auto"/>
              </w:rPr>
              <w:t>121</w:t>
            </w:r>
          </w:p>
        </w:tc>
      </w:tr>
    </w:tbl>
    <w:p>
      <w:pPr>
        <w:spacing w:after="0" w:line="162" w:lineRule="exact"/>
        <w:rPr>
          <w:sz w:val="20"/>
          <w:szCs w:val="20"/>
          <w:color w:val="auto"/>
        </w:rPr>
      </w:pPr>
    </w:p>
    <w:p>
      <w:pPr>
        <w:ind w:left="420"/>
        <w:spacing w:after="0"/>
        <w:rPr>
          <w:sz w:val="20"/>
          <w:szCs w:val="20"/>
          <w:color w:val="auto"/>
        </w:rPr>
      </w:pPr>
      <w:r>
        <w:rPr>
          <w:rFonts w:ascii="Arial" w:cs="Arial" w:eastAsia="Arial" w:hAnsi="Arial"/>
          <w:sz w:val="11"/>
          <w:szCs w:val="11"/>
          <w:color w:val="auto"/>
        </w:rPr>
        <w:t>The following table shows the aging of the recorded investment in principal, before reserves, in Legacy-ILG and Legacy-Welk vacation ownership notes receivable as of June 30, 2021 and December 31, 2020.</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40" w:type="dxa"/>
            <w:vAlign w:val="bottom"/>
            <w:tcBorders>
              <w:bottom w:val="single" w:sz="8" w:color="auto"/>
            </w:tcBorders>
            <w:gridSpan w:val="11"/>
          </w:tcPr>
          <w:p>
            <w:pPr>
              <w:ind w:left="1020"/>
              <w:spacing w:after="0"/>
              <w:rPr>
                <w:sz w:val="20"/>
                <w:szCs w:val="20"/>
                <w:color w:val="auto"/>
              </w:rPr>
            </w:pPr>
            <w:r>
              <w:rPr>
                <w:rFonts w:ascii="Arial" w:cs="Arial" w:eastAsia="Arial" w:hAnsi="Arial"/>
                <w:sz w:val="11"/>
                <w:szCs w:val="11"/>
                <w:b w:val="1"/>
                <w:bCs w:val="1"/>
                <w:color w:val="auto"/>
              </w:rPr>
              <w:t>Legacy-ILG and Legacy-Welk Vacation Ownership Notes Receivable</w:t>
            </w: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r>
      <w:tr>
        <w:trPr>
          <w:trHeight w:val="133"/>
        </w:trPr>
        <w:tc>
          <w:tcPr>
            <w:tcW w:w="14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1"/>
                <w:szCs w:val="11"/>
                <w:b w:val="1"/>
                <w:bCs w:val="1"/>
                <w:color w:val="auto"/>
                <w:w w:val="88"/>
              </w:rPr>
              <w:t>As of June 30, 2021</w:t>
            </w:r>
          </w:p>
        </w:tc>
        <w:tc>
          <w:tcPr>
            <w:tcW w:w="3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1"/>
                <w:szCs w:val="11"/>
                <w:b w:val="1"/>
                <w:bCs w:val="1"/>
                <w:color w:val="auto"/>
                <w:w w:val="87"/>
              </w:rPr>
              <w:t>As of December 31, 2020</w:t>
            </w:r>
          </w:p>
        </w:tc>
        <w:tc>
          <w:tcPr>
            <w:tcW w:w="3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r>
      <w:tr>
        <w:trPr>
          <w:trHeight w:val="133"/>
        </w:trPr>
        <w:tc>
          <w:tcPr>
            <w:tcW w:w="2960" w:type="dxa"/>
            <w:vAlign w:val="bottom"/>
            <w:gridSpan w:val="2"/>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180" w:type="dxa"/>
            <w:vAlign w:val="bottom"/>
          </w:tcPr>
          <w:p>
            <w:pPr>
              <w:spacing w:after="0"/>
              <w:rPr>
                <w:sz w:val="11"/>
                <w:szCs w:val="11"/>
                <w:color w:val="auto"/>
              </w:rPr>
            </w:pPr>
          </w:p>
        </w:tc>
        <w:tc>
          <w:tcPr>
            <w:tcW w:w="1220" w:type="dxa"/>
            <w:vAlign w:val="bottom"/>
            <w:gridSpan w:val="2"/>
          </w:tcPr>
          <w:p>
            <w:pPr>
              <w:ind w:left="100"/>
              <w:spacing w:after="0"/>
              <w:rPr>
                <w:sz w:val="20"/>
                <w:szCs w:val="20"/>
                <w:color w:val="auto"/>
              </w:rPr>
            </w:pPr>
            <w:r>
              <w:rPr>
                <w:rFonts w:ascii="Arial" w:cs="Arial" w:eastAsia="Arial" w:hAnsi="Arial"/>
                <w:sz w:val="11"/>
                <w:szCs w:val="11"/>
                <w:b w:val="1"/>
                <w:bCs w:val="1"/>
                <w:color w:val="auto"/>
              </w:rPr>
              <w:t>Non-Securitized</w:t>
            </w:r>
          </w:p>
        </w:tc>
        <w:tc>
          <w:tcPr>
            <w:tcW w:w="160" w:type="dxa"/>
            <w:vAlign w:val="bottom"/>
          </w:tcPr>
          <w:p>
            <w:pPr>
              <w:spacing w:after="0"/>
              <w:rPr>
                <w:sz w:val="11"/>
                <w:szCs w:val="11"/>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8"/>
              </w:rPr>
              <w:t>Securitized</w:t>
            </w:r>
          </w:p>
        </w:tc>
        <w:tc>
          <w:tcPr>
            <w:tcW w:w="300" w:type="dxa"/>
            <w:vAlign w:val="bottom"/>
          </w:tcPr>
          <w:p>
            <w:pPr>
              <w:spacing w:after="0"/>
              <w:rPr>
                <w:sz w:val="11"/>
                <w:szCs w:val="11"/>
                <w:color w:val="auto"/>
              </w:rPr>
            </w:pPr>
          </w:p>
        </w:tc>
        <w:tc>
          <w:tcPr>
            <w:tcW w:w="1020" w:type="dxa"/>
            <w:vAlign w:val="bottom"/>
          </w:tcPr>
          <w:p>
            <w:pPr>
              <w:jc w:val="right"/>
              <w:ind w:right="481"/>
              <w:spacing w:after="0"/>
              <w:rPr>
                <w:sz w:val="20"/>
                <w:szCs w:val="20"/>
                <w:color w:val="auto"/>
              </w:rPr>
            </w:pPr>
            <w:r>
              <w:rPr>
                <w:rFonts w:ascii="Arial" w:cs="Arial" w:eastAsia="Arial" w:hAnsi="Arial"/>
                <w:sz w:val="11"/>
                <w:szCs w:val="11"/>
                <w:b w:val="1"/>
                <w:bCs w:val="1"/>
                <w:color w:val="auto"/>
              </w:rPr>
              <w:t>Total</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100"/>
              <w:spacing w:after="0"/>
              <w:rPr>
                <w:sz w:val="20"/>
                <w:szCs w:val="20"/>
                <w:color w:val="auto"/>
              </w:rPr>
            </w:pPr>
            <w:r>
              <w:rPr>
                <w:rFonts w:ascii="Arial" w:cs="Arial" w:eastAsia="Arial" w:hAnsi="Arial"/>
                <w:sz w:val="11"/>
                <w:szCs w:val="11"/>
                <w:b w:val="1"/>
                <w:bCs w:val="1"/>
                <w:color w:val="auto"/>
              </w:rPr>
              <w:t>Non-Securitized</w:t>
            </w:r>
          </w:p>
        </w:tc>
        <w:tc>
          <w:tcPr>
            <w:tcW w:w="100" w:type="dxa"/>
            <w:vAlign w:val="bottom"/>
          </w:tcPr>
          <w:p>
            <w:pPr>
              <w:spacing w:after="0"/>
              <w:rPr>
                <w:sz w:val="11"/>
                <w:szCs w:val="11"/>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5"/>
              </w:rPr>
              <w:t>Securitized</w:t>
            </w:r>
          </w:p>
        </w:tc>
        <w:tc>
          <w:tcPr>
            <w:tcW w:w="320" w:type="dxa"/>
            <w:vAlign w:val="bottom"/>
          </w:tcPr>
          <w:p>
            <w:pPr>
              <w:spacing w:after="0"/>
              <w:rPr>
                <w:sz w:val="11"/>
                <w:szCs w:val="11"/>
                <w:color w:val="auto"/>
              </w:rPr>
            </w:pPr>
          </w:p>
        </w:tc>
        <w:tc>
          <w:tcPr>
            <w:tcW w:w="1020" w:type="dxa"/>
            <w:vAlign w:val="bottom"/>
          </w:tcPr>
          <w:p>
            <w:pPr>
              <w:jc w:val="right"/>
              <w:ind w:right="501"/>
              <w:spacing w:after="0"/>
              <w:rPr>
                <w:sz w:val="20"/>
                <w:szCs w:val="20"/>
                <w:color w:val="auto"/>
              </w:rPr>
            </w:pPr>
            <w:r>
              <w:rPr>
                <w:rFonts w:ascii="Arial" w:cs="Arial" w:eastAsia="Arial" w:hAnsi="Arial"/>
                <w:sz w:val="11"/>
                <w:szCs w:val="11"/>
                <w:b w:val="1"/>
                <w:bCs w:val="1"/>
                <w:color w:val="auto"/>
              </w:rPr>
              <w:t>Total</w:t>
            </w:r>
          </w:p>
        </w:tc>
      </w:tr>
      <w:tr>
        <w:trPr>
          <w:trHeight w:val="144"/>
        </w:trPr>
        <w:tc>
          <w:tcPr>
            <w:tcW w:w="140" w:type="dxa"/>
            <w:vAlign w:val="bottom"/>
            <w:tcBorders>
              <w:top w:val="single" w:sz="8" w:color="CCEEFF"/>
            </w:tcBorders>
            <w:shd w:val="clear" w:color="auto" w:fill="CCEEFF"/>
          </w:tcPr>
          <w:p>
            <w:pPr>
              <w:spacing w:after="0" w:line="135" w:lineRule="exact"/>
              <w:rPr>
                <w:sz w:val="20"/>
                <w:szCs w:val="20"/>
                <w:color w:val="auto"/>
              </w:rPr>
            </w:pPr>
            <w:r>
              <w:rPr>
                <w:rFonts w:ascii="Arial" w:cs="Arial" w:eastAsia="Arial" w:hAnsi="Arial"/>
                <w:sz w:val="12"/>
                <w:szCs w:val="12"/>
                <w:color w:val="auto"/>
                <w:w w:val="89"/>
              </w:rPr>
              <w:t>31</w:t>
            </w:r>
          </w:p>
        </w:tc>
        <w:tc>
          <w:tcPr>
            <w:tcW w:w="2820" w:type="dxa"/>
            <w:vAlign w:val="bottom"/>
            <w:tcBorders>
              <w:top w:val="single" w:sz="8" w:color="CCEEFF"/>
            </w:tcBorders>
            <w:shd w:val="clear" w:color="auto" w:fill="CCEEFF"/>
          </w:tcPr>
          <w:p>
            <w:pPr>
              <w:ind w:left="20"/>
              <w:spacing w:after="0" w:line="135" w:lineRule="exact"/>
              <w:rPr>
                <w:sz w:val="20"/>
                <w:szCs w:val="20"/>
                <w:color w:val="auto"/>
              </w:rPr>
            </w:pPr>
            <w:r>
              <w:rPr>
                <w:rFonts w:ascii="Arial" w:cs="Arial" w:eastAsia="Arial" w:hAnsi="Arial"/>
                <w:sz w:val="12"/>
                <w:szCs w:val="12"/>
                <w:color w:val="auto"/>
              </w:rPr>
              <w:t>– 90 days past due</w:t>
            </w:r>
          </w:p>
        </w:tc>
        <w:tc>
          <w:tcPr>
            <w:tcW w:w="1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7</w:t>
            </w: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w:t>
            </w:r>
          </w:p>
        </w:tc>
        <w:tc>
          <w:tcPr>
            <w:tcW w:w="1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8</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19</w:t>
            </w:r>
          </w:p>
        </w:tc>
        <w:tc>
          <w:tcPr>
            <w:tcW w:w="6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27</w:t>
            </w:r>
          </w:p>
        </w:tc>
      </w:tr>
      <w:tr>
        <w:trPr>
          <w:trHeight w:val="153"/>
        </w:trPr>
        <w:tc>
          <w:tcPr>
            <w:tcW w:w="140" w:type="dxa"/>
            <w:vAlign w:val="bottom"/>
          </w:tcPr>
          <w:p>
            <w:pPr>
              <w:spacing w:after="0"/>
              <w:rPr>
                <w:sz w:val="20"/>
                <w:szCs w:val="20"/>
                <w:color w:val="auto"/>
              </w:rPr>
            </w:pPr>
            <w:r>
              <w:rPr>
                <w:rFonts w:ascii="Arial" w:cs="Arial" w:eastAsia="Arial" w:hAnsi="Arial"/>
                <w:sz w:val="12"/>
                <w:szCs w:val="12"/>
                <w:color w:val="auto"/>
                <w:w w:val="89"/>
              </w:rPr>
              <w:t>91</w:t>
            </w:r>
          </w:p>
        </w:tc>
        <w:tc>
          <w:tcPr>
            <w:tcW w:w="2820" w:type="dxa"/>
            <w:vAlign w:val="bottom"/>
          </w:tcPr>
          <w:p>
            <w:pPr>
              <w:ind w:left="20"/>
              <w:spacing w:after="0"/>
              <w:rPr>
                <w:sz w:val="20"/>
                <w:szCs w:val="20"/>
                <w:color w:val="auto"/>
              </w:rPr>
            </w:pPr>
            <w:r>
              <w:rPr>
                <w:rFonts w:ascii="Arial" w:cs="Arial" w:eastAsia="Arial" w:hAnsi="Arial"/>
                <w:sz w:val="12"/>
                <w:szCs w:val="12"/>
                <w:color w:val="auto"/>
              </w:rPr>
              <w:t>– 120 days past due</w:t>
            </w:r>
          </w:p>
        </w:tc>
        <w:tc>
          <w:tcPr>
            <w:tcW w:w="180" w:type="dxa"/>
            <w:vAlign w:val="bottom"/>
          </w:tcPr>
          <w:p>
            <w:pPr>
              <w:spacing w:after="0"/>
              <w:rPr>
                <w:sz w:val="13"/>
                <w:szCs w:val="13"/>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7</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2</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right"/>
              <w:ind w:right="2"/>
              <w:spacing w:after="0"/>
              <w:rPr>
                <w:sz w:val="20"/>
                <w:szCs w:val="20"/>
                <w:color w:val="auto"/>
              </w:rPr>
            </w:pPr>
            <w:r>
              <w:rPr>
                <w:rFonts w:ascii="Arial" w:cs="Arial" w:eastAsia="Arial" w:hAnsi="Arial"/>
                <w:sz w:val="12"/>
                <w:szCs w:val="12"/>
                <w:color w:val="auto"/>
              </w:rPr>
              <w:t>7</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ind w:right="1"/>
              <w:spacing w:after="0"/>
              <w:rPr>
                <w:sz w:val="20"/>
                <w:szCs w:val="20"/>
                <w:color w:val="auto"/>
              </w:rPr>
            </w:pPr>
            <w:r>
              <w:rPr>
                <w:rFonts w:ascii="Arial" w:cs="Arial" w:eastAsia="Arial" w:hAnsi="Arial"/>
                <w:sz w:val="12"/>
                <w:szCs w:val="12"/>
                <w:color w:val="auto"/>
              </w:rPr>
              <w:t>9</w:t>
            </w:r>
          </w:p>
        </w:tc>
      </w:tr>
      <w:tr>
        <w:trPr>
          <w:trHeight w:val="153"/>
        </w:trPr>
        <w:tc>
          <w:tcPr>
            <w:tcW w:w="29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Greater than 120 days past due</w:t>
            </w:r>
          </w:p>
        </w:tc>
        <w:tc>
          <w:tcPr>
            <w:tcW w:w="18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121</w:t>
            </w:r>
          </w:p>
        </w:tc>
        <w:tc>
          <w:tcPr>
            <w:tcW w:w="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10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125</w:t>
            </w: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107</w:t>
            </w:r>
          </w:p>
        </w:tc>
        <w:tc>
          <w:tcPr>
            <w:tcW w:w="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5</w:t>
            </w:r>
          </w:p>
        </w:tc>
        <w:tc>
          <w:tcPr>
            <w:tcW w:w="6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112</w:t>
            </w:r>
          </w:p>
        </w:tc>
      </w:tr>
      <w:tr>
        <w:trPr>
          <w:trHeight w:val="142"/>
        </w:trPr>
        <w:tc>
          <w:tcPr>
            <w:tcW w:w="140" w:type="dxa"/>
            <w:vAlign w:val="bottom"/>
          </w:tcPr>
          <w:p>
            <w:pPr>
              <w:spacing w:after="0"/>
              <w:rPr>
                <w:sz w:val="12"/>
                <w:szCs w:val="12"/>
                <w:color w:val="auto"/>
              </w:rPr>
            </w:pPr>
          </w:p>
        </w:tc>
        <w:tc>
          <w:tcPr>
            <w:tcW w:w="2820" w:type="dxa"/>
            <w:vAlign w:val="bottom"/>
          </w:tcPr>
          <w:p>
            <w:pPr>
              <w:spacing w:after="0" w:line="133" w:lineRule="exact"/>
              <w:rPr>
                <w:sz w:val="20"/>
                <w:szCs w:val="20"/>
                <w:color w:val="auto"/>
              </w:rPr>
            </w:pPr>
            <w:r>
              <w:rPr>
                <w:rFonts w:ascii="Arial" w:cs="Arial" w:eastAsia="Arial" w:hAnsi="Arial"/>
                <w:sz w:val="12"/>
                <w:szCs w:val="12"/>
                <w:color w:val="auto"/>
              </w:rPr>
              <w:t>Total past due</w:t>
            </w:r>
          </w:p>
        </w:tc>
        <w:tc>
          <w:tcPr>
            <w:tcW w:w="180" w:type="dxa"/>
            <w:vAlign w:val="bottom"/>
          </w:tcPr>
          <w:p>
            <w:pPr>
              <w:spacing w:after="0"/>
              <w:rPr>
                <w:sz w:val="12"/>
                <w:szCs w:val="12"/>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131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23</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154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117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right"/>
              <w:ind w:right="2"/>
              <w:spacing w:after="0"/>
              <w:rPr>
                <w:sz w:val="20"/>
                <w:szCs w:val="20"/>
                <w:color w:val="auto"/>
              </w:rPr>
            </w:pPr>
            <w:r>
              <w:rPr>
                <w:rFonts w:ascii="Arial" w:cs="Arial" w:eastAsia="Arial" w:hAnsi="Arial"/>
                <w:sz w:val="12"/>
                <w:szCs w:val="12"/>
                <w:color w:val="auto"/>
              </w:rPr>
              <w:t>31</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right"/>
              <w:ind w:right="1"/>
              <w:spacing w:after="0"/>
              <w:rPr>
                <w:sz w:val="20"/>
                <w:szCs w:val="20"/>
                <w:color w:val="auto"/>
              </w:rPr>
            </w:pPr>
            <w:r>
              <w:rPr>
                <w:rFonts w:ascii="Arial" w:cs="Arial" w:eastAsia="Arial" w:hAnsi="Arial"/>
                <w:sz w:val="12"/>
                <w:szCs w:val="12"/>
                <w:color w:val="auto"/>
              </w:rPr>
              <w:t>148</w:t>
            </w:r>
          </w:p>
        </w:tc>
      </w:tr>
      <w:tr>
        <w:trPr>
          <w:trHeight w:val="153"/>
        </w:trPr>
        <w:tc>
          <w:tcPr>
            <w:tcW w:w="29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Current</w:t>
            </w:r>
          </w:p>
        </w:tc>
        <w:tc>
          <w:tcPr>
            <w:tcW w:w="18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182</w:t>
            </w:r>
          </w:p>
        </w:tc>
        <w:tc>
          <w:tcPr>
            <w:tcW w:w="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758</w:t>
            </w:r>
          </w:p>
        </w:tc>
        <w:tc>
          <w:tcPr>
            <w:tcW w:w="10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940</w:t>
            </w: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123</w:t>
            </w:r>
          </w:p>
        </w:tc>
        <w:tc>
          <w:tcPr>
            <w:tcW w:w="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550</w:t>
            </w:r>
          </w:p>
        </w:tc>
        <w:tc>
          <w:tcPr>
            <w:tcW w:w="6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673</w:t>
            </w:r>
          </w:p>
        </w:tc>
      </w:tr>
      <w:tr>
        <w:trPr>
          <w:trHeight w:val="142"/>
        </w:trPr>
        <w:tc>
          <w:tcPr>
            <w:tcW w:w="140" w:type="dxa"/>
            <w:vAlign w:val="bottom"/>
          </w:tcPr>
          <w:p>
            <w:pPr>
              <w:spacing w:after="0"/>
              <w:rPr>
                <w:sz w:val="12"/>
                <w:szCs w:val="12"/>
                <w:color w:val="auto"/>
              </w:rPr>
            </w:pPr>
          </w:p>
        </w:tc>
        <w:tc>
          <w:tcPr>
            <w:tcW w:w="2820" w:type="dxa"/>
            <w:vAlign w:val="bottom"/>
          </w:tcPr>
          <w:p>
            <w:pPr>
              <w:spacing w:after="0" w:line="133" w:lineRule="exact"/>
              <w:rPr>
                <w:sz w:val="20"/>
                <w:szCs w:val="20"/>
                <w:color w:val="auto"/>
              </w:rPr>
            </w:pPr>
            <w:r>
              <w:rPr>
                <w:rFonts w:ascii="Arial" w:cs="Arial" w:eastAsia="Arial" w:hAnsi="Arial"/>
                <w:sz w:val="12"/>
                <w:szCs w:val="12"/>
                <w:color w:val="auto"/>
              </w:rPr>
              <w:t>Total vacation ownership notes receivable</w:t>
            </w:r>
          </w:p>
        </w:tc>
        <w:tc>
          <w:tcPr>
            <w:tcW w:w="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313</w:t>
            </w:r>
          </w:p>
        </w:tc>
        <w:tc>
          <w:tcPr>
            <w:tcW w:w="80" w:type="dxa"/>
            <w:vAlign w:val="bottom"/>
          </w:tcPr>
          <w:p>
            <w:pPr>
              <w:spacing w:after="0"/>
              <w:rPr>
                <w:sz w:val="12"/>
                <w:szCs w:val="12"/>
                <w:color w:val="auto"/>
              </w:rPr>
            </w:pPr>
          </w:p>
        </w:tc>
        <w:tc>
          <w:tcPr>
            <w:tcW w:w="1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781</w:t>
            </w:r>
          </w:p>
        </w:tc>
        <w:tc>
          <w:tcPr>
            <w:tcW w:w="100" w:type="dxa"/>
            <w:vAlign w:val="bottom"/>
          </w:tcPr>
          <w:p>
            <w:pPr>
              <w:spacing w:after="0"/>
              <w:rPr>
                <w:sz w:val="12"/>
                <w:szCs w:val="12"/>
                <w:color w:val="auto"/>
              </w:rPr>
            </w:pP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1,094</w:t>
            </w:r>
          </w:p>
        </w:tc>
        <w:tc>
          <w:tcPr>
            <w:tcW w:w="80" w:type="dxa"/>
            <w:vAlign w:val="bottom"/>
          </w:tcPr>
          <w:p>
            <w:pPr>
              <w:spacing w:after="0"/>
              <w:rPr>
                <w:sz w:val="12"/>
                <w:szCs w:val="12"/>
                <w:color w:val="auto"/>
              </w:rPr>
            </w:pPr>
          </w:p>
        </w:tc>
        <w:tc>
          <w:tcPr>
            <w:tcW w:w="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240</w:t>
            </w:r>
          </w:p>
        </w:tc>
        <w:tc>
          <w:tcPr>
            <w:tcW w:w="6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581</w:t>
            </w:r>
          </w:p>
        </w:tc>
        <w:tc>
          <w:tcPr>
            <w:tcW w:w="60" w:type="dxa"/>
            <w:vAlign w:val="bottom"/>
          </w:tcPr>
          <w:p>
            <w:pPr>
              <w:spacing w:after="0"/>
              <w:rPr>
                <w:sz w:val="12"/>
                <w:szCs w:val="12"/>
                <w:color w:val="auto"/>
              </w:rPr>
            </w:pPr>
          </w:p>
        </w:tc>
        <w:tc>
          <w:tcPr>
            <w:tcW w:w="32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821</w:t>
            </w:r>
          </w:p>
        </w:tc>
      </w:tr>
      <w:tr>
        <w:trPr>
          <w:trHeight w:val="20"/>
        </w:trPr>
        <w:tc>
          <w:tcPr>
            <w:tcW w:w="1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right="120" w:firstLine="432"/>
        <w:spacing w:after="0" w:line="273" w:lineRule="auto"/>
        <w:rPr>
          <w:sz w:val="20"/>
          <w:szCs w:val="20"/>
          <w:color w:val="auto"/>
        </w:rPr>
      </w:pPr>
      <w:r>
        <w:rPr>
          <w:rFonts w:ascii="Arial" w:cs="Arial" w:eastAsia="Arial" w:hAnsi="Arial"/>
          <w:sz w:val="12"/>
          <w:szCs w:val="12"/>
          <w:color w:val="auto"/>
        </w:rPr>
        <w:t>The following tables show the Legacy-ILG and Legacy-Welk acquired vacation ownership notes receivable by brand and FICO score, before reserves. Vacation ownership notes receivable with no FICO score primarily relate to non-U.S. resident borrowers.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9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240" w:type="dxa"/>
            <w:vAlign w:val="bottom"/>
            <w:tcBorders>
              <w:bottom w:val="single" w:sz="8" w:color="auto"/>
            </w:tcBorders>
            <w:gridSpan w:val="8"/>
          </w:tcPr>
          <w:p>
            <w:pPr>
              <w:ind w:left="420"/>
              <w:spacing w:after="0"/>
              <w:rPr>
                <w:sz w:val="20"/>
                <w:szCs w:val="20"/>
                <w:color w:val="auto"/>
              </w:rPr>
            </w:pPr>
            <w:r>
              <w:rPr>
                <w:rFonts w:ascii="Arial" w:cs="Arial" w:eastAsia="Arial" w:hAnsi="Arial"/>
                <w:sz w:val="11"/>
                <w:szCs w:val="11"/>
                <w:b w:val="1"/>
                <w:bCs w:val="1"/>
                <w:color w:val="auto"/>
              </w:rPr>
              <w:t>Acquired Vacation Ownership Notes Receivable as of June 30, 2021</w:t>
            </w: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r>
      <w:tr>
        <w:trPr>
          <w:trHeight w:val="133"/>
        </w:trPr>
        <w:tc>
          <w:tcPr>
            <w:tcW w:w="3960" w:type="dxa"/>
            <w:vAlign w:val="bottom"/>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320" w:type="dxa"/>
            <w:vAlign w:val="bottom"/>
          </w:tcPr>
          <w:p>
            <w:pPr>
              <w:spacing w:after="0"/>
              <w:rPr>
                <w:sz w:val="11"/>
                <w:szCs w:val="11"/>
                <w:color w:val="auto"/>
              </w:rPr>
            </w:pPr>
          </w:p>
        </w:tc>
        <w:tc>
          <w:tcPr>
            <w:tcW w:w="1080" w:type="dxa"/>
            <w:vAlign w:val="bottom"/>
          </w:tcPr>
          <w:p>
            <w:pPr>
              <w:jc w:val="right"/>
              <w:ind w:right="521"/>
              <w:spacing w:after="0"/>
              <w:rPr>
                <w:sz w:val="20"/>
                <w:szCs w:val="20"/>
                <w:color w:val="auto"/>
              </w:rPr>
            </w:pPr>
            <w:r>
              <w:rPr>
                <w:rFonts w:ascii="Arial" w:cs="Arial" w:eastAsia="Arial" w:hAnsi="Arial"/>
                <w:sz w:val="11"/>
                <w:szCs w:val="11"/>
                <w:b w:val="1"/>
                <w:bCs w:val="1"/>
                <w:color w:val="auto"/>
              </w:rPr>
              <w:t>700 +</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jc w:val="right"/>
              <w:ind w:right="421"/>
              <w:spacing w:after="0"/>
              <w:rPr>
                <w:sz w:val="20"/>
                <w:szCs w:val="20"/>
                <w:color w:val="auto"/>
              </w:rPr>
            </w:pPr>
            <w:r>
              <w:rPr>
                <w:rFonts w:ascii="Arial" w:cs="Arial" w:eastAsia="Arial" w:hAnsi="Arial"/>
                <w:sz w:val="11"/>
                <w:szCs w:val="11"/>
                <w:b w:val="1"/>
                <w:bCs w:val="1"/>
                <w:color w:val="auto"/>
              </w:rPr>
              <w:t>600 - 699</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jc w:val="right"/>
              <w:ind w:right="501"/>
              <w:spacing w:after="0"/>
              <w:rPr>
                <w:sz w:val="20"/>
                <w:szCs w:val="20"/>
                <w:color w:val="auto"/>
              </w:rPr>
            </w:pPr>
            <w:r>
              <w:rPr>
                <w:rFonts w:ascii="Arial" w:cs="Arial" w:eastAsia="Arial" w:hAnsi="Arial"/>
                <w:sz w:val="11"/>
                <w:szCs w:val="11"/>
                <w:b w:val="1"/>
                <w:bCs w:val="1"/>
                <w:color w:val="auto"/>
              </w:rPr>
              <w:t>&lt; 600</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200"/>
              <w:spacing w:after="0"/>
              <w:rPr>
                <w:sz w:val="20"/>
                <w:szCs w:val="20"/>
                <w:color w:val="auto"/>
              </w:rPr>
            </w:pPr>
            <w:r>
              <w:rPr>
                <w:rFonts w:ascii="Arial" w:cs="Arial" w:eastAsia="Arial" w:hAnsi="Arial"/>
                <w:sz w:val="11"/>
                <w:szCs w:val="11"/>
                <w:b w:val="1"/>
                <w:bCs w:val="1"/>
                <w:color w:val="auto"/>
              </w:rPr>
              <w:t>No Score</w:t>
            </w:r>
          </w:p>
        </w:tc>
        <w:tc>
          <w:tcPr>
            <w:tcW w:w="320" w:type="dxa"/>
            <w:vAlign w:val="bottom"/>
          </w:tcPr>
          <w:p>
            <w:pPr>
              <w:spacing w:after="0"/>
              <w:rPr>
                <w:sz w:val="11"/>
                <w:szCs w:val="11"/>
                <w:color w:val="auto"/>
              </w:rPr>
            </w:pPr>
          </w:p>
        </w:tc>
        <w:tc>
          <w:tcPr>
            <w:tcW w:w="1080" w:type="dxa"/>
            <w:vAlign w:val="bottom"/>
          </w:tcPr>
          <w:p>
            <w:pPr>
              <w:jc w:val="right"/>
              <w:ind w:right="521"/>
              <w:spacing w:after="0"/>
              <w:rPr>
                <w:sz w:val="20"/>
                <w:szCs w:val="20"/>
                <w:color w:val="auto"/>
              </w:rPr>
            </w:pPr>
            <w:r>
              <w:rPr>
                <w:rFonts w:ascii="Arial" w:cs="Arial" w:eastAsia="Arial" w:hAnsi="Arial"/>
                <w:sz w:val="11"/>
                <w:szCs w:val="11"/>
                <w:b w:val="1"/>
                <w:bCs w:val="1"/>
                <w:color w:val="auto"/>
              </w:rPr>
              <w:t>Total</w:t>
            </w:r>
          </w:p>
        </w:tc>
      </w:tr>
      <w:tr>
        <w:trPr>
          <w:trHeight w:val="144"/>
        </w:trPr>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Westin</w:t>
            </w:r>
          </w:p>
        </w:tc>
        <w:tc>
          <w:tcPr>
            <w:tcW w:w="320" w:type="dxa"/>
            <w:vAlign w:val="bottom"/>
            <w:tcBorders>
              <w:top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67</w:t>
            </w: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w:t>
            </w:r>
          </w:p>
        </w:tc>
        <w:tc>
          <w:tcPr>
            <w:tcW w:w="1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0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9</w:t>
            </w:r>
          </w:p>
        </w:tc>
        <w:tc>
          <w:tcPr>
            <w:tcW w:w="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119</w:t>
            </w:r>
          </w:p>
        </w:tc>
      </w:tr>
      <w:tr>
        <w:trPr>
          <w:trHeight w:val="153"/>
        </w:trPr>
        <w:tc>
          <w:tcPr>
            <w:tcW w:w="3960" w:type="dxa"/>
            <w:vAlign w:val="bottom"/>
          </w:tcPr>
          <w:p>
            <w:pPr>
              <w:spacing w:after="0"/>
              <w:rPr>
                <w:sz w:val="20"/>
                <w:szCs w:val="20"/>
                <w:color w:val="auto"/>
              </w:rPr>
            </w:pPr>
            <w:r>
              <w:rPr>
                <w:rFonts w:ascii="Arial" w:cs="Arial" w:eastAsia="Arial" w:hAnsi="Arial"/>
                <w:sz w:val="12"/>
                <w:szCs w:val="12"/>
                <w:color w:val="auto"/>
              </w:rPr>
              <w:t>Sheraton</w:t>
            </w:r>
          </w:p>
        </w:tc>
        <w:tc>
          <w:tcPr>
            <w:tcW w:w="320" w:type="dxa"/>
            <w:vAlign w:val="bottom"/>
          </w:tcPr>
          <w:p>
            <w:pPr>
              <w:spacing w:after="0"/>
              <w:rPr>
                <w:sz w:val="13"/>
                <w:szCs w:val="13"/>
                <w:color w:val="auto"/>
              </w:rPr>
            </w:pPr>
          </w:p>
        </w:tc>
        <w:tc>
          <w:tcPr>
            <w:tcW w:w="1080" w:type="dxa"/>
            <w:vAlign w:val="bottom"/>
          </w:tcPr>
          <w:p>
            <w:pPr>
              <w:jc w:val="right"/>
              <w:ind w:right="1"/>
              <w:spacing w:after="0"/>
              <w:rPr>
                <w:sz w:val="20"/>
                <w:szCs w:val="20"/>
                <w:color w:val="auto"/>
              </w:rPr>
            </w:pPr>
            <w:r>
              <w:rPr>
                <w:rFonts w:ascii="Arial" w:cs="Arial" w:eastAsia="Arial" w:hAnsi="Arial"/>
                <w:sz w:val="12"/>
                <w:szCs w:val="12"/>
                <w:color w:val="auto"/>
              </w:rPr>
              <w:t>66</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61</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jc w:val="right"/>
              <w:ind w:right="1"/>
              <w:spacing w:after="0"/>
              <w:rPr>
                <w:sz w:val="20"/>
                <w:szCs w:val="20"/>
                <w:color w:val="auto"/>
              </w:rPr>
            </w:pPr>
            <w:r>
              <w:rPr>
                <w:rFonts w:ascii="Arial" w:cs="Arial" w:eastAsia="Arial" w:hAnsi="Arial"/>
                <w:sz w:val="12"/>
                <w:szCs w:val="12"/>
                <w:color w:val="auto"/>
              </w:rPr>
              <w:t>26</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ind w:right="1"/>
              <w:spacing w:after="0"/>
              <w:rPr>
                <w:sz w:val="20"/>
                <w:szCs w:val="20"/>
                <w:color w:val="auto"/>
              </w:rPr>
            </w:pPr>
            <w:r>
              <w:rPr>
                <w:rFonts w:ascii="Arial" w:cs="Arial" w:eastAsia="Arial" w:hAnsi="Arial"/>
                <w:sz w:val="12"/>
                <w:szCs w:val="12"/>
                <w:color w:val="auto"/>
              </w:rPr>
              <w:t>164</w:t>
            </w:r>
          </w:p>
        </w:tc>
      </w:tr>
      <w:tr>
        <w:trPr>
          <w:trHeight w:val="153"/>
        </w:trPr>
        <w:tc>
          <w:tcPr>
            <w:tcW w:w="3960" w:type="dxa"/>
            <w:vAlign w:val="bottom"/>
            <w:shd w:val="clear" w:color="auto" w:fill="CCEEFF"/>
          </w:tcPr>
          <w:p>
            <w:pPr>
              <w:spacing w:after="0"/>
              <w:rPr>
                <w:sz w:val="20"/>
                <w:szCs w:val="20"/>
                <w:color w:val="auto"/>
              </w:rPr>
            </w:pPr>
            <w:r>
              <w:rPr>
                <w:rFonts w:ascii="Arial" w:cs="Arial" w:eastAsia="Arial" w:hAnsi="Arial"/>
                <w:sz w:val="12"/>
                <w:szCs w:val="12"/>
                <w:color w:val="auto"/>
              </w:rPr>
              <w:t>Hyatt</w:t>
            </w: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10</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19</w:t>
            </w:r>
          </w:p>
        </w:tc>
      </w:tr>
      <w:tr>
        <w:trPr>
          <w:trHeight w:val="153"/>
        </w:trPr>
        <w:tc>
          <w:tcPr>
            <w:tcW w:w="3960" w:type="dxa"/>
            <w:vAlign w:val="bottom"/>
          </w:tcPr>
          <w:p>
            <w:pPr>
              <w:spacing w:after="0"/>
              <w:rPr>
                <w:sz w:val="20"/>
                <w:szCs w:val="20"/>
                <w:color w:val="auto"/>
              </w:rPr>
            </w:pPr>
            <w:r>
              <w:rPr>
                <w:rFonts w:ascii="Arial" w:cs="Arial" w:eastAsia="Arial" w:hAnsi="Arial"/>
                <w:sz w:val="12"/>
                <w:szCs w:val="12"/>
                <w:color w:val="auto"/>
              </w:rPr>
              <w:t>Welk</w:t>
            </w:r>
          </w:p>
        </w:tc>
        <w:tc>
          <w:tcPr>
            <w:tcW w:w="320" w:type="dxa"/>
            <w:vAlign w:val="bottom"/>
          </w:tcPr>
          <w:p>
            <w:pPr>
              <w:spacing w:after="0"/>
              <w:rPr>
                <w:sz w:val="13"/>
                <w:szCs w:val="13"/>
                <w:color w:val="auto"/>
              </w:rPr>
            </w:pPr>
          </w:p>
        </w:tc>
        <w:tc>
          <w:tcPr>
            <w:tcW w:w="1080" w:type="dxa"/>
            <w:vAlign w:val="bottom"/>
          </w:tcPr>
          <w:p>
            <w:pPr>
              <w:jc w:val="right"/>
              <w:ind w:right="1"/>
              <w:spacing w:after="0"/>
              <w:rPr>
                <w:sz w:val="20"/>
                <w:szCs w:val="20"/>
                <w:color w:val="auto"/>
              </w:rPr>
            </w:pPr>
            <w:r>
              <w:rPr>
                <w:rFonts w:ascii="Arial" w:cs="Arial" w:eastAsia="Arial" w:hAnsi="Arial"/>
                <w:sz w:val="12"/>
                <w:szCs w:val="12"/>
                <w:color w:val="auto"/>
              </w:rPr>
              <w:t>147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101</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jc w:val="right"/>
              <w:ind w:right="1"/>
              <w:spacing w:after="0"/>
              <w:rPr>
                <w:sz w:val="20"/>
                <w:szCs w:val="20"/>
                <w:color w:val="auto"/>
              </w:rPr>
            </w:pPr>
            <w:r>
              <w:rPr>
                <w:rFonts w:ascii="Arial" w:cs="Arial" w:eastAsia="Arial" w:hAnsi="Arial"/>
                <w:sz w:val="12"/>
                <w:szCs w:val="12"/>
                <w:color w:val="auto"/>
              </w:rPr>
              <w:t>3</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ind w:right="1"/>
              <w:spacing w:after="0"/>
              <w:rPr>
                <w:sz w:val="20"/>
                <w:szCs w:val="20"/>
                <w:color w:val="auto"/>
              </w:rPr>
            </w:pPr>
            <w:r>
              <w:rPr>
                <w:rFonts w:ascii="Arial" w:cs="Arial" w:eastAsia="Arial" w:hAnsi="Arial"/>
                <w:sz w:val="12"/>
                <w:szCs w:val="12"/>
                <w:color w:val="auto"/>
              </w:rPr>
              <w:t>252</w:t>
            </w:r>
          </w:p>
        </w:tc>
      </w:tr>
      <w:tr>
        <w:trPr>
          <w:trHeight w:val="153"/>
        </w:trPr>
        <w:tc>
          <w:tcPr>
            <w:tcW w:w="3960" w:type="dxa"/>
            <w:vAlign w:val="bottom"/>
            <w:shd w:val="clear" w:color="auto" w:fill="CCEEFF"/>
          </w:tcPr>
          <w:p>
            <w:pPr>
              <w:spacing w:after="0"/>
              <w:rPr>
                <w:sz w:val="20"/>
                <w:szCs w:val="20"/>
                <w:color w:val="auto"/>
              </w:rPr>
            </w:pPr>
            <w:r>
              <w:rPr>
                <w:rFonts w:ascii="Arial" w:cs="Arial" w:eastAsia="Arial" w:hAnsi="Arial"/>
                <w:sz w:val="12"/>
                <w:szCs w:val="12"/>
                <w:color w:val="auto"/>
              </w:rPr>
              <w:t>Other</w:t>
            </w: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w:t>
            </w:r>
          </w:p>
        </w:tc>
      </w:tr>
      <w:tr>
        <w:trPr>
          <w:trHeight w:val="142"/>
        </w:trPr>
        <w:tc>
          <w:tcPr>
            <w:tcW w:w="396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2"/>
                <w:szCs w:val="12"/>
                <w:color w:val="auto"/>
                <w:w w:val="89"/>
              </w:rPr>
              <w:t>$</w:t>
            </w:r>
          </w:p>
        </w:tc>
        <w:tc>
          <w:tcPr>
            <w:tcW w:w="10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292</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209</w:t>
            </w:r>
          </w:p>
        </w:tc>
        <w:tc>
          <w:tcPr>
            <w:tcW w:w="10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16</w:t>
            </w:r>
          </w:p>
        </w:tc>
        <w:tc>
          <w:tcPr>
            <w:tcW w:w="10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41</w:t>
            </w:r>
          </w:p>
        </w:tc>
        <w:tc>
          <w:tcPr>
            <w:tcW w:w="8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2"/>
                <w:szCs w:val="12"/>
                <w:color w:val="auto"/>
                <w:w w:val="89"/>
              </w:rPr>
              <w:t>$</w:t>
            </w:r>
          </w:p>
        </w:tc>
        <w:tc>
          <w:tcPr>
            <w:tcW w:w="10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558</w:t>
            </w:r>
          </w:p>
        </w:tc>
      </w:tr>
      <w:tr>
        <w:trPr>
          <w:trHeight w:val="20"/>
        </w:trPr>
        <w:tc>
          <w:tcPr>
            <w:tcW w:w="3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318"/>
        </w:trPr>
        <w:tc>
          <w:tcPr>
            <w:tcW w:w="3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right"/>
              <w:ind w:right="861"/>
              <w:spacing w:after="0"/>
              <w:rPr>
                <w:sz w:val="20"/>
                <w:szCs w:val="20"/>
                <w:color w:val="auto"/>
              </w:rPr>
            </w:pPr>
            <w:r>
              <w:rPr>
                <w:rFonts w:ascii="Arial" w:cs="Arial" w:eastAsia="Arial" w:hAnsi="Arial"/>
                <w:sz w:val="12"/>
                <w:szCs w:val="12"/>
                <w:color w:val="auto"/>
              </w:rPr>
              <w:t>20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06"/>
        </w:trPr>
        <w:tc>
          <w:tcPr>
            <w:tcW w:w="39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22" w:name="page23"/>
    <w:bookmarkEnd w:id="22"/>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9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376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1"/>
                <w:szCs w:val="11"/>
                <w:b w:val="1"/>
                <w:bCs w:val="1"/>
                <w:color w:val="auto"/>
                <w:w w:val="93"/>
              </w:rPr>
              <w:t>Acquired Vacation Ownership Notes Receivable as of December 31, 2020</w:t>
            </w:r>
          </w:p>
        </w:tc>
        <w:tc>
          <w:tcPr>
            <w:tcW w:w="3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r>
      <w:tr>
        <w:trPr>
          <w:trHeight w:val="133"/>
        </w:trPr>
        <w:tc>
          <w:tcPr>
            <w:tcW w:w="396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3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521"/>
              <w:spacing w:after="0"/>
              <w:rPr>
                <w:sz w:val="20"/>
                <w:szCs w:val="20"/>
                <w:color w:val="auto"/>
              </w:rPr>
            </w:pPr>
            <w:r>
              <w:rPr>
                <w:rFonts w:ascii="Arial" w:cs="Arial" w:eastAsia="Arial" w:hAnsi="Arial"/>
                <w:sz w:val="11"/>
                <w:szCs w:val="11"/>
                <w:b w:val="1"/>
                <w:bCs w:val="1"/>
                <w:color w:val="auto"/>
              </w:rPr>
              <w:t>700 +</w:t>
            </w:r>
          </w:p>
        </w:tc>
        <w:tc>
          <w:tcPr>
            <w:tcW w:w="8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422"/>
              <w:spacing w:after="0"/>
              <w:rPr>
                <w:sz w:val="20"/>
                <w:szCs w:val="20"/>
                <w:color w:val="auto"/>
              </w:rPr>
            </w:pPr>
            <w:r>
              <w:rPr>
                <w:rFonts w:ascii="Arial" w:cs="Arial" w:eastAsia="Arial" w:hAnsi="Arial"/>
                <w:sz w:val="11"/>
                <w:szCs w:val="11"/>
                <w:b w:val="1"/>
                <w:bCs w:val="1"/>
                <w:color w:val="auto"/>
              </w:rPr>
              <w:t>600 - 699</w:t>
            </w:r>
          </w:p>
        </w:tc>
        <w:tc>
          <w:tcPr>
            <w:tcW w:w="1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501"/>
              <w:spacing w:after="0"/>
              <w:rPr>
                <w:sz w:val="20"/>
                <w:szCs w:val="20"/>
                <w:color w:val="auto"/>
              </w:rPr>
            </w:pPr>
            <w:r>
              <w:rPr>
                <w:rFonts w:ascii="Arial" w:cs="Arial" w:eastAsia="Arial" w:hAnsi="Arial"/>
                <w:sz w:val="11"/>
                <w:szCs w:val="11"/>
                <w:b w:val="1"/>
                <w:bCs w:val="1"/>
                <w:color w:val="auto"/>
              </w:rPr>
              <w:t>&lt; 600</w:t>
            </w:r>
          </w:p>
        </w:tc>
        <w:tc>
          <w:tcPr>
            <w:tcW w:w="100" w:type="dxa"/>
            <w:vAlign w:val="bottom"/>
            <w:tcBorders>
              <w:bottom w:val="single" w:sz="8" w:color="CCEEFF"/>
            </w:tcBorders>
          </w:tcPr>
          <w:p>
            <w:pPr>
              <w:spacing w:after="0"/>
              <w:rPr>
                <w:sz w:val="11"/>
                <w:szCs w:val="11"/>
                <w:color w:val="auto"/>
              </w:rPr>
            </w:pP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1"/>
                <w:szCs w:val="11"/>
                <w:b w:val="1"/>
                <w:bCs w:val="1"/>
                <w:color w:val="auto"/>
              </w:rPr>
              <w:t>No Score</w:t>
            </w:r>
          </w:p>
        </w:tc>
        <w:tc>
          <w:tcPr>
            <w:tcW w:w="34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521"/>
              <w:spacing w:after="0"/>
              <w:rPr>
                <w:sz w:val="20"/>
                <w:szCs w:val="20"/>
                <w:color w:val="auto"/>
              </w:rPr>
            </w:pPr>
            <w:r>
              <w:rPr>
                <w:rFonts w:ascii="Arial" w:cs="Arial" w:eastAsia="Arial" w:hAnsi="Arial"/>
                <w:sz w:val="11"/>
                <w:szCs w:val="11"/>
                <w:b w:val="1"/>
                <w:bCs w:val="1"/>
                <w:color w:val="auto"/>
              </w:rPr>
              <w:t>Total</w:t>
            </w:r>
          </w:p>
        </w:tc>
      </w:tr>
      <w:tr>
        <w:trPr>
          <w:trHeight w:val="144"/>
        </w:trPr>
        <w:tc>
          <w:tcPr>
            <w:tcW w:w="39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Westin</w:t>
            </w: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81</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950"/>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144</w:t>
            </w:r>
          </w:p>
        </w:tc>
      </w:tr>
      <w:tr>
        <w:trPr>
          <w:trHeight w:val="153"/>
        </w:trPr>
        <w:tc>
          <w:tcPr>
            <w:tcW w:w="3960" w:type="dxa"/>
            <w:vAlign w:val="bottom"/>
          </w:tcPr>
          <w:p>
            <w:pPr>
              <w:spacing w:after="0"/>
              <w:rPr>
                <w:sz w:val="20"/>
                <w:szCs w:val="20"/>
                <w:color w:val="auto"/>
              </w:rPr>
            </w:pPr>
            <w:r>
              <w:rPr>
                <w:rFonts w:ascii="Arial" w:cs="Arial" w:eastAsia="Arial" w:hAnsi="Arial"/>
                <w:sz w:val="12"/>
                <w:szCs w:val="12"/>
                <w:color w:val="auto"/>
              </w:rPr>
              <w:t>Sheraton</w:t>
            </w:r>
          </w:p>
        </w:tc>
        <w:tc>
          <w:tcPr>
            <w:tcW w:w="320" w:type="dxa"/>
            <w:vAlign w:val="bottom"/>
          </w:tcPr>
          <w:p>
            <w:pPr>
              <w:spacing w:after="0"/>
              <w:rPr>
                <w:sz w:val="13"/>
                <w:szCs w:val="13"/>
                <w:color w:val="auto"/>
              </w:rPr>
            </w:pPr>
          </w:p>
        </w:tc>
        <w:tc>
          <w:tcPr>
            <w:tcW w:w="1080" w:type="dxa"/>
            <w:vAlign w:val="bottom"/>
          </w:tcPr>
          <w:p>
            <w:pPr>
              <w:jc w:val="right"/>
              <w:ind w:right="1"/>
              <w:spacing w:after="0"/>
              <w:rPr>
                <w:sz w:val="20"/>
                <w:szCs w:val="20"/>
                <w:color w:val="auto"/>
              </w:rPr>
            </w:pPr>
            <w:r>
              <w:rPr>
                <w:rFonts w:ascii="Arial" w:cs="Arial" w:eastAsia="Arial" w:hAnsi="Arial"/>
                <w:sz w:val="12"/>
                <w:szCs w:val="12"/>
                <w:color w:val="auto"/>
              </w:rPr>
              <w:t>81</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73</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13</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31</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ind w:right="1"/>
              <w:spacing w:after="0"/>
              <w:rPr>
                <w:sz w:val="20"/>
                <w:szCs w:val="20"/>
                <w:color w:val="auto"/>
              </w:rPr>
            </w:pPr>
            <w:r>
              <w:rPr>
                <w:rFonts w:ascii="Arial" w:cs="Arial" w:eastAsia="Arial" w:hAnsi="Arial"/>
                <w:sz w:val="12"/>
                <w:szCs w:val="12"/>
                <w:color w:val="auto"/>
              </w:rPr>
              <w:t>198</w:t>
            </w:r>
          </w:p>
        </w:tc>
      </w:tr>
      <w:tr>
        <w:trPr>
          <w:trHeight w:val="153"/>
        </w:trPr>
        <w:tc>
          <w:tcPr>
            <w:tcW w:w="3960" w:type="dxa"/>
            <w:vAlign w:val="bottom"/>
            <w:shd w:val="clear" w:color="auto" w:fill="CCEEFF"/>
          </w:tcPr>
          <w:p>
            <w:pPr>
              <w:spacing w:after="0"/>
              <w:rPr>
                <w:sz w:val="20"/>
                <w:szCs w:val="20"/>
                <w:color w:val="auto"/>
              </w:rPr>
            </w:pPr>
            <w:r>
              <w:rPr>
                <w:rFonts w:ascii="Arial" w:cs="Arial" w:eastAsia="Arial" w:hAnsi="Arial"/>
                <w:sz w:val="12"/>
                <w:szCs w:val="12"/>
                <w:color w:val="auto"/>
              </w:rPr>
              <w:t>Hyatt</w:t>
            </w: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12</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22</w:t>
            </w:r>
          </w:p>
        </w:tc>
      </w:tr>
      <w:tr>
        <w:trPr>
          <w:trHeight w:val="153"/>
        </w:trPr>
        <w:tc>
          <w:tcPr>
            <w:tcW w:w="3960" w:type="dxa"/>
            <w:vAlign w:val="bottom"/>
          </w:tcPr>
          <w:p>
            <w:pPr>
              <w:spacing w:after="0"/>
              <w:rPr>
                <w:sz w:val="20"/>
                <w:szCs w:val="20"/>
                <w:color w:val="auto"/>
              </w:rPr>
            </w:pPr>
            <w:r>
              <w:rPr>
                <w:rFonts w:ascii="Arial" w:cs="Arial" w:eastAsia="Arial" w:hAnsi="Arial"/>
                <w:sz w:val="12"/>
                <w:szCs w:val="12"/>
                <w:color w:val="auto"/>
              </w:rPr>
              <w:t>Other</w:t>
            </w:r>
          </w:p>
        </w:tc>
        <w:tc>
          <w:tcPr>
            <w:tcW w:w="320" w:type="dxa"/>
            <w:vAlign w:val="bottom"/>
          </w:tcPr>
          <w:p>
            <w:pPr>
              <w:spacing w:after="0"/>
              <w:rPr>
                <w:sz w:val="13"/>
                <w:szCs w:val="13"/>
                <w:color w:val="auto"/>
              </w:rPr>
            </w:pPr>
          </w:p>
        </w:tc>
        <w:tc>
          <w:tcPr>
            <w:tcW w:w="1080" w:type="dxa"/>
            <w:vAlign w:val="bottom"/>
          </w:tcPr>
          <w:p>
            <w:pPr>
              <w:jc w:val="right"/>
              <w:ind w:right="1"/>
              <w:spacing w:after="0"/>
              <w:rPr>
                <w:sz w:val="20"/>
                <w:szCs w:val="20"/>
                <w:color w:val="auto"/>
              </w:rPr>
            </w:pPr>
            <w:r>
              <w:rPr>
                <w:rFonts w:ascii="Arial" w:cs="Arial" w:eastAsia="Arial" w:hAnsi="Arial"/>
                <w:sz w:val="12"/>
                <w:szCs w:val="12"/>
                <w:color w:val="auto"/>
              </w:rPr>
              <w:t>2</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6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2</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ind w:right="1"/>
              <w:spacing w:after="0"/>
              <w:rPr>
                <w:sz w:val="20"/>
                <w:szCs w:val="20"/>
                <w:color w:val="auto"/>
              </w:rPr>
            </w:pPr>
            <w:r>
              <w:rPr>
                <w:rFonts w:ascii="Arial" w:cs="Arial" w:eastAsia="Arial" w:hAnsi="Arial"/>
                <w:sz w:val="12"/>
                <w:szCs w:val="12"/>
                <w:color w:val="auto"/>
              </w:rPr>
              <w:t>5</w:t>
            </w:r>
          </w:p>
        </w:tc>
      </w:tr>
      <w:tr>
        <w:trPr>
          <w:trHeight w:val="158"/>
        </w:trPr>
        <w:tc>
          <w:tcPr>
            <w:tcW w:w="396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176</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131</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60" w:type="dxa"/>
            <w:vAlign w:val="bottom"/>
            <w:tcBorders>
              <w:top w:val="single" w:sz="8" w:color="auto"/>
              <w:bottom w:val="single" w:sz="8" w:color="auto"/>
            </w:tcBorders>
            <w:shd w:val="clear" w:color="auto" w:fill="CCEEFF"/>
          </w:tcPr>
          <w:p>
            <w:pPr>
              <w:jc w:val="right"/>
              <w:ind w:right="950"/>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369</w:t>
            </w:r>
          </w:p>
        </w:tc>
      </w:tr>
    </w:tbl>
    <w:p>
      <w:pPr>
        <w:spacing w:after="0" w:line="198" w:lineRule="exact"/>
        <w:rPr>
          <w:sz w:val="20"/>
          <w:szCs w:val="20"/>
          <w:color w:val="auto"/>
        </w:rPr>
      </w:pPr>
    </w:p>
    <w:p>
      <w:pPr>
        <w:ind w:right="180" w:firstLine="432"/>
        <w:spacing w:after="0" w:line="276" w:lineRule="auto"/>
        <w:rPr>
          <w:sz w:val="20"/>
          <w:szCs w:val="20"/>
          <w:color w:val="auto"/>
        </w:rPr>
      </w:pPr>
      <w:r>
        <w:rPr>
          <w:rFonts w:ascii="Arial" w:cs="Arial" w:eastAsia="Arial" w:hAnsi="Arial"/>
          <w:sz w:val="12"/>
          <w:szCs w:val="12"/>
          <w:color w:val="auto"/>
        </w:rPr>
        <w:t>The following tables detail the origination year of our Legacy-ILG and Legacy-Welk acquired vacation ownership notes receivable by brand and FICO score as of June 30, 2021. Vacation ownership notes receivable with no FICO score primarily relate to non-U.S. resident borrowers.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3580" w:type="dxa"/>
            <w:vAlign w:val="bottom"/>
            <w:tcBorders>
              <w:bottom w:val="single" w:sz="8" w:color="auto"/>
            </w:tcBorders>
            <w:gridSpan w:val="6"/>
          </w:tcPr>
          <w:p>
            <w:pPr>
              <w:jc w:val="center"/>
              <w:spacing w:after="0"/>
              <w:rPr>
                <w:sz w:val="20"/>
                <w:szCs w:val="20"/>
                <w:color w:val="auto"/>
              </w:rPr>
            </w:pPr>
            <w:r>
              <w:rPr>
                <w:rFonts w:ascii="Arial" w:cs="Arial" w:eastAsia="Arial" w:hAnsi="Arial"/>
                <w:sz w:val="11"/>
                <w:szCs w:val="11"/>
                <w:b w:val="1"/>
                <w:bCs w:val="1"/>
                <w:color w:val="auto"/>
                <w:w w:val="88"/>
              </w:rPr>
              <w:t>Acquired Vacation Ownership Notes Receivable - Westin</w:t>
            </w: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33"/>
        </w:trPr>
        <w:tc>
          <w:tcPr>
            <w:tcW w:w="1180" w:type="dxa"/>
            <w:vAlign w:val="bottom"/>
            <w:tcBorders>
              <w:bottom w:val="single" w:sz="8" w:color="CCEEFF"/>
            </w:tcBorders>
            <w:gridSpan w:val="2"/>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3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501"/>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21"/>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02"/>
              <w:spacing w:after="0"/>
              <w:rPr>
                <w:sz w:val="20"/>
                <w:szCs w:val="20"/>
                <w:color w:val="auto"/>
              </w:rPr>
            </w:pPr>
            <w:r>
              <w:rPr>
                <w:rFonts w:ascii="Arial" w:cs="Arial" w:eastAsia="Arial" w:hAnsi="Arial"/>
                <w:sz w:val="11"/>
                <w:szCs w:val="11"/>
                <w:b w:val="1"/>
                <w:bCs w:val="1"/>
                <w:color w:val="auto"/>
              </w:rPr>
              <w:t>2019</w:t>
            </w:r>
          </w:p>
        </w:tc>
        <w:tc>
          <w:tcPr>
            <w:tcW w:w="10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center"/>
              <w:ind w:right="121"/>
              <w:spacing w:after="0"/>
              <w:rPr>
                <w:sz w:val="20"/>
                <w:szCs w:val="20"/>
                <w:color w:val="auto"/>
              </w:rPr>
            </w:pPr>
            <w:r>
              <w:rPr>
                <w:rFonts w:ascii="Arial" w:cs="Arial" w:eastAsia="Arial" w:hAnsi="Arial"/>
                <w:sz w:val="11"/>
                <w:szCs w:val="11"/>
                <w:b w:val="1"/>
                <w:bCs w:val="1"/>
                <w:color w:val="auto"/>
                <w:w w:val="89"/>
              </w:rPr>
              <w:t>2018</w:t>
            </w:r>
          </w:p>
        </w:tc>
        <w:tc>
          <w:tcPr>
            <w:tcW w:w="80" w:type="dxa"/>
            <w:vAlign w:val="bottom"/>
            <w:tcBorders>
              <w:bottom w:val="single" w:sz="8" w:color="CCEEFF"/>
            </w:tcBorders>
          </w:tcPr>
          <w:p>
            <w:pPr>
              <w:spacing w:after="0"/>
              <w:rPr>
                <w:sz w:val="11"/>
                <w:szCs w:val="11"/>
                <w:color w:val="auto"/>
              </w:rPr>
            </w:pPr>
          </w:p>
        </w:tc>
        <w:tc>
          <w:tcPr>
            <w:tcW w:w="1000" w:type="dxa"/>
            <w:vAlign w:val="bottom"/>
            <w:tcBorders>
              <w:bottom w:val="single" w:sz="8" w:color="auto"/>
            </w:tcBorders>
          </w:tcPr>
          <w:p>
            <w:pPr>
              <w:jc w:val="right"/>
              <w:ind w:right="142"/>
              <w:spacing w:after="0"/>
              <w:rPr>
                <w:sz w:val="20"/>
                <w:szCs w:val="20"/>
                <w:color w:val="auto"/>
              </w:rPr>
            </w:pPr>
            <w:r>
              <w:rPr>
                <w:rFonts w:ascii="Arial" w:cs="Arial" w:eastAsia="Arial" w:hAnsi="Arial"/>
                <w:sz w:val="11"/>
                <w:szCs w:val="11"/>
                <w:b w:val="1"/>
                <w:bCs w:val="1"/>
                <w:color w:val="auto"/>
              </w:rPr>
              <w:t>2017</w:t>
            </w:r>
          </w:p>
        </w:tc>
        <w:tc>
          <w:tcPr>
            <w:tcW w:w="3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321"/>
              <w:spacing w:after="0"/>
              <w:rPr>
                <w:sz w:val="20"/>
                <w:szCs w:val="20"/>
                <w:color w:val="auto"/>
              </w:rPr>
            </w:pPr>
            <w:r>
              <w:rPr>
                <w:rFonts w:ascii="Arial" w:cs="Arial" w:eastAsia="Arial" w:hAnsi="Arial"/>
                <w:sz w:val="11"/>
                <w:szCs w:val="11"/>
                <w:b w:val="1"/>
                <w:bCs w:val="1"/>
                <w:color w:val="auto"/>
              </w:rPr>
              <w:t>2016 &amp; Prior</w:t>
            </w:r>
          </w:p>
        </w:tc>
        <w:tc>
          <w:tcPr>
            <w:tcW w:w="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01"/>
              <w:spacing w:after="0"/>
              <w:rPr>
                <w:sz w:val="20"/>
                <w:szCs w:val="20"/>
                <w:color w:val="auto"/>
              </w:rPr>
            </w:pPr>
            <w:r>
              <w:rPr>
                <w:rFonts w:ascii="Arial" w:cs="Arial" w:eastAsia="Arial" w:hAnsi="Arial"/>
                <w:sz w:val="11"/>
                <w:szCs w:val="11"/>
                <w:b w:val="1"/>
                <w:bCs w:val="1"/>
                <w:color w:val="auto"/>
              </w:rPr>
              <w:t>Total</w:t>
            </w:r>
          </w:p>
        </w:tc>
        <w:tc>
          <w:tcPr>
            <w:tcW w:w="60" w:type="dxa"/>
            <w:vAlign w:val="bottom"/>
          </w:tcPr>
          <w:p>
            <w:pPr>
              <w:spacing w:after="0"/>
              <w:rPr>
                <w:sz w:val="11"/>
                <w:szCs w:val="11"/>
                <w:color w:val="auto"/>
              </w:rPr>
            </w:pPr>
          </w:p>
        </w:tc>
      </w:tr>
      <w:tr>
        <w:trPr>
          <w:trHeight w:val="144"/>
        </w:trPr>
        <w:tc>
          <w:tcPr>
            <w:tcW w:w="180" w:type="dxa"/>
            <w:vAlign w:val="bottom"/>
            <w:shd w:val="clear" w:color="auto" w:fill="CCEEFF"/>
          </w:tcPr>
          <w:p>
            <w:pPr>
              <w:spacing w:after="0"/>
              <w:rPr>
                <w:sz w:val="20"/>
                <w:szCs w:val="20"/>
                <w:color w:val="auto"/>
              </w:rPr>
            </w:pPr>
            <w:r>
              <w:rPr>
                <w:rFonts w:ascii="Arial" w:cs="Arial" w:eastAsia="Arial" w:hAnsi="Arial"/>
                <w:sz w:val="11"/>
                <w:szCs w:val="11"/>
                <w:color w:val="auto"/>
                <w:w w:val="86"/>
              </w:rPr>
              <w:t>700</w:t>
            </w:r>
          </w:p>
        </w:tc>
        <w:tc>
          <w:tcPr>
            <w:tcW w:w="100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18</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862"/>
              <w:spacing w:after="0"/>
              <w:rPr>
                <w:sz w:val="20"/>
                <w:szCs w:val="20"/>
                <w:color w:val="auto"/>
              </w:rPr>
            </w:pPr>
            <w:r>
              <w:rPr>
                <w:rFonts w:ascii="Arial" w:cs="Arial" w:eastAsia="Arial" w:hAnsi="Arial"/>
                <w:sz w:val="12"/>
                <w:szCs w:val="12"/>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30</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w:t>
            </w:r>
          </w:p>
        </w:tc>
        <w:tc>
          <w:tcPr>
            <w:tcW w:w="60" w:type="dxa"/>
            <w:vAlign w:val="bottom"/>
          </w:tcPr>
          <w:p>
            <w:pPr>
              <w:spacing w:after="0"/>
              <w:rPr>
                <w:sz w:val="12"/>
                <w:szCs w:val="12"/>
                <w:color w:val="auto"/>
              </w:rPr>
            </w:pPr>
          </w:p>
        </w:tc>
      </w:tr>
      <w:tr>
        <w:trPr>
          <w:trHeight w:val="153"/>
        </w:trPr>
        <w:tc>
          <w:tcPr>
            <w:tcW w:w="180" w:type="dxa"/>
            <w:vAlign w:val="bottom"/>
          </w:tcPr>
          <w:p>
            <w:pPr>
              <w:spacing w:after="0"/>
              <w:rPr>
                <w:sz w:val="20"/>
                <w:szCs w:val="20"/>
                <w:color w:val="auto"/>
              </w:rPr>
            </w:pPr>
            <w:r>
              <w:rPr>
                <w:rFonts w:ascii="Arial" w:cs="Arial" w:eastAsia="Arial" w:hAnsi="Arial"/>
                <w:sz w:val="11"/>
                <w:szCs w:val="11"/>
                <w:color w:val="auto"/>
                <w:w w:val="86"/>
              </w:rPr>
              <w:t>600</w:t>
            </w:r>
          </w:p>
        </w:tc>
        <w:tc>
          <w:tcPr>
            <w:tcW w:w="1000" w:type="dxa"/>
            <w:vAlign w:val="bottom"/>
          </w:tcPr>
          <w:p>
            <w:pPr>
              <w:ind w:left="20"/>
              <w:spacing w:after="0"/>
              <w:rPr>
                <w:sz w:val="20"/>
                <w:szCs w:val="20"/>
                <w:color w:val="auto"/>
              </w:rPr>
            </w:pPr>
            <w:r>
              <w:rPr>
                <w:rFonts w:ascii="Arial" w:cs="Arial" w:eastAsia="Arial" w:hAnsi="Arial"/>
                <w:sz w:val="11"/>
                <w:szCs w:val="11"/>
                <w:color w:val="auto"/>
              </w:rPr>
              <w:t>- 699</w:t>
            </w:r>
          </w:p>
        </w:tc>
        <w:tc>
          <w:tcPr>
            <w:tcW w:w="34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200" w:type="dxa"/>
            <w:vAlign w:val="bottom"/>
          </w:tcPr>
          <w:p>
            <w:pPr>
              <w:jc w:val="right"/>
              <w:ind w:right="1"/>
              <w:spacing w:after="0"/>
              <w:rPr>
                <w:sz w:val="20"/>
                <w:szCs w:val="20"/>
                <w:color w:val="auto"/>
              </w:rPr>
            </w:pPr>
            <w:r>
              <w:rPr>
                <w:rFonts w:ascii="Arial" w:cs="Arial" w:eastAsia="Arial" w:hAnsi="Arial"/>
                <w:sz w:val="12"/>
                <w:szCs w:val="12"/>
                <w:color w:val="auto"/>
              </w:rPr>
              <w:t>10</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19</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40</w:t>
            </w:r>
          </w:p>
        </w:tc>
        <w:tc>
          <w:tcPr>
            <w:tcW w:w="60" w:type="dxa"/>
            <w:vAlign w:val="bottom"/>
          </w:tcPr>
          <w:p>
            <w:pPr>
              <w:spacing w:after="0"/>
              <w:rPr>
                <w:sz w:val="13"/>
                <w:szCs w:val="13"/>
                <w:color w:val="auto"/>
              </w:rPr>
            </w:pPr>
          </w:p>
        </w:tc>
      </w:tr>
      <w:tr>
        <w:trPr>
          <w:trHeight w:val="153"/>
        </w:trPr>
        <w:tc>
          <w:tcPr>
            <w:tcW w:w="11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&lt; 600</w:t>
            </w:r>
          </w:p>
        </w:tc>
        <w:tc>
          <w:tcPr>
            <w:tcW w:w="3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60" w:type="dxa"/>
            <w:vAlign w:val="bottom"/>
          </w:tcPr>
          <w:p>
            <w:pPr>
              <w:spacing w:after="0"/>
              <w:rPr>
                <w:sz w:val="13"/>
                <w:szCs w:val="13"/>
                <w:color w:val="auto"/>
              </w:rPr>
            </w:pPr>
          </w:p>
        </w:tc>
      </w:tr>
      <w:tr>
        <w:trPr>
          <w:trHeight w:val="153"/>
        </w:trPr>
        <w:tc>
          <w:tcPr>
            <w:tcW w:w="118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No Score</w:t>
            </w:r>
          </w:p>
        </w:tc>
        <w:tc>
          <w:tcPr>
            <w:tcW w:w="3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w:t>
            </w:r>
          </w:p>
        </w:tc>
        <w:tc>
          <w:tcPr>
            <w:tcW w:w="8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4</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w:t>
            </w:r>
          </w:p>
        </w:tc>
        <w:tc>
          <w:tcPr>
            <w:tcW w:w="60" w:type="dxa"/>
            <w:vAlign w:val="bottom"/>
          </w:tcPr>
          <w:p>
            <w:pPr>
              <w:spacing w:after="0"/>
              <w:rPr>
                <w:sz w:val="13"/>
                <w:szCs w:val="13"/>
                <w:color w:val="auto"/>
              </w:rPr>
            </w:pPr>
          </w:p>
        </w:tc>
      </w:tr>
      <w:tr>
        <w:trPr>
          <w:trHeight w:val="169"/>
        </w:trPr>
        <w:tc>
          <w:tcPr>
            <w:tcW w:w="18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32</w:t>
            </w:r>
          </w:p>
        </w:tc>
        <w:tc>
          <w:tcPr>
            <w:tcW w:w="8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862"/>
              <w:spacing w:after="0"/>
              <w:rPr>
                <w:sz w:val="20"/>
                <w:szCs w:val="20"/>
                <w:color w:val="auto"/>
              </w:rPr>
            </w:pPr>
            <w:r>
              <w:rPr>
                <w:rFonts w:ascii="Arial" w:cs="Arial" w:eastAsia="Arial" w:hAnsi="Arial"/>
                <w:sz w:val="12"/>
                <w:szCs w:val="12"/>
                <w:color w:val="auto"/>
                <w:w w:val="8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54</w:t>
            </w:r>
          </w:p>
        </w:tc>
        <w:tc>
          <w:tcPr>
            <w:tcW w:w="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119</w:t>
            </w:r>
          </w:p>
        </w:tc>
        <w:tc>
          <w:tcPr>
            <w:tcW w:w="60" w:type="dxa"/>
            <w:vAlign w:val="bottom"/>
          </w:tcPr>
          <w:p>
            <w:pPr>
              <w:spacing w:after="0"/>
              <w:rPr>
                <w:sz w:val="14"/>
                <w:szCs w:val="14"/>
                <w:color w:val="auto"/>
              </w:rPr>
            </w:pPr>
          </w:p>
        </w:tc>
      </w:tr>
      <w:tr>
        <w:trPr>
          <w:trHeight w:val="311"/>
        </w:trPr>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6"/>
          </w:tcPr>
          <w:p>
            <w:pPr>
              <w:jc w:val="center"/>
              <w:ind w:left="2"/>
              <w:spacing w:after="0"/>
              <w:rPr>
                <w:sz w:val="20"/>
                <w:szCs w:val="20"/>
                <w:color w:val="auto"/>
              </w:rPr>
            </w:pPr>
            <w:r>
              <w:rPr>
                <w:rFonts w:ascii="Arial" w:cs="Arial" w:eastAsia="Arial" w:hAnsi="Arial"/>
                <w:sz w:val="11"/>
                <w:szCs w:val="11"/>
                <w:b w:val="1"/>
                <w:bCs w:val="1"/>
                <w:color w:val="auto"/>
                <w:w w:val="88"/>
              </w:rPr>
              <w:t>Acquired Vacation Ownership Notes Receivable - Sheraton</w:t>
            </w: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33"/>
        </w:trPr>
        <w:tc>
          <w:tcPr>
            <w:tcW w:w="1180" w:type="dxa"/>
            <w:vAlign w:val="bottom"/>
            <w:tcBorders>
              <w:bottom w:val="single" w:sz="8" w:color="CCEEFF"/>
            </w:tcBorders>
            <w:gridSpan w:val="2"/>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3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501"/>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21"/>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02"/>
              <w:spacing w:after="0"/>
              <w:rPr>
                <w:sz w:val="20"/>
                <w:szCs w:val="20"/>
                <w:color w:val="auto"/>
              </w:rPr>
            </w:pPr>
            <w:r>
              <w:rPr>
                <w:rFonts w:ascii="Arial" w:cs="Arial" w:eastAsia="Arial" w:hAnsi="Arial"/>
                <w:sz w:val="11"/>
                <w:szCs w:val="11"/>
                <w:b w:val="1"/>
                <w:bCs w:val="1"/>
                <w:color w:val="auto"/>
              </w:rPr>
              <w:t>2019</w:t>
            </w:r>
          </w:p>
        </w:tc>
        <w:tc>
          <w:tcPr>
            <w:tcW w:w="10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center"/>
              <w:ind w:right="121"/>
              <w:spacing w:after="0"/>
              <w:rPr>
                <w:sz w:val="20"/>
                <w:szCs w:val="20"/>
                <w:color w:val="auto"/>
              </w:rPr>
            </w:pPr>
            <w:r>
              <w:rPr>
                <w:rFonts w:ascii="Arial" w:cs="Arial" w:eastAsia="Arial" w:hAnsi="Arial"/>
                <w:sz w:val="11"/>
                <w:szCs w:val="11"/>
                <w:b w:val="1"/>
                <w:bCs w:val="1"/>
                <w:color w:val="auto"/>
                <w:w w:val="89"/>
              </w:rPr>
              <w:t>2018</w:t>
            </w:r>
          </w:p>
        </w:tc>
        <w:tc>
          <w:tcPr>
            <w:tcW w:w="80" w:type="dxa"/>
            <w:vAlign w:val="bottom"/>
            <w:tcBorders>
              <w:bottom w:val="single" w:sz="8" w:color="CCEEFF"/>
            </w:tcBorders>
          </w:tcPr>
          <w:p>
            <w:pPr>
              <w:spacing w:after="0"/>
              <w:rPr>
                <w:sz w:val="11"/>
                <w:szCs w:val="11"/>
                <w:color w:val="auto"/>
              </w:rPr>
            </w:pPr>
          </w:p>
        </w:tc>
        <w:tc>
          <w:tcPr>
            <w:tcW w:w="1000" w:type="dxa"/>
            <w:vAlign w:val="bottom"/>
            <w:tcBorders>
              <w:bottom w:val="single" w:sz="8" w:color="auto"/>
            </w:tcBorders>
          </w:tcPr>
          <w:p>
            <w:pPr>
              <w:jc w:val="right"/>
              <w:ind w:right="142"/>
              <w:spacing w:after="0"/>
              <w:rPr>
                <w:sz w:val="20"/>
                <w:szCs w:val="20"/>
                <w:color w:val="auto"/>
              </w:rPr>
            </w:pPr>
            <w:r>
              <w:rPr>
                <w:rFonts w:ascii="Arial" w:cs="Arial" w:eastAsia="Arial" w:hAnsi="Arial"/>
                <w:sz w:val="11"/>
                <w:szCs w:val="11"/>
                <w:b w:val="1"/>
                <w:bCs w:val="1"/>
                <w:color w:val="auto"/>
              </w:rPr>
              <w:t>2017</w:t>
            </w:r>
          </w:p>
        </w:tc>
        <w:tc>
          <w:tcPr>
            <w:tcW w:w="3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321"/>
              <w:spacing w:after="0"/>
              <w:rPr>
                <w:sz w:val="20"/>
                <w:szCs w:val="20"/>
                <w:color w:val="auto"/>
              </w:rPr>
            </w:pPr>
            <w:r>
              <w:rPr>
                <w:rFonts w:ascii="Arial" w:cs="Arial" w:eastAsia="Arial" w:hAnsi="Arial"/>
                <w:sz w:val="11"/>
                <w:szCs w:val="11"/>
                <w:b w:val="1"/>
                <w:bCs w:val="1"/>
                <w:color w:val="auto"/>
              </w:rPr>
              <w:t>2016 &amp; Prior</w:t>
            </w:r>
          </w:p>
        </w:tc>
        <w:tc>
          <w:tcPr>
            <w:tcW w:w="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01"/>
              <w:spacing w:after="0"/>
              <w:rPr>
                <w:sz w:val="20"/>
                <w:szCs w:val="20"/>
                <w:color w:val="auto"/>
              </w:rPr>
            </w:pPr>
            <w:r>
              <w:rPr>
                <w:rFonts w:ascii="Arial" w:cs="Arial" w:eastAsia="Arial" w:hAnsi="Arial"/>
                <w:sz w:val="11"/>
                <w:szCs w:val="11"/>
                <w:b w:val="1"/>
                <w:bCs w:val="1"/>
                <w:color w:val="auto"/>
              </w:rPr>
              <w:t>Total</w:t>
            </w:r>
          </w:p>
        </w:tc>
        <w:tc>
          <w:tcPr>
            <w:tcW w:w="60" w:type="dxa"/>
            <w:vAlign w:val="bottom"/>
          </w:tcPr>
          <w:p>
            <w:pPr>
              <w:spacing w:after="0"/>
              <w:rPr>
                <w:sz w:val="11"/>
                <w:szCs w:val="11"/>
                <w:color w:val="auto"/>
              </w:rPr>
            </w:pPr>
          </w:p>
        </w:tc>
      </w:tr>
      <w:tr>
        <w:trPr>
          <w:trHeight w:val="144"/>
        </w:trPr>
        <w:tc>
          <w:tcPr>
            <w:tcW w:w="180" w:type="dxa"/>
            <w:vAlign w:val="bottom"/>
            <w:shd w:val="clear" w:color="auto" w:fill="CCEEFF"/>
          </w:tcPr>
          <w:p>
            <w:pPr>
              <w:spacing w:after="0"/>
              <w:rPr>
                <w:sz w:val="20"/>
                <w:szCs w:val="20"/>
                <w:color w:val="auto"/>
              </w:rPr>
            </w:pPr>
            <w:r>
              <w:rPr>
                <w:rFonts w:ascii="Arial" w:cs="Arial" w:eastAsia="Arial" w:hAnsi="Arial"/>
                <w:sz w:val="11"/>
                <w:szCs w:val="11"/>
                <w:color w:val="auto"/>
                <w:w w:val="86"/>
              </w:rPr>
              <w:t>700</w:t>
            </w:r>
          </w:p>
        </w:tc>
        <w:tc>
          <w:tcPr>
            <w:tcW w:w="100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19</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862"/>
              <w:spacing w:after="0"/>
              <w:rPr>
                <w:sz w:val="20"/>
                <w:szCs w:val="20"/>
                <w:color w:val="auto"/>
              </w:rPr>
            </w:pPr>
            <w:r>
              <w:rPr>
                <w:rFonts w:ascii="Arial" w:cs="Arial" w:eastAsia="Arial" w:hAnsi="Arial"/>
                <w:sz w:val="12"/>
                <w:szCs w:val="12"/>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28</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w:t>
            </w:r>
          </w:p>
        </w:tc>
        <w:tc>
          <w:tcPr>
            <w:tcW w:w="60" w:type="dxa"/>
            <w:vAlign w:val="bottom"/>
          </w:tcPr>
          <w:p>
            <w:pPr>
              <w:spacing w:after="0"/>
              <w:rPr>
                <w:sz w:val="12"/>
                <w:szCs w:val="12"/>
                <w:color w:val="auto"/>
              </w:rPr>
            </w:pPr>
          </w:p>
        </w:tc>
      </w:tr>
      <w:tr>
        <w:trPr>
          <w:trHeight w:val="153"/>
        </w:trPr>
        <w:tc>
          <w:tcPr>
            <w:tcW w:w="180" w:type="dxa"/>
            <w:vAlign w:val="bottom"/>
          </w:tcPr>
          <w:p>
            <w:pPr>
              <w:spacing w:after="0"/>
              <w:rPr>
                <w:sz w:val="20"/>
                <w:szCs w:val="20"/>
                <w:color w:val="auto"/>
              </w:rPr>
            </w:pPr>
            <w:r>
              <w:rPr>
                <w:rFonts w:ascii="Arial" w:cs="Arial" w:eastAsia="Arial" w:hAnsi="Arial"/>
                <w:sz w:val="11"/>
                <w:szCs w:val="11"/>
                <w:color w:val="auto"/>
                <w:w w:val="86"/>
              </w:rPr>
              <w:t>600</w:t>
            </w:r>
          </w:p>
        </w:tc>
        <w:tc>
          <w:tcPr>
            <w:tcW w:w="1000" w:type="dxa"/>
            <w:vAlign w:val="bottom"/>
          </w:tcPr>
          <w:p>
            <w:pPr>
              <w:ind w:left="20"/>
              <w:spacing w:after="0"/>
              <w:rPr>
                <w:sz w:val="20"/>
                <w:szCs w:val="20"/>
                <w:color w:val="auto"/>
              </w:rPr>
            </w:pPr>
            <w:r>
              <w:rPr>
                <w:rFonts w:ascii="Arial" w:cs="Arial" w:eastAsia="Arial" w:hAnsi="Arial"/>
                <w:sz w:val="11"/>
                <w:szCs w:val="11"/>
                <w:color w:val="auto"/>
              </w:rPr>
              <w:t>- 699</w:t>
            </w:r>
          </w:p>
        </w:tc>
        <w:tc>
          <w:tcPr>
            <w:tcW w:w="34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200" w:type="dxa"/>
            <w:vAlign w:val="bottom"/>
          </w:tcPr>
          <w:p>
            <w:pPr>
              <w:jc w:val="right"/>
              <w:ind w:right="1"/>
              <w:spacing w:after="0"/>
              <w:rPr>
                <w:sz w:val="20"/>
                <w:szCs w:val="20"/>
                <w:color w:val="auto"/>
              </w:rPr>
            </w:pPr>
            <w:r>
              <w:rPr>
                <w:rFonts w:ascii="Arial" w:cs="Arial" w:eastAsia="Arial" w:hAnsi="Arial"/>
                <w:sz w:val="12"/>
                <w:szCs w:val="12"/>
                <w:color w:val="auto"/>
              </w:rPr>
              <w:t>16</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29</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61</w:t>
            </w:r>
          </w:p>
        </w:tc>
        <w:tc>
          <w:tcPr>
            <w:tcW w:w="60" w:type="dxa"/>
            <w:vAlign w:val="bottom"/>
          </w:tcPr>
          <w:p>
            <w:pPr>
              <w:spacing w:after="0"/>
              <w:rPr>
                <w:sz w:val="13"/>
                <w:szCs w:val="13"/>
                <w:color w:val="auto"/>
              </w:rPr>
            </w:pPr>
          </w:p>
        </w:tc>
      </w:tr>
      <w:tr>
        <w:trPr>
          <w:trHeight w:val="153"/>
        </w:trPr>
        <w:tc>
          <w:tcPr>
            <w:tcW w:w="11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&lt; 600</w:t>
            </w:r>
          </w:p>
        </w:tc>
        <w:tc>
          <w:tcPr>
            <w:tcW w:w="3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60" w:type="dxa"/>
            <w:vAlign w:val="bottom"/>
          </w:tcPr>
          <w:p>
            <w:pPr>
              <w:spacing w:after="0"/>
              <w:rPr>
                <w:sz w:val="13"/>
                <w:szCs w:val="13"/>
                <w:color w:val="auto"/>
              </w:rPr>
            </w:pPr>
          </w:p>
        </w:tc>
      </w:tr>
      <w:tr>
        <w:trPr>
          <w:trHeight w:val="153"/>
        </w:trPr>
        <w:tc>
          <w:tcPr>
            <w:tcW w:w="118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No Score</w:t>
            </w:r>
          </w:p>
        </w:tc>
        <w:tc>
          <w:tcPr>
            <w:tcW w:w="3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8</w:t>
            </w:r>
          </w:p>
        </w:tc>
        <w:tc>
          <w:tcPr>
            <w:tcW w:w="8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11</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w:t>
            </w:r>
          </w:p>
        </w:tc>
        <w:tc>
          <w:tcPr>
            <w:tcW w:w="60" w:type="dxa"/>
            <w:vAlign w:val="bottom"/>
          </w:tcPr>
          <w:p>
            <w:pPr>
              <w:spacing w:after="0"/>
              <w:rPr>
                <w:sz w:val="13"/>
                <w:szCs w:val="13"/>
                <w:color w:val="auto"/>
              </w:rPr>
            </w:pPr>
          </w:p>
        </w:tc>
      </w:tr>
      <w:tr>
        <w:trPr>
          <w:trHeight w:val="158"/>
        </w:trPr>
        <w:tc>
          <w:tcPr>
            <w:tcW w:w="1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50</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862"/>
              <w:spacing w:after="0"/>
              <w:rPr>
                <w:sz w:val="20"/>
                <w:szCs w:val="20"/>
                <w:color w:val="auto"/>
              </w:rPr>
            </w:pPr>
            <w:r>
              <w:rPr>
                <w:rFonts w:ascii="Arial" w:cs="Arial" w:eastAsia="Arial" w:hAnsi="Arial"/>
                <w:sz w:val="12"/>
                <w:szCs w:val="12"/>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70</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164</w:t>
            </w:r>
          </w:p>
        </w:tc>
        <w:tc>
          <w:tcPr>
            <w:tcW w:w="60" w:type="dxa"/>
            <w:vAlign w:val="bottom"/>
          </w:tcPr>
          <w:p>
            <w:pPr>
              <w:spacing w:after="0"/>
              <w:rPr>
                <w:sz w:val="13"/>
                <w:szCs w:val="13"/>
                <w:color w:val="auto"/>
              </w:rPr>
            </w:pPr>
          </w:p>
        </w:tc>
      </w:tr>
      <w:tr>
        <w:trPr>
          <w:trHeight w:val="331"/>
        </w:trPr>
        <w:tc>
          <w:tcPr>
            <w:tcW w:w="18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3580" w:type="dxa"/>
            <w:vAlign w:val="bottom"/>
            <w:tcBorders>
              <w:top w:val="single" w:sz="8" w:color="auto"/>
              <w:bottom w:val="single" w:sz="8" w:color="auto"/>
            </w:tcBorders>
            <w:gridSpan w:val="6"/>
          </w:tcPr>
          <w:p>
            <w:pPr>
              <w:jc w:val="center"/>
              <w:spacing w:after="0"/>
              <w:rPr>
                <w:sz w:val="20"/>
                <w:szCs w:val="20"/>
                <w:color w:val="auto"/>
              </w:rPr>
            </w:pPr>
            <w:r>
              <w:rPr>
                <w:rFonts w:ascii="Arial" w:cs="Arial" w:eastAsia="Arial" w:hAnsi="Arial"/>
                <w:sz w:val="11"/>
                <w:szCs w:val="11"/>
                <w:b w:val="1"/>
                <w:bCs w:val="1"/>
                <w:color w:val="auto"/>
                <w:w w:val="89"/>
              </w:rPr>
              <w:t>Acquired Vacation Ownership Notes Receivable - Hyatt and Other</w:t>
            </w:r>
          </w:p>
        </w:tc>
        <w:tc>
          <w:tcPr>
            <w:tcW w:w="3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33"/>
        </w:trPr>
        <w:tc>
          <w:tcPr>
            <w:tcW w:w="1180" w:type="dxa"/>
            <w:vAlign w:val="bottom"/>
            <w:tcBorders>
              <w:bottom w:val="single" w:sz="8" w:color="CCEEFF"/>
            </w:tcBorders>
            <w:gridSpan w:val="2"/>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3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501"/>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21"/>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02"/>
              <w:spacing w:after="0"/>
              <w:rPr>
                <w:sz w:val="20"/>
                <w:szCs w:val="20"/>
                <w:color w:val="auto"/>
              </w:rPr>
            </w:pPr>
            <w:r>
              <w:rPr>
                <w:rFonts w:ascii="Arial" w:cs="Arial" w:eastAsia="Arial" w:hAnsi="Arial"/>
                <w:sz w:val="11"/>
                <w:szCs w:val="11"/>
                <w:b w:val="1"/>
                <w:bCs w:val="1"/>
                <w:color w:val="auto"/>
              </w:rPr>
              <w:t>2019</w:t>
            </w:r>
          </w:p>
        </w:tc>
        <w:tc>
          <w:tcPr>
            <w:tcW w:w="10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center"/>
              <w:ind w:right="121"/>
              <w:spacing w:after="0"/>
              <w:rPr>
                <w:sz w:val="20"/>
                <w:szCs w:val="20"/>
                <w:color w:val="auto"/>
              </w:rPr>
            </w:pPr>
            <w:r>
              <w:rPr>
                <w:rFonts w:ascii="Arial" w:cs="Arial" w:eastAsia="Arial" w:hAnsi="Arial"/>
                <w:sz w:val="11"/>
                <w:szCs w:val="11"/>
                <w:b w:val="1"/>
                <w:bCs w:val="1"/>
                <w:color w:val="auto"/>
                <w:w w:val="89"/>
              </w:rPr>
              <w:t>2018</w:t>
            </w:r>
          </w:p>
        </w:tc>
        <w:tc>
          <w:tcPr>
            <w:tcW w:w="80" w:type="dxa"/>
            <w:vAlign w:val="bottom"/>
            <w:tcBorders>
              <w:bottom w:val="single" w:sz="8" w:color="CCEEFF"/>
            </w:tcBorders>
          </w:tcPr>
          <w:p>
            <w:pPr>
              <w:spacing w:after="0"/>
              <w:rPr>
                <w:sz w:val="11"/>
                <w:szCs w:val="11"/>
                <w:color w:val="auto"/>
              </w:rPr>
            </w:pPr>
          </w:p>
        </w:tc>
        <w:tc>
          <w:tcPr>
            <w:tcW w:w="1000" w:type="dxa"/>
            <w:vAlign w:val="bottom"/>
            <w:tcBorders>
              <w:bottom w:val="single" w:sz="8" w:color="auto"/>
            </w:tcBorders>
          </w:tcPr>
          <w:p>
            <w:pPr>
              <w:jc w:val="right"/>
              <w:ind w:right="142"/>
              <w:spacing w:after="0"/>
              <w:rPr>
                <w:sz w:val="20"/>
                <w:szCs w:val="20"/>
                <w:color w:val="auto"/>
              </w:rPr>
            </w:pPr>
            <w:r>
              <w:rPr>
                <w:rFonts w:ascii="Arial" w:cs="Arial" w:eastAsia="Arial" w:hAnsi="Arial"/>
                <w:sz w:val="11"/>
                <w:szCs w:val="11"/>
                <w:b w:val="1"/>
                <w:bCs w:val="1"/>
                <w:color w:val="auto"/>
              </w:rPr>
              <w:t>2017</w:t>
            </w:r>
          </w:p>
        </w:tc>
        <w:tc>
          <w:tcPr>
            <w:tcW w:w="3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321"/>
              <w:spacing w:after="0"/>
              <w:rPr>
                <w:sz w:val="20"/>
                <w:szCs w:val="20"/>
                <w:color w:val="auto"/>
              </w:rPr>
            </w:pPr>
            <w:r>
              <w:rPr>
                <w:rFonts w:ascii="Arial" w:cs="Arial" w:eastAsia="Arial" w:hAnsi="Arial"/>
                <w:sz w:val="11"/>
                <w:szCs w:val="11"/>
                <w:b w:val="1"/>
                <w:bCs w:val="1"/>
                <w:color w:val="auto"/>
              </w:rPr>
              <w:t>2016 &amp; Prior</w:t>
            </w:r>
          </w:p>
        </w:tc>
        <w:tc>
          <w:tcPr>
            <w:tcW w:w="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01"/>
              <w:spacing w:after="0"/>
              <w:rPr>
                <w:sz w:val="20"/>
                <w:szCs w:val="20"/>
                <w:color w:val="auto"/>
              </w:rPr>
            </w:pPr>
            <w:r>
              <w:rPr>
                <w:rFonts w:ascii="Arial" w:cs="Arial" w:eastAsia="Arial" w:hAnsi="Arial"/>
                <w:sz w:val="11"/>
                <w:szCs w:val="11"/>
                <w:b w:val="1"/>
                <w:bCs w:val="1"/>
                <w:color w:val="auto"/>
              </w:rPr>
              <w:t>Total</w:t>
            </w:r>
          </w:p>
        </w:tc>
        <w:tc>
          <w:tcPr>
            <w:tcW w:w="60" w:type="dxa"/>
            <w:vAlign w:val="bottom"/>
          </w:tcPr>
          <w:p>
            <w:pPr>
              <w:spacing w:after="0"/>
              <w:rPr>
                <w:sz w:val="11"/>
                <w:szCs w:val="11"/>
                <w:color w:val="auto"/>
              </w:rPr>
            </w:pPr>
          </w:p>
        </w:tc>
      </w:tr>
      <w:tr>
        <w:trPr>
          <w:trHeight w:val="144"/>
        </w:trPr>
        <w:tc>
          <w:tcPr>
            <w:tcW w:w="180" w:type="dxa"/>
            <w:vAlign w:val="bottom"/>
            <w:shd w:val="clear" w:color="auto" w:fill="CCEEFF"/>
          </w:tcPr>
          <w:p>
            <w:pPr>
              <w:spacing w:after="0"/>
              <w:rPr>
                <w:sz w:val="20"/>
                <w:szCs w:val="20"/>
                <w:color w:val="auto"/>
              </w:rPr>
            </w:pPr>
            <w:r>
              <w:rPr>
                <w:rFonts w:ascii="Arial" w:cs="Arial" w:eastAsia="Arial" w:hAnsi="Arial"/>
                <w:sz w:val="11"/>
                <w:szCs w:val="11"/>
                <w:color w:val="auto"/>
                <w:w w:val="86"/>
              </w:rPr>
              <w:t>700</w:t>
            </w:r>
          </w:p>
        </w:tc>
        <w:tc>
          <w:tcPr>
            <w:tcW w:w="100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862"/>
              <w:spacing w:after="0"/>
              <w:rPr>
                <w:sz w:val="20"/>
                <w:szCs w:val="20"/>
                <w:color w:val="auto"/>
              </w:rPr>
            </w:pPr>
            <w:r>
              <w:rPr>
                <w:rFonts w:ascii="Arial" w:cs="Arial" w:eastAsia="Arial" w:hAnsi="Arial"/>
                <w:sz w:val="12"/>
                <w:szCs w:val="12"/>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60" w:type="dxa"/>
            <w:vAlign w:val="bottom"/>
          </w:tcPr>
          <w:p>
            <w:pPr>
              <w:spacing w:after="0"/>
              <w:rPr>
                <w:sz w:val="12"/>
                <w:szCs w:val="12"/>
                <w:color w:val="auto"/>
              </w:rPr>
            </w:pPr>
          </w:p>
        </w:tc>
      </w:tr>
      <w:tr>
        <w:trPr>
          <w:trHeight w:val="153"/>
        </w:trPr>
        <w:tc>
          <w:tcPr>
            <w:tcW w:w="180" w:type="dxa"/>
            <w:vAlign w:val="bottom"/>
          </w:tcPr>
          <w:p>
            <w:pPr>
              <w:spacing w:after="0"/>
              <w:rPr>
                <w:sz w:val="20"/>
                <w:szCs w:val="20"/>
                <w:color w:val="auto"/>
              </w:rPr>
            </w:pPr>
            <w:r>
              <w:rPr>
                <w:rFonts w:ascii="Arial" w:cs="Arial" w:eastAsia="Arial" w:hAnsi="Arial"/>
                <w:sz w:val="11"/>
                <w:szCs w:val="11"/>
                <w:color w:val="auto"/>
                <w:w w:val="86"/>
              </w:rPr>
              <w:t>600</w:t>
            </w:r>
          </w:p>
        </w:tc>
        <w:tc>
          <w:tcPr>
            <w:tcW w:w="1000" w:type="dxa"/>
            <w:vAlign w:val="bottom"/>
          </w:tcPr>
          <w:p>
            <w:pPr>
              <w:ind w:left="20"/>
              <w:spacing w:after="0"/>
              <w:rPr>
                <w:sz w:val="20"/>
                <w:szCs w:val="20"/>
                <w:color w:val="auto"/>
              </w:rPr>
            </w:pPr>
            <w:r>
              <w:rPr>
                <w:rFonts w:ascii="Arial" w:cs="Arial" w:eastAsia="Arial" w:hAnsi="Arial"/>
                <w:sz w:val="11"/>
                <w:szCs w:val="11"/>
                <w:color w:val="auto"/>
              </w:rPr>
              <w:t>- 699</w:t>
            </w:r>
          </w:p>
        </w:tc>
        <w:tc>
          <w:tcPr>
            <w:tcW w:w="34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200" w:type="dxa"/>
            <w:vAlign w:val="bottom"/>
          </w:tcPr>
          <w:p>
            <w:pPr>
              <w:jc w:val="right"/>
              <w:ind w:right="1"/>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4</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7</w:t>
            </w:r>
          </w:p>
        </w:tc>
        <w:tc>
          <w:tcPr>
            <w:tcW w:w="60" w:type="dxa"/>
            <w:vAlign w:val="bottom"/>
          </w:tcPr>
          <w:p>
            <w:pPr>
              <w:spacing w:after="0"/>
              <w:rPr>
                <w:sz w:val="13"/>
                <w:szCs w:val="13"/>
                <w:color w:val="auto"/>
              </w:rPr>
            </w:pPr>
          </w:p>
        </w:tc>
      </w:tr>
      <w:tr>
        <w:trPr>
          <w:trHeight w:val="153"/>
        </w:trPr>
        <w:tc>
          <w:tcPr>
            <w:tcW w:w="11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&lt; 600</w:t>
            </w:r>
          </w:p>
        </w:tc>
        <w:tc>
          <w:tcPr>
            <w:tcW w:w="3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60" w:type="dxa"/>
            <w:vAlign w:val="bottom"/>
          </w:tcPr>
          <w:p>
            <w:pPr>
              <w:spacing w:after="0"/>
              <w:rPr>
                <w:sz w:val="13"/>
                <w:szCs w:val="13"/>
                <w:color w:val="auto"/>
              </w:rPr>
            </w:pPr>
          </w:p>
        </w:tc>
      </w:tr>
      <w:tr>
        <w:trPr>
          <w:trHeight w:val="153"/>
        </w:trPr>
        <w:tc>
          <w:tcPr>
            <w:tcW w:w="118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No Score</w:t>
            </w:r>
          </w:p>
        </w:tc>
        <w:tc>
          <w:tcPr>
            <w:tcW w:w="3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3</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w:t>
            </w:r>
          </w:p>
        </w:tc>
        <w:tc>
          <w:tcPr>
            <w:tcW w:w="60" w:type="dxa"/>
            <w:vAlign w:val="bottom"/>
          </w:tcPr>
          <w:p>
            <w:pPr>
              <w:spacing w:after="0"/>
              <w:rPr>
                <w:sz w:val="13"/>
                <w:szCs w:val="13"/>
                <w:color w:val="auto"/>
              </w:rPr>
            </w:pPr>
          </w:p>
        </w:tc>
      </w:tr>
      <w:tr>
        <w:trPr>
          <w:trHeight w:val="158"/>
        </w:trPr>
        <w:tc>
          <w:tcPr>
            <w:tcW w:w="1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44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   $</w:t>
            </w:r>
          </w:p>
        </w:tc>
        <w:tc>
          <w:tcPr>
            <w:tcW w:w="144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   $</w:t>
            </w:r>
          </w:p>
        </w:tc>
        <w:tc>
          <w:tcPr>
            <w:tcW w:w="1300" w:type="dxa"/>
            <w:vAlign w:val="bottom"/>
            <w:gridSpan w:val="3"/>
            <w:shd w:val="clear" w:color="auto" w:fill="CCEEFF"/>
          </w:tcPr>
          <w:p>
            <w:pPr>
              <w:jc w:val="right"/>
              <w:ind w:right="52"/>
              <w:spacing w:after="0"/>
              <w:rPr>
                <w:sz w:val="20"/>
                <w:szCs w:val="20"/>
                <w:color w:val="auto"/>
              </w:rPr>
            </w:pPr>
            <w:r>
              <w:rPr>
                <w:rFonts w:ascii="Arial" w:cs="Arial" w:eastAsia="Arial" w:hAnsi="Arial"/>
                <w:sz w:val="12"/>
                <w:szCs w:val="12"/>
                <w:color w:val="auto"/>
              </w:rPr>
              <w:t>—   $</w:t>
            </w: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862"/>
              <w:spacing w:after="0"/>
              <w:rPr>
                <w:sz w:val="20"/>
                <w:szCs w:val="20"/>
                <w:color w:val="auto"/>
              </w:rPr>
            </w:pPr>
            <w:r>
              <w:rPr>
                <w:rFonts w:ascii="Arial" w:cs="Arial" w:eastAsia="Arial" w:hAnsi="Arial"/>
                <w:sz w:val="12"/>
                <w:szCs w:val="12"/>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15</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w:t>
            </w:r>
          </w:p>
        </w:tc>
        <w:tc>
          <w:tcPr>
            <w:tcW w:w="60" w:type="dxa"/>
            <w:vAlign w:val="bottom"/>
          </w:tcPr>
          <w:p>
            <w:pPr>
              <w:spacing w:after="0"/>
              <w:rPr>
                <w:sz w:val="13"/>
                <w:szCs w:val="13"/>
                <w:color w:val="auto"/>
              </w:rPr>
            </w:pPr>
          </w:p>
        </w:tc>
      </w:tr>
      <w:tr>
        <w:trPr>
          <w:trHeight w:val="331"/>
        </w:trPr>
        <w:tc>
          <w:tcPr>
            <w:tcW w:w="18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3580" w:type="dxa"/>
            <w:vAlign w:val="bottom"/>
            <w:tcBorders>
              <w:top w:val="single" w:sz="8" w:color="auto"/>
              <w:bottom w:val="single" w:sz="8" w:color="auto"/>
            </w:tcBorders>
            <w:gridSpan w:val="6"/>
          </w:tcPr>
          <w:p>
            <w:pPr>
              <w:jc w:val="center"/>
              <w:spacing w:after="0"/>
              <w:rPr>
                <w:sz w:val="20"/>
                <w:szCs w:val="20"/>
                <w:color w:val="auto"/>
              </w:rPr>
            </w:pPr>
            <w:r>
              <w:rPr>
                <w:rFonts w:ascii="Arial" w:cs="Arial" w:eastAsia="Arial" w:hAnsi="Arial"/>
                <w:sz w:val="11"/>
                <w:szCs w:val="11"/>
                <w:b w:val="1"/>
                <w:bCs w:val="1"/>
                <w:color w:val="auto"/>
                <w:w w:val="88"/>
              </w:rPr>
              <w:t>Acquired Vacation Ownership Notes Receivable - Welk</w:t>
            </w:r>
          </w:p>
        </w:tc>
        <w:tc>
          <w:tcPr>
            <w:tcW w:w="3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33"/>
        </w:trPr>
        <w:tc>
          <w:tcPr>
            <w:tcW w:w="1180" w:type="dxa"/>
            <w:vAlign w:val="bottom"/>
            <w:gridSpan w:val="2"/>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340" w:type="dxa"/>
            <w:vAlign w:val="bottom"/>
          </w:tcPr>
          <w:p>
            <w:pPr>
              <w:spacing w:after="0"/>
              <w:rPr>
                <w:sz w:val="11"/>
                <w:szCs w:val="11"/>
                <w:color w:val="auto"/>
              </w:rPr>
            </w:pPr>
          </w:p>
        </w:tc>
        <w:tc>
          <w:tcPr>
            <w:tcW w:w="1020" w:type="dxa"/>
            <w:vAlign w:val="bottom"/>
          </w:tcPr>
          <w:p>
            <w:pPr>
              <w:jc w:val="right"/>
              <w:ind w:right="501"/>
              <w:spacing w:after="0"/>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jc w:val="right"/>
              <w:ind w:right="521"/>
              <w:spacing w:after="0"/>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jc w:val="right"/>
              <w:ind w:right="502"/>
              <w:spacing w:after="0"/>
              <w:rPr>
                <w:sz w:val="20"/>
                <w:szCs w:val="20"/>
                <w:color w:val="auto"/>
              </w:rPr>
            </w:pPr>
            <w:r>
              <w:rPr>
                <w:rFonts w:ascii="Arial" w:cs="Arial" w:eastAsia="Arial" w:hAnsi="Arial"/>
                <w:sz w:val="11"/>
                <w:szCs w:val="11"/>
                <w:b w:val="1"/>
                <w:bCs w:val="1"/>
                <w:color w:val="auto"/>
              </w:rPr>
              <w:t>2019</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jc w:val="center"/>
              <w:ind w:right="121"/>
              <w:spacing w:after="0"/>
              <w:rPr>
                <w:sz w:val="20"/>
                <w:szCs w:val="20"/>
                <w:color w:val="auto"/>
              </w:rPr>
            </w:pPr>
            <w:r>
              <w:rPr>
                <w:rFonts w:ascii="Arial" w:cs="Arial" w:eastAsia="Arial" w:hAnsi="Arial"/>
                <w:sz w:val="11"/>
                <w:szCs w:val="11"/>
                <w:b w:val="1"/>
                <w:bCs w:val="1"/>
                <w:color w:val="auto"/>
                <w:w w:val="89"/>
              </w:rPr>
              <w:t>2018</w:t>
            </w:r>
          </w:p>
        </w:tc>
        <w:tc>
          <w:tcPr>
            <w:tcW w:w="80" w:type="dxa"/>
            <w:vAlign w:val="bottom"/>
          </w:tcPr>
          <w:p>
            <w:pPr>
              <w:spacing w:after="0"/>
              <w:rPr>
                <w:sz w:val="11"/>
                <w:szCs w:val="11"/>
                <w:color w:val="auto"/>
              </w:rPr>
            </w:pPr>
          </w:p>
        </w:tc>
        <w:tc>
          <w:tcPr>
            <w:tcW w:w="1000" w:type="dxa"/>
            <w:vAlign w:val="bottom"/>
          </w:tcPr>
          <w:p>
            <w:pPr>
              <w:jc w:val="right"/>
              <w:ind w:right="142"/>
              <w:spacing w:after="0"/>
              <w:rPr>
                <w:sz w:val="20"/>
                <w:szCs w:val="20"/>
                <w:color w:val="auto"/>
              </w:rPr>
            </w:pPr>
            <w:r>
              <w:rPr>
                <w:rFonts w:ascii="Arial" w:cs="Arial" w:eastAsia="Arial" w:hAnsi="Arial"/>
                <w:sz w:val="11"/>
                <w:szCs w:val="11"/>
                <w:b w:val="1"/>
                <w:bCs w:val="1"/>
                <w:color w:val="auto"/>
              </w:rPr>
              <w:t>2017</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1"/>
                <w:szCs w:val="11"/>
                <w:b w:val="1"/>
                <w:bCs w:val="1"/>
                <w:color w:val="auto"/>
              </w:rPr>
              <w:t>2016 &amp; Prior</w:t>
            </w:r>
          </w:p>
        </w:tc>
        <w:tc>
          <w:tcPr>
            <w:tcW w:w="320" w:type="dxa"/>
            <w:vAlign w:val="bottom"/>
          </w:tcPr>
          <w:p>
            <w:pPr>
              <w:spacing w:after="0"/>
              <w:rPr>
                <w:sz w:val="11"/>
                <w:szCs w:val="11"/>
                <w:color w:val="auto"/>
              </w:rPr>
            </w:pPr>
          </w:p>
        </w:tc>
        <w:tc>
          <w:tcPr>
            <w:tcW w:w="1040" w:type="dxa"/>
            <w:vAlign w:val="bottom"/>
          </w:tcPr>
          <w:p>
            <w:pPr>
              <w:jc w:val="right"/>
              <w:ind w:right="501"/>
              <w:spacing w:after="0"/>
              <w:rPr>
                <w:sz w:val="20"/>
                <w:szCs w:val="20"/>
                <w:color w:val="auto"/>
              </w:rPr>
            </w:pPr>
            <w:r>
              <w:rPr>
                <w:rFonts w:ascii="Arial" w:cs="Arial" w:eastAsia="Arial" w:hAnsi="Arial"/>
                <w:sz w:val="11"/>
                <w:szCs w:val="11"/>
                <w:b w:val="1"/>
                <w:bCs w:val="1"/>
                <w:color w:val="auto"/>
              </w:rPr>
              <w:t>Total</w:t>
            </w:r>
          </w:p>
        </w:tc>
        <w:tc>
          <w:tcPr>
            <w:tcW w:w="60" w:type="dxa"/>
            <w:vAlign w:val="bottom"/>
          </w:tcPr>
          <w:p>
            <w:pPr>
              <w:spacing w:after="0"/>
              <w:rPr>
                <w:sz w:val="11"/>
                <w:szCs w:val="11"/>
                <w:color w:val="auto"/>
              </w:rPr>
            </w:pPr>
          </w:p>
        </w:tc>
      </w:tr>
      <w:tr>
        <w:trPr>
          <w:trHeight w:val="144"/>
        </w:trPr>
        <w:tc>
          <w:tcPr>
            <w:tcW w:w="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1"/>
                <w:szCs w:val="11"/>
                <w:color w:val="auto"/>
                <w:w w:val="86"/>
              </w:rPr>
              <w:t>700</w:t>
            </w:r>
          </w:p>
        </w:tc>
        <w:tc>
          <w:tcPr>
            <w:tcW w:w="1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340" w:type="dxa"/>
            <w:vAlign w:val="bottom"/>
            <w:tcBorders>
              <w:top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1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32</w:t>
            </w:r>
          </w:p>
        </w:tc>
        <w:tc>
          <w:tcPr>
            <w:tcW w:w="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37</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24</w:t>
            </w:r>
          </w:p>
        </w:tc>
        <w:tc>
          <w:tcPr>
            <w:tcW w:w="8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ind w:right="862"/>
              <w:spacing w:after="0"/>
              <w:rPr>
                <w:sz w:val="20"/>
                <w:szCs w:val="20"/>
                <w:color w:val="auto"/>
              </w:rPr>
            </w:pPr>
            <w:r>
              <w:rPr>
                <w:rFonts w:ascii="Arial" w:cs="Arial" w:eastAsia="Arial" w:hAnsi="Arial"/>
                <w:sz w:val="12"/>
                <w:szCs w:val="12"/>
                <w:color w:val="auto"/>
                <w:w w:val="8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w:t>
            </w: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25</w:t>
            </w:r>
          </w:p>
        </w:tc>
        <w:tc>
          <w:tcPr>
            <w:tcW w:w="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147</w:t>
            </w:r>
          </w:p>
        </w:tc>
        <w:tc>
          <w:tcPr>
            <w:tcW w:w="60" w:type="dxa"/>
            <w:vAlign w:val="bottom"/>
          </w:tcPr>
          <w:p>
            <w:pPr>
              <w:spacing w:after="0"/>
              <w:rPr>
                <w:sz w:val="12"/>
                <w:szCs w:val="12"/>
                <w:color w:val="auto"/>
              </w:rPr>
            </w:pPr>
          </w:p>
        </w:tc>
      </w:tr>
      <w:tr>
        <w:trPr>
          <w:trHeight w:val="153"/>
        </w:trPr>
        <w:tc>
          <w:tcPr>
            <w:tcW w:w="180" w:type="dxa"/>
            <w:vAlign w:val="bottom"/>
          </w:tcPr>
          <w:p>
            <w:pPr>
              <w:spacing w:after="0"/>
              <w:rPr>
                <w:sz w:val="20"/>
                <w:szCs w:val="20"/>
                <w:color w:val="auto"/>
              </w:rPr>
            </w:pPr>
            <w:r>
              <w:rPr>
                <w:rFonts w:ascii="Arial" w:cs="Arial" w:eastAsia="Arial" w:hAnsi="Arial"/>
                <w:sz w:val="11"/>
                <w:szCs w:val="11"/>
                <w:color w:val="auto"/>
                <w:w w:val="86"/>
              </w:rPr>
              <w:t>600</w:t>
            </w:r>
          </w:p>
        </w:tc>
        <w:tc>
          <w:tcPr>
            <w:tcW w:w="1000" w:type="dxa"/>
            <w:vAlign w:val="bottom"/>
          </w:tcPr>
          <w:p>
            <w:pPr>
              <w:ind w:left="20"/>
              <w:spacing w:after="0"/>
              <w:rPr>
                <w:sz w:val="20"/>
                <w:szCs w:val="20"/>
                <w:color w:val="auto"/>
              </w:rPr>
            </w:pPr>
            <w:r>
              <w:rPr>
                <w:rFonts w:ascii="Arial" w:cs="Arial" w:eastAsia="Arial" w:hAnsi="Arial"/>
                <w:sz w:val="11"/>
                <w:szCs w:val="11"/>
                <w:color w:val="auto"/>
              </w:rPr>
              <w:t>- 699</w:t>
            </w:r>
          </w:p>
        </w:tc>
        <w:tc>
          <w:tcPr>
            <w:tcW w:w="3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7</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19</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ind w:right="1"/>
              <w:spacing w:after="0"/>
              <w:rPr>
                <w:sz w:val="20"/>
                <w:szCs w:val="20"/>
                <w:color w:val="auto"/>
              </w:rPr>
            </w:pPr>
            <w:r>
              <w:rPr>
                <w:rFonts w:ascii="Arial" w:cs="Arial" w:eastAsia="Arial" w:hAnsi="Arial"/>
                <w:sz w:val="12"/>
                <w:szCs w:val="12"/>
                <w:color w:val="auto"/>
              </w:rPr>
              <w:t>16</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20</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101</w:t>
            </w:r>
          </w:p>
        </w:tc>
        <w:tc>
          <w:tcPr>
            <w:tcW w:w="60" w:type="dxa"/>
            <w:vAlign w:val="bottom"/>
          </w:tcPr>
          <w:p>
            <w:pPr>
              <w:spacing w:after="0"/>
              <w:rPr>
                <w:sz w:val="13"/>
                <w:szCs w:val="13"/>
                <w:color w:val="auto"/>
              </w:rPr>
            </w:pPr>
          </w:p>
        </w:tc>
      </w:tr>
      <w:tr>
        <w:trPr>
          <w:trHeight w:val="153"/>
        </w:trPr>
        <w:tc>
          <w:tcPr>
            <w:tcW w:w="11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&lt; 600</w:t>
            </w:r>
          </w:p>
        </w:tc>
        <w:tc>
          <w:tcPr>
            <w:tcW w:w="3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60" w:type="dxa"/>
            <w:vAlign w:val="bottom"/>
          </w:tcPr>
          <w:p>
            <w:pPr>
              <w:spacing w:after="0"/>
              <w:rPr>
                <w:sz w:val="13"/>
                <w:szCs w:val="13"/>
                <w:color w:val="auto"/>
              </w:rPr>
            </w:pPr>
          </w:p>
        </w:tc>
      </w:tr>
      <w:tr>
        <w:trPr>
          <w:trHeight w:val="153"/>
        </w:trPr>
        <w:tc>
          <w:tcPr>
            <w:tcW w:w="1180" w:type="dxa"/>
            <w:vAlign w:val="bottom"/>
            <w:gridSpan w:val="2"/>
          </w:tcPr>
          <w:p>
            <w:pPr>
              <w:spacing w:after="0"/>
              <w:rPr>
                <w:sz w:val="20"/>
                <w:szCs w:val="20"/>
                <w:color w:val="auto"/>
              </w:rPr>
            </w:pPr>
            <w:r>
              <w:rPr>
                <w:rFonts w:ascii="Arial" w:cs="Arial" w:eastAsia="Arial" w:hAnsi="Arial"/>
                <w:sz w:val="11"/>
                <w:szCs w:val="11"/>
                <w:color w:val="auto"/>
              </w:rPr>
              <w:t>No Score</w:t>
            </w:r>
          </w:p>
        </w:tc>
        <w:tc>
          <w:tcPr>
            <w:tcW w:w="34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ind w:right="1"/>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3</w:t>
            </w:r>
          </w:p>
        </w:tc>
        <w:tc>
          <w:tcPr>
            <w:tcW w:w="60" w:type="dxa"/>
            <w:vAlign w:val="bottom"/>
          </w:tcPr>
          <w:p>
            <w:pPr>
              <w:spacing w:after="0"/>
              <w:rPr>
                <w:sz w:val="13"/>
                <w:szCs w:val="13"/>
                <w:color w:val="auto"/>
              </w:rPr>
            </w:pPr>
          </w:p>
        </w:tc>
      </w:tr>
      <w:tr>
        <w:trPr>
          <w:trHeight w:val="158"/>
        </w:trPr>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1000" w:type="dxa"/>
            <w:vAlign w:val="bottom"/>
            <w:tcBorders>
              <w:top w:val="single" w:sz="8" w:color="CCEEFF"/>
              <w:bottom w:val="single" w:sz="8" w:color="CCEEFF"/>
            </w:tcBorders>
            <w:shd w:val="clear" w:color="auto" w:fill="CCEEFF"/>
          </w:tcPr>
          <w:p>
            <w:pPr>
              <w:spacing w:after="0"/>
              <w:rPr>
                <w:sz w:val="13"/>
                <w:szCs w:val="13"/>
                <w:color w:val="auto"/>
              </w:rPr>
            </w:pPr>
          </w:p>
        </w:tc>
        <w:tc>
          <w:tcPr>
            <w:tcW w:w="340" w:type="dxa"/>
            <w:vAlign w:val="bottom"/>
            <w:tcBorders>
              <w:top w:val="single" w:sz="8" w:color="auto"/>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52</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65</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41</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000" w:type="dxa"/>
            <w:vAlign w:val="bottom"/>
            <w:tcBorders>
              <w:top w:val="single" w:sz="8" w:color="auto"/>
              <w:bottom w:val="single" w:sz="8" w:color="auto"/>
            </w:tcBorders>
            <w:shd w:val="clear" w:color="auto" w:fill="CCEEFF"/>
          </w:tcPr>
          <w:p>
            <w:pPr>
              <w:jc w:val="right"/>
              <w:ind w:right="862"/>
              <w:spacing w:after="0"/>
              <w:rPr>
                <w:sz w:val="20"/>
                <w:szCs w:val="20"/>
                <w:color w:val="auto"/>
              </w:rPr>
            </w:pPr>
            <w:r>
              <w:rPr>
                <w:rFonts w:ascii="Arial" w:cs="Arial" w:eastAsia="Arial" w:hAnsi="Arial"/>
                <w:sz w:val="12"/>
                <w:szCs w:val="12"/>
                <w:color w:val="auto"/>
                <w:w w:val="8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46</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252</w:t>
            </w:r>
          </w:p>
        </w:tc>
        <w:tc>
          <w:tcPr>
            <w:tcW w:w="60" w:type="dxa"/>
            <w:vAlign w:val="bottom"/>
          </w:tcPr>
          <w:p>
            <w:pPr>
              <w:spacing w:after="0"/>
              <w:rPr>
                <w:sz w:val="13"/>
                <w:szCs w:val="13"/>
                <w:color w:val="auto"/>
              </w:rPr>
            </w:pPr>
          </w:p>
        </w:tc>
      </w:tr>
      <w:tr>
        <w:trPr>
          <w:trHeight w:val="333"/>
        </w:trPr>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921"/>
              <w:spacing w:after="0"/>
              <w:rPr>
                <w:sz w:val="20"/>
                <w:szCs w:val="20"/>
                <w:color w:val="auto"/>
              </w:rPr>
            </w:pPr>
            <w:r>
              <w:rPr>
                <w:rFonts w:ascii="Arial" w:cs="Arial" w:eastAsia="Arial" w:hAnsi="Arial"/>
                <w:sz w:val="12"/>
                <w:szCs w:val="12"/>
                <w:color w:val="auto"/>
              </w:rPr>
              <w:t>21</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06"/>
        </w:trPr>
        <w:tc>
          <w:tcPr>
            <w:tcW w:w="1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23" w:name="page24"/>
    <w:bookmarkEnd w:id="23"/>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ind w:right="40" w:firstLine="432"/>
        <w:spacing w:after="0" w:line="273" w:lineRule="auto"/>
        <w:rPr>
          <w:sz w:val="20"/>
          <w:szCs w:val="20"/>
          <w:color w:val="auto"/>
        </w:rPr>
      </w:pPr>
      <w:r>
        <w:rPr>
          <w:rFonts w:ascii="Arial" w:cs="Arial" w:eastAsia="Arial" w:hAnsi="Arial"/>
          <w:sz w:val="12"/>
          <w:szCs w:val="12"/>
          <w:color w:val="auto"/>
        </w:rPr>
        <w:t>The following tables show the Legacy-ILG and Legacy-Welk originated vacation ownership notes receivable by brand and FICO score, before reserves. Vacation ownership notes receivable with no FICO score primarily relate to non-U.S. resident borrowers.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9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4180" w:type="dxa"/>
            <w:vAlign w:val="bottom"/>
            <w:tcBorders>
              <w:bottom w:val="single" w:sz="8" w:color="auto"/>
            </w:tcBorders>
            <w:gridSpan w:val="8"/>
          </w:tcPr>
          <w:p>
            <w:pPr>
              <w:jc w:val="center"/>
              <w:ind w:right="360"/>
              <w:spacing w:after="0"/>
              <w:rPr>
                <w:sz w:val="20"/>
                <w:szCs w:val="20"/>
                <w:color w:val="auto"/>
              </w:rPr>
            </w:pPr>
            <w:r>
              <w:rPr>
                <w:rFonts w:ascii="Arial" w:cs="Arial" w:eastAsia="Arial" w:hAnsi="Arial"/>
                <w:sz w:val="11"/>
                <w:szCs w:val="11"/>
                <w:b w:val="1"/>
                <w:bCs w:val="1"/>
                <w:color w:val="auto"/>
                <w:w w:val="87"/>
              </w:rPr>
              <w:t>Originated Vacation Ownership Notes Receivable as of June 30, 2021</w:t>
            </w: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r>
      <w:tr>
        <w:trPr>
          <w:trHeight w:val="133"/>
        </w:trPr>
        <w:tc>
          <w:tcPr>
            <w:tcW w:w="3960" w:type="dxa"/>
            <w:vAlign w:val="bottom"/>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320" w:type="dxa"/>
            <w:vAlign w:val="bottom"/>
          </w:tcPr>
          <w:p>
            <w:pPr>
              <w:spacing w:after="0"/>
              <w:rPr>
                <w:sz w:val="11"/>
                <w:szCs w:val="11"/>
                <w:color w:val="auto"/>
              </w:rPr>
            </w:pPr>
          </w:p>
        </w:tc>
        <w:tc>
          <w:tcPr>
            <w:tcW w:w="1080" w:type="dxa"/>
            <w:vAlign w:val="bottom"/>
          </w:tcPr>
          <w:p>
            <w:pPr>
              <w:jc w:val="right"/>
              <w:ind w:right="521"/>
              <w:spacing w:after="0"/>
              <w:rPr>
                <w:sz w:val="20"/>
                <w:szCs w:val="20"/>
                <w:color w:val="auto"/>
              </w:rPr>
            </w:pPr>
            <w:r>
              <w:rPr>
                <w:rFonts w:ascii="Arial" w:cs="Arial" w:eastAsia="Arial" w:hAnsi="Arial"/>
                <w:sz w:val="11"/>
                <w:szCs w:val="11"/>
                <w:b w:val="1"/>
                <w:bCs w:val="1"/>
                <w:color w:val="auto"/>
              </w:rPr>
              <w:t>700 +</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jc w:val="right"/>
              <w:ind w:right="422"/>
              <w:spacing w:after="0"/>
              <w:rPr>
                <w:sz w:val="20"/>
                <w:szCs w:val="20"/>
                <w:color w:val="auto"/>
              </w:rPr>
            </w:pPr>
            <w:r>
              <w:rPr>
                <w:rFonts w:ascii="Arial" w:cs="Arial" w:eastAsia="Arial" w:hAnsi="Arial"/>
                <w:sz w:val="11"/>
                <w:szCs w:val="11"/>
                <w:b w:val="1"/>
                <w:bCs w:val="1"/>
                <w:color w:val="auto"/>
              </w:rPr>
              <w:t>600 - 699</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jc w:val="center"/>
              <w:ind w:right="261"/>
              <w:spacing w:after="0"/>
              <w:rPr>
                <w:sz w:val="20"/>
                <w:szCs w:val="20"/>
                <w:color w:val="auto"/>
              </w:rPr>
            </w:pPr>
            <w:r>
              <w:rPr>
                <w:rFonts w:ascii="Arial" w:cs="Arial" w:eastAsia="Arial" w:hAnsi="Arial"/>
                <w:sz w:val="11"/>
                <w:szCs w:val="11"/>
                <w:b w:val="1"/>
                <w:bCs w:val="1"/>
                <w:color w:val="auto"/>
                <w:w w:val="93"/>
              </w:rPr>
              <w:t>&lt; 600</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200"/>
              <w:spacing w:after="0"/>
              <w:rPr>
                <w:sz w:val="20"/>
                <w:szCs w:val="20"/>
                <w:color w:val="auto"/>
              </w:rPr>
            </w:pPr>
            <w:r>
              <w:rPr>
                <w:rFonts w:ascii="Arial" w:cs="Arial" w:eastAsia="Arial" w:hAnsi="Arial"/>
                <w:sz w:val="11"/>
                <w:szCs w:val="11"/>
                <w:b w:val="1"/>
                <w:bCs w:val="1"/>
                <w:color w:val="auto"/>
              </w:rPr>
              <w:t>No Score</w:t>
            </w:r>
          </w:p>
        </w:tc>
        <w:tc>
          <w:tcPr>
            <w:tcW w:w="320" w:type="dxa"/>
            <w:vAlign w:val="bottom"/>
          </w:tcPr>
          <w:p>
            <w:pPr>
              <w:spacing w:after="0"/>
              <w:rPr>
                <w:sz w:val="11"/>
                <w:szCs w:val="11"/>
                <w:color w:val="auto"/>
              </w:rPr>
            </w:pPr>
          </w:p>
        </w:tc>
        <w:tc>
          <w:tcPr>
            <w:tcW w:w="1080" w:type="dxa"/>
            <w:vAlign w:val="bottom"/>
          </w:tcPr>
          <w:p>
            <w:pPr>
              <w:jc w:val="right"/>
              <w:ind w:right="521"/>
              <w:spacing w:after="0"/>
              <w:rPr>
                <w:sz w:val="20"/>
                <w:szCs w:val="20"/>
                <w:color w:val="auto"/>
              </w:rPr>
            </w:pPr>
            <w:r>
              <w:rPr>
                <w:rFonts w:ascii="Arial" w:cs="Arial" w:eastAsia="Arial" w:hAnsi="Arial"/>
                <w:sz w:val="11"/>
                <w:szCs w:val="11"/>
                <w:b w:val="1"/>
                <w:bCs w:val="1"/>
                <w:color w:val="auto"/>
              </w:rPr>
              <w:t>Total</w:t>
            </w:r>
          </w:p>
        </w:tc>
      </w:tr>
      <w:tr>
        <w:trPr>
          <w:trHeight w:val="144"/>
        </w:trPr>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Westin</w:t>
            </w:r>
          </w:p>
        </w:tc>
        <w:tc>
          <w:tcPr>
            <w:tcW w:w="320" w:type="dxa"/>
            <w:vAlign w:val="bottom"/>
            <w:tcBorders>
              <w:top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121</w:t>
            </w: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57</w:t>
            </w:r>
          </w:p>
        </w:tc>
        <w:tc>
          <w:tcPr>
            <w:tcW w:w="1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10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26</w:t>
            </w:r>
          </w:p>
        </w:tc>
        <w:tc>
          <w:tcPr>
            <w:tcW w:w="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211</w:t>
            </w:r>
          </w:p>
        </w:tc>
      </w:tr>
      <w:tr>
        <w:trPr>
          <w:trHeight w:val="153"/>
        </w:trPr>
        <w:tc>
          <w:tcPr>
            <w:tcW w:w="3960" w:type="dxa"/>
            <w:vAlign w:val="bottom"/>
          </w:tcPr>
          <w:p>
            <w:pPr>
              <w:spacing w:after="0"/>
              <w:rPr>
                <w:sz w:val="20"/>
                <w:szCs w:val="20"/>
                <w:color w:val="auto"/>
              </w:rPr>
            </w:pPr>
            <w:r>
              <w:rPr>
                <w:rFonts w:ascii="Arial" w:cs="Arial" w:eastAsia="Arial" w:hAnsi="Arial"/>
                <w:sz w:val="12"/>
                <w:szCs w:val="12"/>
                <w:color w:val="auto"/>
              </w:rPr>
              <w:t>Sheraton</w:t>
            </w:r>
          </w:p>
        </w:tc>
        <w:tc>
          <w:tcPr>
            <w:tcW w:w="320" w:type="dxa"/>
            <w:vAlign w:val="bottom"/>
          </w:tcPr>
          <w:p>
            <w:pPr>
              <w:spacing w:after="0"/>
              <w:rPr>
                <w:sz w:val="13"/>
                <w:szCs w:val="13"/>
                <w:color w:val="auto"/>
              </w:rPr>
            </w:pPr>
          </w:p>
        </w:tc>
        <w:tc>
          <w:tcPr>
            <w:tcW w:w="1080" w:type="dxa"/>
            <w:vAlign w:val="bottom"/>
          </w:tcPr>
          <w:p>
            <w:pPr>
              <w:jc w:val="right"/>
              <w:ind w:right="1"/>
              <w:spacing w:after="0"/>
              <w:rPr>
                <w:sz w:val="20"/>
                <w:szCs w:val="20"/>
                <w:color w:val="auto"/>
              </w:rPr>
            </w:pPr>
            <w:r>
              <w:rPr>
                <w:rFonts w:ascii="Arial" w:cs="Arial" w:eastAsia="Arial" w:hAnsi="Arial"/>
                <w:sz w:val="12"/>
                <w:szCs w:val="12"/>
                <w:color w:val="auto"/>
              </w:rPr>
              <w:t>118</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80</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18</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jc w:val="right"/>
              <w:ind w:right="1"/>
              <w:spacing w:after="0"/>
              <w:rPr>
                <w:sz w:val="20"/>
                <w:szCs w:val="20"/>
                <w:color w:val="auto"/>
              </w:rPr>
            </w:pPr>
            <w:r>
              <w:rPr>
                <w:rFonts w:ascii="Arial" w:cs="Arial" w:eastAsia="Arial" w:hAnsi="Arial"/>
                <w:sz w:val="12"/>
                <w:szCs w:val="12"/>
                <w:color w:val="auto"/>
              </w:rPr>
              <w:t>43</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ind w:right="1"/>
              <w:spacing w:after="0"/>
              <w:rPr>
                <w:sz w:val="20"/>
                <w:szCs w:val="20"/>
                <w:color w:val="auto"/>
              </w:rPr>
            </w:pPr>
            <w:r>
              <w:rPr>
                <w:rFonts w:ascii="Arial" w:cs="Arial" w:eastAsia="Arial" w:hAnsi="Arial"/>
                <w:sz w:val="12"/>
                <w:szCs w:val="12"/>
                <w:color w:val="auto"/>
              </w:rPr>
              <w:t>259</w:t>
            </w:r>
          </w:p>
        </w:tc>
      </w:tr>
      <w:tr>
        <w:trPr>
          <w:trHeight w:val="153"/>
        </w:trPr>
        <w:tc>
          <w:tcPr>
            <w:tcW w:w="3960" w:type="dxa"/>
            <w:vAlign w:val="bottom"/>
            <w:shd w:val="clear" w:color="auto" w:fill="CCEEFF"/>
          </w:tcPr>
          <w:p>
            <w:pPr>
              <w:spacing w:after="0"/>
              <w:rPr>
                <w:sz w:val="20"/>
                <w:szCs w:val="20"/>
                <w:color w:val="auto"/>
              </w:rPr>
            </w:pPr>
            <w:r>
              <w:rPr>
                <w:rFonts w:ascii="Arial" w:cs="Arial" w:eastAsia="Arial" w:hAnsi="Arial"/>
                <w:sz w:val="12"/>
                <w:szCs w:val="12"/>
                <w:color w:val="auto"/>
              </w:rPr>
              <w:t>Hyatt</w:t>
            </w: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19</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28</w:t>
            </w:r>
          </w:p>
        </w:tc>
      </w:tr>
      <w:tr>
        <w:trPr>
          <w:trHeight w:val="153"/>
        </w:trPr>
        <w:tc>
          <w:tcPr>
            <w:tcW w:w="3960" w:type="dxa"/>
            <w:vAlign w:val="bottom"/>
          </w:tcPr>
          <w:p>
            <w:pPr>
              <w:spacing w:after="0"/>
              <w:rPr>
                <w:sz w:val="20"/>
                <w:szCs w:val="20"/>
                <w:color w:val="auto"/>
              </w:rPr>
            </w:pPr>
            <w:r>
              <w:rPr>
                <w:rFonts w:ascii="Arial" w:cs="Arial" w:eastAsia="Arial" w:hAnsi="Arial"/>
                <w:sz w:val="12"/>
                <w:szCs w:val="12"/>
                <w:color w:val="auto"/>
              </w:rPr>
              <w:t>Welk</w:t>
            </w:r>
          </w:p>
        </w:tc>
        <w:tc>
          <w:tcPr>
            <w:tcW w:w="320" w:type="dxa"/>
            <w:vAlign w:val="bottom"/>
          </w:tcPr>
          <w:p>
            <w:pPr>
              <w:spacing w:after="0"/>
              <w:rPr>
                <w:sz w:val="13"/>
                <w:szCs w:val="13"/>
                <w:color w:val="auto"/>
              </w:rPr>
            </w:pPr>
          </w:p>
        </w:tc>
        <w:tc>
          <w:tcPr>
            <w:tcW w:w="1080" w:type="dxa"/>
            <w:vAlign w:val="bottom"/>
          </w:tcPr>
          <w:p>
            <w:pPr>
              <w:jc w:val="right"/>
              <w:ind w:right="1"/>
              <w:spacing w:after="0"/>
              <w:rPr>
                <w:sz w:val="20"/>
                <w:szCs w:val="20"/>
                <w:color w:val="auto"/>
              </w:rPr>
            </w:pPr>
            <w:r>
              <w:rPr>
                <w:rFonts w:ascii="Arial" w:cs="Arial" w:eastAsia="Arial" w:hAnsi="Arial"/>
                <w:sz w:val="12"/>
                <w:szCs w:val="12"/>
                <w:color w:val="auto"/>
              </w:rPr>
              <w:t>27</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11</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1080" w:type="dxa"/>
            <w:vAlign w:val="bottom"/>
          </w:tcPr>
          <w:p>
            <w:pPr>
              <w:jc w:val="right"/>
              <w:ind w:right="1"/>
              <w:spacing w:after="0"/>
              <w:rPr>
                <w:sz w:val="20"/>
                <w:szCs w:val="20"/>
                <w:color w:val="auto"/>
              </w:rPr>
            </w:pPr>
            <w:r>
              <w:rPr>
                <w:rFonts w:ascii="Arial" w:cs="Arial" w:eastAsia="Arial" w:hAnsi="Arial"/>
                <w:sz w:val="12"/>
                <w:szCs w:val="12"/>
                <w:color w:val="auto"/>
              </w:rPr>
              <w:t>38</w:t>
            </w:r>
          </w:p>
        </w:tc>
      </w:tr>
      <w:tr>
        <w:trPr>
          <w:trHeight w:val="149"/>
        </w:trPr>
        <w:tc>
          <w:tcPr>
            <w:tcW w:w="3960" w:type="dxa"/>
            <w:vAlign w:val="bottom"/>
            <w:tcBorders>
              <w:top w:val="single" w:sz="8" w:color="CCEEFF"/>
              <w:bottom w:val="single" w:sz="8" w:color="CCEEFF"/>
            </w:tcBorders>
            <w:shd w:val="clear" w:color="auto" w:fill="CCEEFF"/>
          </w:tcPr>
          <w:p>
            <w:pPr>
              <w:spacing w:after="0"/>
              <w:rPr>
                <w:sz w:val="12"/>
                <w:szCs w:val="12"/>
                <w:color w:val="auto"/>
              </w:rPr>
            </w:pPr>
          </w:p>
        </w:tc>
        <w:tc>
          <w:tcPr>
            <w:tcW w:w="320" w:type="dxa"/>
            <w:vAlign w:val="bottom"/>
            <w:tcBorders>
              <w:top w:val="single" w:sz="8" w:color="auto"/>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285</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157</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320" w:type="dxa"/>
            <w:vAlign w:val="bottom"/>
            <w:tcBorders>
              <w:top w:val="single" w:sz="8" w:color="auto"/>
              <w:bottom w:val="single" w:sz="8" w:color="CCEEFF"/>
            </w:tcBorders>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25</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CCEEFF"/>
            </w:tcBorders>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69</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320" w:type="dxa"/>
            <w:vAlign w:val="bottom"/>
            <w:tcBorders>
              <w:top w:val="single" w:sz="8" w:color="auto"/>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536</w:t>
            </w:r>
          </w:p>
        </w:tc>
      </w:tr>
      <w:tr>
        <w:trPr>
          <w:trHeight w:val="20"/>
        </w:trPr>
        <w:tc>
          <w:tcPr>
            <w:tcW w:w="39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r>
      <w:tr>
        <w:trPr>
          <w:trHeight w:val="284"/>
        </w:trPr>
        <w:tc>
          <w:tcPr>
            <w:tcW w:w="39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gridSpan w:val="8"/>
          </w:tcPr>
          <w:p>
            <w:pPr>
              <w:jc w:val="center"/>
              <w:ind w:right="360"/>
              <w:spacing w:after="0"/>
              <w:rPr>
                <w:sz w:val="20"/>
                <w:szCs w:val="20"/>
                <w:color w:val="auto"/>
              </w:rPr>
            </w:pPr>
            <w:r>
              <w:rPr>
                <w:rFonts w:ascii="Arial" w:cs="Arial" w:eastAsia="Arial" w:hAnsi="Arial"/>
                <w:sz w:val="11"/>
                <w:szCs w:val="11"/>
                <w:b w:val="1"/>
                <w:bCs w:val="1"/>
                <w:color w:val="auto"/>
                <w:w w:val="87"/>
              </w:rPr>
              <w:t>Originated Vacation Ownership Notes Receivable as of December 31, 2020</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133"/>
        </w:trPr>
        <w:tc>
          <w:tcPr>
            <w:tcW w:w="3960" w:type="dxa"/>
            <w:vAlign w:val="bottom"/>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320" w:type="dxa"/>
            <w:vAlign w:val="bottom"/>
          </w:tcPr>
          <w:p>
            <w:pPr>
              <w:spacing w:after="0"/>
              <w:rPr>
                <w:sz w:val="11"/>
                <w:szCs w:val="11"/>
                <w:color w:val="auto"/>
              </w:rPr>
            </w:pPr>
          </w:p>
        </w:tc>
        <w:tc>
          <w:tcPr>
            <w:tcW w:w="1080" w:type="dxa"/>
            <w:vAlign w:val="bottom"/>
          </w:tcPr>
          <w:p>
            <w:pPr>
              <w:jc w:val="right"/>
              <w:ind w:right="521"/>
              <w:spacing w:after="0"/>
              <w:rPr>
                <w:sz w:val="20"/>
                <w:szCs w:val="20"/>
                <w:color w:val="auto"/>
              </w:rPr>
            </w:pPr>
            <w:r>
              <w:rPr>
                <w:rFonts w:ascii="Arial" w:cs="Arial" w:eastAsia="Arial" w:hAnsi="Arial"/>
                <w:sz w:val="11"/>
                <w:szCs w:val="11"/>
                <w:b w:val="1"/>
                <w:bCs w:val="1"/>
                <w:color w:val="auto"/>
              </w:rPr>
              <w:t>700 +</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jc w:val="right"/>
              <w:ind w:right="422"/>
              <w:spacing w:after="0"/>
              <w:rPr>
                <w:sz w:val="20"/>
                <w:szCs w:val="20"/>
                <w:color w:val="auto"/>
              </w:rPr>
            </w:pPr>
            <w:r>
              <w:rPr>
                <w:rFonts w:ascii="Arial" w:cs="Arial" w:eastAsia="Arial" w:hAnsi="Arial"/>
                <w:sz w:val="11"/>
                <w:szCs w:val="11"/>
                <w:b w:val="1"/>
                <w:bCs w:val="1"/>
                <w:color w:val="auto"/>
              </w:rPr>
              <w:t>600 - 699</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jc w:val="center"/>
              <w:ind w:right="261"/>
              <w:spacing w:after="0"/>
              <w:rPr>
                <w:sz w:val="20"/>
                <w:szCs w:val="20"/>
                <w:color w:val="auto"/>
              </w:rPr>
            </w:pPr>
            <w:r>
              <w:rPr>
                <w:rFonts w:ascii="Arial" w:cs="Arial" w:eastAsia="Arial" w:hAnsi="Arial"/>
                <w:sz w:val="11"/>
                <w:szCs w:val="11"/>
                <w:b w:val="1"/>
                <w:bCs w:val="1"/>
                <w:color w:val="auto"/>
                <w:w w:val="93"/>
              </w:rPr>
              <w:t>&lt; 600</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200"/>
              <w:spacing w:after="0"/>
              <w:rPr>
                <w:sz w:val="20"/>
                <w:szCs w:val="20"/>
                <w:color w:val="auto"/>
              </w:rPr>
            </w:pPr>
            <w:r>
              <w:rPr>
                <w:rFonts w:ascii="Arial" w:cs="Arial" w:eastAsia="Arial" w:hAnsi="Arial"/>
                <w:sz w:val="11"/>
                <w:szCs w:val="11"/>
                <w:b w:val="1"/>
                <w:bCs w:val="1"/>
                <w:color w:val="auto"/>
              </w:rPr>
              <w:t>No Score</w:t>
            </w:r>
          </w:p>
        </w:tc>
        <w:tc>
          <w:tcPr>
            <w:tcW w:w="320" w:type="dxa"/>
            <w:vAlign w:val="bottom"/>
          </w:tcPr>
          <w:p>
            <w:pPr>
              <w:spacing w:after="0"/>
              <w:rPr>
                <w:sz w:val="11"/>
                <w:szCs w:val="11"/>
                <w:color w:val="auto"/>
              </w:rPr>
            </w:pPr>
          </w:p>
        </w:tc>
        <w:tc>
          <w:tcPr>
            <w:tcW w:w="1080" w:type="dxa"/>
            <w:vAlign w:val="bottom"/>
          </w:tcPr>
          <w:p>
            <w:pPr>
              <w:jc w:val="right"/>
              <w:ind w:right="521"/>
              <w:spacing w:after="0"/>
              <w:rPr>
                <w:sz w:val="20"/>
                <w:szCs w:val="20"/>
                <w:color w:val="auto"/>
              </w:rPr>
            </w:pPr>
            <w:r>
              <w:rPr>
                <w:rFonts w:ascii="Arial" w:cs="Arial" w:eastAsia="Arial" w:hAnsi="Arial"/>
                <w:sz w:val="11"/>
                <w:szCs w:val="11"/>
                <w:b w:val="1"/>
                <w:bCs w:val="1"/>
                <w:color w:val="auto"/>
              </w:rPr>
              <w:t>Total</w:t>
            </w:r>
          </w:p>
        </w:tc>
      </w:tr>
      <w:tr>
        <w:trPr>
          <w:trHeight w:val="144"/>
        </w:trPr>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Westin</w:t>
            </w:r>
          </w:p>
        </w:tc>
        <w:tc>
          <w:tcPr>
            <w:tcW w:w="320" w:type="dxa"/>
            <w:vAlign w:val="bottom"/>
            <w:tcBorders>
              <w:top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109</w:t>
            </w: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52</w:t>
            </w:r>
          </w:p>
        </w:tc>
        <w:tc>
          <w:tcPr>
            <w:tcW w:w="1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10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23</w:t>
            </w:r>
          </w:p>
        </w:tc>
        <w:tc>
          <w:tcPr>
            <w:tcW w:w="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190</w:t>
            </w:r>
          </w:p>
        </w:tc>
      </w:tr>
      <w:tr>
        <w:trPr>
          <w:trHeight w:val="153"/>
        </w:trPr>
        <w:tc>
          <w:tcPr>
            <w:tcW w:w="3960" w:type="dxa"/>
            <w:vAlign w:val="bottom"/>
          </w:tcPr>
          <w:p>
            <w:pPr>
              <w:spacing w:after="0"/>
              <w:rPr>
                <w:sz w:val="20"/>
                <w:szCs w:val="20"/>
                <w:color w:val="auto"/>
              </w:rPr>
            </w:pPr>
            <w:r>
              <w:rPr>
                <w:rFonts w:ascii="Arial" w:cs="Arial" w:eastAsia="Arial" w:hAnsi="Arial"/>
                <w:sz w:val="12"/>
                <w:szCs w:val="12"/>
                <w:color w:val="auto"/>
              </w:rPr>
              <w:t>Sheraton</w:t>
            </w:r>
          </w:p>
        </w:tc>
        <w:tc>
          <w:tcPr>
            <w:tcW w:w="320" w:type="dxa"/>
            <w:vAlign w:val="bottom"/>
          </w:tcPr>
          <w:p>
            <w:pPr>
              <w:spacing w:after="0"/>
              <w:rPr>
                <w:sz w:val="13"/>
                <w:szCs w:val="13"/>
                <w:color w:val="auto"/>
              </w:rPr>
            </w:pPr>
          </w:p>
        </w:tc>
        <w:tc>
          <w:tcPr>
            <w:tcW w:w="1080" w:type="dxa"/>
            <w:vAlign w:val="bottom"/>
          </w:tcPr>
          <w:p>
            <w:pPr>
              <w:jc w:val="right"/>
              <w:ind w:right="1"/>
              <w:spacing w:after="0"/>
              <w:rPr>
                <w:sz w:val="20"/>
                <w:szCs w:val="20"/>
                <w:color w:val="auto"/>
              </w:rPr>
            </w:pPr>
            <w:r>
              <w:rPr>
                <w:rFonts w:ascii="Arial" w:cs="Arial" w:eastAsia="Arial" w:hAnsi="Arial"/>
                <w:sz w:val="12"/>
                <w:szCs w:val="12"/>
                <w:color w:val="auto"/>
              </w:rPr>
              <w:t>106</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72</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16</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jc w:val="right"/>
              <w:ind w:right="1"/>
              <w:spacing w:after="0"/>
              <w:rPr>
                <w:sz w:val="20"/>
                <w:szCs w:val="20"/>
                <w:color w:val="auto"/>
              </w:rPr>
            </w:pPr>
            <w:r>
              <w:rPr>
                <w:rFonts w:ascii="Arial" w:cs="Arial" w:eastAsia="Arial" w:hAnsi="Arial"/>
                <w:sz w:val="12"/>
                <w:szCs w:val="12"/>
                <w:color w:val="auto"/>
              </w:rPr>
              <w:t>43</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ind w:right="1"/>
              <w:spacing w:after="0"/>
              <w:rPr>
                <w:sz w:val="20"/>
                <w:szCs w:val="20"/>
                <w:color w:val="auto"/>
              </w:rPr>
            </w:pPr>
            <w:r>
              <w:rPr>
                <w:rFonts w:ascii="Arial" w:cs="Arial" w:eastAsia="Arial" w:hAnsi="Arial"/>
                <w:sz w:val="12"/>
                <w:szCs w:val="12"/>
                <w:color w:val="auto"/>
              </w:rPr>
              <w:t>237</w:t>
            </w:r>
          </w:p>
        </w:tc>
      </w:tr>
      <w:tr>
        <w:trPr>
          <w:trHeight w:val="153"/>
        </w:trPr>
        <w:tc>
          <w:tcPr>
            <w:tcW w:w="3960" w:type="dxa"/>
            <w:vAlign w:val="bottom"/>
            <w:shd w:val="clear" w:color="auto" w:fill="CCEEFF"/>
          </w:tcPr>
          <w:p>
            <w:pPr>
              <w:spacing w:after="0"/>
              <w:rPr>
                <w:sz w:val="20"/>
                <w:szCs w:val="20"/>
                <w:color w:val="auto"/>
              </w:rPr>
            </w:pPr>
            <w:r>
              <w:rPr>
                <w:rFonts w:ascii="Arial" w:cs="Arial" w:eastAsia="Arial" w:hAnsi="Arial"/>
                <w:sz w:val="12"/>
                <w:szCs w:val="12"/>
                <w:color w:val="auto"/>
              </w:rPr>
              <w:t>Hyatt</w:t>
            </w: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16</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24</w:t>
            </w:r>
          </w:p>
        </w:tc>
      </w:tr>
      <w:tr>
        <w:trPr>
          <w:trHeight w:val="142"/>
        </w:trPr>
        <w:tc>
          <w:tcPr>
            <w:tcW w:w="396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2"/>
                <w:szCs w:val="12"/>
                <w:color w:val="auto"/>
                <w:w w:val="89"/>
              </w:rPr>
              <w:t>$</w:t>
            </w:r>
          </w:p>
        </w:tc>
        <w:tc>
          <w:tcPr>
            <w:tcW w:w="10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231</w:t>
            </w:r>
          </w:p>
        </w:tc>
        <w:tc>
          <w:tcPr>
            <w:tcW w:w="8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132</w:t>
            </w:r>
          </w:p>
        </w:tc>
        <w:tc>
          <w:tcPr>
            <w:tcW w:w="10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22</w:t>
            </w:r>
          </w:p>
        </w:tc>
        <w:tc>
          <w:tcPr>
            <w:tcW w:w="10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66</w:t>
            </w:r>
          </w:p>
        </w:tc>
        <w:tc>
          <w:tcPr>
            <w:tcW w:w="8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2"/>
                <w:szCs w:val="12"/>
                <w:color w:val="auto"/>
                <w:w w:val="89"/>
              </w:rPr>
              <w:t>$</w:t>
            </w:r>
          </w:p>
        </w:tc>
        <w:tc>
          <w:tcPr>
            <w:tcW w:w="10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451</w:t>
            </w:r>
          </w:p>
        </w:tc>
      </w:tr>
      <w:tr>
        <w:trPr>
          <w:trHeight w:val="20"/>
        </w:trPr>
        <w:tc>
          <w:tcPr>
            <w:tcW w:w="3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right="100" w:firstLine="432"/>
        <w:spacing w:after="0" w:line="276" w:lineRule="auto"/>
        <w:rPr>
          <w:sz w:val="20"/>
          <w:szCs w:val="20"/>
          <w:color w:val="auto"/>
        </w:rPr>
      </w:pPr>
      <w:r>
        <w:rPr>
          <w:rFonts w:ascii="Arial" w:cs="Arial" w:eastAsia="Arial" w:hAnsi="Arial"/>
          <w:sz w:val="12"/>
          <w:szCs w:val="12"/>
          <w:color w:val="auto"/>
        </w:rPr>
        <w:t>The following tables detail the origination year of our Legacy-ILG and Legacy-Welk originated vacation ownership notes receivable by brand and FICO score as of June 30, 2021. Vacation ownership notes receivable with no FICO score primarily relate to non-U.S. resident borrowers.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3560" w:type="dxa"/>
            <w:vAlign w:val="bottom"/>
            <w:tcBorders>
              <w:bottom w:val="single" w:sz="8" w:color="auto"/>
            </w:tcBorders>
            <w:gridSpan w:val="6"/>
          </w:tcPr>
          <w:p>
            <w:pPr>
              <w:jc w:val="center"/>
              <w:ind w:left="2"/>
              <w:spacing w:after="0"/>
              <w:rPr>
                <w:sz w:val="20"/>
                <w:szCs w:val="20"/>
                <w:color w:val="auto"/>
              </w:rPr>
            </w:pPr>
            <w:r>
              <w:rPr>
                <w:rFonts w:ascii="Arial" w:cs="Arial" w:eastAsia="Arial" w:hAnsi="Arial"/>
                <w:sz w:val="11"/>
                <w:szCs w:val="11"/>
                <w:b w:val="1"/>
                <w:bCs w:val="1"/>
                <w:color w:val="auto"/>
                <w:w w:val="88"/>
              </w:rPr>
              <w:t>Originated Vacation Ownership Notes Receivable - Westin</w:t>
            </w:r>
          </w:p>
        </w:tc>
        <w:tc>
          <w:tcPr>
            <w:tcW w:w="3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r>
      <w:tr>
        <w:trPr>
          <w:trHeight w:val="133"/>
        </w:trPr>
        <w:tc>
          <w:tcPr>
            <w:tcW w:w="1240" w:type="dxa"/>
            <w:vAlign w:val="bottom"/>
            <w:tcBorders>
              <w:bottom w:val="single" w:sz="8" w:color="CCEEFF"/>
            </w:tcBorders>
            <w:gridSpan w:val="2"/>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01"/>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21"/>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22"/>
              <w:spacing w:after="0"/>
              <w:rPr>
                <w:sz w:val="20"/>
                <w:szCs w:val="20"/>
                <w:color w:val="auto"/>
              </w:rPr>
            </w:pPr>
            <w:r>
              <w:rPr>
                <w:rFonts w:ascii="Arial" w:cs="Arial" w:eastAsia="Arial" w:hAnsi="Arial"/>
                <w:sz w:val="11"/>
                <w:szCs w:val="11"/>
                <w:b w:val="1"/>
                <w:bCs w:val="1"/>
                <w:color w:val="auto"/>
              </w:rPr>
              <w:t>2019</w:t>
            </w: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center"/>
              <w:ind w:right="81"/>
              <w:spacing w:after="0"/>
              <w:rPr>
                <w:sz w:val="20"/>
                <w:szCs w:val="20"/>
                <w:color w:val="auto"/>
              </w:rPr>
            </w:pPr>
            <w:r>
              <w:rPr>
                <w:rFonts w:ascii="Arial" w:cs="Arial" w:eastAsia="Arial" w:hAnsi="Arial"/>
                <w:sz w:val="11"/>
                <w:szCs w:val="11"/>
                <w:b w:val="1"/>
                <w:bCs w:val="1"/>
                <w:color w:val="auto"/>
                <w:w w:val="89"/>
              </w:rPr>
              <w:t>2018</w:t>
            </w:r>
          </w:p>
        </w:tc>
        <w:tc>
          <w:tcPr>
            <w:tcW w:w="100" w:type="dxa"/>
            <w:vAlign w:val="bottom"/>
            <w:tcBorders>
              <w:bottom w:val="single" w:sz="8" w:color="CCEEFF"/>
            </w:tcBorders>
          </w:tcPr>
          <w:p>
            <w:pPr>
              <w:spacing w:after="0"/>
              <w:rPr>
                <w:sz w:val="11"/>
                <w:szCs w:val="11"/>
                <w:color w:val="auto"/>
              </w:rPr>
            </w:pPr>
          </w:p>
        </w:tc>
        <w:tc>
          <w:tcPr>
            <w:tcW w:w="980" w:type="dxa"/>
            <w:vAlign w:val="bottom"/>
            <w:tcBorders>
              <w:bottom w:val="single" w:sz="8" w:color="auto"/>
            </w:tcBorders>
          </w:tcPr>
          <w:p>
            <w:pPr>
              <w:jc w:val="right"/>
              <w:ind w:right="142"/>
              <w:spacing w:after="0"/>
              <w:rPr>
                <w:sz w:val="20"/>
                <w:szCs w:val="20"/>
                <w:color w:val="auto"/>
              </w:rPr>
            </w:pPr>
            <w:r>
              <w:rPr>
                <w:rFonts w:ascii="Arial" w:cs="Arial" w:eastAsia="Arial" w:hAnsi="Arial"/>
                <w:sz w:val="11"/>
                <w:szCs w:val="11"/>
                <w:b w:val="1"/>
                <w:bCs w:val="1"/>
                <w:color w:val="auto"/>
              </w:rPr>
              <w:t>2017</w:t>
            </w:r>
          </w:p>
        </w:tc>
        <w:tc>
          <w:tcPr>
            <w:tcW w:w="3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ind w:left="140"/>
              <w:spacing w:after="0"/>
              <w:rPr>
                <w:sz w:val="20"/>
                <w:szCs w:val="20"/>
                <w:color w:val="auto"/>
              </w:rPr>
            </w:pPr>
            <w:r>
              <w:rPr>
                <w:rFonts w:ascii="Arial" w:cs="Arial" w:eastAsia="Arial" w:hAnsi="Arial"/>
                <w:sz w:val="11"/>
                <w:szCs w:val="11"/>
                <w:b w:val="1"/>
                <w:bCs w:val="1"/>
                <w:color w:val="auto"/>
              </w:rPr>
              <w:t>2016 &amp; Prior</w:t>
            </w:r>
          </w:p>
        </w:tc>
        <w:tc>
          <w:tcPr>
            <w:tcW w:w="1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01"/>
              <w:spacing w:after="0"/>
              <w:rPr>
                <w:sz w:val="20"/>
                <w:szCs w:val="20"/>
                <w:color w:val="auto"/>
              </w:rPr>
            </w:pPr>
            <w:r>
              <w:rPr>
                <w:rFonts w:ascii="Arial" w:cs="Arial" w:eastAsia="Arial" w:hAnsi="Arial"/>
                <w:sz w:val="11"/>
                <w:szCs w:val="11"/>
                <w:b w:val="1"/>
                <w:bCs w:val="1"/>
                <w:color w:val="auto"/>
              </w:rPr>
              <w:t>Total</w:t>
            </w:r>
          </w:p>
        </w:tc>
      </w:tr>
      <w:tr>
        <w:trPr>
          <w:trHeight w:val="144"/>
        </w:trPr>
        <w:tc>
          <w:tcPr>
            <w:tcW w:w="180" w:type="dxa"/>
            <w:vAlign w:val="bottom"/>
            <w:shd w:val="clear" w:color="auto" w:fill="CCEEFF"/>
          </w:tcPr>
          <w:p>
            <w:pPr>
              <w:spacing w:after="0"/>
              <w:rPr>
                <w:sz w:val="20"/>
                <w:szCs w:val="20"/>
                <w:color w:val="auto"/>
              </w:rPr>
            </w:pPr>
            <w:r>
              <w:rPr>
                <w:rFonts w:ascii="Arial" w:cs="Arial" w:eastAsia="Arial" w:hAnsi="Arial"/>
                <w:sz w:val="11"/>
                <w:szCs w:val="11"/>
                <w:color w:val="auto"/>
                <w:w w:val="86"/>
              </w:rPr>
              <w:t>700</w:t>
            </w:r>
          </w:p>
        </w:tc>
        <w:tc>
          <w:tcPr>
            <w:tcW w:w="106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26</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842"/>
              <w:spacing w:after="0"/>
              <w:rPr>
                <w:sz w:val="20"/>
                <w:szCs w:val="20"/>
                <w:color w:val="auto"/>
              </w:rPr>
            </w:pPr>
            <w:r>
              <w:rPr>
                <w:rFonts w:ascii="Arial" w:cs="Arial" w:eastAsia="Arial" w:hAnsi="Arial"/>
                <w:sz w:val="12"/>
                <w:szCs w:val="12"/>
                <w:color w:val="auto"/>
                <w:w w:val="89"/>
              </w:rPr>
              <w:t>$</w:t>
            </w: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220" w:type="dxa"/>
            <w:vAlign w:val="bottom"/>
            <w:gridSpan w:val="2"/>
            <w:shd w:val="clear" w:color="auto" w:fill="CCEEFF"/>
          </w:tcPr>
          <w:p>
            <w:pPr>
              <w:ind w:left="96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121</w:t>
            </w:r>
          </w:p>
        </w:tc>
      </w:tr>
      <w:tr>
        <w:trPr>
          <w:trHeight w:val="153"/>
        </w:trPr>
        <w:tc>
          <w:tcPr>
            <w:tcW w:w="180" w:type="dxa"/>
            <w:vAlign w:val="bottom"/>
          </w:tcPr>
          <w:p>
            <w:pPr>
              <w:spacing w:after="0"/>
              <w:rPr>
                <w:sz w:val="20"/>
                <w:szCs w:val="20"/>
                <w:color w:val="auto"/>
              </w:rPr>
            </w:pPr>
            <w:r>
              <w:rPr>
                <w:rFonts w:ascii="Arial" w:cs="Arial" w:eastAsia="Arial" w:hAnsi="Arial"/>
                <w:sz w:val="11"/>
                <w:szCs w:val="11"/>
                <w:color w:val="auto"/>
                <w:w w:val="86"/>
              </w:rPr>
              <w:t>600</w:t>
            </w:r>
          </w:p>
        </w:tc>
        <w:tc>
          <w:tcPr>
            <w:tcW w:w="1060" w:type="dxa"/>
            <w:vAlign w:val="bottom"/>
          </w:tcPr>
          <w:p>
            <w:pPr>
              <w:ind w:left="20"/>
              <w:spacing w:after="0"/>
              <w:rPr>
                <w:sz w:val="20"/>
                <w:szCs w:val="20"/>
                <w:color w:val="auto"/>
              </w:rPr>
            </w:pPr>
            <w:r>
              <w:rPr>
                <w:rFonts w:ascii="Arial" w:cs="Arial" w:eastAsia="Arial" w:hAnsi="Arial"/>
                <w:sz w:val="11"/>
                <w:szCs w:val="11"/>
                <w:color w:val="auto"/>
              </w:rPr>
              <w:t>- 699</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12</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12</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27</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gridSpan w:val="2"/>
          </w:tcPr>
          <w:p>
            <w:pPr>
              <w:ind w:left="2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220" w:type="dxa"/>
            <w:vAlign w:val="bottom"/>
            <w:gridSpan w:val="2"/>
          </w:tcPr>
          <w:p>
            <w:pPr>
              <w:ind w:left="96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57</w:t>
            </w:r>
          </w:p>
        </w:tc>
      </w:tr>
      <w:tr>
        <w:trPr>
          <w:trHeight w:val="153"/>
        </w:trPr>
        <w:tc>
          <w:tcPr>
            <w:tcW w:w="12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&lt; 600</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ind w:left="96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w:t>
            </w:r>
          </w:p>
        </w:tc>
      </w:tr>
      <w:tr>
        <w:trPr>
          <w:trHeight w:val="153"/>
        </w:trPr>
        <w:tc>
          <w:tcPr>
            <w:tcW w:w="124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No Score</w:t>
            </w: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6</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w:t>
            </w:r>
          </w:p>
        </w:tc>
        <w:tc>
          <w:tcPr>
            <w:tcW w:w="10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ind w:left="22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ind w:left="96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26</w:t>
            </w:r>
          </w:p>
        </w:tc>
      </w:tr>
      <w:tr>
        <w:trPr>
          <w:trHeight w:val="169"/>
        </w:trPr>
        <w:tc>
          <w:tcPr>
            <w:tcW w:w="18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59</w:t>
            </w: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46</w:t>
            </w:r>
          </w:p>
        </w:tc>
        <w:tc>
          <w:tcPr>
            <w:tcW w:w="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88</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w:t>
            </w:r>
          </w:p>
        </w:tc>
        <w:tc>
          <w:tcPr>
            <w:tcW w:w="10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842"/>
              <w:spacing w:after="0"/>
              <w:rPr>
                <w:sz w:val="20"/>
                <w:szCs w:val="20"/>
                <w:color w:val="auto"/>
              </w:rPr>
            </w:pPr>
            <w:r>
              <w:rPr>
                <w:rFonts w:ascii="Arial" w:cs="Arial" w:eastAsia="Arial" w:hAnsi="Arial"/>
                <w:sz w:val="12"/>
                <w:szCs w:val="12"/>
                <w:color w:val="auto"/>
                <w:w w:val="89"/>
              </w:rPr>
              <w:t>$</w:t>
            </w:r>
          </w:p>
        </w:tc>
        <w:tc>
          <w:tcPr>
            <w:tcW w:w="3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211</w:t>
            </w:r>
          </w:p>
        </w:tc>
      </w:tr>
      <w:tr>
        <w:trPr>
          <w:trHeight w:val="284"/>
        </w:trPr>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6"/>
          </w:tcPr>
          <w:p>
            <w:pPr>
              <w:jc w:val="center"/>
              <w:ind w:left="2"/>
              <w:spacing w:after="0"/>
              <w:rPr>
                <w:sz w:val="20"/>
                <w:szCs w:val="20"/>
                <w:color w:val="auto"/>
              </w:rPr>
            </w:pPr>
            <w:r>
              <w:rPr>
                <w:rFonts w:ascii="Arial" w:cs="Arial" w:eastAsia="Arial" w:hAnsi="Arial"/>
                <w:sz w:val="11"/>
                <w:szCs w:val="11"/>
                <w:b w:val="1"/>
                <w:bCs w:val="1"/>
                <w:color w:val="auto"/>
                <w:w w:val="88"/>
              </w:rPr>
              <w:t>Originated Vacation Ownership Notes Receivable - Sheraton</w:t>
            </w: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133"/>
        </w:trPr>
        <w:tc>
          <w:tcPr>
            <w:tcW w:w="1240" w:type="dxa"/>
            <w:vAlign w:val="bottom"/>
            <w:tcBorders>
              <w:bottom w:val="single" w:sz="8" w:color="CCEEFF"/>
            </w:tcBorders>
            <w:gridSpan w:val="2"/>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01"/>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21"/>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22"/>
              <w:spacing w:after="0"/>
              <w:rPr>
                <w:sz w:val="20"/>
                <w:szCs w:val="20"/>
                <w:color w:val="auto"/>
              </w:rPr>
            </w:pPr>
            <w:r>
              <w:rPr>
                <w:rFonts w:ascii="Arial" w:cs="Arial" w:eastAsia="Arial" w:hAnsi="Arial"/>
                <w:sz w:val="11"/>
                <w:szCs w:val="11"/>
                <w:b w:val="1"/>
                <w:bCs w:val="1"/>
                <w:color w:val="auto"/>
              </w:rPr>
              <w:t>2019</w:t>
            </w: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center"/>
              <w:ind w:right="81"/>
              <w:spacing w:after="0"/>
              <w:rPr>
                <w:sz w:val="20"/>
                <w:szCs w:val="20"/>
                <w:color w:val="auto"/>
              </w:rPr>
            </w:pPr>
            <w:r>
              <w:rPr>
                <w:rFonts w:ascii="Arial" w:cs="Arial" w:eastAsia="Arial" w:hAnsi="Arial"/>
                <w:sz w:val="11"/>
                <w:szCs w:val="11"/>
                <w:b w:val="1"/>
                <w:bCs w:val="1"/>
                <w:color w:val="auto"/>
                <w:w w:val="89"/>
              </w:rPr>
              <w:t>2018</w:t>
            </w:r>
          </w:p>
        </w:tc>
        <w:tc>
          <w:tcPr>
            <w:tcW w:w="100" w:type="dxa"/>
            <w:vAlign w:val="bottom"/>
            <w:tcBorders>
              <w:bottom w:val="single" w:sz="8" w:color="CCEEFF"/>
            </w:tcBorders>
          </w:tcPr>
          <w:p>
            <w:pPr>
              <w:spacing w:after="0"/>
              <w:rPr>
                <w:sz w:val="11"/>
                <w:szCs w:val="11"/>
                <w:color w:val="auto"/>
              </w:rPr>
            </w:pPr>
          </w:p>
        </w:tc>
        <w:tc>
          <w:tcPr>
            <w:tcW w:w="980" w:type="dxa"/>
            <w:vAlign w:val="bottom"/>
            <w:tcBorders>
              <w:bottom w:val="single" w:sz="8" w:color="auto"/>
            </w:tcBorders>
          </w:tcPr>
          <w:p>
            <w:pPr>
              <w:jc w:val="right"/>
              <w:ind w:right="142"/>
              <w:spacing w:after="0"/>
              <w:rPr>
                <w:sz w:val="20"/>
                <w:szCs w:val="20"/>
                <w:color w:val="auto"/>
              </w:rPr>
            </w:pPr>
            <w:r>
              <w:rPr>
                <w:rFonts w:ascii="Arial" w:cs="Arial" w:eastAsia="Arial" w:hAnsi="Arial"/>
                <w:sz w:val="11"/>
                <w:szCs w:val="11"/>
                <w:b w:val="1"/>
                <w:bCs w:val="1"/>
                <w:color w:val="auto"/>
              </w:rPr>
              <w:t>2017</w:t>
            </w:r>
          </w:p>
        </w:tc>
        <w:tc>
          <w:tcPr>
            <w:tcW w:w="3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ind w:left="140"/>
              <w:spacing w:after="0"/>
              <w:rPr>
                <w:sz w:val="20"/>
                <w:szCs w:val="20"/>
                <w:color w:val="auto"/>
              </w:rPr>
            </w:pPr>
            <w:r>
              <w:rPr>
                <w:rFonts w:ascii="Arial" w:cs="Arial" w:eastAsia="Arial" w:hAnsi="Arial"/>
                <w:sz w:val="11"/>
                <w:szCs w:val="11"/>
                <w:b w:val="1"/>
                <w:bCs w:val="1"/>
                <w:color w:val="auto"/>
              </w:rPr>
              <w:t>2016 &amp; Prior</w:t>
            </w:r>
          </w:p>
        </w:tc>
        <w:tc>
          <w:tcPr>
            <w:tcW w:w="1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01"/>
              <w:spacing w:after="0"/>
              <w:rPr>
                <w:sz w:val="20"/>
                <w:szCs w:val="20"/>
                <w:color w:val="auto"/>
              </w:rPr>
            </w:pPr>
            <w:r>
              <w:rPr>
                <w:rFonts w:ascii="Arial" w:cs="Arial" w:eastAsia="Arial" w:hAnsi="Arial"/>
                <w:sz w:val="11"/>
                <w:szCs w:val="11"/>
                <w:b w:val="1"/>
                <w:bCs w:val="1"/>
                <w:color w:val="auto"/>
              </w:rPr>
              <w:t>Total</w:t>
            </w:r>
          </w:p>
        </w:tc>
      </w:tr>
      <w:tr>
        <w:trPr>
          <w:trHeight w:val="144"/>
        </w:trPr>
        <w:tc>
          <w:tcPr>
            <w:tcW w:w="180" w:type="dxa"/>
            <w:vAlign w:val="bottom"/>
            <w:shd w:val="clear" w:color="auto" w:fill="CCEEFF"/>
          </w:tcPr>
          <w:p>
            <w:pPr>
              <w:spacing w:after="0"/>
              <w:rPr>
                <w:sz w:val="20"/>
                <w:szCs w:val="20"/>
                <w:color w:val="auto"/>
              </w:rPr>
            </w:pPr>
            <w:r>
              <w:rPr>
                <w:rFonts w:ascii="Arial" w:cs="Arial" w:eastAsia="Arial" w:hAnsi="Arial"/>
                <w:sz w:val="11"/>
                <w:szCs w:val="11"/>
                <w:color w:val="auto"/>
                <w:w w:val="86"/>
              </w:rPr>
              <w:t>700</w:t>
            </w:r>
          </w:p>
        </w:tc>
        <w:tc>
          <w:tcPr>
            <w:tcW w:w="106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29</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842"/>
              <w:spacing w:after="0"/>
              <w:rPr>
                <w:sz w:val="20"/>
                <w:szCs w:val="20"/>
                <w:color w:val="auto"/>
              </w:rPr>
            </w:pPr>
            <w:r>
              <w:rPr>
                <w:rFonts w:ascii="Arial" w:cs="Arial" w:eastAsia="Arial" w:hAnsi="Arial"/>
                <w:sz w:val="12"/>
                <w:szCs w:val="12"/>
                <w:color w:val="auto"/>
                <w:w w:val="89"/>
              </w:rPr>
              <w:t>$</w:t>
            </w: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220" w:type="dxa"/>
            <w:vAlign w:val="bottom"/>
            <w:gridSpan w:val="2"/>
            <w:shd w:val="clear" w:color="auto" w:fill="CCEEFF"/>
          </w:tcPr>
          <w:p>
            <w:pPr>
              <w:ind w:left="96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118</w:t>
            </w:r>
          </w:p>
        </w:tc>
      </w:tr>
      <w:tr>
        <w:trPr>
          <w:trHeight w:val="153"/>
        </w:trPr>
        <w:tc>
          <w:tcPr>
            <w:tcW w:w="180" w:type="dxa"/>
            <w:vAlign w:val="bottom"/>
          </w:tcPr>
          <w:p>
            <w:pPr>
              <w:spacing w:after="0"/>
              <w:rPr>
                <w:sz w:val="20"/>
                <w:szCs w:val="20"/>
                <w:color w:val="auto"/>
              </w:rPr>
            </w:pPr>
            <w:r>
              <w:rPr>
                <w:rFonts w:ascii="Arial" w:cs="Arial" w:eastAsia="Arial" w:hAnsi="Arial"/>
                <w:sz w:val="11"/>
                <w:szCs w:val="11"/>
                <w:color w:val="auto"/>
                <w:w w:val="86"/>
              </w:rPr>
              <w:t>600</w:t>
            </w:r>
          </w:p>
        </w:tc>
        <w:tc>
          <w:tcPr>
            <w:tcW w:w="1060" w:type="dxa"/>
            <w:vAlign w:val="bottom"/>
          </w:tcPr>
          <w:p>
            <w:pPr>
              <w:ind w:left="20"/>
              <w:spacing w:after="0"/>
              <w:rPr>
                <w:sz w:val="20"/>
                <w:szCs w:val="20"/>
                <w:color w:val="auto"/>
              </w:rPr>
            </w:pPr>
            <w:r>
              <w:rPr>
                <w:rFonts w:ascii="Arial" w:cs="Arial" w:eastAsia="Arial" w:hAnsi="Arial"/>
                <w:sz w:val="11"/>
                <w:szCs w:val="11"/>
                <w:color w:val="auto"/>
              </w:rPr>
              <w:t>- 699</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17</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18</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35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gridSpan w:val="2"/>
          </w:tcPr>
          <w:p>
            <w:pPr>
              <w:ind w:left="2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220" w:type="dxa"/>
            <w:vAlign w:val="bottom"/>
            <w:gridSpan w:val="2"/>
          </w:tcPr>
          <w:p>
            <w:pPr>
              <w:ind w:left="96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80</w:t>
            </w:r>
          </w:p>
        </w:tc>
      </w:tr>
      <w:tr>
        <w:trPr>
          <w:trHeight w:val="153"/>
        </w:trPr>
        <w:tc>
          <w:tcPr>
            <w:tcW w:w="12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&lt; 600</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ind w:left="96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18</w:t>
            </w:r>
          </w:p>
        </w:tc>
      </w:tr>
      <w:tr>
        <w:trPr>
          <w:trHeight w:val="153"/>
        </w:trPr>
        <w:tc>
          <w:tcPr>
            <w:tcW w:w="124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No Score</w:t>
            </w: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10</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w:t>
            </w:r>
          </w:p>
        </w:tc>
        <w:tc>
          <w:tcPr>
            <w:tcW w:w="10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ind w:left="22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ind w:left="96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43</w:t>
            </w:r>
          </w:p>
        </w:tc>
      </w:tr>
      <w:tr>
        <w:trPr>
          <w:trHeight w:val="158"/>
        </w:trPr>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62</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115</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842"/>
              <w:spacing w:after="0"/>
              <w:rPr>
                <w:sz w:val="20"/>
                <w:szCs w:val="20"/>
                <w:color w:val="auto"/>
              </w:rPr>
            </w:pPr>
            <w:r>
              <w:rPr>
                <w:rFonts w:ascii="Arial" w:cs="Arial" w:eastAsia="Arial" w:hAnsi="Arial"/>
                <w:sz w:val="12"/>
                <w:szCs w:val="12"/>
                <w:color w:val="auto"/>
                <w:w w:val="89"/>
              </w:rPr>
              <w:t>$</w:t>
            </w: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220" w:type="dxa"/>
            <w:vAlign w:val="bottom"/>
            <w:gridSpan w:val="2"/>
            <w:shd w:val="clear" w:color="auto" w:fill="CCEEFF"/>
          </w:tcPr>
          <w:p>
            <w:pPr>
              <w:ind w:left="96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259</w:t>
            </w:r>
          </w:p>
        </w:tc>
      </w:tr>
      <w:tr>
        <w:trPr>
          <w:trHeight w:val="295"/>
        </w:trPr>
        <w:tc>
          <w:tcPr>
            <w:tcW w:w="180" w:type="dxa"/>
            <w:vAlign w:val="bottom"/>
            <w:tcBorders>
              <w:top w:val="single" w:sz="8" w:color="CCEEFF"/>
            </w:tcBorders>
          </w:tcPr>
          <w:p>
            <w:pPr>
              <w:spacing w:after="0"/>
              <w:rPr>
                <w:sz w:val="24"/>
                <w:szCs w:val="24"/>
                <w:color w:val="auto"/>
              </w:rPr>
            </w:pPr>
          </w:p>
        </w:tc>
        <w:tc>
          <w:tcPr>
            <w:tcW w:w="1060" w:type="dxa"/>
            <w:vAlign w:val="bottom"/>
            <w:tcBorders>
              <w:top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3560" w:type="dxa"/>
            <w:vAlign w:val="bottom"/>
            <w:tcBorders>
              <w:top w:val="single" w:sz="8" w:color="auto"/>
              <w:bottom w:val="single" w:sz="8" w:color="auto"/>
            </w:tcBorders>
            <w:gridSpan w:val="6"/>
          </w:tcPr>
          <w:p>
            <w:pPr>
              <w:jc w:val="center"/>
              <w:ind w:left="2"/>
              <w:spacing w:after="0"/>
              <w:rPr>
                <w:sz w:val="20"/>
                <w:szCs w:val="20"/>
                <w:color w:val="auto"/>
              </w:rPr>
            </w:pPr>
            <w:r>
              <w:rPr>
                <w:rFonts w:ascii="Arial" w:cs="Arial" w:eastAsia="Arial" w:hAnsi="Arial"/>
                <w:sz w:val="11"/>
                <w:szCs w:val="11"/>
                <w:b w:val="1"/>
                <w:bCs w:val="1"/>
                <w:color w:val="auto"/>
                <w:w w:val="88"/>
              </w:rPr>
              <w:t>Originated Vacation Ownership Notes Receivable - Hyatt</w:t>
            </w:r>
          </w:p>
        </w:tc>
        <w:tc>
          <w:tcPr>
            <w:tcW w:w="38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r>
      <w:tr>
        <w:trPr>
          <w:trHeight w:val="133"/>
        </w:trPr>
        <w:tc>
          <w:tcPr>
            <w:tcW w:w="1240" w:type="dxa"/>
            <w:vAlign w:val="bottom"/>
            <w:tcBorders>
              <w:bottom w:val="single" w:sz="8" w:color="CCEEFF"/>
            </w:tcBorders>
            <w:gridSpan w:val="2"/>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01"/>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21"/>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22"/>
              <w:spacing w:after="0"/>
              <w:rPr>
                <w:sz w:val="20"/>
                <w:szCs w:val="20"/>
                <w:color w:val="auto"/>
              </w:rPr>
            </w:pPr>
            <w:r>
              <w:rPr>
                <w:rFonts w:ascii="Arial" w:cs="Arial" w:eastAsia="Arial" w:hAnsi="Arial"/>
                <w:sz w:val="11"/>
                <w:szCs w:val="11"/>
                <w:b w:val="1"/>
                <w:bCs w:val="1"/>
                <w:color w:val="auto"/>
              </w:rPr>
              <w:t>2019</w:t>
            </w: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center"/>
              <w:ind w:right="81"/>
              <w:spacing w:after="0"/>
              <w:rPr>
                <w:sz w:val="20"/>
                <w:szCs w:val="20"/>
                <w:color w:val="auto"/>
              </w:rPr>
            </w:pPr>
            <w:r>
              <w:rPr>
                <w:rFonts w:ascii="Arial" w:cs="Arial" w:eastAsia="Arial" w:hAnsi="Arial"/>
                <w:sz w:val="11"/>
                <w:szCs w:val="11"/>
                <w:b w:val="1"/>
                <w:bCs w:val="1"/>
                <w:color w:val="auto"/>
                <w:w w:val="89"/>
              </w:rPr>
              <w:t>2018</w:t>
            </w:r>
          </w:p>
        </w:tc>
        <w:tc>
          <w:tcPr>
            <w:tcW w:w="100" w:type="dxa"/>
            <w:vAlign w:val="bottom"/>
            <w:tcBorders>
              <w:bottom w:val="single" w:sz="8" w:color="CCEEFF"/>
            </w:tcBorders>
          </w:tcPr>
          <w:p>
            <w:pPr>
              <w:spacing w:after="0"/>
              <w:rPr>
                <w:sz w:val="11"/>
                <w:szCs w:val="11"/>
                <w:color w:val="auto"/>
              </w:rPr>
            </w:pPr>
          </w:p>
        </w:tc>
        <w:tc>
          <w:tcPr>
            <w:tcW w:w="980" w:type="dxa"/>
            <w:vAlign w:val="bottom"/>
            <w:tcBorders>
              <w:bottom w:val="single" w:sz="8" w:color="auto"/>
            </w:tcBorders>
          </w:tcPr>
          <w:p>
            <w:pPr>
              <w:jc w:val="right"/>
              <w:ind w:right="142"/>
              <w:spacing w:after="0"/>
              <w:rPr>
                <w:sz w:val="20"/>
                <w:szCs w:val="20"/>
                <w:color w:val="auto"/>
              </w:rPr>
            </w:pPr>
            <w:r>
              <w:rPr>
                <w:rFonts w:ascii="Arial" w:cs="Arial" w:eastAsia="Arial" w:hAnsi="Arial"/>
                <w:sz w:val="11"/>
                <w:szCs w:val="11"/>
                <w:b w:val="1"/>
                <w:bCs w:val="1"/>
                <w:color w:val="auto"/>
              </w:rPr>
              <w:t>2017</w:t>
            </w:r>
          </w:p>
        </w:tc>
        <w:tc>
          <w:tcPr>
            <w:tcW w:w="3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ind w:left="140"/>
              <w:spacing w:after="0"/>
              <w:rPr>
                <w:sz w:val="20"/>
                <w:szCs w:val="20"/>
                <w:color w:val="auto"/>
              </w:rPr>
            </w:pPr>
            <w:r>
              <w:rPr>
                <w:rFonts w:ascii="Arial" w:cs="Arial" w:eastAsia="Arial" w:hAnsi="Arial"/>
                <w:sz w:val="11"/>
                <w:szCs w:val="11"/>
                <w:b w:val="1"/>
                <w:bCs w:val="1"/>
                <w:color w:val="auto"/>
              </w:rPr>
              <w:t>2016 &amp; Prior</w:t>
            </w:r>
          </w:p>
        </w:tc>
        <w:tc>
          <w:tcPr>
            <w:tcW w:w="1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01"/>
              <w:spacing w:after="0"/>
              <w:rPr>
                <w:sz w:val="20"/>
                <w:szCs w:val="20"/>
                <w:color w:val="auto"/>
              </w:rPr>
            </w:pPr>
            <w:r>
              <w:rPr>
                <w:rFonts w:ascii="Arial" w:cs="Arial" w:eastAsia="Arial" w:hAnsi="Arial"/>
                <w:sz w:val="11"/>
                <w:szCs w:val="11"/>
                <w:b w:val="1"/>
                <w:bCs w:val="1"/>
                <w:color w:val="auto"/>
              </w:rPr>
              <w:t>Total</w:t>
            </w:r>
          </w:p>
        </w:tc>
      </w:tr>
      <w:tr>
        <w:trPr>
          <w:trHeight w:val="144"/>
        </w:trPr>
        <w:tc>
          <w:tcPr>
            <w:tcW w:w="180" w:type="dxa"/>
            <w:vAlign w:val="bottom"/>
            <w:shd w:val="clear" w:color="auto" w:fill="CCEEFF"/>
          </w:tcPr>
          <w:p>
            <w:pPr>
              <w:spacing w:after="0"/>
              <w:rPr>
                <w:sz w:val="20"/>
                <w:szCs w:val="20"/>
                <w:color w:val="auto"/>
              </w:rPr>
            </w:pPr>
            <w:r>
              <w:rPr>
                <w:rFonts w:ascii="Arial" w:cs="Arial" w:eastAsia="Arial" w:hAnsi="Arial"/>
                <w:sz w:val="11"/>
                <w:szCs w:val="11"/>
                <w:color w:val="auto"/>
                <w:w w:val="86"/>
              </w:rPr>
              <w:t>700</w:t>
            </w:r>
          </w:p>
        </w:tc>
        <w:tc>
          <w:tcPr>
            <w:tcW w:w="106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842"/>
              <w:spacing w:after="0"/>
              <w:rPr>
                <w:sz w:val="20"/>
                <w:szCs w:val="20"/>
                <w:color w:val="auto"/>
              </w:rPr>
            </w:pPr>
            <w:r>
              <w:rPr>
                <w:rFonts w:ascii="Arial" w:cs="Arial" w:eastAsia="Arial" w:hAnsi="Arial"/>
                <w:sz w:val="12"/>
                <w:szCs w:val="12"/>
                <w:color w:val="auto"/>
                <w:w w:val="89"/>
              </w:rPr>
              <w:t>$</w:t>
            </w: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220" w:type="dxa"/>
            <w:vAlign w:val="bottom"/>
            <w:gridSpan w:val="2"/>
            <w:shd w:val="clear" w:color="auto" w:fill="CCEEFF"/>
          </w:tcPr>
          <w:p>
            <w:pPr>
              <w:ind w:left="96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19</w:t>
            </w:r>
          </w:p>
        </w:tc>
      </w:tr>
      <w:tr>
        <w:trPr>
          <w:trHeight w:val="153"/>
        </w:trPr>
        <w:tc>
          <w:tcPr>
            <w:tcW w:w="180" w:type="dxa"/>
            <w:vAlign w:val="bottom"/>
          </w:tcPr>
          <w:p>
            <w:pPr>
              <w:spacing w:after="0"/>
              <w:rPr>
                <w:sz w:val="20"/>
                <w:szCs w:val="20"/>
                <w:color w:val="auto"/>
              </w:rPr>
            </w:pPr>
            <w:r>
              <w:rPr>
                <w:rFonts w:ascii="Arial" w:cs="Arial" w:eastAsia="Arial" w:hAnsi="Arial"/>
                <w:sz w:val="11"/>
                <w:szCs w:val="11"/>
                <w:color w:val="auto"/>
                <w:w w:val="86"/>
              </w:rPr>
              <w:t>600</w:t>
            </w:r>
          </w:p>
        </w:tc>
        <w:tc>
          <w:tcPr>
            <w:tcW w:w="1060" w:type="dxa"/>
            <w:vAlign w:val="bottom"/>
          </w:tcPr>
          <w:p>
            <w:pPr>
              <w:ind w:left="20"/>
              <w:spacing w:after="0"/>
              <w:rPr>
                <w:sz w:val="20"/>
                <w:szCs w:val="20"/>
                <w:color w:val="auto"/>
              </w:rPr>
            </w:pPr>
            <w:r>
              <w:rPr>
                <w:rFonts w:ascii="Arial" w:cs="Arial" w:eastAsia="Arial" w:hAnsi="Arial"/>
                <w:sz w:val="11"/>
                <w:szCs w:val="11"/>
                <w:color w:val="auto"/>
              </w:rPr>
              <w:t>- 699</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2</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4</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gridSpan w:val="2"/>
          </w:tcPr>
          <w:p>
            <w:pPr>
              <w:ind w:left="2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220" w:type="dxa"/>
            <w:vAlign w:val="bottom"/>
            <w:gridSpan w:val="2"/>
          </w:tcPr>
          <w:p>
            <w:pPr>
              <w:ind w:left="96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9</w:t>
            </w:r>
          </w:p>
        </w:tc>
      </w:tr>
      <w:tr>
        <w:trPr>
          <w:trHeight w:val="153"/>
        </w:trPr>
        <w:tc>
          <w:tcPr>
            <w:tcW w:w="12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&lt; 600</w:t>
            </w:r>
          </w:p>
        </w:tc>
        <w:tc>
          <w:tcPr>
            <w:tcW w:w="3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ind w:left="96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r>
      <w:tr>
        <w:trPr>
          <w:trHeight w:val="153"/>
        </w:trPr>
        <w:tc>
          <w:tcPr>
            <w:tcW w:w="124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No Score</w:t>
            </w: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ind w:left="22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ind w:left="96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r>
      <w:tr>
        <w:trPr>
          <w:trHeight w:val="158"/>
        </w:trPr>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842"/>
              <w:spacing w:after="0"/>
              <w:rPr>
                <w:sz w:val="20"/>
                <w:szCs w:val="20"/>
                <w:color w:val="auto"/>
              </w:rPr>
            </w:pPr>
            <w:r>
              <w:rPr>
                <w:rFonts w:ascii="Arial" w:cs="Arial" w:eastAsia="Arial" w:hAnsi="Arial"/>
                <w:sz w:val="12"/>
                <w:szCs w:val="12"/>
                <w:color w:val="auto"/>
                <w:w w:val="89"/>
              </w:rPr>
              <w:t>$</w:t>
            </w:r>
          </w:p>
        </w:tc>
        <w:tc>
          <w:tcPr>
            <w:tcW w:w="700" w:type="dxa"/>
            <w:vAlign w:val="bottom"/>
            <w:gridSpan w:val="3"/>
            <w:shd w:val="clear" w:color="auto" w:fill="CCEEFF"/>
          </w:tcPr>
          <w:p>
            <w:pPr>
              <w:ind w:left="220"/>
              <w:spacing w:after="0"/>
              <w:rPr>
                <w:sz w:val="20"/>
                <w:szCs w:val="20"/>
                <w:color w:val="auto"/>
              </w:rPr>
            </w:pPr>
            <w:r>
              <w:rPr>
                <w:rFonts w:ascii="Arial" w:cs="Arial" w:eastAsia="Arial" w:hAnsi="Arial"/>
                <w:sz w:val="12"/>
                <w:szCs w:val="12"/>
                <w:color w:val="auto"/>
              </w:rPr>
              <w:t>—   $</w:t>
            </w:r>
          </w:p>
        </w:tc>
        <w:tc>
          <w:tcPr>
            <w:tcW w:w="1540" w:type="dxa"/>
            <w:vAlign w:val="bottom"/>
            <w:gridSpan w:val="3"/>
            <w:shd w:val="clear" w:color="auto" w:fill="CCEEFF"/>
          </w:tcPr>
          <w:p>
            <w:pPr>
              <w:ind w:left="960"/>
              <w:spacing w:after="0"/>
              <w:rPr>
                <w:sz w:val="20"/>
                <w:szCs w:val="20"/>
                <w:color w:val="auto"/>
              </w:rPr>
            </w:pPr>
            <w:r>
              <w:rPr>
                <w:rFonts w:ascii="Arial" w:cs="Arial" w:eastAsia="Arial" w:hAnsi="Arial"/>
                <w:sz w:val="12"/>
                <w:szCs w:val="12"/>
                <w:color w:val="auto"/>
              </w:rPr>
              <w:t>—   $</w:t>
            </w: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28</w:t>
            </w:r>
          </w:p>
        </w:tc>
      </w:tr>
      <w:tr>
        <w:trPr>
          <w:trHeight w:val="286"/>
        </w:trPr>
        <w:tc>
          <w:tcPr>
            <w:tcW w:w="180" w:type="dxa"/>
            <w:vAlign w:val="bottom"/>
            <w:tcBorders>
              <w:top w:val="single" w:sz="8" w:color="CCEEFF"/>
            </w:tcBorders>
          </w:tcPr>
          <w:p>
            <w:pPr>
              <w:spacing w:after="0"/>
              <w:rPr>
                <w:sz w:val="24"/>
                <w:szCs w:val="24"/>
                <w:color w:val="auto"/>
              </w:rPr>
            </w:pPr>
          </w:p>
        </w:tc>
        <w:tc>
          <w:tcPr>
            <w:tcW w:w="1060" w:type="dxa"/>
            <w:vAlign w:val="bottom"/>
            <w:tcBorders>
              <w:top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3560" w:type="dxa"/>
            <w:vAlign w:val="bottom"/>
            <w:tcBorders>
              <w:top w:val="single" w:sz="8" w:color="auto"/>
              <w:bottom w:val="single" w:sz="8" w:color="auto"/>
            </w:tcBorders>
            <w:gridSpan w:val="6"/>
          </w:tcPr>
          <w:p>
            <w:pPr>
              <w:jc w:val="center"/>
              <w:ind w:left="2"/>
              <w:spacing w:after="0"/>
              <w:rPr>
                <w:sz w:val="20"/>
                <w:szCs w:val="20"/>
                <w:color w:val="auto"/>
              </w:rPr>
            </w:pPr>
            <w:r>
              <w:rPr>
                <w:rFonts w:ascii="Arial" w:cs="Arial" w:eastAsia="Arial" w:hAnsi="Arial"/>
                <w:sz w:val="11"/>
                <w:szCs w:val="11"/>
                <w:b w:val="1"/>
                <w:bCs w:val="1"/>
                <w:color w:val="auto"/>
                <w:w w:val="89"/>
              </w:rPr>
              <w:t>Originated Vacation Ownership Notes Receivable - Welk</w:t>
            </w:r>
          </w:p>
        </w:tc>
        <w:tc>
          <w:tcPr>
            <w:tcW w:w="38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r>
      <w:tr>
        <w:trPr>
          <w:trHeight w:val="133"/>
        </w:trPr>
        <w:tc>
          <w:tcPr>
            <w:tcW w:w="1240" w:type="dxa"/>
            <w:vAlign w:val="bottom"/>
            <w:tcBorders>
              <w:bottom w:val="single" w:sz="8" w:color="CCEEFF"/>
            </w:tcBorders>
            <w:gridSpan w:val="2"/>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01"/>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21"/>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22"/>
              <w:spacing w:after="0"/>
              <w:rPr>
                <w:sz w:val="20"/>
                <w:szCs w:val="20"/>
                <w:color w:val="auto"/>
              </w:rPr>
            </w:pPr>
            <w:r>
              <w:rPr>
                <w:rFonts w:ascii="Arial" w:cs="Arial" w:eastAsia="Arial" w:hAnsi="Arial"/>
                <w:sz w:val="11"/>
                <w:szCs w:val="11"/>
                <w:b w:val="1"/>
                <w:bCs w:val="1"/>
                <w:color w:val="auto"/>
              </w:rPr>
              <w:t>2019</w:t>
            </w: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center"/>
              <w:ind w:right="81"/>
              <w:spacing w:after="0"/>
              <w:rPr>
                <w:sz w:val="20"/>
                <w:szCs w:val="20"/>
                <w:color w:val="auto"/>
              </w:rPr>
            </w:pPr>
            <w:r>
              <w:rPr>
                <w:rFonts w:ascii="Arial" w:cs="Arial" w:eastAsia="Arial" w:hAnsi="Arial"/>
                <w:sz w:val="11"/>
                <w:szCs w:val="11"/>
                <w:b w:val="1"/>
                <w:bCs w:val="1"/>
                <w:color w:val="auto"/>
                <w:w w:val="89"/>
              </w:rPr>
              <w:t>2018</w:t>
            </w:r>
          </w:p>
        </w:tc>
        <w:tc>
          <w:tcPr>
            <w:tcW w:w="100" w:type="dxa"/>
            <w:vAlign w:val="bottom"/>
            <w:tcBorders>
              <w:bottom w:val="single" w:sz="8" w:color="CCEEFF"/>
            </w:tcBorders>
          </w:tcPr>
          <w:p>
            <w:pPr>
              <w:spacing w:after="0"/>
              <w:rPr>
                <w:sz w:val="11"/>
                <w:szCs w:val="11"/>
                <w:color w:val="auto"/>
              </w:rPr>
            </w:pPr>
          </w:p>
        </w:tc>
        <w:tc>
          <w:tcPr>
            <w:tcW w:w="980" w:type="dxa"/>
            <w:vAlign w:val="bottom"/>
            <w:tcBorders>
              <w:bottom w:val="single" w:sz="8" w:color="auto"/>
            </w:tcBorders>
          </w:tcPr>
          <w:p>
            <w:pPr>
              <w:jc w:val="right"/>
              <w:ind w:right="142"/>
              <w:spacing w:after="0"/>
              <w:rPr>
                <w:sz w:val="20"/>
                <w:szCs w:val="20"/>
                <w:color w:val="auto"/>
              </w:rPr>
            </w:pPr>
            <w:r>
              <w:rPr>
                <w:rFonts w:ascii="Arial" w:cs="Arial" w:eastAsia="Arial" w:hAnsi="Arial"/>
                <w:sz w:val="11"/>
                <w:szCs w:val="11"/>
                <w:b w:val="1"/>
                <w:bCs w:val="1"/>
                <w:color w:val="auto"/>
              </w:rPr>
              <w:t>2017</w:t>
            </w:r>
          </w:p>
        </w:tc>
        <w:tc>
          <w:tcPr>
            <w:tcW w:w="3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ind w:left="140"/>
              <w:spacing w:after="0"/>
              <w:rPr>
                <w:sz w:val="20"/>
                <w:szCs w:val="20"/>
                <w:color w:val="auto"/>
              </w:rPr>
            </w:pPr>
            <w:r>
              <w:rPr>
                <w:rFonts w:ascii="Arial" w:cs="Arial" w:eastAsia="Arial" w:hAnsi="Arial"/>
                <w:sz w:val="11"/>
                <w:szCs w:val="11"/>
                <w:b w:val="1"/>
                <w:bCs w:val="1"/>
                <w:color w:val="auto"/>
              </w:rPr>
              <w:t>2016 &amp; Prior</w:t>
            </w:r>
          </w:p>
        </w:tc>
        <w:tc>
          <w:tcPr>
            <w:tcW w:w="1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01"/>
              <w:spacing w:after="0"/>
              <w:rPr>
                <w:sz w:val="20"/>
                <w:szCs w:val="20"/>
                <w:color w:val="auto"/>
              </w:rPr>
            </w:pPr>
            <w:r>
              <w:rPr>
                <w:rFonts w:ascii="Arial" w:cs="Arial" w:eastAsia="Arial" w:hAnsi="Arial"/>
                <w:sz w:val="11"/>
                <w:szCs w:val="11"/>
                <w:b w:val="1"/>
                <w:bCs w:val="1"/>
                <w:color w:val="auto"/>
              </w:rPr>
              <w:t>Total</w:t>
            </w:r>
          </w:p>
        </w:tc>
      </w:tr>
      <w:tr>
        <w:trPr>
          <w:trHeight w:val="144"/>
        </w:trPr>
        <w:tc>
          <w:tcPr>
            <w:tcW w:w="180" w:type="dxa"/>
            <w:vAlign w:val="bottom"/>
            <w:shd w:val="clear" w:color="auto" w:fill="CCEEFF"/>
          </w:tcPr>
          <w:p>
            <w:pPr>
              <w:spacing w:after="0"/>
              <w:rPr>
                <w:sz w:val="20"/>
                <w:szCs w:val="20"/>
                <w:color w:val="auto"/>
              </w:rPr>
            </w:pPr>
            <w:r>
              <w:rPr>
                <w:rFonts w:ascii="Arial" w:cs="Arial" w:eastAsia="Arial" w:hAnsi="Arial"/>
                <w:sz w:val="11"/>
                <w:szCs w:val="11"/>
                <w:color w:val="auto"/>
                <w:w w:val="86"/>
              </w:rPr>
              <w:t>700</w:t>
            </w:r>
          </w:p>
        </w:tc>
        <w:tc>
          <w:tcPr>
            <w:tcW w:w="106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ind w:right="842"/>
              <w:spacing w:after="0"/>
              <w:rPr>
                <w:sz w:val="20"/>
                <w:szCs w:val="20"/>
                <w:color w:val="auto"/>
              </w:rPr>
            </w:pPr>
            <w:r>
              <w:rPr>
                <w:rFonts w:ascii="Arial" w:cs="Arial" w:eastAsia="Arial" w:hAnsi="Arial"/>
                <w:sz w:val="12"/>
                <w:szCs w:val="12"/>
                <w:color w:val="auto"/>
                <w:w w:val="89"/>
              </w:rPr>
              <w:t>$</w:t>
            </w: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220" w:type="dxa"/>
            <w:vAlign w:val="bottom"/>
            <w:gridSpan w:val="2"/>
            <w:shd w:val="clear" w:color="auto" w:fill="CCEEFF"/>
          </w:tcPr>
          <w:p>
            <w:pPr>
              <w:ind w:left="96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27</w:t>
            </w:r>
          </w:p>
        </w:tc>
      </w:tr>
      <w:tr>
        <w:trPr>
          <w:trHeight w:val="153"/>
        </w:trPr>
        <w:tc>
          <w:tcPr>
            <w:tcW w:w="180" w:type="dxa"/>
            <w:vAlign w:val="bottom"/>
          </w:tcPr>
          <w:p>
            <w:pPr>
              <w:spacing w:after="0"/>
              <w:rPr>
                <w:sz w:val="20"/>
                <w:szCs w:val="20"/>
                <w:color w:val="auto"/>
              </w:rPr>
            </w:pPr>
            <w:r>
              <w:rPr>
                <w:rFonts w:ascii="Arial" w:cs="Arial" w:eastAsia="Arial" w:hAnsi="Arial"/>
                <w:sz w:val="11"/>
                <w:szCs w:val="11"/>
                <w:color w:val="auto"/>
                <w:w w:val="86"/>
              </w:rPr>
              <w:t>600</w:t>
            </w:r>
          </w:p>
        </w:tc>
        <w:tc>
          <w:tcPr>
            <w:tcW w:w="1060" w:type="dxa"/>
            <w:vAlign w:val="bottom"/>
          </w:tcPr>
          <w:p>
            <w:pPr>
              <w:ind w:left="20"/>
              <w:spacing w:after="0"/>
              <w:rPr>
                <w:sz w:val="20"/>
                <w:szCs w:val="20"/>
                <w:color w:val="auto"/>
              </w:rPr>
            </w:pPr>
            <w:r>
              <w:rPr>
                <w:rFonts w:ascii="Arial" w:cs="Arial" w:eastAsia="Arial" w:hAnsi="Arial"/>
                <w:sz w:val="11"/>
                <w:szCs w:val="11"/>
                <w:color w:val="auto"/>
              </w:rPr>
              <w:t>- 699</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11</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980" w:type="dxa"/>
            <w:vAlign w:val="bottom"/>
          </w:tcPr>
          <w:p>
            <w:pPr>
              <w:spacing w:after="0"/>
              <w:rPr>
                <w:sz w:val="13"/>
                <w:szCs w:val="13"/>
                <w:color w:val="auto"/>
              </w:rPr>
            </w:pPr>
          </w:p>
        </w:tc>
        <w:tc>
          <w:tcPr>
            <w:tcW w:w="460" w:type="dxa"/>
            <w:vAlign w:val="bottom"/>
            <w:gridSpan w:val="2"/>
          </w:tcPr>
          <w:p>
            <w:pPr>
              <w:ind w:left="2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220" w:type="dxa"/>
            <w:vAlign w:val="bottom"/>
            <w:gridSpan w:val="2"/>
          </w:tcPr>
          <w:p>
            <w:pPr>
              <w:ind w:left="96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11</w:t>
            </w:r>
          </w:p>
        </w:tc>
      </w:tr>
      <w:tr>
        <w:trPr>
          <w:trHeight w:val="153"/>
        </w:trPr>
        <w:tc>
          <w:tcPr>
            <w:tcW w:w="12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&lt; 600</w:t>
            </w:r>
          </w:p>
        </w:tc>
        <w:tc>
          <w:tcPr>
            <w:tcW w:w="3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ind w:left="96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r>
      <w:tr>
        <w:trPr>
          <w:trHeight w:val="153"/>
        </w:trPr>
        <w:tc>
          <w:tcPr>
            <w:tcW w:w="124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No Score</w:t>
            </w: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ind w:left="22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ind w:left="96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r>
      <w:tr>
        <w:trPr>
          <w:trHeight w:val="158"/>
        </w:trPr>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44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   $</w:t>
            </w: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   $</w:t>
            </w:r>
          </w:p>
        </w:tc>
        <w:tc>
          <w:tcPr>
            <w:tcW w:w="2280" w:type="dxa"/>
            <w:vAlign w:val="bottom"/>
            <w:gridSpan w:val="3"/>
            <w:shd w:val="clear" w:color="auto" w:fill="CCEEFF"/>
          </w:tcPr>
          <w:p>
            <w:pPr>
              <w:jc w:val="right"/>
              <w:ind w:right="842"/>
              <w:spacing w:after="0"/>
              <w:rPr>
                <w:sz w:val="20"/>
                <w:szCs w:val="20"/>
                <w:color w:val="auto"/>
              </w:rPr>
            </w:pPr>
            <w:r>
              <w:rPr>
                <w:rFonts w:ascii="Arial" w:cs="Arial" w:eastAsia="Arial" w:hAnsi="Arial"/>
                <w:sz w:val="12"/>
                <w:szCs w:val="12"/>
                <w:color w:val="auto"/>
              </w:rPr>
              <w:t>—   $</w:t>
            </w:r>
          </w:p>
        </w:tc>
        <w:tc>
          <w:tcPr>
            <w:tcW w:w="700" w:type="dxa"/>
            <w:vAlign w:val="bottom"/>
            <w:gridSpan w:val="3"/>
            <w:shd w:val="clear" w:color="auto" w:fill="CCEEFF"/>
          </w:tcPr>
          <w:p>
            <w:pPr>
              <w:ind w:left="220"/>
              <w:spacing w:after="0"/>
              <w:rPr>
                <w:sz w:val="20"/>
                <w:szCs w:val="20"/>
                <w:color w:val="auto"/>
              </w:rPr>
            </w:pPr>
            <w:r>
              <w:rPr>
                <w:rFonts w:ascii="Arial" w:cs="Arial" w:eastAsia="Arial" w:hAnsi="Arial"/>
                <w:sz w:val="12"/>
                <w:szCs w:val="12"/>
                <w:color w:val="auto"/>
              </w:rPr>
              <w:t>—   $</w:t>
            </w:r>
          </w:p>
        </w:tc>
        <w:tc>
          <w:tcPr>
            <w:tcW w:w="1540" w:type="dxa"/>
            <w:vAlign w:val="bottom"/>
            <w:gridSpan w:val="3"/>
            <w:shd w:val="clear" w:color="auto" w:fill="CCEEFF"/>
          </w:tcPr>
          <w:p>
            <w:pPr>
              <w:ind w:left="960"/>
              <w:spacing w:after="0"/>
              <w:rPr>
                <w:sz w:val="20"/>
                <w:szCs w:val="20"/>
                <w:color w:val="auto"/>
              </w:rPr>
            </w:pPr>
            <w:r>
              <w:rPr>
                <w:rFonts w:ascii="Arial" w:cs="Arial" w:eastAsia="Arial" w:hAnsi="Arial"/>
                <w:sz w:val="12"/>
                <w:szCs w:val="12"/>
                <w:color w:val="auto"/>
              </w:rPr>
              <w:t>—   $</w:t>
            </w: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38</w:t>
            </w:r>
          </w:p>
        </w:tc>
      </w:tr>
      <w:tr>
        <w:trPr>
          <w:trHeight w:val="342"/>
        </w:trPr>
        <w:tc>
          <w:tcPr>
            <w:tcW w:w="180" w:type="dxa"/>
            <w:vAlign w:val="bottom"/>
            <w:tcBorders>
              <w:top w:val="single" w:sz="8" w:color="CCEEFF"/>
            </w:tcBorders>
          </w:tcPr>
          <w:p>
            <w:pPr>
              <w:spacing w:after="0"/>
              <w:rPr>
                <w:sz w:val="24"/>
                <w:szCs w:val="24"/>
                <w:color w:val="auto"/>
              </w:rPr>
            </w:pPr>
          </w:p>
        </w:tc>
        <w:tc>
          <w:tcPr>
            <w:tcW w:w="106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jc w:val="right"/>
              <w:ind w:right="961"/>
              <w:spacing w:after="0"/>
              <w:rPr>
                <w:sz w:val="20"/>
                <w:szCs w:val="20"/>
                <w:color w:val="auto"/>
              </w:rPr>
            </w:pPr>
            <w:r>
              <w:rPr>
                <w:rFonts w:ascii="Arial" w:cs="Arial" w:eastAsia="Arial" w:hAnsi="Arial"/>
                <w:sz w:val="12"/>
                <w:szCs w:val="12"/>
                <w:color w:val="auto"/>
              </w:rPr>
              <w:t>22</w:t>
            </w:r>
          </w:p>
        </w:tc>
        <w:tc>
          <w:tcPr>
            <w:tcW w:w="100" w:type="dxa"/>
            <w:vAlign w:val="bottom"/>
            <w:tcBorders>
              <w:top w:val="single" w:sz="8" w:color="CCEEFF"/>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306"/>
        </w:trPr>
        <w:tc>
          <w:tcPr>
            <w:tcW w:w="1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24" w:name="page25"/>
    <w:bookmarkEnd w:id="24"/>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69" w:lineRule="exact"/>
        <w:rPr>
          <w:sz w:val="20"/>
          <w:szCs w:val="20"/>
          <w:color w:val="auto"/>
        </w:rPr>
      </w:pPr>
    </w:p>
    <w:p>
      <w:pPr>
        <w:ind w:left="260" w:hanging="256"/>
        <w:spacing w:after="0"/>
        <w:tabs>
          <w:tab w:leader="none" w:pos="260" w:val="left"/>
        </w:tabs>
        <w:numPr>
          <w:ilvl w:val="0"/>
          <w:numId w:val="15"/>
        </w:numPr>
        <w:rPr>
          <w:rFonts w:ascii="Arial" w:cs="Arial" w:eastAsia="Arial" w:hAnsi="Arial"/>
          <w:sz w:val="12"/>
          <w:szCs w:val="12"/>
          <w:b w:val="1"/>
          <w:bCs w:val="1"/>
          <w:color w:val="auto"/>
        </w:rPr>
      </w:pPr>
      <w:r>
        <w:rPr>
          <w:rFonts w:ascii="Arial" w:cs="Arial" w:eastAsia="Arial" w:hAnsi="Arial"/>
          <w:sz w:val="12"/>
          <w:szCs w:val="12"/>
          <w:b w:val="1"/>
          <w:bCs w:val="1"/>
          <w:color w:val="auto"/>
        </w:rPr>
        <w:t>FINANCIAL INSTRUMENTS</w:t>
      </w:r>
    </w:p>
    <w:p>
      <w:pPr>
        <w:spacing w:after="0" w:line="145" w:lineRule="exact"/>
        <w:rPr>
          <w:sz w:val="20"/>
          <w:szCs w:val="20"/>
          <w:color w:val="auto"/>
        </w:rPr>
      </w:pPr>
    </w:p>
    <w:p>
      <w:pPr>
        <w:ind w:right="40" w:firstLine="432"/>
        <w:spacing w:after="0" w:line="259" w:lineRule="auto"/>
        <w:rPr>
          <w:sz w:val="20"/>
          <w:szCs w:val="20"/>
          <w:color w:val="auto"/>
        </w:rPr>
      </w:pPr>
      <w:r>
        <w:rPr>
          <w:rFonts w:ascii="Arial" w:cs="Arial" w:eastAsia="Arial" w:hAnsi="Arial"/>
          <w:sz w:val="12"/>
          <w:szCs w:val="12"/>
          <w:color w:val="auto"/>
        </w:rPr>
        <w:t>The following table shows the carrying values and the estimated fair values of financial assets and liabilities that qualify as financial instruments, determined in accordance with the authoritative guidance for disclosures regarding the fair value of financial instruments. Considerable judgment is required in interpreting market data to develop estimates of fair value. The use of different market assumptions and/or estimation methodologies could have a material effect on the estimated fair value amounts. The table excludes Cash and cash equivalents, Restricted cash, Accounts receivable, deposits included in Other assets, Accounts payable, Advance deposits and Accrued liabilities, all of which had fair values approximating their carrying amounts due to the short maturities and liquidity of these instruments.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6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1"/>
                <w:szCs w:val="11"/>
                <w:b w:val="1"/>
                <w:bCs w:val="1"/>
                <w:color w:val="auto"/>
                <w:w w:val="99"/>
              </w:rPr>
              <w:t>At June 30, 2021</w:t>
            </w:r>
          </w:p>
        </w:tc>
        <w:tc>
          <w:tcPr>
            <w:tcW w:w="10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At December 31, 2020</w:t>
            </w:r>
          </w:p>
        </w:tc>
        <w:tc>
          <w:tcPr>
            <w:tcW w:w="940" w:type="dxa"/>
            <w:vAlign w:val="bottom"/>
            <w:tcBorders>
              <w:bottom w:val="single" w:sz="8" w:color="auto"/>
            </w:tcBorders>
          </w:tcPr>
          <w:p>
            <w:pPr>
              <w:spacing w:after="0"/>
              <w:rPr>
                <w:sz w:val="12"/>
                <w:szCs w:val="12"/>
                <w:color w:val="auto"/>
              </w:rPr>
            </w:pPr>
          </w:p>
        </w:tc>
      </w:tr>
      <w:tr>
        <w:trPr>
          <w:trHeight w:val="99"/>
        </w:trPr>
        <w:tc>
          <w:tcPr>
            <w:tcW w:w="260" w:type="dxa"/>
            <w:vAlign w:val="bottom"/>
          </w:tcPr>
          <w:p>
            <w:pPr>
              <w:spacing w:after="0"/>
              <w:rPr>
                <w:sz w:val="8"/>
                <w:szCs w:val="8"/>
                <w:color w:val="auto"/>
              </w:rPr>
            </w:pPr>
          </w:p>
        </w:tc>
        <w:tc>
          <w:tcPr>
            <w:tcW w:w="4920" w:type="dxa"/>
            <w:vAlign w:val="bottom"/>
          </w:tcPr>
          <w:p>
            <w:pPr>
              <w:spacing w:after="0"/>
              <w:rPr>
                <w:sz w:val="8"/>
                <w:szCs w:val="8"/>
                <w:color w:val="auto"/>
              </w:rPr>
            </w:pPr>
          </w:p>
        </w:tc>
        <w:tc>
          <w:tcPr>
            <w:tcW w:w="1020" w:type="dxa"/>
            <w:vAlign w:val="bottom"/>
          </w:tcPr>
          <w:p>
            <w:pPr>
              <w:jc w:val="center"/>
              <w:ind w:left="382"/>
              <w:spacing w:after="0" w:line="99" w:lineRule="exact"/>
              <w:rPr>
                <w:sz w:val="20"/>
                <w:szCs w:val="20"/>
                <w:color w:val="auto"/>
              </w:rPr>
            </w:pPr>
            <w:r>
              <w:rPr>
                <w:rFonts w:ascii="Arial" w:cs="Arial" w:eastAsia="Arial" w:hAnsi="Arial"/>
                <w:sz w:val="11"/>
                <w:szCs w:val="11"/>
                <w:b w:val="1"/>
                <w:bCs w:val="1"/>
                <w:color w:val="auto"/>
                <w:w w:val="92"/>
              </w:rPr>
              <w:t>Carrying</w:t>
            </w: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0" w:type="dxa"/>
            <w:vAlign w:val="bottom"/>
          </w:tcPr>
          <w:p>
            <w:pPr>
              <w:jc w:val="center"/>
              <w:ind w:right="421"/>
              <w:spacing w:after="0" w:line="99" w:lineRule="exact"/>
              <w:rPr>
                <w:sz w:val="20"/>
                <w:szCs w:val="20"/>
                <w:color w:val="auto"/>
              </w:rPr>
            </w:pPr>
            <w:r>
              <w:rPr>
                <w:rFonts w:ascii="Arial" w:cs="Arial" w:eastAsia="Arial" w:hAnsi="Arial"/>
                <w:sz w:val="11"/>
                <w:szCs w:val="11"/>
                <w:b w:val="1"/>
                <w:bCs w:val="1"/>
                <w:color w:val="auto"/>
                <w:w w:val="98"/>
              </w:rPr>
              <w:t>Fair</w:t>
            </w: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tcPr>
          <w:p>
            <w:pPr>
              <w:jc w:val="center"/>
              <w:ind w:right="380"/>
              <w:spacing w:after="0" w:line="99" w:lineRule="exact"/>
              <w:rPr>
                <w:sz w:val="20"/>
                <w:szCs w:val="20"/>
                <w:color w:val="auto"/>
              </w:rPr>
            </w:pPr>
            <w:r>
              <w:rPr>
                <w:rFonts w:ascii="Arial" w:cs="Arial" w:eastAsia="Arial" w:hAnsi="Arial"/>
                <w:sz w:val="11"/>
                <w:szCs w:val="11"/>
                <w:b w:val="1"/>
                <w:bCs w:val="1"/>
                <w:color w:val="auto"/>
                <w:w w:val="92"/>
              </w:rPr>
              <w:t>Carrying</w:t>
            </w:r>
          </w:p>
        </w:tc>
        <w:tc>
          <w:tcPr>
            <w:tcW w:w="540" w:type="dxa"/>
            <w:vAlign w:val="bottom"/>
          </w:tcPr>
          <w:p>
            <w:pPr>
              <w:spacing w:after="0"/>
              <w:rPr>
                <w:sz w:val="8"/>
                <w:szCs w:val="8"/>
                <w:color w:val="auto"/>
              </w:rPr>
            </w:pPr>
          </w:p>
        </w:tc>
        <w:tc>
          <w:tcPr>
            <w:tcW w:w="940" w:type="dxa"/>
            <w:vAlign w:val="bottom"/>
          </w:tcPr>
          <w:p>
            <w:pPr>
              <w:jc w:val="center"/>
              <w:ind w:right="481"/>
              <w:spacing w:after="0" w:line="99" w:lineRule="exact"/>
              <w:rPr>
                <w:sz w:val="20"/>
                <w:szCs w:val="20"/>
                <w:color w:val="auto"/>
              </w:rPr>
            </w:pPr>
            <w:r>
              <w:rPr>
                <w:rFonts w:ascii="Arial" w:cs="Arial" w:eastAsia="Arial" w:hAnsi="Arial"/>
                <w:sz w:val="11"/>
                <w:szCs w:val="11"/>
                <w:b w:val="1"/>
                <w:bCs w:val="1"/>
                <w:color w:val="auto"/>
                <w:w w:val="98"/>
              </w:rPr>
              <w:t>Fair</w:t>
            </w:r>
          </w:p>
        </w:tc>
      </w:tr>
      <w:tr>
        <w:trPr>
          <w:trHeight w:val="142"/>
        </w:trPr>
        <w:tc>
          <w:tcPr>
            <w:tcW w:w="5180" w:type="dxa"/>
            <w:vAlign w:val="bottom"/>
            <w:gridSpan w:val="2"/>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1020" w:type="dxa"/>
            <w:vAlign w:val="bottom"/>
          </w:tcPr>
          <w:p>
            <w:pPr>
              <w:jc w:val="center"/>
              <w:ind w:left="382"/>
              <w:spacing w:after="0"/>
              <w:rPr>
                <w:sz w:val="20"/>
                <w:szCs w:val="20"/>
                <w:color w:val="auto"/>
              </w:rPr>
            </w:pPr>
            <w:r>
              <w:rPr>
                <w:rFonts w:ascii="Arial" w:cs="Arial" w:eastAsia="Arial" w:hAnsi="Arial"/>
                <w:sz w:val="11"/>
                <w:szCs w:val="11"/>
                <w:b w:val="1"/>
                <w:bCs w:val="1"/>
                <w:color w:val="auto"/>
                <w:w w:val="91"/>
              </w:rPr>
              <w:t>Amount</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80" w:type="dxa"/>
            <w:vAlign w:val="bottom"/>
            <w:gridSpan w:val="2"/>
          </w:tcPr>
          <w:p>
            <w:pPr>
              <w:jc w:val="center"/>
              <w:ind w:right="540"/>
              <w:spacing w:after="0"/>
              <w:rPr>
                <w:sz w:val="20"/>
                <w:szCs w:val="20"/>
                <w:color w:val="auto"/>
              </w:rPr>
            </w:pPr>
            <w:r>
              <w:rPr>
                <w:rFonts w:ascii="Arial" w:cs="Arial" w:eastAsia="Arial" w:hAnsi="Arial"/>
                <w:sz w:val="11"/>
                <w:szCs w:val="11"/>
                <w:b w:val="1"/>
                <w:bCs w:val="1"/>
                <w:color w:val="auto"/>
                <w:w w:val="88"/>
              </w:rPr>
              <w:t>Value</w:t>
            </w:r>
          </w:p>
        </w:tc>
        <w:tc>
          <w:tcPr>
            <w:tcW w:w="300" w:type="dxa"/>
            <w:vAlign w:val="bottom"/>
          </w:tcPr>
          <w:p>
            <w:pPr>
              <w:spacing w:after="0"/>
              <w:rPr>
                <w:sz w:val="12"/>
                <w:szCs w:val="12"/>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91"/>
              </w:rPr>
              <w:t>Amount</w:t>
            </w:r>
          </w:p>
        </w:tc>
        <w:tc>
          <w:tcPr>
            <w:tcW w:w="540" w:type="dxa"/>
            <w:vAlign w:val="bottom"/>
          </w:tcPr>
          <w:p>
            <w:pPr>
              <w:spacing w:after="0"/>
              <w:rPr>
                <w:sz w:val="12"/>
                <w:szCs w:val="12"/>
                <w:color w:val="auto"/>
              </w:rPr>
            </w:pPr>
          </w:p>
        </w:tc>
        <w:tc>
          <w:tcPr>
            <w:tcW w:w="940" w:type="dxa"/>
            <w:vAlign w:val="bottom"/>
          </w:tcPr>
          <w:p>
            <w:pPr>
              <w:jc w:val="center"/>
              <w:ind w:right="461"/>
              <w:spacing w:after="0"/>
              <w:rPr>
                <w:sz w:val="20"/>
                <w:szCs w:val="20"/>
                <w:color w:val="auto"/>
              </w:rPr>
            </w:pPr>
            <w:r>
              <w:rPr>
                <w:rFonts w:ascii="Arial" w:cs="Arial" w:eastAsia="Arial" w:hAnsi="Arial"/>
                <w:sz w:val="11"/>
                <w:szCs w:val="11"/>
                <w:b w:val="1"/>
                <w:bCs w:val="1"/>
                <w:color w:val="auto"/>
                <w:w w:val="88"/>
              </w:rPr>
              <w:t>Value</w:t>
            </w:r>
          </w:p>
        </w:tc>
      </w:tr>
      <w:tr>
        <w:trPr>
          <w:trHeight w:val="144"/>
        </w:trPr>
        <w:tc>
          <w:tcPr>
            <w:tcW w:w="51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Vacation ownership notes receivable</w:t>
            </w:r>
          </w:p>
        </w:tc>
        <w:tc>
          <w:tcPr>
            <w:tcW w:w="1020" w:type="dxa"/>
            <w:vAlign w:val="bottom"/>
            <w:tcBorders>
              <w:top w:val="single" w:sz="8" w:color="auto"/>
            </w:tcBorders>
            <w:shd w:val="clear" w:color="auto" w:fill="CCEEFF"/>
          </w:tcPr>
          <w:p>
            <w:pPr>
              <w:jc w:val="right"/>
              <w:ind w:right="882"/>
              <w:spacing w:after="0"/>
              <w:rPr>
                <w:sz w:val="20"/>
                <w:szCs w:val="20"/>
                <w:color w:val="auto"/>
              </w:rPr>
            </w:pPr>
            <w:r>
              <w:rPr>
                <w:rFonts w:ascii="Arial" w:cs="Arial" w:eastAsia="Arial" w:hAnsi="Arial"/>
                <w:sz w:val="12"/>
                <w:szCs w:val="12"/>
                <w:color w:val="auto"/>
                <w:w w:val="8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1,991</w:t>
            </w:r>
          </w:p>
        </w:tc>
        <w:tc>
          <w:tcPr>
            <w:tcW w:w="10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ind w:right="352"/>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2,048</w:t>
            </w:r>
          </w:p>
        </w:tc>
        <w:tc>
          <w:tcPr>
            <w:tcW w:w="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1,840</w:t>
            </w:r>
          </w:p>
        </w:tc>
        <w:tc>
          <w:tcPr>
            <w:tcW w:w="8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ind w:right="400"/>
              <w:spacing w:after="0"/>
              <w:rPr>
                <w:sz w:val="20"/>
                <w:szCs w:val="20"/>
                <w:color w:val="auto"/>
              </w:rPr>
            </w:pPr>
            <w:r>
              <w:rPr>
                <w:rFonts w:ascii="Arial" w:cs="Arial" w:eastAsia="Arial" w:hAnsi="Arial"/>
                <w:sz w:val="12"/>
                <w:szCs w:val="12"/>
                <w:color w:val="auto"/>
                <w:w w:val="89"/>
              </w:rPr>
              <w:t>$</w:t>
            </w:r>
          </w:p>
        </w:tc>
        <w:tc>
          <w:tcPr>
            <w:tcW w:w="9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1,886</w:t>
            </w:r>
          </w:p>
        </w:tc>
      </w:tr>
      <w:tr>
        <w:trPr>
          <w:trHeight w:val="153"/>
        </w:trPr>
        <w:tc>
          <w:tcPr>
            <w:tcW w:w="5180" w:type="dxa"/>
            <w:vAlign w:val="bottom"/>
            <w:tcBorders>
              <w:bottom w:val="single" w:sz="8" w:color="CCEEFF"/>
            </w:tcBorders>
            <w:gridSpan w:val="2"/>
          </w:tcPr>
          <w:p>
            <w:pPr>
              <w:spacing w:after="0"/>
              <w:rPr>
                <w:sz w:val="20"/>
                <w:szCs w:val="20"/>
                <w:color w:val="auto"/>
              </w:rPr>
            </w:pPr>
            <w:r>
              <w:rPr>
                <w:rFonts w:ascii="Arial" w:cs="Arial" w:eastAsia="Arial" w:hAnsi="Arial"/>
                <w:sz w:val="12"/>
                <w:szCs w:val="12"/>
                <w:color w:val="auto"/>
              </w:rPr>
              <w:t>Other assets</w:t>
            </w:r>
          </w:p>
        </w:tc>
        <w:tc>
          <w:tcPr>
            <w:tcW w:w="10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67</w:t>
            </w: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67</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60</w:t>
            </w:r>
          </w:p>
        </w:tc>
        <w:tc>
          <w:tcPr>
            <w:tcW w:w="8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60</w:t>
            </w:r>
          </w:p>
        </w:tc>
      </w:tr>
      <w:tr>
        <w:trPr>
          <w:trHeight w:val="158"/>
        </w:trPr>
        <w:tc>
          <w:tcPr>
            <w:tcW w:w="51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2"/>
                <w:szCs w:val="12"/>
                <w:color w:val="auto"/>
              </w:rPr>
              <w:t>Total financial assets</w:t>
            </w:r>
          </w:p>
        </w:tc>
        <w:tc>
          <w:tcPr>
            <w:tcW w:w="1020" w:type="dxa"/>
            <w:vAlign w:val="bottom"/>
            <w:tcBorders>
              <w:bottom w:val="single" w:sz="8" w:color="auto"/>
            </w:tcBorders>
            <w:shd w:val="clear" w:color="auto" w:fill="CCEEFF"/>
          </w:tcPr>
          <w:p>
            <w:pPr>
              <w:jc w:val="right"/>
              <w:ind w:right="882"/>
              <w:spacing w:after="0"/>
              <w:rPr>
                <w:sz w:val="20"/>
                <w:szCs w:val="20"/>
                <w:color w:val="auto"/>
              </w:rPr>
            </w:pPr>
            <w:r>
              <w:rPr>
                <w:rFonts w:ascii="Arial" w:cs="Arial" w:eastAsia="Arial" w:hAnsi="Arial"/>
                <w:sz w:val="12"/>
                <w:szCs w:val="12"/>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2,058</w:t>
            </w:r>
          </w:p>
        </w:tc>
        <w:tc>
          <w:tcPr>
            <w:tcW w:w="10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2,115</w:t>
            </w:r>
          </w:p>
        </w:tc>
        <w:tc>
          <w:tcPr>
            <w:tcW w:w="8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1,900</w:t>
            </w: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ind w:right="400"/>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1,946</w:t>
            </w:r>
          </w:p>
        </w:tc>
      </w:tr>
      <w:tr>
        <w:trPr>
          <w:trHeight w:val="162"/>
        </w:trPr>
        <w:tc>
          <w:tcPr>
            <w:tcW w:w="26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53"/>
        </w:trPr>
        <w:tc>
          <w:tcPr>
            <w:tcW w:w="51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Securitized debt, net</w:t>
            </w:r>
          </w:p>
        </w:tc>
        <w:tc>
          <w:tcPr>
            <w:tcW w:w="1020" w:type="dxa"/>
            <w:vAlign w:val="bottom"/>
            <w:shd w:val="clear" w:color="auto" w:fill="CCEEFF"/>
          </w:tcPr>
          <w:p>
            <w:pPr>
              <w:jc w:val="right"/>
              <w:ind w:right="882"/>
              <w:spacing w:after="0"/>
              <w:rPr>
                <w:sz w:val="20"/>
                <w:szCs w:val="20"/>
                <w:color w:val="auto"/>
              </w:rPr>
            </w:pPr>
            <w:r>
              <w:rPr>
                <w:rFonts w:ascii="Arial" w:cs="Arial" w:eastAsia="Arial" w:hAnsi="Arial"/>
                <w:sz w:val="12"/>
                <w:szCs w:val="12"/>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(1,775)</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352"/>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(1,831)</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(1,588)</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40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(1,653)</w:t>
            </w:r>
          </w:p>
        </w:tc>
      </w:tr>
      <w:tr>
        <w:trPr>
          <w:trHeight w:val="153"/>
        </w:trPr>
        <w:tc>
          <w:tcPr>
            <w:tcW w:w="260" w:type="dxa"/>
            <w:vAlign w:val="bottom"/>
          </w:tcPr>
          <w:p>
            <w:pPr>
              <w:spacing w:after="0"/>
              <w:rPr>
                <w:sz w:val="20"/>
                <w:szCs w:val="20"/>
                <w:color w:val="auto"/>
              </w:rPr>
            </w:pPr>
            <w:r>
              <w:rPr>
                <w:rFonts w:ascii="Arial" w:cs="Arial" w:eastAsia="Arial" w:hAnsi="Arial"/>
                <w:sz w:val="12"/>
                <w:szCs w:val="12"/>
                <w:color w:val="auto"/>
                <w:w w:val="89"/>
              </w:rPr>
              <w:t>2025</w:t>
            </w:r>
          </w:p>
        </w:tc>
        <w:tc>
          <w:tcPr>
            <w:tcW w:w="4920" w:type="dxa"/>
            <w:vAlign w:val="bottom"/>
          </w:tcPr>
          <w:p>
            <w:pPr>
              <w:ind w:left="20"/>
              <w:spacing w:after="0"/>
              <w:rPr>
                <w:sz w:val="20"/>
                <w:szCs w:val="20"/>
                <w:color w:val="auto"/>
              </w:rPr>
            </w:pPr>
            <w:r>
              <w:rPr>
                <w:rFonts w:ascii="Arial" w:cs="Arial" w:eastAsia="Arial" w:hAnsi="Arial"/>
                <w:sz w:val="12"/>
                <w:szCs w:val="12"/>
                <w:color w:val="auto"/>
              </w:rPr>
              <w:t>Notes, net</w:t>
            </w:r>
          </w:p>
        </w:tc>
        <w:tc>
          <w:tcPr>
            <w:tcW w:w="10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(494)</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(533)</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(494)</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(533)</w:t>
            </w:r>
          </w:p>
        </w:tc>
      </w:tr>
      <w:tr>
        <w:trPr>
          <w:trHeight w:val="153"/>
        </w:trPr>
        <w:tc>
          <w:tcPr>
            <w:tcW w:w="260" w:type="dxa"/>
            <w:vAlign w:val="bottom"/>
            <w:shd w:val="clear" w:color="auto" w:fill="CCEEFF"/>
          </w:tcPr>
          <w:p>
            <w:pPr>
              <w:spacing w:after="0"/>
              <w:rPr>
                <w:sz w:val="20"/>
                <w:szCs w:val="20"/>
                <w:color w:val="auto"/>
              </w:rPr>
            </w:pPr>
            <w:r>
              <w:rPr>
                <w:rFonts w:ascii="Arial" w:cs="Arial" w:eastAsia="Arial" w:hAnsi="Arial"/>
                <w:sz w:val="12"/>
                <w:szCs w:val="12"/>
                <w:color w:val="auto"/>
                <w:w w:val="89"/>
              </w:rPr>
              <w:t>2026</w:t>
            </w:r>
          </w:p>
        </w:tc>
        <w:tc>
          <w:tcPr>
            <w:tcW w:w="4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Notes, net</w:t>
            </w:r>
          </w:p>
        </w:tc>
        <w:tc>
          <w:tcPr>
            <w:tcW w:w="10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(744)</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(781)</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(744)</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(784)</w:t>
            </w:r>
          </w:p>
        </w:tc>
      </w:tr>
      <w:tr>
        <w:trPr>
          <w:trHeight w:val="153"/>
        </w:trPr>
        <w:tc>
          <w:tcPr>
            <w:tcW w:w="260" w:type="dxa"/>
            <w:vAlign w:val="bottom"/>
          </w:tcPr>
          <w:p>
            <w:pPr>
              <w:spacing w:after="0"/>
              <w:rPr>
                <w:sz w:val="20"/>
                <w:szCs w:val="20"/>
                <w:color w:val="auto"/>
              </w:rPr>
            </w:pPr>
            <w:r>
              <w:rPr>
                <w:rFonts w:ascii="Arial" w:cs="Arial" w:eastAsia="Arial" w:hAnsi="Arial"/>
                <w:sz w:val="12"/>
                <w:szCs w:val="12"/>
                <w:color w:val="auto"/>
                <w:w w:val="89"/>
              </w:rPr>
              <w:t>2028</w:t>
            </w:r>
          </w:p>
        </w:tc>
        <w:tc>
          <w:tcPr>
            <w:tcW w:w="4920" w:type="dxa"/>
            <w:vAlign w:val="bottom"/>
          </w:tcPr>
          <w:p>
            <w:pPr>
              <w:ind w:left="20"/>
              <w:spacing w:after="0"/>
              <w:rPr>
                <w:sz w:val="20"/>
                <w:szCs w:val="20"/>
                <w:color w:val="auto"/>
              </w:rPr>
            </w:pPr>
            <w:r>
              <w:rPr>
                <w:rFonts w:ascii="Arial" w:cs="Arial" w:eastAsia="Arial" w:hAnsi="Arial"/>
                <w:sz w:val="12"/>
                <w:szCs w:val="12"/>
                <w:color w:val="auto"/>
              </w:rPr>
              <w:t>Notes, net</w:t>
            </w:r>
          </w:p>
        </w:tc>
        <w:tc>
          <w:tcPr>
            <w:tcW w:w="10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(346)</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(359)</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(346)</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(359)</w:t>
            </w:r>
          </w:p>
        </w:tc>
      </w:tr>
      <w:tr>
        <w:trPr>
          <w:trHeight w:val="153"/>
        </w:trPr>
        <w:tc>
          <w:tcPr>
            <w:tcW w:w="260" w:type="dxa"/>
            <w:vAlign w:val="bottom"/>
            <w:shd w:val="clear" w:color="auto" w:fill="CCEEFF"/>
          </w:tcPr>
          <w:p>
            <w:pPr>
              <w:spacing w:after="0"/>
              <w:rPr>
                <w:sz w:val="20"/>
                <w:szCs w:val="20"/>
                <w:color w:val="auto"/>
              </w:rPr>
            </w:pPr>
            <w:r>
              <w:rPr>
                <w:rFonts w:ascii="Arial" w:cs="Arial" w:eastAsia="Arial" w:hAnsi="Arial"/>
                <w:sz w:val="12"/>
                <w:szCs w:val="12"/>
                <w:color w:val="auto"/>
                <w:w w:val="89"/>
              </w:rPr>
              <w:t>2029</w:t>
            </w:r>
          </w:p>
        </w:tc>
        <w:tc>
          <w:tcPr>
            <w:tcW w:w="4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Notes, net</w:t>
            </w:r>
          </w:p>
        </w:tc>
        <w:tc>
          <w:tcPr>
            <w:tcW w:w="10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(493)</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(507)</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r>
      <w:tr>
        <w:trPr>
          <w:trHeight w:val="153"/>
        </w:trPr>
        <w:tc>
          <w:tcPr>
            <w:tcW w:w="5180" w:type="dxa"/>
            <w:vAlign w:val="bottom"/>
            <w:gridSpan w:val="2"/>
          </w:tcPr>
          <w:p>
            <w:pPr>
              <w:spacing w:after="0"/>
              <w:rPr>
                <w:sz w:val="20"/>
                <w:szCs w:val="20"/>
                <w:color w:val="auto"/>
              </w:rPr>
            </w:pPr>
            <w:r>
              <w:rPr>
                <w:rFonts w:ascii="Arial" w:cs="Arial" w:eastAsia="Arial" w:hAnsi="Arial"/>
                <w:sz w:val="12"/>
                <w:szCs w:val="12"/>
                <w:color w:val="auto"/>
              </w:rPr>
              <w:t>Term Loan, net</w:t>
            </w:r>
          </w:p>
        </w:tc>
        <w:tc>
          <w:tcPr>
            <w:tcW w:w="10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(775)</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(772)</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(873)</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(864)</w:t>
            </w:r>
          </w:p>
        </w:tc>
      </w:tr>
      <w:tr>
        <w:trPr>
          <w:trHeight w:val="153"/>
        </w:trPr>
        <w:tc>
          <w:tcPr>
            <w:tcW w:w="260" w:type="dxa"/>
            <w:vAlign w:val="bottom"/>
            <w:shd w:val="clear" w:color="auto" w:fill="CCEEFF"/>
          </w:tcPr>
          <w:p>
            <w:pPr>
              <w:spacing w:after="0"/>
              <w:rPr>
                <w:sz w:val="20"/>
                <w:szCs w:val="20"/>
                <w:color w:val="auto"/>
              </w:rPr>
            </w:pPr>
            <w:r>
              <w:rPr>
                <w:rFonts w:ascii="Arial" w:cs="Arial" w:eastAsia="Arial" w:hAnsi="Arial"/>
                <w:sz w:val="12"/>
                <w:szCs w:val="12"/>
                <w:color w:val="auto"/>
                <w:w w:val="89"/>
              </w:rPr>
              <w:t>2022</w:t>
            </w:r>
          </w:p>
        </w:tc>
        <w:tc>
          <w:tcPr>
            <w:tcW w:w="4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Convertible Notes, net</w:t>
            </w:r>
          </w:p>
        </w:tc>
        <w:tc>
          <w:tcPr>
            <w:tcW w:w="10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(219)</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(274)</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(215)</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(262)</w:t>
            </w:r>
          </w:p>
        </w:tc>
      </w:tr>
      <w:tr>
        <w:trPr>
          <w:trHeight w:val="153"/>
        </w:trPr>
        <w:tc>
          <w:tcPr>
            <w:tcW w:w="260" w:type="dxa"/>
            <w:vAlign w:val="bottom"/>
          </w:tcPr>
          <w:p>
            <w:pPr>
              <w:spacing w:after="0"/>
              <w:rPr>
                <w:sz w:val="20"/>
                <w:szCs w:val="20"/>
                <w:color w:val="auto"/>
              </w:rPr>
            </w:pPr>
            <w:r>
              <w:rPr>
                <w:rFonts w:ascii="Arial" w:cs="Arial" w:eastAsia="Arial" w:hAnsi="Arial"/>
                <w:sz w:val="12"/>
                <w:szCs w:val="12"/>
                <w:color w:val="auto"/>
                <w:w w:val="89"/>
              </w:rPr>
              <w:t>2026</w:t>
            </w:r>
          </w:p>
        </w:tc>
        <w:tc>
          <w:tcPr>
            <w:tcW w:w="4920" w:type="dxa"/>
            <w:vAlign w:val="bottom"/>
          </w:tcPr>
          <w:p>
            <w:pPr>
              <w:ind w:left="20"/>
              <w:spacing w:after="0"/>
              <w:rPr>
                <w:sz w:val="20"/>
                <w:szCs w:val="20"/>
                <w:color w:val="auto"/>
              </w:rPr>
            </w:pPr>
            <w:r>
              <w:rPr>
                <w:rFonts w:ascii="Arial" w:cs="Arial" w:eastAsia="Arial" w:hAnsi="Arial"/>
                <w:sz w:val="12"/>
                <w:szCs w:val="12"/>
                <w:color w:val="auto"/>
              </w:rPr>
              <w:t>Convertible Notes, net</w:t>
            </w:r>
          </w:p>
        </w:tc>
        <w:tc>
          <w:tcPr>
            <w:tcW w:w="10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(448)</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(633)</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540" w:type="dxa"/>
            <w:vAlign w:val="bottom"/>
          </w:tcPr>
          <w:p>
            <w:pPr>
              <w:spacing w:after="0"/>
              <w:rPr>
                <w:sz w:val="13"/>
                <w:szCs w:val="13"/>
                <w:color w:val="auto"/>
              </w:rPr>
            </w:pPr>
          </w:p>
        </w:tc>
        <w:tc>
          <w:tcPr>
            <w:tcW w:w="940" w:type="dxa"/>
            <w:vAlign w:val="bottom"/>
          </w:tcPr>
          <w:p>
            <w:pPr>
              <w:jc w:val="right"/>
              <w:ind w:right="1"/>
              <w:spacing w:after="0"/>
              <w:rPr>
                <w:sz w:val="20"/>
                <w:szCs w:val="20"/>
                <w:color w:val="auto"/>
              </w:rPr>
            </w:pPr>
            <w:r>
              <w:rPr>
                <w:rFonts w:ascii="Arial" w:cs="Arial" w:eastAsia="Arial" w:hAnsi="Arial"/>
                <w:sz w:val="12"/>
                <w:szCs w:val="12"/>
                <w:color w:val="auto"/>
              </w:rPr>
              <w:t>—</w:t>
            </w:r>
          </w:p>
        </w:tc>
      </w:tr>
      <w:tr>
        <w:trPr>
          <w:trHeight w:val="162"/>
        </w:trPr>
        <w:tc>
          <w:tcPr>
            <w:tcW w:w="518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Arial" w:cs="Arial" w:eastAsia="Arial" w:hAnsi="Arial"/>
                <w:sz w:val="12"/>
                <w:szCs w:val="12"/>
                <w:color w:val="auto"/>
              </w:rPr>
              <w:t>Total financial liabilities</w:t>
            </w:r>
          </w:p>
        </w:tc>
        <w:tc>
          <w:tcPr>
            <w:tcW w:w="1020" w:type="dxa"/>
            <w:vAlign w:val="bottom"/>
            <w:tcBorders>
              <w:top w:val="single" w:sz="8" w:color="auto"/>
              <w:bottom w:val="single" w:sz="8" w:color="auto"/>
            </w:tcBorders>
            <w:shd w:val="clear" w:color="auto" w:fill="CCEEFF"/>
          </w:tcPr>
          <w:p>
            <w:pPr>
              <w:jc w:val="right"/>
              <w:ind w:right="882"/>
              <w:spacing w:after="0"/>
              <w:rPr>
                <w:sz w:val="20"/>
                <w:szCs w:val="20"/>
                <w:color w:val="auto"/>
              </w:rPr>
            </w:pPr>
            <w:r>
              <w:rPr>
                <w:rFonts w:ascii="Arial" w:cs="Arial" w:eastAsia="Arial" w:hAnsi="Arial"/>
                <w:sz w:val="12"/>
                <w:szCs w:val="12"/>
                <w:color w:val="auto"/>
                <w:w w:val="8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(5,294)</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460" w:type="dxa"/>
            <w:vAlign w:val="bottom"/>
            <w:tcBorders>
              <w:top w:val="single" w:sz="8" w:color="auto"/>
              <w:bottom w:val="single" w:sz="8" w:color="auto"/>
            </w:tcBorders>
            <w:shd w:val="clear" w:color="auto" w:fill="CCEEFF"/>
          </w:tcPr>
          <w:p>
            <w:pPr>
              <w:jc w:val="right"/>
              <w:ind w:right="352"/>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(5,690)</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(4,260)</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540" w:type="dxa"/>
            <w:vAlign w:val="bottom"/>
            <w:tcBorders>
              <w:top w:val="single" w:sz="8" w:color="auto"/>
              <w:bottom w:val="single" w:sz="8" w:color="auto"/>
            </w:tcBorders>
            <w:shd w:val="clear" w:color="auto" w:fill="CCEEFF"/>
          </w:tcPr>
          <w:p>
            <w:pPr>
              <w:jc w:val="right"/>
              <w:ind w:right="400"/>
              <w:spacing w:after="0"/>
              <w:rPr>
                <w:sz w:val="20"/>
                <w:szCs w:val="20"/>
                <w:color w:val="auto"/>
              </w:rPr>
            </w:pPr>
            <w:r>
              <w:rPr>
                <w:rFonts w:ascii="Arial" w:cs="Arial" w:eastAsia="Arial" w:hAnsi="Arial"/>
                <w:sz w:val="12"/>
                <w:szCs w:val="12"/>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(4,455)</w:t>
            </w:r>
          </w:p>
        </w:tc>
      </w:tr>
      <w:tr>
        <w:trPr>
          <w:trHeight w:val="338"/>
        </w:trPr>
        <w:tc>
          <w:tcPr>
            <w:tcW w:w="5180" w:type="dxa"/>
            <w:vAlign w:val="bottom"/>
            <w:gridSpan w:val="2"/>
          </w:tcPr>
          <w:p>
            <w:pPr>
              <w:spacing w:after="0"/>
              <w:rPr>
                <w:sz w:val="20"/>
                <w:szCs w:val="20"/>
                <w:color w:val="auto"/>
              </w:rPr>
            </w:pPr>
            <w:r>
              <w:rPr>
                <w:rFonts w:ascii="Arial" w:cs="Arial" w:eastAsia="Arial" w:hAnsi="Arial"/>
                <w:sz w:val="12"/>
                <w:szCs w:val="12"/>
                <w:i w:val="1"/>
                <w:iCs w:val="1"/>
                <w:color w:val="auto"/>
              </w:rPr>
              <w:t>Vacation Ownership Notes Receivable</w:t>
            </w: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0"/>
        </w:trPr>
        <w:tc>
          <w:tcPr>
            <w:tcW w:w="26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1"/>
                <w:szCs w:val="11"/>
                <w:b w:val="1"/>
                <w:bCs w:val="1"/>
                <w:color w:val="auto"/>
                <w:w w:val="99"/>
              </w:rPr>
              <w:t>At June 30, 2021</w:t>
            </w:r>
          </w:p>
        </w:tc>
        <w:tc>
          <w:tcPr>
            <w:tcW w:w="10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At December 31, 2020</w:t>
            </w:r>
          </w:p>
        </w:tc>
        <w:tc>
          <w:tcPr>
            <w:tcW w:w="940" w:type="dxa"/>
            <w:vAlign w:val="bottom"/>
            <w:tcBorders>
              <w:bottom w:val="single" w:sz="8" w:color="auto"/>
            </w:tcBorders>
          </w:tcPr>
          <w:p>
            <w:pPr>
              <w:spacing w:after="0"/>
              <w:rPr>
                <w:sz w:val="13"/>
                <w:szCs w:val="13"/>
                <w:color w:val="auto"/>
              </w:rPr>
            </w:pPr>
          </w:p>
        </w:tc>
      </w:tr>
      <w:tr>
        <w:trPr>
          <w:trHeight w:val="99"/>
        </w:trPr>
        <w:tc>
          <w:tcPr>
            <w:tcW w:w="260" w:type="dxa"/>
            <w:vAlign w:val="bottom"/>
          </w:tcPr>
          <w:p>
            <w:pPr>
              <w:spacing w:after="0"/>
              <w:rPr>
                <w:sz w:val="8"/>
                <w:szCs w:val="8"/>
                <w:color w:val="auto"/>
              </w:rPr>
            </w:pPr>
          </w:p>
        </w:tc>
        <w:tc>
          <w:tcPr>
            <w:tcW w:w="4920" w:type="dxa"/>
            <w:vAlign w:val="bottom"/>
          </w:tcPr>
          <w:p>
            <w:pPr>
              <w:spacing w:after="0"/>
              <w:rPr>
                <w:sz w:val="8"/>
                <w:szCs w:val="8"/>
                <w:color w:val="auto"/>
              </w:rPr>
            </w:pPr>
          </w:p>
        </w:tc>
        <w:tc>
          <w:tcPr>
            <w:tcW w:w="1020" w:type="dxa"/>
            <w:vAlign w:val="bottom"/>
          </w:tcPr>
          <w:p>
            <w:pPr>
              <w:jc w:val="center"/>
              <w:ind w:left="382"/>
              <w:spacing w:after="0" w:line="99" w:lineRule="exact"/>
              <w:rPr>
                <w:sz w:val="20"/>
                <w:szCs w:val="20"/>
                <w:color w:val="auto"/>
              </w:rPr>
            </w:pPr>
            <w:r>
              <w:rPr>
                <w:rFonts w:ascii="Arial" w:cs="Arial" w:eastAsia="Arial" w:hAnsi="Arial"/>
                <w:sz w:val="11"/>
                <w:szCs w:val="11"/>
                <w:b w:val="1"/>
                <w:bCs w:val="1"/>
                <w:color w:val="auto"/>
                <w:w w:val="92"/>
              </w:rPr>
              <w:t>Carrying</w:t>
            </w: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0" w:type="dxa"/>
            <w:vAlign w:val="bottom"/>
          </w:tcPr>
          <w:p>
            <w:pPr>
              <w:jc w:val="center"/>
              <w:ind w:right="421"/>
              <w:spacing w:after="0" w:line="99" w:lineRule="exact"/>
              <w:rPr>
                <w:sz w:val="20"/>
                <w:szCs w:val="20"/>
                <w:color w:val="auto"/>
              </w:rPr>
            </w:pPr>
            <w:r>
              <w:rPr>
                <w:rFonts w:ascii="Arial" w:cs="Arial" w:eastAsia="Arial" w:hAnsi="Arial"/>
                <w:sz w:val="11"/>
                <w:szCs w:val="11"/>
                <w:b w:val="1"/>
                <w:bCs w:val="1"/>
                <w:color w:val="auto"/>
                <w:w w:val="98"/>
              </w:rPr>
              <w:t>Fair</w:t>
            </w: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tcPr>
          <w:p>
            <w:pPr>
              <w:jc w:val="center"/>
              <w:ind w:right="380"/>
              <w:spacing w:after="0" w:line="99" w:lineRule="exact"/>
              <w:rPr>
                <w:sz w:val="20"/>
                <w:szCs w:val="20"/>
                <w:color w:val="auto"/>
              </w:rPr>
            </w:pPr>
            <w:r>
              <w:rPr>
                <w:rFonts w:ascii="Arial" w:cs="Arial" w:eastAsia="Arial" w:hAnsi="Arial"/>
                <w:sz w:val="11"/>
                <w:szCs w:val="11"/>
                <w:b w:val="1"/>
                <w:bCs w:val="1"/>
                <w:color w:val="auto"/>
                <w:w w:val="92"/>
              </w:rPr>
              <w:t>Carrying</w:t>
            </w:r>
          </w:p>
        </w:tc>
        <w:tc>
          <w:tcPr>
            <w:tcW w:w="540" w:type="dxa"/>
            <w:vAlign w:val="bottom"/>
          </w:tcPr>
          <w:p>
            <w:pPr>
              <w:spacing w:after="0"/>
              <w:rPr>
                <w:sz w:val="8"/>
                <w:szCs w:val="8"/>
                <w:color w:val="auto"/>
              </w:rPr>
            </w:pPr>
          </w:p>
        </w:tc>
        <w:tc>
          <w:tcPr>
            <w:tcW w:w="940" w:type="dxa"/>
            <w:vAlign w:val="bottom"/>
          </w:tcPr>
          <w:p>
            <w:pPr>
              <w:jc w:val="center"/>
              <w:ind w:right="481"/>
              <w:spacing w:after="0" w:line="99" w:lineRule="exact"/>
              <w:rPr>
                <w:sz w:val="20"/>
                <w:szCs w:val="20"/>
                <w:color w:val="auto"/>
              </w:rPr>
            </w:pPr>
            <w:r>
              <w:rPr>
                <w:rFonts w:ascii="Arial" w:cs="Arial" w:eastAsia="Arial" w:hAnsi="Arial"/>
                <w:sz w:val="11"/>
                <w:szCs w:val="11"/>
                <w:b w:val="1"/>
                <w:bCs w:val="1"/>
                <w:color w:val="auto"/>
                <w:w w:val="98"/>
              </w:rPr>
              <w:t>Fair</w:t>
            </w:r>
          </w:p>
        </w:tc>
      </w:tr>
      <w:tr>
        <w:trPr>
          <w:trHeight w:val="142"/>
        </w:trPr>
        <w:tc>
          <w:tcPr>
            <w:tcW w:w="5180" w:type="dxa"/>
            <w:vAlign w:val="bottom"/>
            <w:gridSpan w:val="2"/>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1020" w:type="dxa"/>
            <w:vAlign w:val="bottom"/>
          </w:tcPr>
          <w:p>
            <w:pPr>
              <w:jc w:val="center"/>
              <w:ind w:left="382"/>
              <w:spacing w:after="0"/>
              <w:rPr>
                <w:sz w:val="20"/>
                <w:szCs w:val="20"/>
                <w:color w:val="auto"/>
              </w:rPr>
            </w:pPr>
            <w:r>
              <w:rPr>
                <w:rFonts w:ascii="Arial" w:cs="Arial" w:eastAsia="Arial" w:hAnsi="Arial"/>
                <w:sz w:val="11"/>
                <w:szCs w:val="11"/>
                <w:b w:val="1"/>
                <w:bCs w:val="1"/>
                <w:color w:val="auto"/>
                <w:w w:val="91"/>
              </w:rPr>
              <w:t>Amount</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80" w:type="dxa"/>
            <w:vAlign w:val="bottom"/>
            <w:gridSpan w:val="2"/>
          </w:tcPr>
          <w:p>
            <w:pPr>
              <w:jc w:val="center"/>
              <w:ind w:right="540"/>
              <w:spacing w:after="0"/>
              <w:rPr>
                <w:sz w:val="20"/>
                <w:szCs w:val="20"/>
                <w:color w:val="auto"/>
              </w:rPr>
            </w:pPr>
            <w:r>
              <w:rPr>
                <w:rFonts w:ascii="Arial" w:cs="Arial" w:eastAsia="Arial" w:hAnsi="Arial"/>
                <w:sz w:val="11"/>
                <w:szCs w:val="11"/>
                <w:b w:val="1"/>
                <w:bCs w:val="1"/>
                <w:color w:val="auto"/>
                <w:w w:val="88"/>
              </w:rPr>
              <w:t>Value</w:t>
            </w:r>
          </w:p>
        </w:tc>
        <w:tc>
          <w:tcPr>
            <w:tcW w:w="300" w:type="dxa"/>
            <w:vAlign w:val="bottom"/>
          </w:tcPr>
          <w:p>
            <w:pPr>
              <w:spacing w:after="0"/>
              <w:rPr>
                <w:sz w:val="12"/>
                <w:szCs w:val="12"/>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91"/>
              </w:rPr>
              <w:t>Amount</w:t>
            </w:r>
          </w:p>
        </w:tc>
        <w:tc>
          <w:tcPr>
            <w:tcW w:w="540" w:type="dxa"/>
            <w:vAlign w:val="bottom"/>
          </w:tcPr>
          <w:p>
            <w:pPr>
              <w:spacing w:after="0"/>
              <w:rPr>
                <w:sz w:val="12"/>
                <w:szCs w:val="12"/>
                <w:color w:val="auto"/>
              </w:rPr>
            </w:pPr>
          </w:p>
        </w:tc>
        <w:tc>
          <w:tcPr>
            <w:tcW w:w="940" w:type="dxa"/>
            <w:vAlign w:val="bottom"/>
          </w:tcPr>
          <w:p>
            <w:pPr>
              <w:jc w:val="center"/>
              <w:ind w:right="461"/>
              <w:spacing w:after="0"/>
              <w:rPr>
                <w:sz w:val="20"/>
                <w:szCs w:val="20"/>
                <w:color w:val="auto"/>
              </w:rPr>
            </w:pPr>
            <w:r>
              <w:rPr>
                <w:rFonts w:ascii="Arial" w:cs="Arial" w:eastAsia="Arial" w:hAnsi="Arial"/>
                <w:sz w:val="11"/>
                <w:szCs w:val="11"/>
                <w:b w:val="1"/>
                <w:bCs w:val="1"/>
                <w:color w:val="auto"/>
                <w:w w:val="88"/>
              </w:rPr>
              <w:t>Value</w:t>
            </w:r>
          </w:p>
        </w:tc>
      </w:tr>
      <w:tr>
        <w:trPr>
          <w:trHeight w:val="135"/>
        </w:trPr>
        <w:tc>
          <w:tcPr>
            <w:tcW w:w="5180" w:type="dxa"/>
            <w:vAlign w:val="bottom"/>
            <w:tcBorders>
              <w:top w:val="single" w:sz="8" w:color="CCEEFF"/>
            </w:tcBorders>
            <w:gridSpan w:val="2"/>
            <w:shd w:val="clear" w:color="auto" w:fill="CCEEFF"/>
          </w:tcPr>
          <w:p>
            <w:pPr>
              <w:spacing w:after="0" w:line="135" w:lineRule="exact"/>
              <w:rPr>
                <w:sz w:val="20"/>
                <w:szCs w:val="20"/>
                <w:color w:val="auto"/>
              </w:rPr>
            </w:pPr>
            <w:r>
              <w:rPr>
                <w:rFonts w:ascii="Arial" w:cs="Arial" w:eastAsia="Arial" w:hAnsi="Arial"/>
                <w:sz w:val="12"/>
                <w:szCs w:val="12"/>
                <w:color w:val="auto"/>
              </w:rPr>
              <w:t>Vacation ownership notes receivable</w:t>
            </w:r>
          </w:p>
        </w:tc>
        <w:tc>
          <w:tcPr>
            <w:tcW w:w="102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r>
      <w:tr>
        <w:trPr>
          <w:trHeight w:val="153"/>
        </w:trPr>
        <w:tc>
          <w:tcPr>
            <w:tcW w:w="5180" w:type="dxa"/>
            <w:vAlign w:val="bottom"/>
            <w:gridSpan w:val="2"/>
          </w:tcPr>
          <w:p>
            <w:pPr>
              <w:ind w:left="140"/>
              <w:spacing w:after="0"/>
              <w:rPr>
                <w:sz w:val="20"/>
                <w:szCs w:val="20"/>
                <w:color w:val="auto"/>
              </w:rPr>
            </w:pPr>
            <w:r>
              <w:rPr>
                <w:rFonts w:ascii="Arial" w:cs="Arial" w:eastAsia="Arial" w:hAnsi="Arial"/>
                <w:sz w:val="12"/>
                <w:szCs w:val="12"/>
                <w:color w:val="auto"/>
              </w:rPr>
              <w:t>Securitized</w:t>
            </w:r>
          </w:p>
        </w:tc>
        <w:tc>
          <w:tcPr>
            <w:tcW w:w="1020" w:type="dxa"/>
            <w:vAlign w:val="bottom"/>
          </w:tcPr>
          <w:p>
            <w:pPr>
              <w:jc w:val="right"/>
              <w:ind w:right="882"/>
              <w:spacing w:after="0"/>
              <w:rPr>
                <w:sz w:val="20"/>
                <w:szCs w:val="20"/>
                <w:color w:val="auto"/>
              </w:rPr>
            </w:pPr>
            <w:r>
              <w:rPr>
                <w:rFonts w:ascii="Arial" w:cs="Arial" w:eastAsia="Arial" w:hAnsi="Arial"/>
                <w:sz w:val="12"/>
                <w:szCs w:val="12"/>
                <w:color w:val="auto"/>
                <w:w w:val="89"/>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1,645</w:t>
            </w:r>
          </w:p>
        </w:tc>
        <w:tc>
          <w:tcPr>
            <w:tcW w:w="100" w:type="dxa"/>
            <w:vAlign w:val="bottom"/>
          </w:tcPr>
          <w:p>
            <w:pPr>
              <w:spacing w:after="0"/>
              <w:rPr>
                <w:sz w:val="13"/>
                <w:szCs w:val="13"/>
                <w:color w:val="auto"/>
              </w:rPr>
            </w:pPr>
          </w:p>
        </w:tc>
        <w:tc>
          <w:tcPr>
            <w:tcW w:w="460" w:type="dxa"/>
            <w:vAlign w:val="bottom"/>
          </w:tcPr>
          <w:p>
            <w:pPr>
              <w:jc w:val="right"/>
              <w:ind w:right="352"/>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ind w:right="1"/>
              <w:spacing w:after="0"/>
              <w:rPr>
                <w:sz w:val="20"/>
                <w:szCs w:val="20"/>
                <w:color w:val="auto"/>
              </w:rPr>
            </w:pPr>
            <w:r>
              <w:rPr>
                <w:rFonts w:ascii="Arial" w:cs="Arial" w:eastAsia="Arial" w:hAnsi="Arial"/>
                <w:sz w:val="12"/>
                <w:szCs w:val="12"/>
                <w:color w:val="auto"/>
              </w:rPr>
              <w:t>1,695</w:t>
            </w:r>
          </w:p>
        </w:tc>
        <w:tc>
          <w:tcPr>
            <w:tcW w:w="8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160" w:type="dxa"/>
            <w:vAlign w:val="bottom"/>
          </w:tcPr>
          <w:p>
            <w:pPr>
              <w:jc w:val="right"/>
              <w:spacing w:after="0"/>
              <w:rPr>
                <w:sz w:val="20"/>
                <w:szCs w:val="20"/>
                <w:color w:val="auto"/>
              </w:rPr>
            </w:pPr>
            <w:r>
              <w:rPr>
                <w:rFonts w:ascii="Arial" w:cs="Arial" w:eastAsia="Arial" w:hAnsi="Arial"/>
                <w:sz w:val="12"/>
                <w:szCs w:val="12"/>
                <w:color w:val="auto"/>
              </w:rPr>
              <w:t>1,493</w:t>
            </w:r>
          </w:p>
        </w:tc>
        <w:tc>
          <w:tcPr>
            <w:tcW w:w="80" w:type="dxa"/>
            <w:vAlign w:val="bottom"/>
          </w:tcPr>
          <w:p>
            <w:pPr>
              <w:spacing w:after="0"/>
              <w:rPr>
                <w:sz w:val="13"/>
                <w:szCs w:val="13"/>
                <w:color w:val="auto"/>
              </w:rPr>
            </w:pPr>
          </w:p>
        </w:tc>
        <w:tc>
          <w:tcPr>
            <w:tcW w:w="540" w:type="dxa"/>
            <w:vAlign w:val="bottom"/>
          </w:tcPr>
          <w:p>
            <w:pPr>
              <w:jc w:val="right"/>
              <w:ind w:right="400"/>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ind w:right="1"/>
              <w:spacing w:after="0"/>
              <w:rPr>
                <w:sz w:val="20"/>
                <w:szCs w:val="20"/>
                <w:color w:val="auto"/>
              </w:rPr>
            </w:pPr>
            <w:r>
              <w:rPr>
                <w:rFonts w:ascii="Arial" w:cs="Arial" w:eastAsia="Arial" w:hAnsi="Arial"/>
                <w:sz w:val="12"/>
                <w:szCs w:val="12"/>
                <w:color w:val="auto"/>
              </w:rPr>
              <w:t>1,530</w:t>
            </w:r>
          </w:p>
        </w:tc>
      </w:tr>
      <w:tr>
        <w:trPr>
          <w:trHeight w:val="180"/>
        </w:trPr>
        <w:tc>
          <w:tcPr>
            <w:tcW w:w="260" w:type="dxa"/>
            <w:vAlign w:val="bottom"/>
            <w:shd w:val="clear" w:color="auto" w:fill="CCEEFF"/>
          </w:tcPr>
          <w:p>
            <w:pPr>
              <w:spacing w:after="0"/>
              <w:rPr>
                <w:sz w:val="15"/>
                <w:szCs w:val="15"/>
                <w:color w:val="auto"/>
              </w:rPr>
            </w:pPr>
          </w:p>
        </w:tc>
        <w:tc>
          <w:tcPr>
            <w:tcW w:w="49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53"/>
        </w:trPr>
        <w:tc>
          <w:tcPr>
            <w:tcW w:w="260" w:type="dxa"/>
            <w:vAlign w:val="bottom"/>
          </w:tcPr>
          <w:p>
            <w:pPr>
              <w:spacing w:after="0"/>
              <w:rPr>
                <w:sz w:val="13"/>
                <w:szCs w:val="13"/>
                <w:color w:val="auto"/>
              </w:rPr>
            </w:pPr>
          </w:p>
        </w:tc>
        <w:tc>
          <w:tcPr>
            <w:tcW w:w="4920" w:type="dxa"/>
            <w:vAlign w:val="bottom"/>
          </w:tcPr>
          <w:p>
            <w:pPr>
              <w:ind w:left="40"/>
              <w:spacing w:after="0"/>
              <w:rPr>
                <w:sz w:val="20"/>
                <w:szCs w:val="20"/>
                <w:color w:val="auto"/>
              </w:rPr>
            </w:pPr>
            <w:r>
              <w:rPr>
                <w:rFonts w:ascii="Arial" w:cs="Arial" w:eastAsia="Arial" w:hAnsi="Arial"/>
                <w:sz w:val="12"/>
                <w:szCs w:val="12"/>
                <w:color w:val="auto"/>
              </w:rPr>
              <w:t>Eligible for securitization</w:t>
            </w:r>
          </w:p>
        </w:tc>
        <w:tc>
          <w:tcPr>
            <w:tcW w:w="10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81</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0" w:type="dxa"/>
            <w:vAlign w:val="bottom"/>
          </w:tcPr>
          <w:p>
            <w:pPr>
              <w:jc w:val="right"/>
              <w:ind w:right="1"/>
              <w:spacing w:after="0"/>
              <w:rPr>
                <w:sz w:val="20"/>
                <w:szCs w:val="20"/>
                <w:color w:val="auto"/>
              </w:rPr>
            </w:pPr>
            <w:r>
              <w:rPr>
                <w:rFonts w:ascii="Arial" w:cs="Arial" w:eastAsia="Arial" w:hAnsi="Arial"/>
                <w:sz w:val="12"/>
                <w:szCs w:val="12"/>
                <w:color w:val="auto"/>
              </w:rPr>
              <w:t>88</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128</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40" w:type="dxa"/>
            <w:vAlign w:val="bottom"/>
          </w:tcPr>
          <w:p>
            <w:pPr>
              <w:jc w:val="right"/>
              <w:ind w:right="1"/>
              <w:spacing w:after="0"/>
              <w:rPr>
                <w:sz w:val="20"/>
                <w:szCs w:val="20"/>
                <w:color w:val="auto"/>
              </w:rPr>
            </w:pPr>
            <w:r>
              <w:rPr>
                <w:rFonts w:ascii="Arial" w:cs="Arial" w:eastAsia="Arial" w:hAnsi="Arial"/>
                <w:sz w:val="12"/>
                <w:szCs w:val="12"/>
                <w:color w:val="auto"/>
              </w:rPr>
              <w:t>137</w:t>
            </w:r>
          </w:p>
        </w:tc>
      </w:tr>
      <w:tr>
        <w:trPr>
          <w:trHeight w:val="153"/>
        </w:trPr>
        <w:tc>
          <w:tcPr>
            <w:tcW w:w="260" w:type="dxa"/>
            <w:vAlign w:val="bottom"/>
            <w:shd w:val="clear" w:color="auto" w:fill="CCEEFF"/>
          </w:tcPr>
          <w:p>
            <w:pPr>
              <w:spacing w:after="0"/>
              <w:rPr>
                <w:sz w:val="13"/>
                <w:szCs w:val="13"/>
                <w:color w:val="auto"/>
              </w:rPr>
            </w:pPr>
          </w:p>
        </w:tc>
        <w:tc>
          <w:tcPr>
            <w:tcW w:w="4920" w:type="dxa"/>
            <w:vAlign w:val="bottom"/>
            <w:shd w:val="clear" w:color="auto" w:fill="CCEEFF"/>
          </w:tcPr>
          <w:p>
            <w:pPr>
              <w:ind w:left="40"/>
              <w:spacing w:after="0"/>
              <w:rPr>
                <w:sz w:val="20"/>
                <w:szCs w:val="20"/>
                <w:color w:val="auto"/>
              </w:rPr>
            </w:pPr>
            <w:r>
              <w:rPr>
                <w:rFonts w:ascii="Arial" w:cs="Arial" w:eastAsia="Arial" w:hAnsi="Arial"/>
                <w:sz w:val="12"/>
                <w:szCs w:val="12"/>
                <w:color w:val="auto"/>
              </w:rPr>
              <w:t>Not eligible for securitization</w:t>
            </w:r>
          </w:p>
        </w:tc>
        <w:tc>
          <w:tcPr>
            <w:tcW w:w="102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265</w:t>
            </w:r>
          </w:p>
        </w:tc>
        <w:tc>
          <w:tcPr>
            <w:tcW w:w="10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265</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219</w:t>
            </w:r>
          </w:p>
        </w:tc>
        <w:tc>
          <w:tcPr>
            <w:tcW w:w="8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219</w:t>
            </w:r>
          </w:p>
        </w:tc>
      </w:tr>
      <w:tr>
        <w:trPr>
          <w:trHeight w:val="142"/>
        </w:trPr>
        <w:tc>
          <w:tcPr>
            <w:tcW w:w="5180" w:type="dxa"/>
            <w:vAlign w:val="bottom"/>
            <w:tcBorders>
              <w:bottom w:val="single" w:sz="8" w:color="CCEEFF"/>
            </w:tcBorders>
            <w:gridSpan w:val="2"/>
          </w:tcPr>
          <w:p>
            <w:pPr>
              <w:ind w:left="140"/>
              <w:spacing w:after="0"/>
              <w:rPr>
                <w:sz w:val="20"/>
                <w:szCs w:val="20"/>
                <w:color w:val="auto"/>
              </w:rPr>
            </w:pPr>
            <w:r>
              <w:rPr>
                <w:rFonts w:ascii="Arial" w:cs="Arial" w:eastAsia="Arial" w:hAnsi="Arial"/>
                <w:sz w:val="12"/>
                <w:szCs w:val="12"/>
                <w:color w:val="auto"/>
              </w:rPr>
              <w:t>Non-securitized</w:t>
            </w:r>
          </w:p>
        </w:tc>
        <w:tc>
          <w:tcPr>
            <w:tcW w:w="10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346</w:t>
            </w:r>
          </w:p>
        </w:tc>
        <w:tc>
          <w:tcPr>
            <w:tcW w:w="10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353</w:t>
            </w: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347</w:t>
            </w:r>
          </w:p>
        </w:tc>
        <w:tc>
          <w:tcPr>
            <w:tcW w:w="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356</w:t>
            </w:r>
          </w:p>
        </w:tc>
      </w:tr>
      <w:tr>
        <w:trPr>
          <w:trHeight w:val="158"/>
        </w:trPr>
        <w:tc>
          <w:tcPr>
            <w:tcW w:w="260" w:type="dxa"/>
            <w:vAlign w:val="bottom"/>
            <w:tcBorders>
              <w:bottom w:val="single" w:sz="8" w:color="CCEEFF"/>
            </w:tcBorders>
            <w:shd w:val="clear" w:color="auto" w:fill="CCEEFF"/>
          </w:tcPr>
          <w:p>
            <w:pPr>
              <w:spacing w:after="0"/>
              <w:rPr>
                <w:sz w:val="13"/>
                <w:szCs w:val="13"/>
                <w:color w:val="auto"/>
              </w:rPr>
            </w:pPr>
          </w:p>
        </w:tc>
        <w:tc>
          <w:tcPr>
            <w:tcW w:w="492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ind w:right="882"/>
              <w:spacing w:after="0"/>
              <w:rPr>
                <w:sz w:val="20"/>
                <w:szCs w:val="20"/>
                <w:color w:val="auto"/>
              </w:rPr>
            </w:pPr>
            <w:r>
              <w:rPr>
                <w:rFonts w:ascii="Arial" w:cs="Arial" w:eastAsia="Arial" w:hAnsi="Arial"/>
                <w:sz w:val="12"/>
                <w:szCs w:val="12"/>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1,991</w:t>
            </w:r>
          </w:p>
        </w:tc>
        <w:tc>
          <w:tcPr>
            <w:tcW w:w="10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2,048</w:t>
            </w:r>
          </w:p>
        </w:tc>
        <w:tc>
          <w:tcPr>
            <w:tcW w:w="8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1,840</w:t>
            </w: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ind w:right="400"/>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1,886</w:t>
            </w:r>
          </w:p>
        </w:tc>
      </w:tr>
    </w:tbl>
    <w:p>
      <w:pPr>
        <w:spacing w:after="0" w:line="162" w:lineRule="exact"/>
        <w:rPr>
          <w:sz w:val="20"/>
          <w:szCs w:val="20"/>
          <w:color w:val="auto"/>
        </w:rPr>
      </w:pPr>
    </w:p>
    <w:p>
      <w:pPr>
        <w:ind w:right="60" w:firstLine="432"/>
        <w:spacing w:after="0" w:line="263" w:lineRule="auto"/>
        <w:rPr>
          <w:sz w:val="20"/>
          <w:szCs w:val="20"/>
          <w:color w:val="auto"/>
        </w:rPr>
      </w:pPr>
      <w:r>
        <w:rPr>
          <w:rFonts w:ascii="Arial" w:cs="Arial" w:eastAsia="Arial" w:hAnsi="Arial"/>
          <w:sz w:val="12"/>
          <w:szCs w:val="12"/>
          <w:color w:val="auto"/>
        </w:rPr>
        <w:t>We estimate the fair value of our vacation ownership notes receivable that have been securitized using a discounted cash flow model. We believe this is comparable to the model that an independent third party would use in the current market. Our model uses default rates, prepayment rates, coupon rates and loan terms for our securitized vacation ownership notes receivable portfolio as key drivers of risk and relative value to determine the fair value of the underlying vacation ownership notes receivable. We concluded that this fair value measurement should be categorized within Level 3.</w:t>
      </w:r>
    </w:p>
    <w:p>
      <w:pPr>
        <w:spacing w:after="0" w:line="50" w:lineRule="exact"/>
        <w:rPr>
          <w:sz w:val="20"/>
          <w:szCs w:val="20"/>
          <w:color w:val="auto"/>
        </w:rPr>
      </w:pPr>
    </w:p>
    <w:p>
      <w:pPr>
        <w:ind w:right="20" w:firstLine="432"/>
        <w:spacing w:after="0" w:line="256" w:lineRule="auto"/>
        <w:rPr>
          <w:sz w:val="20"/>
          <w:szCs w:val="20"/>
          <w:color w:val="auto"/>
        </w:rPr>
      </w:pPr>
      <w:r>
        <w:rPr>
          <w:rFonts w:ascii="Arial" w:cs="Arial" w:eastAsia="Arial" w:hAnsi="Arial"/>
          <w:sz w:val="12"/>
          <w:szCs w:val="12"/>
          <w:color w:val="auto"/>
        </w:rPr>
        <w:t>Due to factors that impact the general marketability of our vacation ownership notes receivable that have not been securitized, as well as current market conditions, we bifurcate our non-securitized vacation ownership notes receivable at each balance sheet date into those eligible and not eligible for securitization using criteria applicable to current securitization transactions in the ABS market. Generally, vacation ownership notes receivable are considered not eligible for securitization if any of the following attributes are present: (1) payments are greater than 30 days past due; (2) the first payment has not been received; or (3) the collateral is located in Asia or Europe. In some cases, eligibility may also be determined based on the credit score of the borrower, the remaining term of the loans and other similar factors that may reflect investor demand in a securitization transaction or the cost to effectively securitize the vacation ownership notes receivable.</w:t>
      </w:r>
    </w:p>
    <w:p>
      <w:pPr>
        <w:spacing w:after="0" w:line="119" w:lineRule="exact"/>
        <w:rPr>
          <w:sz w:val="20"/>
          <w:szCs w:val="20"/>
          <w:color w:val="auto"/>
        </w:rPr>
      </w:pPr>
    </w:p>
    <w:p>
      <w:pPr>
        <w:jc w:val="center"/>
        <w:ind w:left="420"/>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191135</wp:posOffset>
            </wp:positionV>
            <wp:extent cx="7203440"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25" w:name="page26"/>
    <w:bookmarkEnd w:id="25"/>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47" w:lineRule="exact"/>
        <w:rPr>
          <w:sz w:val="20"/>
          <w:szCs w:val="20"/>
          <w:color w:val="auto"/>
        </w:rPr>
      </w:pPr>
    </w:p>
    <w:p>
      <w:pPr>
        <w:ind w:right="220" w:firstLine="432"/>
        <w:spacing w:after="0" w:line="285" w:lineRule="auto"/>
        <w:rPr>
          <w:sz w:val="20"/>
          <w:szCs w:val="20"/>
          <w:color w:val="auto"/>
        </w:rPr>
      </w:pPr>
      <w:r>
        <w:rPr>
          <w:rFonts w:ascii="Arial" w:cs="Arial" w:eastAsia="Arial" w:hAnsi="Arial"/>
          <w:sz w:val="11"/>
          <w:szCs w:val="11"/>
          <w:color w:val="auto"/>
        </w:rPr>
        <w:t>The table above shows the bifurcation of our vacation ownership notes receivable that have not been securitized into those eligible and not eligible for securitization based upon the aforementioned eligibility criteria. We estimate the fair value of the portion of our vacation ownership notes receivable that have not been securitized that we believe will ultimately be securitized in the same manner as vacation ownership notes receivable that have been securitized. We value the remaining vacation ownership notes receivable that have not been securitized at their carrying value, rather than using our pricing model. We believe that the carrying value of these particular vacation ownership notes receivable approximates fair value because the stated, or otherwise imputed, interest rates of these loans are consistent with current market rates and the reserve for these vacation ownership notes receivable appropriately accounts for risks in default rates, prepayment rates, discount rates and loan terms. We concluded that this fair value measurement should be categorized within Level 3.</w:t>
      </w:r>
    </w:p>
    <w:p>
      <w:pPr>
        <w:spacing w:after="0" w:line="4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Other Assets</w:t>
      </w:r>
    </w:p>
    <w:p>
      <w:pPr>
        <w:spacing w:after="0" w:line="78" w:lineRule="exact"/>
        <w:rPr>
          <w:sz w:val="20"/>
          <w:szCs w:val="20"/>
          <w:color w:val="auto"/>
        </w:rPr>
      </w:pPr>
    </w:p>
    <w:p>
      <w:pPr>
        <w:ind w:right="180" w:firstLine="432"/>
        <w:spacing w:after="0" w:line="276" w:lineRule="auto"/>
        <w:rPr>
          <w:sz w:val="20"/>
          <w:szCs w:val="20"/>
          <w:color w:val="auto"/>
        </w:rPr>
      </w:pPr>
      <w:r>
        <w:rPr>
          <w:rFonts w:ascii="Arial" w:cs="Arial" w:eastAsia="Arial" w:hAnsi="Arial"/>
          <w:sz w:val="12"/>
          <w:szCs w:val="12"/>
          <w:color w:val="auto"/>
        </w:rPr>
        <w:t>Other assets include $67 million of company owned insurance policies (the “COLI policies”), acquired on the lives of certain participants in the Marriott Vacations Worldwide Deferred Compensation Plan, that are held in a rabbi trust. The carrying value of the COLI policies is equal to their cash surrender value (Level 2 inputs).</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Securitized Debt</w:t>
      </w:r>
    </w:p>
    <w:p>
      <w:pPr>
        <w:spacing w:after="0" w:line="78"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1"/>
          <w:szCs w:val="11"/>
          <w:color w:val="auto"/>
        </w:rPr>
        <w:t>We generate cash flow estimates by modeling all bond tranches for our active vacation ownership notes receivable securitization transactions, with consideration for the collateral specific to each tranche. The key drivers in our analysis include default rates, prepayment rates, bond interest rates and other structural factors, which we use to estimate the projected cash flows. In order to estimate market credit spreads by rating, we obtain indicative credit spreads from investment banks that actively issue and facilitate the market for vacation ownership securities and determine an average credit spread by rating level of the different tranches. We then apply those estimated market spreads to swap rates in order to estimate an underlying discount rate for calculating the fair value of the active bonds payable. We concluded that this fair value measurement should be categorized within Level 3.</w:t>
      </w:r>
    </w:p>
    <w:p>
      <w:pPr>
        <w:spacing w:after="0" w:line="3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Senior Notes</w:t>
      </w:r>
    </w:p>
    <w:p>
      <w:pPr>
        <w:spacing w:after="0" w:line="78" w:lineRule="exact"/>
        <w:rPr>
          <w:sz w:val="20"/>
          <w:szCs w:val="20"/>
          <w:color w:val="auto"/>
        </w:rPr>
      </w:pPr>
    </w:p>
    <w:p>
      <w:pPr>
        <w:ind w:right="180" w:firstLine="432"/>
        <w:spacing w:after="0" w:line="263" w:lineRule="auto"/>
        <w:rPr>
          <w:sz w:val="20"/>
          <w:szCs w:val="20"/>
          <w:color w:val="auto"/>
        </w:rPr>
      </w:pPr>
      <w:r>
        <w:rPr>
          <w:rFonts w:ascii="Arial" w:cs="Arial" w:eastAsia="Arial" w:hAnsi="Arial"/>
          <w:sz w:val="12"/>
          <w:szCs w:val="12"/>
          <w:color w:val="auto"/>
        </w:rPr>
        <w:t>We estimate the fair value of our 2025 Notes, 2026 Notes, 2028 Notes, and 2029 Notes (each as defined in Footnote 13 “Debt”) using quoted market prices as of the last trading day for the quarter; however these notes have only a limited trading history and volume, and as such this fair value estimate is not necessarily indicative of the value at which these notes could be retired or transferred. We concluded that this fair value measurement should be categorized within Level 2.</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Term Loan</w:t>
      </w:r>
    </w:p>
    <w:p>
      <w:pPr>
        <w:spacing w:after="0" w:line="78" w:lineRule="exact"/>
        <w:rPr>
          <w:sz w:val="20"/>
          <w:szCs w:val="20"/>
          <w:color w:val="auto"/>
        </w:rPr>
      </w:pPr>
    </w:p>
    <w:p>
      <w:pPr>
        <w:ind w:right="20" w:firstLine="432"/>
        <w:spacing w:after="0" w:line="323" w:lineRule="auto"/>
        <w:rPr>
          <w:sz w:val="20"/>
          <w:szCs w:val="20"/>
          <w:color w:val="auto"/>
        </w:rPr>
      </w:pPr>
      <w:r>
        <w:rPr>
          <w:rFonts w:ascii="Arial" w:cs="Arial" w:eastAsia="Arial" w:hAnsi="Arial"/>
          <w:sz w:val="11"/>
          <w:szCs w:val="11"/>
          <w:color w:val="auto"/>
        </w:rPr>
        <w:t>We estimate the fair value of our Term Loan (as defined in Footnote 13 “Debt”) using quotes from securities dealers as of the last trading day for the quarter; however these notes have only a limited trading history and volume, and as such this fair value estimate is not necessarily indicative of the value at which the Term Loan could be retired or transferred. We concluded that this fair value measurement should be categorized within Level 3.</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Convertible Notes</w:t>
      </w:r>
    </w:p>
    <w:p>
      <w:pPr>
        <w:spacing w:after="0" w:line="78" w:lineRule="exact"/>
        <w:rPr>
          <w:sz w:val="20"/>
          <w:szCs w:val="20"/>
          <w:color w:val="auto"/>
        </w:rPr>
      </w:pPr>
    </w:p>
    <w:p>
      <w:pPr>
        <w:ind w:right="60" w:firstLine="432"/>
        <w:spacing w:after="0" w:line="259" w:lineRule="auto"/>
        <w:rPr>
          <w:sz w:val="20"/>
          <w:szCs w:val="20"/>
          <w:color w:val="auto"/>
        </w:rPr>
      </w:pPr>
      <w:r>
        <w:rPr>
          <w:rFonts w:ascii="Arial" w:cs="Arial" w:eastAsia="Arial" w:hAnsi="Arial"/>
          <w:sz w:val="12"/>
          <w:szCs w:val="12"/>
          <w:color w:val="auto"/>
        </w:rPr>
        <w:t>We estimate the fair value of our 2022 Convertible Notes and 2026 Convertible Notes (each as defined in Footnote 13 “Debt” and referred to collectively as our “convertible notes”) using quoted market prices as of the last trading day for the quarter; however these notes have only a limited trading history and volume, and as such this fair value estimate is not necessarily indicative of the value at which the convertible notes could be retired or transferred. We concluded that this fair value measurement should be categorized within Level 2. The difference between the carrying value and the fair value is primarily attributed to the underlying conversion feature and the spread between the conversion price and the market value of the shares underlying the convertible notes.</w:t>
      </w:r>
    </w:p>
    <w:p>
      <w:pPr>
        <w:spacing w:after="0" w:line="115" w:lineRule="exact"/>
        <w:rPr>
          <w:sz w:val="20"/>
          <w:szCs w:val="20"/>
          <w:color w:val="auto"/>
        </w:rPr>
      </w:pPr>
    </w:p>
    <w:p>
      <w:pPr>
        <w:jc w:val="center"/>
        <w:ind w:left="420"/>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191135</wp:posOffset>
            </wp:positionV>
            <wp:extent cx="7203440"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203" w:right="319" w:bottom="1440" w:gutter="0" w:footer="0" w:header="0"/>
        </w:sectPr>
      </w:pPr>
    </w:p>
    <w:bookmarkStart w:id="26" w:name="page27"/>
    <w:bookmarkEnd w:id="26"/>
    <w:p>
      <w:pPr>
        <w:ind w:left="8"/>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69" w:lineRule="exact"/>
        <w:rPr>
          <w:sz w:val="20"/>
          <w:szCs w:val="20"/>
          <w:color w:val="auto"/>
        </w:rPr>
      </w:pPr>
    </w:p>
    <w:p>
      <w:pPr>
        <w:ind w:left="268" w:hanging="256"/>
        <w:spacing w:after="0"/>
        <w:tabs>
          <w:tab w:leader="none" w:pos="268" w:val="left"/>
        </w:tabs>
        <w:numPr>
          <w:ilvl w:val="0"/>
          <w:numId w:val="16"/>
        </w:numPr>
        <w:rPr>
          <w:rFonts w:ascii="Arial" w:cs="Arial" w:eastAsia="Arial" w:hAnsi="Arial"/>
          <w:sz w:val="12"/>
          <w:szCs w:val="12"/>
          <w:b w:val="1"/>
          <w:bCs w:val="1"/>
          <w:color w:val="auto"/>
        </w:rPr>
      </w:pPr>
      <w:r>
        <w:rPr>
          <w:rFonts w:ascii="Arial" w:cs="Arial" w:eastAsia="Arial" w:hAnsi="Arial"/>
          <w:sz w:val="12"/>
          <w:szCs w:val="12"/>
          <w:b w:val="1"/>
          <w:bCs w:val="1"/>
          <w:color w:val="auto"/>
        </w:rPr>
        <w:t>EARNINGS PER SHARE</w:t>
      </w:r>
    </w:p>
    <w:p>
      <w:pPr>
        <w:spacing w:after="0" w:line="73" w:lineRule="exact"/>
        <w:rPr>
          <w:sz w:val="20"/>
          <w:szCs w:val="20"/>
          <w:color w:val="auto"/>
        </w:rPr>
      </w:pPr>
    </w:p>
    <w:p>
      <w:pPr>
        <w:ind w:left="8" w:right="300" w:firstLine="432"/>
        <w:spacing w:after="0" w:line="256" w:lineRule="auto"/>
        <w:rPr>
          <w:sz w:val="20"/>
          <w:szCs w:val="20"/>
          <w:color w:val="auto"/>
        </w:rPr>
      </w:pPr>
      <w:r>
        <w:rPr>
          <w:rFonts w:ascii="Arial" w:cs="Arial" w:eastAsia="Arial" w:hAnsi="Arial"/>
          <w:sz w:val="12"/>
          <w:szCs w:val="12"/>
          <w:color w:val="auto"/>
        </w:rPr>
        <w:t>Basic earnings or loss per common share attributable to common shareholders is calculated by dividing net income or loss attributable to common shareholders by the weighted average number of shares of common stock outstanding during the reporting period. Treasury stock is excluded from the weighted average number of shares of common stock outstanding. Diluted earnings or loss per common share attributable to common shareholders is calculated to give effect to all potentially dilutive common shares that were outstanding during the reporting period, except in periods when there is a loss because the inclusion of the potential common shares would have an anti-dilutive effect. The dilutive effect of outstanding equity-based compensation awards is reflected in diluted earnings or loss per common share applicable to common shareholders by application of the treasury stock method using average market prices during the period.</w:t>
      </w:r>
    </w:p>
    <w:p>
      <w:pPr>
        <w:spacing w:after="0" w:line="56" w:lineRule="exact"/>
        <w:rPr>
          <w:sz w:val="20"/>
          <w:szCs w:val="20"/>
          <w:color w:val="auto"/>
        </w:rPr>
      </w:pPr>
    </w:p>
    <w:p>
      <w:pPr>
        <w:jc w:val="both"/>
        <w:ind w:left="8" w:right="200" w:firstLine="432"/>
        <w:spacing w:after="0" w:line="298" w:lineRule="auto"/>
        <w:rPr>
          <w:sz w:val="20"/>
          <w:szCs w:val="20"/>
          <w:color w:val="auto"/>
        </w:rPr>
      </w:pPr>
      <w:r>
        <w:rPr>
          <w:rFonts w:ascii="Arial" w:cs="Arial" w:eastAsia="Arial" w:hAnsi="Arial"/>
          <w:sz w:val="11"/>
          <w:szCs w:val="11"/>
          <w:color w:val="auto"/>
        </w:rPr>
        <w:t>Our calculation of diluted earnings or loss per share attributable to common shareholders reflects our intent to settle conversions of our convertible notes through a combination settlement, which contemplates repayment in cash of the principal amount and repayment in shares of our common stock of any excess of the conversion value over the principal amount (the “conversion premium”). Therefore, we include only the shares that may be issued with respect to any conversion premium in total dilutive weighted average shares outstanding, which we calculate using the treasury stock method based upon an average price per share for the quarter.</w:t>
      </w:r>
    </w:p>
    <w:p>
      <w:pPr>
        <w:spacing w:after="0" w:line="33" w:lineRule="exact"/>
        <w:rPr>
          <w:sz w:val="20"/>
          <w:szCs w:val="20"/>
          <w:color w:val="auto"/>
        </w:rPr>
      </w:pPr>
    </w:p>
    <w:p>
      <w:pPr>
        <w:ind w:left="8" w:firstLine="432"/>
        <w:spacing w:after="0" w:line="276" w:lineRule="auto"/>
        <w:rPr>
          <w:sz w:val="20"/>
          <w:szCs w:val="20"/>
          <w:color w:val="auto"/>
        </w:rPr>
      </w:pPr>
      <w:r>
        <w:rPr>
          <w:rFonts w:ascii="Arial" w:cs="Arial" w:eastAsia="Arial" w:hAnsi="Arial"/>
          <w:sz w:val="12"/>
          <w:szCs w:val="12"/>
          <w:color w:val="auto"/>
        </w:rPr>
        <w:t>As of June 30, 2021, a conversion premium existed for our 2022 Convertible Notes and our 2026 Convertible Notes (both as defined in Footnote 13 “Debt”). As no conversion premium existed as of June 30, 2020, there was no potential dilutive impact from our 2022 Convertible Notes for the second quarter or first half of 2020.</w:t>
      </w:r>
    </w:p>
    <w:p>
      <w:pPr>
        <w:spacing w:after="0" w:line="43" w:lineRule="exact"/>
        <w:rPr>
          <w:sz w:val="20"/>
          <w:szCs w:val="20"/>
          <w:color w:val="auto"/>
        </w:rPr>
      </w:pPr>
    </w:p>
    <w:p>
      <w:pPr>
        <w:ind w:left="8" w:right="40" w:firstLine="432"/>
        <w:spacing w:after="0" w:line="326" w:lineRule="auto"/>
        <w:rPr>
          <w:sz w:val="20"/>
          <w:szCs w:val="20"/>
          <w:color w:val="auto"/>
        </w:rPr>
      </w:pPr>
      <w:r>
        <w:rPr>
          <w:rFonts w:ascii="Arial" w:cs="Arial" w:eastAsia="Arial" w:hAnsi="Arial"/>
          <w:sz w:val="10"/>
          <w:szCs w:val="10"/>
          <w:color w:val="auto"/>
        </w:rPr>
        <w:t>The shares issuable on exercise of the warrants sold in connection with the issuance of our convertible notes will not impact the total dilutive weighted average shares outstanding unless and until the price of our common stock exceeds the respective strike price. If and when the price of our common stock exceeds the respective strike price of either of the warrants, we will include the dilutive effect of the additional shares that may be issued upon exercise of the warrants in total dilutive weighted average shares outstanding, which we calculate using the treasury stock method. The convertible note hedges purchased in connection with each issuance of convertible notes are considered to be anti-dilutive and do not impact our calculation of diluted earnings per share attributable to common shareholders for any periods presented herein. See Footnote 13 “Debt” for further information on our convertible notes.</w:t>
      </w:r>
    </w:p>
    <w:p>
      <w:pPr>
        <w:spacing w:after="0" w:line="5"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table below illustrates the reconciliation of the earnings and number of shares used in our calculation of basic and diluted loss per share attributable to common shareholders.</w:t>
      </w:r>
    </w:p>
    <w:p>
      <w:pPr>
        <w:spacing w:after="0" w:line="33"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47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Three Months Ended</w:t>
            </w:r>
          </w:p>
        </w:tc>
        <w:tc>
          <w:tcPr>
            <w:tcW w:w="11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Six Months Ended</w:t>
            </w:r>
          </w:p>
        </w:tc>
        <w:tc>
          <w:tcPr>
            <w:tcW w:w="1140" w:type="dxa"/>
            <w:vAlign w:val="bottom"/>
            <w:tcBorders>
              <w:bottom w:val="single" w:sz="8" w:color="auto"/>
            </w:tcBorders>
          </w:tcPr>
          <w:p>
            <w:pPr>
              <w:spacing w:after="0"/>
              <w:rPr>
                <w:sz w:val="12"/>
                <w:szCs w:val="12"/>
                <w:color w:val="auto"/>
              </w:rPr>
            </w:pPr>
          </w:p>
        </w:tc>
      </w:tr>
      <w:tr>
        <w:trPr>
          <w:trHeight w:val="133"/>
        </w:trPr>
        <w:tc>
          <w:tcPr>
            <w:tcW w:w="4760" w:type="dxa"/>
            <w:vAlign w:val="bottom"/>
          </w:tcPr>
          <w:p>
            <w:pPr>
              <w:spacing w:after="0"/>
              <w:rPr>
                <w:sz w:val="20"/>
                <w:szCs w:val="20"/>
                <w:color w:val="auto"/>
              </w:rPr>
            </w:pPr>
            <w:r>
              <w:rPr>
                <w:rFonts w:ascii="Arial" w:cs="Arial" w:eastAsia="Arial" w:hAnsi="Arial"/>
                <w:sz w:val="10"/>
                <w:szCs w:val="10"/>
                <w:b w:val="1"/>
                <w:bCs w:val="1"/>
                <w:i w:val="1"/>
                <w:iCs w:val="1"/>
                <w:color w:val="auto"/>
              </w:rPr>
              <w:t>(in millions, except per share amounts)</w:t>
            </w:r>
          </w:p>
        </w:tc>
        <w:tc>
          <w:tcPr>
            <w:tcW w:w="260" w:type="dxa"/>
            <w:vAlign w:val="bottom"/>
          </w:tcPr>
          <w:p>
            <w:pPr>
              <w:spacing w:after="0"/>
              <w:rPr>
                <w:sz w:val="11"/>
                <w:szCs w:val="11"/>
                <w:color w:val="auto"/>
              </w:rPr>
            </w:pPr>
          </w:p>
        </w:tc>
        <w:tc>
          <w:tcPr>
            <w:tcW w:w="1400" w:type="dxa"/>
            <w:vAlign w:val="bottom"/>
            <w:gridSpan w:val="2"/>
          </w:tcPr>
          <w:p>
            <w:pPr>
              <w:ind w:left="180"/>
              <w:spacing w:after="0"/>
              <w:rPr>
                <w:sz w:val="20"/>
                <w:szCs w:val="20"/>
                <w:color w:val="auto"/>
              </w:rPr>
            </w:pPr>
            <w:r>
              <w:rPr>
                <w:rFonts w:ascii="Arial" w:cs="Arial" w:eastAsia="Arial" w:hAnsi="Arial"/>
                <w:sz w:val="11"/>
                <w:szCs w:val="11"/>
                <w:b w:val="1"/>
                <w:bCs w:val="1"/>
                <w:color w:val="auto"/>
              </w:rPr>
              <w:t>June 30, 2021</w:t>
            </w:r>
            <w:r>
              <w:rPr>
                <w:rFonts w:ascii="Arial" w:cs="Arial" w:eastAsia="Arial" w:hAnsi="Arial"/>
                <w:sz w:val="6"/>
                <w:szCs w:val="6"/>
                <w:b w:val="1"/>
                <w:bCs w:val="1"/>
                <w:color w:val="auto"/>
              </w:rPr>
              <w:t>(1)</w:t>
            </w:r>
          </w:p>
        </w:tc>
        <w:tc>
          <w:tcPr>
            <w:tcW w:w="460" w:type="dxa"/>
            <w:vAlign w:val="bottom"/>
          </w:tcPr>
          <w:p>
            <w:pPr>
              <w:spacing w:after="0"/>
              <w:rPr>
                <w:sz w:val="11"/>
                <w:szCs w:val="11"/>
                <w:color w:val="auto"/>
              </w:rPr>
            </w:pPr>
          </w:p>
        </w:tc>
        <w:tc>
          <w:tcPr>
            <w:tcW w:w="1100" w:type="dxa"/>
            <w:vAlign w:val="bottom"/>
          </w:tcPr>
          <w:p>
            <w:pPr>
              <w:jc w:val="right"/>
              <w:ind w:right="401"/>
              <w:spacing w:after="0"/>
              <w:rPr>
                <w:sz w:val="20"/>
                <w:szCs w:val="20"/>
                <w:color w:val="auto"/>
              </w:rPr>
            </w:pPr>
            <w:r>
              <w:rPr>
                <w:rFonts w:ascii="Arial" w:cs="Arial" w:eastAsia="Arial" w:hAnsi="Arial"/>
                <w:sz w:val="11"/>
                <w:szCs w:val="11"/>
                <w:b w:val="1"/>
                <w:bCs w:val="1"/>
                <w:color w:val="auto"/>
                <w:w w:val="86"/>
              </w:rPr>
              <w:t>June 30, 2020</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gridSpan w:val="2"/>
          </w:tcPr>
          <w:p>
            <w:pPr>
              <w:ind w:left="200"/>
              <w:spacing w:after="0"/>
              <w:rPr>
                <w:sz w:val="20"/>
                <w:szCs w:val="20"/>
                <w:color w:val="auto"/>
              </w:rPr>
            </w:pPr>
            <w:r>
              <w:rPr>
                <w:rFonts w:ascii="Arial" w:cs="Arial" w:eastAsia="Arial" w:hAnsi="Arial"/>
                <w:sz w:val="11"/>
                <w:szCs w:val="11"/>
                <w:b w:val="1"/>
                <w:bCs w:val="1"/>
                <w:color w:val="auto"/>
              </w:rPr>
              <w:t>June 30, 2021</w:t>
            </w:r>
          </w:p>
        </w:tc>
        <w:tc>
          <w:tcPr>
            <w:tcW w:w="440" w:type="dxa"/>
            <w:vAlign w:val="bottom"/>
          </w:tcPr>
          <w:p>
            <w:pPr>
              <w:spacing w:after="0"/>
              <w:rPr>
                <w:sz w:val="11"/>
                <w:szCs w:val="11"/>
                <w:color w:val="auto"/>
              </w:rPr>
            </w:pPr>
          </w:p>
        </w:tc>
        <w:tc>
          <w:tcPr>
            <w:tcW w:w="1140" w:type="dxa"/>
            <w:vAlign w:val="bottom"/>
          </w:tcPr>
          <w:p>
            <w:pPr>
              <w:jc w:val="right"/>
              <w:ind w:right="421"/>
              <w:spacing w:after="0"/>
              <w:rPr>
                <w:sz w:val="20"/>
                <w:szCs w:val="20"/>
                <w:color w:val="auto"/>
              </w:rPr>
            </w:pPr>
            <w:r>
              <w:rPr>
                <w:rFonts w:ascii="Arial" w:cs="Arial" w:eastAsia="Arial" w:hAnsi="Arial"/>
                <w:sz w:val="11"/>
                <w:szCs w:val="11"/>
                <w:b w:val="1"/>
                <w:bCs w:val="1"/>
                <w:color w:val="auto"/>
                <w:w w:val="89"/>
              </w:rPr>
              <w:t>June 30, 2020</w:t>
            </w:r>
          </w:p>
        </w:tc>
      </w:tr>
      <w:tr>
        <w:trPr>
          <w:trHeight w:val="126"/>
        </w:trPr>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Computation of Basic Earnings (Loss) Per Share Attributable to Common Shareholders</w:t>
            </w:r>
          </w:p>
        </w:tc>
        <w:tc>
          <w:tcPr>
            <w:tcW w:w="260" w:type="dxa"/>
            <w:vAlign w:val="bottom"/>
            <w:tcBorders>
              <w:top w:val="single" w:sz="8" w:color="auto"/>
            </w:tcBorders>
            <w:shd w:val="clear" w:color="auto" w:fill="CCEEFF"/>
          </w:tcPr>
          <w:p>
            <w:pPr>
              <w:spacing w:after="0"/>
              <w:rPr>
                <w:sz w:val="10"/>
                <w:szCs w:val="10"/>
                <w:color w:val="auto"/>
              </w:rPr>
            </w:pPr>
          </w:p>
        </w:tc>
        <w:tc>
          <w:tcPr>
            <w:tcW w:w="13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1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13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1140" w:type="dxa"/>
            <w:vAlign w:val="bottom"/>
            <w:tcBorders>
              <w:top w:val="single" w:sz="8" w:color="auto"/>
            </w:tcBorders>
            <w:shd w:val="clear" w:color="auto" w:fill="CCEEFF"/>
          </w:tcPr>
          <w:p>
            <w:pPr>
              <w:spacing w:after="0"/>
              <w:rPr>
                <w:sz w:val="10"/>
                <w:szCs w:val="10"/>
                <w:color w:val="auto"/>
              </w:rPr>
            </w:pPr>
          </w:p>
        </w:tc>
      </w:tr>
      <w:tr>
        <w:trPr>
          <w:trHeight w:val="153"/>
        </w:trPr>
        <w:tc>
          <w:tcPr>
            <w:tcW w:w="4760" w:type="dxa"/>
            <w:vAlign w:val="bottom"/>
          </w:tcPr>
          <w:p>
            <w:pPr>
              <w:ind w:left="140"/>
              <w:spacing w:after="0"/>
              <w:rPr>
                <w:sz w:val="20"/>
                <w:szCs w:val="20"/>
                <w:color w:val="auto"/>
              </w:rPr>
            </w:pPr>
            <w:r>
              <w:rPr>
                <w:rFonts w:ascii="Arial" w:cs="Arial" w:eastAsia="Arial" w:hAnsi="Arial"/>
                <w:sz w:val="12"/>
                <w:szCs w:val="12"/>
                <w:color w:val="auto"/>
              </w:rPr>
              <w:t>Net earnings (loss) attributable to common shareholders</w:t>
            </w: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3"/>
                <w:szCs w:val="13"/>
                <w:color w:val="auto"/>
              </w:rPr>
            </w:pPr>
          </w:p>
        </w:tc>
        <w:tc>
          <w:tcPr>
            <w:tcW w:w="460" w:type="dxa"/>
            <w:vAlign w:val="bottom"/>
          </w:tcPr>
          <w:p>
            <w:pPr>
              <w:jc w:val="right"/>
              <w:ind w:right="320"/>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(70)</w:t>
            </w:r>
          </w:p>
        </w:tc>
        <w:tc>
          <w:tcPr>
            <w:tcW w:w="100" w:type="dxa"/>
            <w:vAlign w:val="bottom"/>
          </w:tcPr>
          <w:p>
            <w:pPr>
              <w:spacing w:after="0"/>
              <w:rPr>
                <w:sz w:val="13"/>
                <w:szCs w:val="13"/>
                <w:color w:val="auto"/>
              </w:rPr>
            </w:pP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1300" w:type="dxa"/>
            <w:vAlign w:val="bottom"/>
          </w:tcPr>
          <w:p>
            <w:pPr>
              <w:jc w:val="right"/>
              <w:spacing w:after="0"/>
              <w:rPr>
                <w:sz w:val="20"/>
                <w:szCs w:val="20"/>
                <w:color w:val="auto"/>
              </w:rPr>
            </w:pPr>
            <w:r>
              <w:rPr>
                <w:rFonts w:ascii="Arial" w:cs="Arial" w:eastAsia="Arial" w:hAnsi="Arial"/>
                <w:sz w:val="12"/>
                <w:szCs w:val="12"/>
                <w:color w:val="auto"/>
              </w:rPr>
              <w:t>(22)</w:t>
            </w:r>
          </w:p>
        </w:tc>
        <w:tc>
          <w:tcPr>
            <w:tcW w:w="80" w:type="dxa"/>
            <w:vAlign w:val="bottom"/>
          </w:tcPr>
          <w:p>
            <w:pPr>
              <w:spacing w:after="0"/>
              <w:rPr>
                <w:sz w:val="13"/>
                <w:szCs w:val="13"/>
                <w:color w:val="auto"/>
              </w:rPr>
            </w:pPr>
          </w:p>
        </w:tc>
        <w:tc>
          <w:tcPr>
            <w:tcW w:w="440" w:type="dxa"/>
            <w:vAlign w:val="bottom"/>
          </w:tcPr>
          <w:p>
            <w:pPr>
              <w:jc w:val="right"/>
              <w:ind w:right="300"/>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(176)</w:t>
            </w:r>
          </w:p>
        </w:tc>
      </w:tr>
      <w:tr>
        <w:trPr>
          <w:trHeight w:val="153"/>
        </w:trPr>
        <w:tc>
          <w:tcPr>
            <w:tcW w:w="47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Shares for basic earnings (loss) per share</w:t>
            </w:r>
          </w:p>
        </w:tc>
        <w:tc>
          <w:tcPr>
            <w:tcW w:w="26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42.9</w:t>
            </w:r>
          </w:p>
        </w:tc>
        <w:tc>
          <w:tcPr>
            <w:tcW w:w="10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41.2</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42.1</w:t>
            </w:r>
          </w:p>
        </w:tc>
        <w:tc>
          <w:tcPr>
            <w:tcW w:w="8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41.4</w:t>
            </w:r>
          </w:p>
        </w:tc>
      </w:tr>
      <w:tr>
        <w:trPr>
          <w:trHeight w:val="158"/>
        </w:trPr>
        <w:tc>
          <w:tcPr>
            <w:tcW w:w="476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Basic earnings (loss) per share</w:t>
            </w:r>
          </w:p>
        </w:tc>
        <w:tc>
          <w:tcPr>
            <w:tcW w:w="2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0.15</w:t>
            </w: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(1.68)</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(0.52)</w:t>
            </w:r>
          </w:p>
        </w:tc>
        <w:tc>
          <w:tcPr>
            <w:tcW w:w="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(4.25)</w:t>
            </w:r>
          </w:p>
        </w:tc>
      </w:tr>
      <w:tr>
        <w:trPr>
          <w:trHeight w:val="126"/>
        </w:trPr>
        <w:tc>
          <w:tcPr>
            <w:tcW w:w="47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Computation of Diluted Earnings (Loss) Per Share Attributable to Common Shareholders</w:t>
            </w:r>
          </w:p>
        </w:tc>
        <w:tc>
          <w:tcPr>
            <w:tcW w:w="26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r>
      <w:tr>
        <w:trPr>
          <w:trHeight w:val="153"/>
        </w:trPr>
        <w:tc>
          <w:tcPr>
            <w:tcW w:w="4760" w:type="dxa"/>
            <w:vAlign w:val="bottom"/>
          </w:tcPr>
          <w:p>
            <w:pPr>
              <w:ind w:left="140"/>
              <w:spacing w:after="0"/>
              <w:rPr>
                <w:sz w:val="20"/>
                <w:szCs w:val="20"/>
                <w:color w:val="auto"/>
              </w:rPr>
            </w:pPr>
            <w:r>
              <w:rPr>
                <w:rFonts w:ascii="Arial" w:cs="Arial" w:eastAsia="Arial" w:hAnsi="Arial"/>
                <w:sz w:val="12"/>
                <w:szCs w:val="12"/>
                <w:color w:val="auto"/>
              </w:rPr>
              <w:t>Net earnings (loss) attributable to common shareholders</w:t>
            </w: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3"/>
                <w:szCs w:val="13"/>
                <w:color w:val="auto"/>
              </w:rPr>
            </w:pPr>
          </w:p>
        </w:tc>
        <w:tc>
          <w:tcPr>
            <w:tcW w:w="460" w:type="dxa"/>
            <w:vAlign w:val="bottom"/>
          </w:tcPr>
          <w:p>
            <w:pPr>
              <w:jc w:val="right"/>
              <w:ind w:right="320"/>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(70)</w:t>
            </w:r>
          </w:p>
        </w:tc>
        <w:tc>
          <w:tcPr>
            <w:tcW w:w="100" w:type="dxa"/>
            <w:vAlign w:val="bottom"/>
          </w:tcPr>
          <w:p>
            <w:pPr>
              <w:spacing w:after="0"/>
              <w:rPr>
                <w:sz w:val="13"/>
                <w:szCs w:val="13"/>
                <w:color w:val="auto"/>
              </w:rPr>
            </w:pP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1300" w:type="dxa"/>
            <w:vAlign w:val="bottom"/>
          </w:tcPr>
          <w:p>
            <w:pPr>
              <w:jc w:val="right"/>
              <w:spacing w:after="0"/>
              <w:rPr>
                <w:sz w:val="20"/>
                <w:szCs w:val="20"/>
                <w:color w:val="auto"/>
              </w:rPr>
            </w:pPr>
            <w:r>
              <w:rPr>
                <w:rFonts w:ascii="Arial" w:cs="Arial" w:eastAsia="Arial" w:hAnsi="Arial"/>
                <w:sz w:val="12"/>
                <w:szCs w:val="12"/>
                <w:color w:val="auto"/>
              </w:rPr>
              <w:t>(22)</w:t>
            </w:r>
          </w:p>
        </w:tc>
        <w:tc>
          <w:tcPr>
            <w:tcW w:w="80" w:type="dxa"/>
            <w:vAlign w:val="bottom"/>
          </w:tcPr>
          <w:p>
            <w:pPr>
              <w:spacing w:after="0"/>
              <w:rPr>
                <w:sz w:val="13"/>
                <w:szCs w:val="13"/>
                <w:color w:val="auto"/>
              </w:rPr>
            </w:pPr>
          </w:p>
        </w:tc>
        <w:tc>
          <w:tcPr>
            <w:tcW w:w="440" w:type="dxa"/>
            <w:vAlign w:val="bottom"/>
          </w:tcPr>
          <w:p>
            <w:pPr>
              <w:jc w:val="right"/>
              <w:ind w:right="300"/>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(176)</w:t>
            </w:r>
          </w:p>
        </w:tc>
      </w:tr>
      <w:tr>
        <w:trPr>
          <w:trHeight w:val="153"/>
        </w:trPr>
        <w:tc>
          <w:tcPr>
            <w:tcW w:w="47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Shares for basic earnings (loss) per share</w:t>
            </w:r>
          </w:p>
        </w:tc>
        <w:tc>
          <w:tcPr>
            <w:tcW w:w="26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42.9</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41.2</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42.1</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41.4</w:t>
            </w:r>
          </w:p>
        </w:tc>
      </w:tr>
      <w:tr>
        <w:trPr>
          <w:trHeight w:val="153"/>
        </w:trPr>
        <w:tc>
          <w:tcPr>
            <w:tcW w:w="4760" w:type="dxa"/>
            <w:vAlign w:val="bottom"/>
          </w:tcPr>
          <w:p>
            <w:pPr>
              <w:ind w:left="140"/>
              <w:spacing w:after="0"/>
              <w:rPr>
                <w:sz w:val="20"/>
                <w:szCs w:val="20"/>
                <w:color w:val="auto"/>
              </w:rPr>
            </w:pPr>
            <w:r>
              <w:rPr>
                <w:rFonts w:ascii="Arial" w:cs="Arial" w:eastAsia="Arial" w:hAnsi="Arial"/>
                <w:sz w:val="12"/>
                <w:szCs w:val="12"/>
                <w:color w:val="auto"/>
              </w:rPr>
              <w:t xml:space="preserve">Effect of dilutive shares outstanding </w:t>
            </w:r>
            <w:r>
              <w:rPr>
                <w:rFonts w:ascii="Arial" w:cs="Arial" w:eastAsia="Arial" w:hAnsi="Arial"/>
                <w:sz w:val="6"/>
                <w:szCs w:val="6"/>
                <w:color w:val="auto"/>
              </w:rPr>
              <w:t>(2)</w:t>
            </w:r>
          </w:p>
        </w:tc>
        <w:tc>
          <w:tcPr>
            <w:tcW w:w="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3"/>
        </w:trPr>
        <w:tc>
          <w:tcPr>
            <w:tcW w:w="4760" w:type="dxa"/>
            <w:vAlign w:val="bottom"/>
            <w:shd w:val="clear" w:color="auto" w:fill="CCEEFF"/>
          </w:tcPr>
          <w:p>
            <w:pPr>
              <w:ind w:left="300"/>
              <w:spacing w:after="0"/>
              <w:rPr>
                <w:sz w:val="20"/>
                <w:szCs w:val="20"/>
                <w:color w:val="auto"/>
              </w:rPr>
            </w:pPr>
            <w:r>
              <w:rPr>
                <w:rFonts w:ascii="Arial" w:cs="Arial" w:eastAsia="Arial" w:hAnsi="Arial"/>
                <w:sz w:val="12"/>
                <w:szCs w:val="12"/>
                <w:color w:val="auto"/>
              </w:rPr>
              <w:t>Employee stock options and SARs</w:t>
            </w:r>
          </w:p>
        </w:tc>
        <w:tc>
          <w:tcPr>
            <w:tcW w:w="26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r>
      <w:tr>
        <w:trPr>
          <w:trHeight w:val="153"/>
        </w:trPr>
        <w:tc>
          <w:tcPr>
            <w:tcW w:w="4760" w:type="dxa"/>
            <w:vAlign w:val="bottom"/>
          </w:tcPr>
          <w:p>
            <w:pPr>
              <w:ind w:left="300"/>
              <w:spacing w:after="0"/>
              <w:rPr>
                <w:sz w:val="20"/>
                <w:szCs w:val="20"/>
                <w:color w:val="auto"/>
              </w:rPr>
            </w:pPr>
            <w:r>
              <w:rPr>
                <w:rFonts w:ascii="Arial" w:cs="Arial" w:eastAsia="Arial" w:hAnsi="Arial"/>
                <w:sz w:val="12"/>
                <w:szCs w:val="12"/>
                <w:color w:val="auto"/>
              </w:rPr>
              <w:t>Restricted stock units</w:t>
            </w:r>
          </w:p>
        </w:tc>
        <w:tc>
          <w:tcPr>
            <w:tcW w:w="26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0.5</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3"/>
                <w:szCs w:val="13"/>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w:t>
            </w:r>
          </w:p>
        </w:tc>
      </w:tr>
      <w:tr>
        <w:trPr>
          <w:trHeight w:val="153"/>
        </w:trPr>
        <w:tc>
          <w:tcPr>
            <w:tcW w:w="4760" w:type="dxa"/>
            <w:vAlign w:val="bottom"/>
            <w:shd w:val="clear" w:color="auto" w:fill="CCEEFF"/>
          </w:tcPr>
          <w:p>
            <w:pPr>
              <w:ind w:left="300"/>
              <w:spacing w:after="0"/>
              <w:rPr>
                <w:sz w:val="20"/>
                <w:szCs w:val="20"/>
                <w:color w:val="auto"/>
              </w:rPr>
            </w:pPr>
            <w:r>
              <w:rPr>
                <w:rFonts w:ascii="Arial" w:cs="Arial" w:eastAsia="Arial" w:hAnsi="Arial"/>
                <w:sz w:val="12"/>
                <w:szCs w:val="12"/>
                <w:color w:val="auto"/>
              </w:rPr>
              <w:t>2022 Convertible Notes</w:t>
            </w:r>
          </w:p>
        </w:tc>
        <w:tc>
          <w:tcPr>
            <w:tcW w:w="26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r>
      <w:tr>
        <w:trPr>
          <w:trHeight w:val="153"/>
        </w:trPr>
        <w:tc>
          <w:tcPr>
            <w:tcW w:w="4760" w:type="dxa"/>
            <w:vAlign w:val="bottom"/>
          </w:tcPr>
          <w:p>
            <w:pPr>
              <w:ind w:left="300"/>
              <w:spacing w:after="0"/>
              <w:rPr>
                <w:sz w:val="20"/>
                <w:szCs w:val="20"/>
                <w:color w:val="auto"/>
              </w:rPr>
            </w:pPr>
            <w:r>
              <w:rPr>
                <w:rFonts w:ascii="Arial" w:cs="Arial" w:eastAsia="Arial" w:hAnsi="Arial"/>
                <w:sz w:val="12"/>
                <w:szCs w:val="12"/>
                <w:color w:val="auto"/>
              </w:rPr>
              <w:t>2026 Convertible Notes</w:t>
            </w:r>
          </w:p>
        </w:tc>
        <w:tc>
          <w:tcPr>
            <w:tcW w:w="260" w:type="dxa"/>
            <w:vAlign w:val="bottom"/>
          </w:tcPr>
          <w:p>
            <w:pPr>
              <w:spacing w:after="0"/>
              <w:rPr>
                <w:sz w:val="13"/>
                <w:szCs w:val="13"/>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3"/>
                <w:szCs w:val="13"/>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3"/>
                <w:szCs w:val="13"/>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w:t>
            </w:r>
          </w:p>
        </w:tc>
      </w:tr>
      <w:tr>
        <w:trPr>
          <w:trHeight w:val="142"/>
        </w:trPr>
        <w:tc>
          <w:tcPr>
            <w:tcW w:w="47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Shares for diluted earnings (loss) per share</w:t>
            </w: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43.8</w:t>
            </w:r>
          </w:p>
        </w:tc>
        <w:tc>
          <w:tcPr>
            <w:tcW w:w="10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spacing w:after="0"/>
              <w:rPr>
                <w:sz w:val="12"/>
                <w:szCs w:val="1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41.2</w:t>
            </w: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42.1</w:t>
            </w:r>
          </w:p>
        </w:tc>
        <w:tc>
          <w:tcPr>
            <w:tcW w:w="8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bottom w:val="single" w:sz="8" w:color="auto"/>
            </w:tcBorders>
            <w:shd w:val="clear" w:color="auto" w:fill="CCEEFF"/>
          </w:tcPr>
          <w:p>
            <w:pPr>
              <w:spacing w:after="0"/>
              <w:rPr>
                <w:sz w:val="12"/>
                <w:szCs w:val="12"/>
                <w:color w:val="auto"/>
              </w:rPr>
            </w:pPr>
          </w:p>
        </w:tc>
        <w:tc>
          <w:tcPr>
            <w:tcW w:w="11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41.4</w:t>
            </w:r>
          </w:p>
        </w:tc>
      </w:tr>
      <w:tr>
        <w:trPr>
          <w:trHeight w:val="142"/>
        </w:trPr>
        <w:tc>
          <w:tcPr>
            <w:tcW w:w="4760" w:type="dxa"/>
            <w:vAlign w:val="bottom"/>
          </w:tcPr>
          <w:p>
            <w:pPr>
              <w:ind w:left="140"/>
              <w:spacing w:after="0"/>
              <w:rPr>
                <w:sz w:val="20"/>
                <w:szCs w:val="20"/>
                <w:color w:val="auto"/>
              </w:rPr>
            </w:pPr>
            <w:r>
              <w:rPr>
                <w:rFonts w:ascii="Arial" w:cs="Arial" w:eastAsia="Arial" w:hAnsi="Arial"/>
                <w:sz w:val="12"/>
                <w:szCs w:val="12"/>
                <w:color w:val="auto"/>
              </w:rPr>
              <w:t>Diluted earnings (loss) per share</w:t>
            </w:r>
          </w:p>
        </w:tc>
        <w:tc>
          <w:tcPr>
            <w:tcW w:w="2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0.15</w:t>
            </w:r>
          </w:p>
        </w:tc>
        <w:tc>
          <w:tcPr>
            <w:tcW w:w="100" w:type="dxa"/>
            <w:vAlign w:val="bottom"/>
          </w:tcPr>
          <w:p>
            <w:pPr>
              <w:spacing w:after="0"/>
              <w:rPr>
                <w:sz w:val="12"/>
                <w:szCs w:val="12"/>
                <w:color w:val="auto"/>
              </w:rPr>
            </w:pPr>
          </w:p>
        </w:tc>
        <w:tc>
          <w:tcPr>
            <w:tcW w:w="46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(1.68)</w:t>
            </w:r>
          </w:p>
        </w:tc>
        <w:tc>
          <w:tcPr>
            <w:tcW w:w="100" w:type="dxa"/>
            <w:vAlign w:val="bottom"/>
          </w:tcPr>
          <w:p>
            <w:pPr>
              <w:spacing w:after="0"/>
              <w:rPr>
                <w:sz w:val="12"/>
                <w:szCs w:val="12"/>
                <w:color w:val="auto"/>
              </w:rPr>
            </w:pPr>
          </w:p>
        </w:tc>
        <w:tc>
          <w:tcPr>
            <w:tcW w:w="26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(0.52)</w:t>
            </w:r>
          </w:p>
        </w:tc>
        <w:tc>
          <w:tcPr>
            <w:tcW w:w="80" w:type="dxa"/>
            <w:vAlign w:val="bottom"/>
          </w:tcPr>
          <w:p>
            <w:pPr>
              <w:spacing w:after="0"/>
              <w:rPr>
                <w:sz w:val="12"/>
                <w:szCs w:val="12"/>
                <w:color w:val="auto"/>
              </w:rPr>
            </w:pPr>
          </w:p>
        </w:tc>
        <w:tc>
          <w:tcPr>
            <w:tcW w:w="44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(4.25)</w:t>
            </w:r>
          </w:p>
        </w:tc>
      </w:tr>
      <w:tr>
        <w:trPr>
          <w:trHeight w:val="20"/>
        </w:trPr>
        <w:tc>
          <w:tcPr>
            <w:tcW w:w="4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51" w:lineRule="exact"/>
        <w:rPr>
          <w:sz w:val="20"/>
          <w:szCs w:val="20"/>
          <w:color w:val="auto"/>
        </w:rPr>
      </w:pPr>
    </w:p>
    <w:p>
      <w:pPr>
        <w:ind w:left="8"/>
        <w:spacing w:after="0"/>
        <w:rPr>
          <w:sz w:val="20"/>
          <w:szCs w:val="20"/>
          <w:color w:val="auto"/>
        </w:rPr>
      </w:pPr>
      <w:r>
        <w:rPr>
          <w:rFonts w:ascii="Arial" w:cs="Arial" w:eastAsia="Arial" w:hAnsi="Arial"/>
          <w:sz w:val="10"/>
          <w:szCs w:val="10"/>
          <w:color w:val="auto"/>
        </w:rPr>
        <w:t>_______________________________</w:t>
      </w:r>
    </w:p>
    <w:p>
      <w:pPr>
        <w:spacing w:after="0" w:line="33" w:lineRule="exact"/>
        <w:rPr>
          <w:sz w:val="20"/>
          <w:szCs w:val="20"/>
          <w:color w:val="auto"/>
        </w:rPr>
      </w:pPr>
    </w:p>
    <w:p>
      <w:pPr>
        <w:ind w:left="428" w:right="160" w:hanging="428"/>
        <w:spacing w:after="0" w:line="257" w:lineRule="auto"/>
        <w:tabs>
          <w:tab w:leader="none" w:pos="420" w:val="left"/>
        </w:tabs>
        <w:numPr>
          <w:ilvl w:val="0"/>
          <w:numId w:val="17"/>
        </w:numPr>
        <w:rPr>
          <w:rFonts w:ascii="Arial" w:cs="Arial" w:eastAsia="Arial" w:hAnsi="Arial"/>
          <w:sz w:val="14"/>
          <w:szCs w:val="14"/>
          <w:color w:val="auto"/>
          <w:vertAlign w:val="superscript"/>
        </w:rPr>
      </w:pPr>
      <w:r>
        <w:rPr>
          <w:rFonts w:ascii="Arial" w:cs="Arial" w:eastAsia="Arial" w:hAnsi="Arial"/>
          <w:sz w:val="11"/>
          <w:szCs w:val="11"/>
          <w:color w:val="auto"/>
        </w:rPr>
        <w:t>The computations of diluted earnings per share attributable to common shareholders exclude approximately 299,000 shares of common stock, the maximum number of shares issuable as of June 30, 2021, upon the vesting of certain performance-based awards because the performance condition required to be met for the shares subject to such awards to vest were not achieved by the end of the reporting period.</w:t>
      </w:r>
    </w:p>
    <w:p>
      <w:pPr>
        <w:spacing w:after="0" w:line="8" w:lineRule="exact"/>
        <w:rPr>
          <w:rFonts w:ascii="Arial" w:cs="Arial" w:eastAsia="Arial" w:hAnsi="Arial"/>
          <w:sz w:val="14"/>
          <w:szCs w:val="14"/>
          <w:color w:val="auto"/>
          <w:vertAlign w:val="superscript"/>
        </w:rPr>
      </w:pPr>
    </w:p>
    <w:p>
      <w:pPr>
        <w:ind w:left="428" w:hanging="428"/>
        <w:spacing w:after="0"/>
        <w:tabs>
          <w:tab w:leader="none" w:pos="428" w:val="left"/>
        </w:tabs>
        <w:numPr>
          <w:ilvl w:val="0"/>
          <w:numId w:val="17"/>
        </w:numPr>
        <w:rPr>
          <w:rFonts w:ascii="Arial" w:cs="Arial" w:eastAsia="Arial" w:hAnsi="Arial"/>
          <w:sz w:val="14"/>
          <w:szCs w:val="14"/>
          <w:color w:val="auto"/>
          <w:vertAlign w:val="superscript"/>
        </w:rPr>
      </w:pPr>
      <w:r>
        <w:rPr>
          <w:rFonts w:ascii="Arial" w:cs="Arial" w:eastAsia="Arial" w:hAnsi="Arial"/>
          <w:sz w:val="11"/>
          <w:szCs w:val="11"/>
          <w:color w:val="auto"/>
        </w:rPr>
        <w:t>For the first half of 2021, as well as the second quarter and the first half of 2020, the following potentially dilutive securities were excluded from the above calculation of diluted net loss per share attributable to common</w:t>
      </w:r>
    </w:p>
    <w:p>
      <w:pPr>
        <w:spacing w:after="0" w:line="126" w:lineRule="exact"/>
        <w:rPr>
          <w:sz w:val="20"/>
          <w:szCs w:val="20"/>
          <w:color w:val="auto"/>
        </w:rPr>
      </w:pPr>
    </w:p>
    <w:p>
      <w:pPr>
        <w:jc w:val="center"/>
        <w:ind w:left="420"/>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191135</wp:posOffset>
            </wp:positionV>
            <wp:extent cx="7203440"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03" w:right="299" w:bottom="1440" w:gutter="0" w:footer="0" w:header="0"/>
        </w:sectPr>
      </w:pPr>
    </w:p>
    <w:bookmarkStart w:id="27" w:name="page28"/>
    <w:bookmarkEnd w:id="27"/>
    <w:p>
      <w:pPr>
        <w:ind w:left="8"/>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11" w:lineRule="exact"/>
        <w:rPr>
          <w:sz w:val="20"/>
          <w:szCs w:val="20"/>
          <w:color w:val="auto"/>
        </w:rPr>
      </w:pPr>
    </w:p>
    <w:p>
      <w:pPr>
        <w:ind w:left="428"/>
        <w:spacing w:after="0"/>
        <w:rPr>
          <w:sz w:val="20"/>
          <w:szCs w:val="20"/>
          <w:color w:val="auto"/>
        </w:rPr>
      </w:pPr>
      <w:r>
        <w:rPr>
          <w:rFonts w:ascii="Arial" w:cs="Arial" w:eastAsia="Arial" w:hAnsi="Arial"/>
          <w:sz w:val="12"/>
          <w:szCs w:val="12"/>
          <w:color w:val="auto"/>
        </w:rPr>
        <w:t>shareholders during the periods presented, as there was a net loss attributable to common shareholders and as such, the effects of including these securities would have been anti-dilutive.</w:t>
      </w:r>
    </w:p>
    <w:p>
      <w:pPr>
        <w:spacing w:after="0" w:line="33" w:lineRule="exact"/>
        <w:rPr>
          <w:sz w:val="20"/>
          <w:szCs w:val="20"/>
          <w:color w:val="auto"/>
        </w:rPr>
      </w:pPr>
    </w:p>
    <w:tbl>
      <w:tblPr>
        <w:tblLayout w:type="fixed"/>
        <w:tblInd w:w="428" w:type="dxa"/>
        <w:tblCellMar>
          <w:top w:w="0" w:type="dxa"/>
          <w:left w:w="0" w:type="dxa"/>
          <w:bottom w:w="0" w:type="dxa"/>
          <w:right w:w="0" w:type="dxa"/>
        </w:tblCellMar>
      </w:tblPr>
      <w:tr>
        <w:trPr>
          <w:trHeight w:val="142"/>
        </w:trPr>
        <w:tc>
          <w:tcPr>
            <w:tcW w:w="5420" w:type="dxa"/>
            <w:vAlign w:val="bottom"/>
          </w:tcPr>
          <w:p>
            <w:pPr>
              <w:spacing w:after="0"/>
              <w:rPr>
                <w:sz w:val="12"/>
                <w:szCs w:val="12"/>
                <w:color w:val="auto"/>
              </w:rPr>
            </w:pPr>
          </w:p>
        </w:tc>
        <w:tc>
          <w:tcPr>
            <w:tcW w:w="1580" w:type="dxa"/>
            <w:vAlign w:val="bottom"/>
            <w:gridSpan w:val="2"/>
          </w:tcPr>
          <w:p>
            <w:pPr>
              <w:ind w:left="260"/>
              <w:spacing w:after="0"/>
              <w:rPr>
                <w:sz w:val="20"/>
                <w:szCs w:val="20"/>
                <w:color w:val="auto"/>
              </w:rPr>
            </w:pPr>
            <w:r>
              <w:rPr>
                <w:rFonts w:ascii="Arial" w:cs="Arial" w:eastAsia="Arial" w:hAnsi="Arial"/>
                <w:sz w:val="11"/>
                <w:szCs w:val="11"/>
                <w:b w:val="1"/>
                <w:bCs w:val="1"/>
                <w:color w:val="auto"/>
              </w:rPr>
              <w:t>Three Months Ended</w:t>
            </w:r>
          </w:p>
        </w:tc>
        <w:tc>
          <w:tcPr>
            <w:tcW w:w="1980" w:type="dxa"/>
            <w:vAlign w:val="bottom"/>
            <w:gridSpan w:val="3"/>
          </w:tcPr>
          <w:p>
            <w:pPr>
              <w:ind w:left="1120"/>
              <w:spacing w:after="0"/>
              <w:rPr>
                <w:sz w:val="20"/>
                <w:szCs w:val="20"/>
                <w:color w:val="auto"/>
              </w:rPr>
            </w:pPr>
            <w:r>
              <w:rPr>
                <w:rFonts w:ascii="Arial" w:cs="Arial" w:eastAsia="Arial" w:hAnsi="Arial"/>
                <w:sz w:val="11"/>
                <w:szCs w:val="11"/>
                <w:b w:val="1"/>
                <w:bCs w:val="1"/>
                <w:color w:val="auto"/>
                <w:w w:val="88"/>
              </w:rPr>
              <w:t>Six Months Ended</w:t>
            </w:r>
          </w:p>
        </w:tc>
        <w:tc>
          <w:tcPr>
            <w:tcW w:w="1100" w:type="dxa"/>
            <w:vAlign w:val="bottom"/>
          </w:tcPr>
          <w:p>
            <w:pPr>
              <w:spacing w:after="0"/>
              <w:rPr>
                <w:sz w:val="12"/>
                <w:szCs w:val="12"/>
                <w:color w:val="auto"/>
              </w:rPr>
            </w:pPr>
          </w:p>
        </w:tc>
      </w:tr>
      <w:tr>
        <w:trPr>
          <w:trHeight w:val="133"/>
        </w:trPr>
        <w:tc>
          <w:tcPr>
            <w:tcW w:w="5420" w:type="dxa"/>
            <w:vAlign w:val="bottom"/>
          </w:tcPr>
          <w:p>
            <w:pPr>
              <w:ind w:left="20"/>
              <w:spacing w:after="0"/>
              <w:rPr>
                <w:sz w:val="20"/>
                <w:szCs w:val="20"/>
                <w:color w:val="auto"/>
              </w:rPr>
            </w:pPr>
            <w:r>
              <w:rPr>
                <w:rFonts w:ascii="Arial" w:cs="Arial" w:eastAsia="Arial" w:hAnsi="Arial"/>
                <w:sz w:val="10"/>
                <w:szCs w:val="10"/>
                <w:b w:val="1"/>
                <w:bCs w:val="1"/>
                <w:i w:val="1"/>
                <w:iCs w:val="1"/>
                <w:color w:val="auto"/>
              </w:rPr>
              <w:t>(in millions)</w:t>
            </w:r>
          </w:p>
        </w:tc>
        <w:tc>
          <w:tcPr>
            <w:tcW w:w="1500" w:type="dxa"/>
            <w:vAlign w:val="bottom"/>
            <w:tcBorders>
              <w:top w:val="single" w:sz="8" w:color="auto"/>
            </w:tcBorders>
          </w:tcPr>
          <w:p>
            <w:pPr>
              <w:jc w:val="right"/>
              <w:ind w:right="382"/>
              <w:spacing w:after="0"/>
              <w:rPr>
                <w:sz w:val="20"/>
                <w:szCs w:val="20"/>
                <w:color w:val="auto"/>
              </w:rPr>
            </w:pPr>
            <w:r>
              <w:rPr>
                <w:rFonts w:ascii="Arial" w:cs="Arial" w:eastAsia="Arial" w:hAnsi="Arial"/>
                <w:sz w:val="11"/>
                <w:szCs w:val="11"/>
                <w:b w:val="1"/>
                <w:bCs w:val="1"/>
                <w:color w:val="auto"/>
              </w:rPr>
              <w:t>June 30, 2020</w:t>
            </w:r>
          </w:p>
        </w:tc>
        <w:tc>
          <w:tcPr>
            <w:tcW w:w="80" w:type="dxa"/>
            <w:vAlign w:val="bottom"/>
          </w:tcPr>
          <w:p>
            <w:pPr>
              <w:spacing w:after="0"/>
              <w:rPr>
                <w:sz w:val="11"/>
                <w:szCs w:val="11"/>
                <w:color w:val="auto"/>
              </w:rPr>
            </w:pPr>
          </w:p>
        </w:tc>
        <w:tc>
          <w:tcPr>
            <w:tcW w:w="1980" w:type="dxa"/>
            <w:vAlign w:val="bottom"/>
            <w:tcBorders>
              <w:top w:val="single" w:sz="8" w:color="auto"/>
            </w:tcBorders>
            <w:gridSpan w:val="3"/>
          </w:tcPr>
          <w:p>
            <w:pPr>
              <w:ind w:left="440"/>
              <w:spacing w:after="0"/>
              <w:rPr>
                <w:sz w:val="20"/>
                <w:szCs w:val="20"/>
                <w:color w:val="auto"/>
              </w:rPr>
            </w:pPr>
            <w:r>
              <w:rPr>
                <w:rFonts w:ascii="Arial" w:cs="Arial" w:eastAsia="Arial" w:hAnsi="Arial"/>
                <w:sz w:val="11"/>
                <w:szCs w:val="11"/>
                <w:b w:val="1"/>
                <w:bCs w:val="1"/>
                <w:color w:val="auto"/>
              </w:rPr>
              <w:t>June 30, 2021</w:t>
            </w:r>
          </w:p>
        </w:tc>
        <w:tc>
          <w:tcPr>
            <w:tcW w:w="1100" w:type="dxa"/>
            <w:vAlign w:val="bottom"/>
            <w:tcBorders>
              <w:top w:val="single" w:sz="8" w:color="auto"/>
            </w:tcBorders>
          </w:tcPr>
          <w:p>
            <w:pPr>
              <w:jc w:val="right"/>
              <w:ind w:right="381"/>
              <w:spacing w:after="0"/>
              <w:rPr>
                <w:sz w:val="20"/>
                <w:szCs w:val="20"/>
                <w:color w:val="auto"/>
              </w:rPr>
            </w:pPr>
            <w:r>
              <w:rPr>
                <w:rFonts w:ascii="Arial" w:cs="Arial" w:eastAsia="Arial" w:hAnsi="Arial"/>
                <w:sz w:val="11"/>
                <w:szCs w:val="11"/>
                <w:b w:val="1"/>
                <w:bCs w:val="1"/>
                <w:color w:val="auto"/>
                <w:w w:val="89"/>
              </w:rPr>
              <w:t>June 30, 2020</w:t>
            </w:r>
          </w:p>
        </w:tc>
      </w:tr>
      <w:tr>
        <w:trPr>
          <w:trHeight w:val="144"/>
        </w:trPr>
        <w:tc>
          <w:tcPr>
            <w:tcW w:w="5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Employee stock options and SARs</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0.1</w:t>
            </w:r>
          </w:p>
        </w:tc>
        <w:tc>
          <w:tcPr>
            <w:tcW w:w="80" w:type="dxa"/>
            <w:vAlign w:val="bottom"/>
            <w:tcBorders>
              <w:top w:val="single" w:sz="8" w:color="CCEEFF"/>
            </w:tcBorders>
            <w:shd w:val="clear" w:color="auto" w:fill="CCEEFF"/>
          </w:tcPr>
          <w:p>
            <w:pPr>
              <w:spacing w:after="0"/>
              <w:rPr>
                <w:sz w:val="12"/>
                <w:szCs w:val="12"/>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0.2</w:t>
            </w:r>
          </w:p>
        </w:tc>
        <w:tc>
          <w:tcPr>
            <w:tcW w:w="8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0.1</w:t>
            </w:r>
          </w:p>
        </w:tc>
      </w:tr>
      <w:tr>
        <w:trPr>
          <w:trHeight w:val="153"/>
        </w:trPr>
        <w:tc>
          <w:tcPr>
            <w:tcW w:w="5420" w:type="dxa"/>
            <w:vAlign w:val="bottom"/>
          </w:tcPr>
          <w:p>
            <w:pPr>
              <w:ind w:left="20"/>
              <w:spacing w:after="0"/>
              <w:rPr>
                <w:sz w:val="20"/>
                <w:szCs w:val="20"/>
                <w:color w:val="auto"/>
              </w:rPr>
            </w:pPr>
            <w:r>
              <w:rPr>
                <w:rFonts w:ascii="Arial" w:cs="Arial" w:eastAsia="Arial" w:hAnsi="Arial"/>
                <w:sz w:val="12"/>
                <w:szCs w:val="12"/>
                <w:color w:val="auto"/>
              </w:rPr>
              <w:t>Restricted stock units</w:t>
            </w:r>
          </w:p>
        </w:tc>
        <w:tc>
          <w:tcPr>
            <w:tcW w:w="1500" w:type="dxa"/>
            <w:vAlign w:val="bottom"/>
          </w:tcPr>
          <w:p>
            <w:pPr>
              <w:jc w:val="right"/>
              <w:spacing w:after="0"/>
              <w:rPr>
                <w:sz w:val="20"/>
                <w:szCs w:val="20"/>
                <w:color w:val="auto"/>
              </w:rPr>
            </w:pPr>
            <w:r>
              <w:rPr>
                <w:rFonts w:ascii="Arial" w:cs="Arial" w:eastAsia="Arial" w:hAnsi="Arial"/>
                <w:sz w:val="12"/>
                <w:szCs w:val="12"/>
                <w:color w:val="auto"/>
              </w:rPr>
              <w:t>0.2</w:t>
            </w:r>
          </w:p>
        </w:tc>
        <w:tc>
          <w:tcPr>
            <w:tcW w:w="8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0.5</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tcPr>
          <w:p>
            <w:pPr>
              <w:jc w:val="right"/>
              <w:ind w:right="1"/>
              <w:spacing w:after="0"/>
              <w:rPr>
                <w:sz w:val="20"/>
                <w:szCs w:val="20"/>
                <w:color w:val="auto"/>
              </w:rPr>
            </w:pPr>
            <w:r>
              <w:rPr>
                <w:rFonts w:ascii="Arial" w:cs="Arial" w:eastAsia="Arial" w:hAnsi="Arial"/>
                <w:sz w:val="12"/>
                <w:szCs w:val="12"/>
                <w:color w:val="auto"/>
              </w:rPr>
              <w:t>0.2</w:t>
            </w:r>
          </w:p>
        </w:tc>
      </w:tr>
      <w:tr>
        <w:trPr>
          <w:trHeight w:val="153"/>
        </w:trPr>
        <w:tc>
          <w:tcPr>
            <w:tcW w:w="542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2022 Convertible Notes</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r>
      <w:tr>
        <w:trPr>
          <w:trHeight w:val="153"/>
        </w:trPr>
        <w:tc>
          <w:tcPr>
            <w:tcW w:w="5420" w:type="dxa"/>
            <w:vAlign w:val="bottom"/>
          </w:tcPr>
          <w:p>
            <w:pPr>
              <w:ind w:left="20"/>
              <w:spacing w:after="0"/>
              <w:rPr>
                <w:sz w:val="20"/>
                <w:szCs w:val="20"/>
                <w:color w:val="auto"/>
              </w:rPr>
            </w:pPr>
            <w:r>
              <w:rPr>
                <w:rFonts w:ascii="Arial" w:cs="Arial" w:eastAsia="Arial" w:hAnsi="Arial"/>
                <w:sz w:val="12"/>
                <w:szCs w:val="12"/>
                <w:color w:val="auto"/>
              </w:rPr>
              <w:t>2026 Convertible Notes</w:t>
            </w:r>
          </w:p>
        </w:tc>
        <w:tc>
          <w:tcPr>
            <w:tcW w:w="15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980" w:type="dxa"/>
            <w:vAlign w:val="bottom"/>
            <w:gridSpan w:val="3"/>
          </w:tcPr>
          <w:p>
            <w:pPr>
              <w:jc w:val="right"/>
              <w:ind w:right="520"/>
              <w:spacing w:after="0"/>
              <w:rPr>
                <w:sz w:val="20"/>
                <w:szCs w:val="20"/>
                <w:color w:val="auto"/>
              </w:rPr>
            </w:pPr>
            <w:r>
              <w:rPr>
                <w:rFonts w:ascii="Arial" w:cs="Arial" w:eastAsia="Arial" w:hAnsi="Arial"/>
                <w:sz w:val="12"/>
                <w:szCs w:val="12"/>
                <w:color w:val="auto"/>
              </w:rPr>
              <w:t>—</w:t>
            </w:r>
          </w:p>
        </w:tc>
        <w:tc>
          <w:tcPr>
            <w:tcW w:w="1100" w:type="dxa"/>
            <w:vAlign w:val="bottom"/>
          </w:tcPr>
          <w:p>
            <w:pPr>
              <w:jc w:val="right"/>
              <w:ind w:right="1"/>
              <w:spacing w:after="0"/>
              <w:rPr>
                <w:sz w:val="20"/>
                <w:szCs w:val="20"/>
                <w:color w:val="auto"/>
              </w:rPr>
            </w:pPr>
            <w:r>
              <w:rPr>
                <w:rFonts w:ascii="Arial" w:cs="Arial" w:eastAsia="Arial" w:hAnsi="Arial"/>
                <w:sz w:val="12"/>
                <w:szCs w:val="12"/>
                <w:color w:val="auto"/>
              </w:rPr>
              <w:t>—</w:t>
            </w:r>
          </w:p>
        </w:tc>
      </w:tr>
      <w:tr>
        <w:trPr>
          <w:trHeight w:val="158"/>
        </w:trPr>
        <w:tc>
          <w:tcPr>
            <w:tcW w:w="5420" w:type="dxa"/>
            <w:vAlign w:val="bottom"/>
            <w:tcBorders>
              <w:top w:val="single" w:sz="8" w:color="CCEEFF"/>
              <w:bottom w:val="single" w:sz="8" w:color="CCEEFF"/>
            </w:tcBorders>
            <w:shd w:val="clear" w:color="auto" w:fill="CCEEFF"/>
          </w:tcPr>
          <w:p>
            <w:pPr>
              <w:spacing w:after="0"/>
              <w:rPr>
                <w:sz w:val="13"/>
                <w:szCs w:val="13"/>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0.3</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0.9</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400" w:type="dxa"/>
            <w:vAlign w:val="bottom"/>
            <w:tcBorders>
              <w:top w:val="single" w:sz="8" w:color="auto"/>
              <w:bottom w:val="single" w:sz="8" w:color="auto"/>
            </w:tcBorders>
            <w:shd w:val="clear" w:color="auto" w:fill="CCEEFF"/>
          </w:tcPr>
          <w:p>
            <w:pPr>
              <w:spacing w:after="0"/>
              <w:rPr>
                <w:sz w:val="13"/>
                <w:szCs w:val="13"/>
                <w:color w:val="auto"/>
              </w:rPr>
            </w:pPr>
          </w:p>
        </w:tc>
        <w:tc>
          <w:tcPr>
            <w:tcW w:w="11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0.3</w:t>
            </w:r>
          </w:p>
        </w:tc>
      </w:tr>
    </w:tbl>
    <w:p>
      <w:pPr>
        <w:spacing w:after="0" w:line="198" w:lineRule="exact"/>
        <w:rPr>
          <w:sz w:val="20"/>
          <w:szCs w:val="20"/>
          <w:color w:val="auto"/>
        </w:rPr>
      </w:pPr>
    </w:p>
    <w:p>
      <w:pPr>
        <w:ind w:left="8" w:right="460" w:firstLine="432"/>
        <w:spacing w:after="0" w:line="323" w:lineRule="auto"/>
        <w:rPr>
          <w:sz w:val="20"/>
          <w:szCs w:val="20"/>
          <w:color w:val="auto"/>
        </w:rPr>
      </w:pPr>
      <w:r>
        <w:rPr>
          <w:rFonts w:ascii="Arial" w:cs="Arial" w:eastAsia="Arial" w:hAnsi="Arial"/>
          <w:sz w:val="11"/>
          <w:szCs w:val="11"/>
          <w:color w:val="auto"/>
        </w:rPr>
        <w:t>In accordance with the applicable accounting guidance for calculating earnings per share, for the second quarter of 2021, we excluded from our calculation of diluted earnings per share 127,857 shares underlying stock appreciation rights (“SARs”) that may settle in shares of common stock because the exercise price of $173.88 of such SARs was greater than the average market price for each of the applicable periods.</w:t>
      </w:r>
    </w:p>
    <w:p>
      <w:pPr>
        <w:spacing w:after="0" w:line="142" w:lineRule="exact"/>
        <w:rPr>
          <w:sz w:val="20"/>
          <w:szCs w:val="20"/>
          <w:color w:val="auto"/>
        </w:rPr>
      </w:pPr>
    </w:p>
    <w:p>
      <w:pPr>
        <w:ind w:left="8"/>
        <w:spacing w:after="0"/>
        <w:tabs>
          <w:tab w:leader="none" w:pos="248" w:val="left"/>
        </w:tabs>
        <w:rPr>
          <w:sz w:val="20"/>
          <w:szCs w:val="20"/>
          <w:color w:val="auto"/>
        </w:rPr>
      </w:pPr>
      <w:r>
        <w:rPr>
          <w:rFonts w:ascii="Arial" w:cs="Arial" w:eastAsia="Arial" w:hAnsi="Arial"/>
          <w:sz w:val="12"/>
          <w:szCs w:val="12"/>
          <w:b w:val="1"/>
          <w:bCs w:val="1"/>
          <w:color w:val="auto"/>
        </w:rPr>
        <w:t>9.</w:t>
        <w:tab/>
        <w:t>INVENTORY</w:t>
      </w:r>
    </w:p>
    <w:p>
      <w:pPr>
        <w:spacing w:after="0" w:line="136"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following table shows the composition of our inventory balances:</w:t>
      </w:r>
    </w:p>
    <w:p>
      <w:pPr>
        <w:spacing w:after="0" w:line="105"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6740" w:type="dxa"/>
            <w:vAlign w:val="bottom"/>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400" w:type="dxa"/>
            <w:vAlign w:val="bottom"/>
          </w:tcPr>
          <w:p>
            <w:pPr>
              <w:spacing w:after="0"/>
              <w:rPr>
                <w:sz w:val="12"/>
                <w:szCs w:val="12"/>
                <w:color w:val="auto"/>
              </w:rPr>
            </w:pPr>
          </w:p>
        </w:tc>
        <w:tc>
          <w:tcPr>
            <w:tcW w:w="1920" w:type="dxa"/>
            <w:vAlign w:val="bottom"/>
            <w:gridSpan w:val="2"/>
          </w:tcPr>
          <w:p>
            <w:pPr>
              <w:ind w:left="320"/>
              <w:spacing w:after="0"/>
              <w:rPr>
                <w:sz w:val="20"/>
                <w:szCs w:val="20"/>
                <w:color w:val="auto"/>
              </w:rPr>
            </w:pPr>
            <w:r>
              <w:rPr>
                <w:rFonts w:ascii="Arial" w:cs="Arial" w:eastAsia="Arial" w:hAnsi="Arial"/>
                <w:sz w:val="11"/>
                <w:szCs w:val="11"/>
                <w:b w:val="1"/>
                <w:bCs w:val="1"/>
                <w:color w:val="auto"/>
              </w:rPr>
              <w:t>At June 30, 2021</w:t>
            </w:r>
          </w:p>
        </w:tc>
        <w:tc>
          <w:tcPr>
            <w:tcW w:w="340" w:type="dxa"/>
            <w:vAlign w:val="bottom"/>
          </w:tcPr>
          <w:p>
            <w:pPr>
              <w:spacing w:after="0"/>
              <w:rPr>
                <w:sz w:val="12"/>
                <w:szCs w:val="12"/>
                <w:color w:val="auto"/>
              </w:rPr>
            </w:pPr>
          </w:p>
        </w:tc>
        <w:tc>
          <w:tcPr>
            <w:tcW w:w="1900" w:type="dxa"/>
            <w:vAlign w:val="bottom"/>
          </w:tcPr>
          <w:p>
            <w:pPr>
              <w:jc w:val="right"/>
              <w:ind w:right="561"/>
              <w:spacing w:after="0"/>
              <w:rPr>
                <w:sz w:val="20"/>
                <w:szCs w:val="20"/>
                <w:color w:val="auto"/>
              </w:rPr>
            </w:pPr>
            <w:r>
              <w:rPr>
                <w:rFonts w:ascii="Arial" w:cs="Arial" w:eastAsia="Arial" w:hAnsi="Arial"/>
                <w:sz w:val="11"/>
                <w:szCs w:val="11"/>
                <w:b w:val="1"/>
                <w:bCs w:val="1"/>
                <w:color w:val="auto"/>
              </w:rPr>
              <w:t>At December 31, 2020</w:t>
            </w:r>
          </w:p>
        </w:tc>
      </w:tr>
      <w:tr>
        <w:trPr>
          <w:trHeight w:val="144"/>
        </w:trPr>
        <w:tc>
          <w:tcPr>
            <w:tcW w:w="6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Finished goods</w:t>
            </w:r>
            <w:r>
              <w:rPr>
                <w:rFonts w:ascii="Arial" w:cs="Arial" w:eastAsia="Arial" w:hAnsi="Arial"/>
                <w:sz w:val="6"/>
                <w:szCs w:val="6"/>
                <w:color w:val="auto"/>
              </w:rPr>
              <w:t>(1)</w:t>
            </w:r>
          </w:p>
        </w:tc>
        <w:tc>
          <w:tcPr>
            <w:tcW w:w="400" w:type="dxa"/>
            <w:vAlign w:val="bottom"/>
            <w:tcBorders>
              <w:top w:val="single" w:sz="8" w:color="auto"/>
            </w:tcBorders>
            <w:shd w:val="clear" w:color="auto" w:fill="CCEEFF"/>
          </w:tcPr>
          <w:p>
            <w:pPr>
              <w:jc w:val="right"/>
              <w:ind w:right="292"/>
              <w:spacing w:after="0"/>
              <w:rPr>
                <w:sz w:val="20"/>
                <w:szCs w:val="20"/>
                <w:color w:val="auto"/>
              </w:rPr>
            </w:pPr>
            <w:r>
              <w:rPr>
                <w:rFonts w:ascii="Arial" w:cs="Arial" w:eastAsia="Arial" w:hAnsi="Arial"/>
                <w:sz w:val="10"/>
                <w:szCs w:val="10"/>
                <w:color w:val="auto"/>
                <w:w w:val="71"/>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824</w:t>
            </w: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19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749</w:t>
            </w:r>
          </w:p>
        </w:tc>
      </w:tr>
      <w:tr>
        <w:trPr>
          <w:trHeight w:val="153"/>
        </w:trPr>
        <w:tc>
          <w:tcPr>
            <w:tcW w:w="6740" w:type="dxa"/>
            <w:vAlign w:val="bottom"/>
          </w:tcPr>
          <w:p>
            <w:pPr>
              <w:spacing w:after="0"/>
              <w:rPr>
                <w:sz w:val="20"/>
                <w:szCs w:val="20"/>
                <w:color w:val="auto"/>
              </w:rPr>
            </w:pPr>
            <w:r>
              <w:rPr>
                <w:rFonts w:ascii="Arial" w:cs="Arial" w:eastAsia="Arial" w:hAnsi="Arial"/>
                <w:sz w:val="12"/>
                <w:szCs w:val="12"/>
                <w:color w:val="auto"/>
              </w:rPr>
              <w:t>Work-in-progress</w:t>
            </w:r>
          </w:p>
        </w:tc>
        <w:tc>
          <w:tcPr>
            <w:tcW w:w="400" w:type="dxa"/>
            <w:vAlign w:val="bottom"/>
          </w:tcPr>
          <w:p>
            <w:pPr>
              <w:spacing w:after="0"/>
              <w:rPr>
                <w:sz w:val="13"/>
                <w:szCs w:val="13"/>
                <w:color w:val="auto"/>
              </w:rPr>
            </w:pPr>
          </w:p>
        </w:tc>
        <w:tc>
          <w:tcPr>
            <w:tcW w:w="19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3"/>
                <w:szCs w:val="13"/>
                <w:color w:val="auto"/>
              </w:rPr>
            </w:pPr>
          </w:p>
        </w:tc>
        <w:tc>
          <w:tcPr>
            <w:tcW w:w="1900" w:type="dxa"/>
            <w:vAlign w:val="bottom"/>
          </w:tcPr>
          <w:p>
            <w:pPr>
              <w:jc w:val="right"/>
              <w:ind w:right="1"/>
              <w:spacing w:after="0"/>
              <w:rPr>
                <w:sz w:val="20"/>
                <w:szCs w:val="20"/>
                <w:color w:val="auto"/>
              </w:rPr>
            </w:pPr>
            <w:r>
              <w:rPr>
                <w:rFonts w:ascii="Arial" w:cs="Arial" w:eastAsia="Arial" w:hAnsi="Arial"/>
                <w:sz w:val="12"/>
                <w:szCs w:val="12"/>
                <w:color w:val="auto"/>
              </w:rPr>
              <w:t>—</w:t>
            </w:r>
          </w:p>
        </w:tc>
      </w:tr>
      <w:tr>
        <w:trPr>
          <w:trHeight w:val="142"/>
        </w:trPr>
        <w:tc>
          <w:tcPr>
            <w:tcW w:w="6740" w:type="dxa"/>
            <w:vAlign w:val="bottom"/>
            <w:tcBorders>
              <w:top w:val="single" w:sz="8" w:color="CCEEFF"/>
            </w:tcBorders>
            <w:shd w:val="clear" w:color="auto" w:fill="CCEEFF"/>
          </w:tcPr>
          <w:p>
            <w:pPr>
              <w:ind w:left="140"/>
              <w:spacing w:after="0" w:line="133" w:lineRule="exact"/>
              <w:rPr>
                <w:sz w:val="20"/>
                <w:szCs w:val="20"/>
                <w:color w:val="auto"/>
              </w:rPr>
            </w:pPr>
            <w:r>
              <w:rPr>
                <w:rFonts w:ascii="Arial" w:cs="Arial" w:eastAsia="Arial" w:hAnsi="Arial"/>
                <w:sz w:val="12"/>
                <w:szCs w:val="12"/>
                <w:color w:val="auto"/>
              </w:rPr>
              <w:t>Real estate inventory</w:t>
            </w:r>
          </w:p>
        </w:tc>
        <w:tc>
          <w:tcPr>
            <w:tcW w:w="400" w:type="dxa"/>
            <w:vAlign w:val="bottom"/>
            <w:tcBorders>
              <w:top w:val="single" w:sz="8" w:color="auto"/>
            </w:tcBorders>
            <w:shd w:val="clear" w:color="auto" w:fill="CCEEFF"/>
          </w:tcPr>
          <w:p>
            <w:pPr>
              <w:spacing w:after="0"/>
              <w:rPr>
                <w:sz w:val="12"/>
                <w:szCs w:val="12"/>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824</w:t>
            </w: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9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749</w:t>
            </w:r>
          </w:p>
        </w:tc>
      </w:tr>
      <w:tr>
        <w:trPr>
          <w:trHeight w:val="153"/>
        </w:trPr>
        <w:tc>
          <w:tcPr>
            <w:tcW w:w="67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Other</w:t>
            </w:r>
          </w:p>
        </w:tc>
        <w:tc>
          <w:tcPr>
            <w:tcW w:w="40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10</w:t>
            </w:r>
          </w:p>
        </w:tc>
      </w:tr>
      <w:tr>
        <w:trPr>
          <w:trHeight w:val="158"/>
        </w:trPr>
        <w:tc>
          <w:tcPr>
            <w:tcW w:w="674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0"/>
                <w:szCs w:val="10"/>
                <w:color w:val="auto"/>
                <w:w w:val="71"/>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833</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1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759</w:t>
            </w:r>
          </w:p>
        </w:tc>
      </w:tr>
    </w:tbl>
    <w:p>
      <w:pPr>
        <w:spacing w:after="0" w:line="54" w:lineRule="exact"/>
        <w:rPr>
          <w:sz w:val="20"/>
          <w:szCs w:val="20"/>
          <w:color w:val="auto"/>
        </w:rPr>
      </w:pPr>
    </w:p>
    <w:p>
      <w:pPr>
        <w:ind w:left="8"/>
        <w:spacing w:after="0"/>
        <w:rPr>
          <w:sz w:val="20"/>
          <w:szCs w:val="20"/>
          <w:color w:val="auto"/>
        </w:rPr>
      </w:pPr>
      <w:r>
        <w:rPr>
          <w:rFonts w:ascii="Arial" w:cs="Arial" w:eastAsia="Arial" w:hAnsi="Arial"/>
          <w:sz w:val="12"/>
          <w:szCs w:val="12"/>
          <w:color w:val="auto"/>
        </w:rPr>
        <w:t>_________________________</w:t>
      </w:r>
    </w:p>
    <w:p>
      <w:pPr>
        <w:spacing w:after="0" w:line="11" w:lineRule="exact"/>
        <w:rPr>
          <w:sz w:val="20"/>
          <w:szCs w:val="20"/>
          <w:color w:val="auto"/>
        </w:rPr>
      </w:pPr>
    </w:p>
    <w:p>
      <w:pPr>
        <w:ind w:left="428" w:hanging="428"/>
        <w:spacing w:after="0"/>
        <w:tabs>
          <w:tab w:leader="none" w:pos="428" w:val="left"/>
        </w:tabs>
        <w:numPr>
          <w:ilvl w:val="0"/>
          <w:numId w:val="18"/>
        </w:numPr>
        <w:rPr>
          <w:rFonts w:ascii="Arial" w:cs="Arial" w:eastAsia="Arial" w:hAnsi="Arial"/>
          <w:sz w:val="16"/>
          <w:szCs w:val="16"/>
          <w:color w:val="auto"/>
          <w:vertAlign w:val="superscript"/>
        </w:rPr>
      </w:pPr>
      <w:r>
        <w:rPr>
          <w:rFonts w:ascii="Arial" w:cs="Arial" w:eastAsia="Arial" w:hAnsi="Arial"/>
          <w:sz w:val="12"/>
          <w:szCs w:val="12"/>
          <w:color w:val="auto"/>
        </w:rPr>
        <w:t>Represents completed inventory that is registered for sale as vacation ownership interests and inventory expected to be reacquired pursuant to estimated future foreclosures.</w:t>
      </w:r>
    </w:p>
    <w:p>
      <w:pPr>
        <w:spacing w:after="0" w:line="63" w:lineRule="exact"/>
        <w:rPr>
          <w:sz w:val="20"/>
          <w:szCs w:val="20"/>
          <w:color w:val="auto"/>
        </w:rPr>
      </w:pPr>
    </w:p>
    <w:p>
      <w:pPr>
        <w:ind w:left="8" w:right="40" w:firstLine="432"/>
        <w:spacing w:after="0" w:line="375" w:lineRule="auto"/>
        <w:rPr>
          <w:sz w:val="20"/>
          <w:szCs w:val="20"/>
          <w:color w:val="auto"/>
        </w:rPr>
      </w:pPr>
      <w:r>
        <w:rPr>
          <w:rFonts w:ascii="Arial" w:cs="Arial" w:eastAsia="Arial" w:hAnsi="Arial"/>
          <w:sz w:val="10"/>
          <w:szCs w:val="10"/>
          <w:color w:val="auto"/>
        </w:rPr>
        <w:t>We value vacation ownership products at the lower of cost or fair market value less costs to sell, in accordance with applicable accounting guidance, and we record operating supplies at the lower of cost (using the first-in, first-out method) or net realizable value. Product cost true-up activity relating to vacation ownership products increased carrying values of inventory by $1 million during the first half of 2021 and by $3 million during the first half of 2020.</w:t>
      </w:r>
    </w:p>
    <w:p>
      <w:pPr>
        <w:spacing w:after="0" w:line="1" w:lineRule="exact"/>
        <w:rPr>
          <w:sz w:val="20"/>
          <w:szCs w:val="20"/>
          <w:color w:val="auto"/>
        </w:rPr>
      </w:pPr>
    </w:p>
    <w:p>
      <w:pPr>
        <w:jc w:val="both"/>
        <w:ind w:left="8" w:right="160" w:firstLine="432"/>
        <w:spacing w:after="0" w:line="263" w:lineRule="auto"/>
        <w:rPr>
          <w:sz w:val="20"/>
          <w:szCs w:val="20"/>
          <w:color w:val="auto"/>
        </w:rPr>
      </w:pPr>
      <w:r>
        <w:rPr>
          <w:rFonts w:ascii="Arial" w:cs="Arial" w:eastAsia="Arial" w:hAnsi="Arial"/>
          <w:sz w:val="12"/>
          <w:szCs w:val="12"/>
          <w:color w:val="auto"/>
        </w:rPr>
        <w:t>In addition to the above, at June 30, 2021 and December 31, 2020, we had $383 million and $162 million, respectively, of completed vacation ownership units which are classified as a component of Property and equipment until the time at which they are legally registered for sale as vacation ownership products. We also have $24 million and $43 million of deposits on future purchases of inventory at June 30, 2021 and December 31, 2020, respectively, which are included in the Other assets line on our Balance Sheets.</w:t>
      </w:r>
    </w:p>
    <w:p>
      <w:pPr>
        <w:spacing w:after="0" w:line="172" w:lineRule="exact"/>
        <w:rPr>
          <w:sz w:val="20"/>
          <w:szCs w:val="20"/>
          <w:color w:val="auto"/>
        </w:rPr>
      </w:pPr>
    </w:p>
    <w:p>
      <w:pPr>
        <w:ind w:left="328" w:hanging="316"/>
        <w:spacing w:after="0"/>
        <w:tabs>
          <w:tab w:leader="none" w:pos="328" w:val="left"/>
        </w:tabs>
        <w:numPr>
          <w:ilvl w:val="0"/>
          <w:numId w:val="19"/>
        </w:numPr>
        <w:rPr>
          <w:rFonts w:ascii="Arial" w:cs="Arial" w:eastAsia="Arial" w:hAnsi="Arial"/>
          <w:sz w:val="12"/>
          <w:szCs w:val="12"/>
          <w:b w:val="1"/>
          <w:bCs w:val="1"/>
          <w:color w:val="auto"/>
        </w:rPr>
      </w:pPr>
      <w:r>
        <w:rPr>
          <w:rFonts w:ascii="Arial" w:cs="Arial" w:eastAsia="Arial" w:hAnsi="Arial"/>
          <w:sz w:val="12"/>
          <w:szCs w:val="12"/>
          <w:b w:val="1"/>
          <w:bCs w:val="1"/>
          <w:color w:val="auto"/>
        </w:rPr>
        <w:t>GOODWILL AND INTANGIBLES</w:t>
      </w:r>
    </w:p>
    <w:p>
      <w:pPr>
        <w:spacing w:after="0" w:line="145"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Goodwill</w:t>
      </w:r>
    </w:p>
    <w:p>
      <w:pPr>
        <w:spacing w:after="0" w:line="78" w:lineRule="exact"/>
        <w:rPr>
          <w:sz w:val="20"/>
          <w:szCs w:val="20"/>
          <w:color w:val="auto"/>
        </w:rPr>
      </w:pPr>
    </w:p>
    <w:p>
      <w:pPr>
        <w:ind w:left="8" w:right="400" w:firstLine="432"/>
        <w:spacing w:after="0" w:line="273" w:lineRule="auto"/>
        <w:rPr>
          <w:sz w:val="20"/>
          <w:szCs w:val="20"/>
          <w:color w:val="auto"/>
        </w:rPr>
      </w:pPr>
      <w:r>
        <w:rPr>
          <w:rFonts w:ascii="Arial" w:cs="Arial" w:eastAsia="Arial" w:hAnsi="Arial"/>
          <w:sz w:val="12"/>
          <w:szCs w:val="12"/>
          <w:color w:val="auto"/>
        </w:rPr>
        <w:t>The following table details the carrying amount of our goodwill at June 30, 2021 and December 31, 2020, and reflects goodwill attributed to the ILG Acquisition, which was allocated to our Vacation Ownership and our Exchange &amp; Third-Party Management reporting units, and the Welk Acquisition, which was allocated to our Vacation Ownership reporting unit.</w:t>
      </w:r>
    </w:p>
    <w:tbl>
      <w:tblPr>
        <w:tblLayout w:type="fixed"/>
        <w:tblInd w:w="8" w:type="dxa"/>
        <w:tblCellMar>
          <w:top w:w="0" w:type="dxa"/>
          <w:left w:w="0" w:type="dxa"/>
          <w:bottom w:w="0" w:type="dxa"/>
          <w:right w:w="0" w:type="dxa"/>
        </w:tblCellMar>
      </w:tblPr>
      <w:tr>
        <w:trPr>
          <w:trHeight w:val="109"/>
        </w:trPr>
        <w:tc>
          <w:tcPr>
            <w:tcW w:w="4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8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Vacation Ownership Segment</w:t>
            </w:r>
          </w:p>
        </w:tc>
        <w:tc>
          <w:tcPr>
            <w:tcW w:w="140" w:type="dxa"/>
            <w:vAlign w:val="bottom"/>
          </w:tcPr>
          <w:p>
            <w:pPr>
              <w:spacing w:after="0"/>
              <w:rPr>
                <w:sz w:val="9"/>
                <w:szCs w:val="9"/>
                <w:color w:val="auto"/>
              </w:rPr>
            </w:pPr>
          </w:p>
        </w:tc>
        <w:tc>
          <w:tcPr>
            <w:tcW w:w="2180" w:type="dxa"/>
            <w:vAlign w:val="bottom"/>
            <w:gridSpan w:val="2"/>
          </w:tcPr>
          <w:p>
            <w:pPr>
              <w:jc w:val="center"/>
              <w:ind w:right="240"/>
              <w:spacing w:after="0" w:line="109" w:lineRule="exact"/>
              <w:rPr>
                <w:sz w:val="20"/>
                <w:szCs w:val="20"/>
                <w:color w:val="auto"/>
              </w:rPr>
            </w:pPr>
            <w:r>
              <w:rPr>
                <w:rFonts w:ascii="Arial" w:cs="Arial" w:eastAsia="Arial" w:hAnsi="Arial"/>
                <w:sz w:val="11"/>
                <w:szCs w:val="11"/>
                <w:b w:val="1"/>
                <w:bCs w:val="1"/>
                <w:color w:val="auto"/>
                <w:w w:val="91"/>
              </w:rPr>
              <w:t>Exchange &amp; Third-Party Management</w:t>
            </w:r>
          </w:p>
        </w:tc>
        <w:tc>
          <w:tcPr>
            <w:tcW w:w="380" w:type="dxa"/>
            <w:vAlign w:val="bottom"/>
          </w:tcPr>
          <w:p>
            <w:pPr>
              <w:spacing w:after="0"/>
              <w:rPr>
                <w:sz w:val="9"/>
                <w:szCs w:val="9"/>
                <w:color w:val="auto"/>
              </w:rPr>
            </w:pPr>
          </w:p>
        </w:tc>
        <w:tc>
          <w:tcPr>
            <w:tcW w:w="1860" w:type="dxa"/>
            <w:vAlign w:val="bottom"/>
            <w:vMerge w:val="restart"/>
          </w:tcPr>
          <w:p>
            <w:pPr>
              <w:jc w:val="right"/>
              <w:ind w:right="622"/>
              <w:spacing w:after="0"/>
              <w:rPr>
                <w:sz w:val="20"/>
                <w:szCs w:val="20"/>
                <w:color w:val="auto"/>
              </w:rPr>
            </w:pPr>
            <w:r>
              <w:rPr>
                <w:rFonts w:ascii="Arial" w:cs="Arial" w:eastAsia="Arial" w:hAnsi="Arial"/>
                <w:sz w:val="11"/>
                <w:szCs w:val="11"/>
                <w:b w:val="1"/>
                <w:bCs w:val="1"/>
                <w:color w:val="auto"/>
              </w:rPr>
              <w:t>Total Consolidated</w:t>
            </w:r>
          </w:p>
        </w:tc>
        <w:tc>
          <w:tcPr>
            <w:tcW w:w="0" w:type="dxa"/>
            <w:vAlign w:val="bottom"/>
          </w:tcPr>
          <w:p>
            <w:pPr>
              <w:spacing w:after="0"/>
              <w:rPr>
                <w:sz w:val="1"/>
                <w:szCs w:val="1"/>
                <w:color w:val="auto"/>
              </w:rPr>
            </w:pPr>
          </w:p>
        </w:tc>
      </w:tr>
      <w:tr>
        <w:trPr>
          <w:trHeight w:val="142"/>
        </w:trPr>
        <w:tc>
          <w:tcPr>
            <w:tcW w:w="4420" w:type="dxa"/>
            <w:vAlign w:val="bottom"/>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24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1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1"/>
              </w:rPr>
              <w:t>Segment</w:t>
            </w:r>
          </w:p>
        </w:tc>
        <w:tc>
          <w:tcPr>
            <w:tcW w:w="380" w:type="dxa"/>
            <w:vAlign w:val="bottom"/>
          </w:tcPr>
          <w:p>
            <w:pPr>
              <w:spacing w:after="0"/>
              <w:rPr>
                <w:sz w:val="12"/>
                <w:szCs w:val="12"/>
                <w:color w:val="auto"/>
              </w:rPr>
            </w:pPr>
          </w:p>
        </w:tc>
        <w:tc>
          <w:tcPr>
            <w:tcW w:w="1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Balance at December 31, 2020</w:t>
            </w:r>
          </w:p>
        </w:tc>
        <w:tc>
          <w:tcPr>
            <w:tcW w:w="24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2,445</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372</w:t>
            </w:r>
          </w:p>
        </w:tc>
        <w:tc>
          <w:tcPr>
            <w:tcW w:w="10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ind w:right="272"/>
              <w:spacing w:after="0"/>
              <w:rPr>
                <w:sz w:val="20"/>
                <w:szCs w:val="20"/>
                <w:color w:val="auto"/>
              </w:rPr>
            </w:pPr>
            <w:r>
              <w:rPr>
                <w:rFonts w:ascii="Arial" w:cs="Arial" w:eastAsia="Arial" w:hAnsi="Arial"/>
                <w:sz w:val="10"/>
                <w:szCs w:val="10"/>
                <w:color w:val="auto"/>
                <w:w w:val="71"/>
              </w:rPr>
              <w:t>$</w:t>
            </w:r>
          </w:p>
        </w:tc>
        <w:tc>
          <w:tcPr>
            <w:tcW w:w="18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2,817</w:t>
            </w:r>
          </w:p>
        </w:tc>
        <w:tc>
          <w:tcPr>
            <w:tcW w:w="0" w:type="dxa"/>
            <w:vAlign w:val="bottom"/>
          </w:tcPr>
          <w:p>
            <w:pPr>
              <w:spacing w:after="0"/>
              <w:rPr>
                <w:sz w:val="1"/>
                <w:szCs w:val="1"/>
                <w:color w:val="auto"/>
              </w:rPr>
            </w:pPr>
          </w:p>
        </w:tc>
      </w:tr>
      <w:tr>
        <w:trPr>
          <w:trHeight w:val="153"/>
        </w:trPr>
        <w:tc>
          <w:tcPr>
            <w:tcW w:w="4420" w:type="dxa"/>
            <w:vAlign w:val="bottom"/>
          </w:tcPr>
          <w:p>
            <w:pPr>
              <w:ind w:left="140"/>
              <w:spacing w:after="0"/>
              <w:rPr>
                <w:sz w:val="20"/>
                <w:szCs w:val="20"/>
                <w:color w:val="auto"/>
              </w:rPr>
            </w:pPr>
            <w:r>
              <w:rPr>
                <w:rFonts w:ascii="Arial" w:cs="Arial" w:eastAsia="Arial" w:hAnsi="Arial"/>
                <w:sz w:val="12"/>
                <w:szCs w:val="12"/>
                <w:color w:val="auto"/>
              </w:rPr>
              <w:t>Welk Acquisition</w:t>
            </w:r>
          </w:p>
        </w:tc>
        <w:tc>
          <w:tcPr>
            <w:tcW w:w="240" w:type="dxa"/>
            <w:vAlign w:val="bottom"/>
          </w:tcPr>
          <w:p>
            <w:pPr>
              <w:spacing w:after="0"/>
              <w:rPr>
                <w:sz w:val="13"/>
                <w:szCs w:val="13"/>
                <w:color w:val="auto"/>
              </w:rPr>
            </w:pPr>
          </w:p>
        </w:tc>
        <w:tc>
          <w:tcPr>
            <w:tcW w:w="1980" w:type="dxa"/>
            <w:vAlign w:val="bottom"/>
          </w:tcPr>
          <w:p>
            <w:pPr>
              <w:jc w:val="right"/>
              <w:spacing w:after="0"/>
              <w:rPr>
                <w:sz w:val="20"/>
                <w:szCs w:val="20"/>
                <w:color w:val="auto"/>
              </w:rPr>
            </w:pPr>
            <w:r>
              <w:rPr>
                <w:rFonts w:ascii="Arial" w:cs="Arial" w:eastAsia="Arial" w:hAnsi="Arial"/>
                <w:sz w:val="12"/>
                <w:szCs w:val="12"/>
                <w:color w:val="auto"/>
              </w:rPr>
              <w:t>299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3"/>
                <w:szCs w:val="13"/>
                <w:color w:val="auto"/>
              </w:rPr>
            </w:pPr>
          </w:p>
        </w:tc>
        <w:tc>
          <w:tcPr>
            <w:tcW w:w="1860" w:type="dxa"/>
            <w:vAlign w:val="bottom"/>
          </w:tcPr>
          <w:p>
            <w:pPr>
              <w:jc w:val="right"/>
              <w:ind w:right="2"/>
              <w:spacing w:after="0"/>
              <w:rPr>
                <w:sz w:val="20"/>
                <w:szCs w:val="20"/>
                <w:color w:val="auto"/>
              </w:rPr>
            </w:pPr>
            <w:r>
              <w:rPr>
                <w:rFonts w:ascii="Arial" w:cs="Arial" w:eastAsia="Arial" w:hAnsi="Arial"/>
                <w:sz w:val="12"/>
                <w:szCs w:val="12"/>
                <w:color w:val="auto"/>
              </w:rPr>
              <w:t>299</w:t>
            </w:r>
          </w:p>
        </w:tc>
        <w:tc>
          <w:tcPr>
            <w:tcW w:w="0" w:type="dxa"/>
            <w:vAlign w:val="bottom"/>
          </w:tcPr>
          <w:p>
            <w:pPr>
              <w:spacing w:after="0"/>
              <w:rPr>
                <w:sz w:val="1"/>
                <w:szCs w:val="1"/>
                <w:color w:val="auto"/>
              </w:rPr>
            </w:pPr>
          </w:p>
        </w:tc>
      </w:tr>
      <w:tr>
        <w:trPr>
          <w:trHeight w:val="158"/>
        </w:trPr>
        <w:tc>
          <w:tcPr>
            <w:tcW w:w="4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Balance at June 30, 2021</w:t>
            </w:r>
          </w:p>
        </w:tc>
        <w:tc>
          <w:tcPr>
            <w:tcW w:w="2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2,744</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2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372</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380" w:type="dxa"/>
            <w:vAlign w:val="bottom"/>
            <w:tcBorders>
              <w:top w:val="single" w:sz="8" w:color="auto"/>
              <w:bottom w:val="single" w:sz="8" w:color="auto"/>
            </w:tcBorders>
            <w:shd w:val="clear" w:color="auto" w:fill="CCEEFF"/>
          </w:tcPr>
          <w:p>
            <w:pPr>
              <w:jc w:val="right"/>
              <w:ind w:right="272"/>
              <w:spacing w:after="0"/>
              <w:rPr>
                <w:sz w:val="20"/>
                <w:szCs w:val="20"/>
                <w:color w:val="auto"/>
              </w:rPr>
            </w:pPr>
            <w:r>
              <w:rPr>
                <w:rFonts w:ascii="Arial" w:cs="Arial" w:eastAsia="Arial" w:hAnsi="Arial"/>
                <w:sz w:val="10"/>
                <w:szCs w:val="10"/>
                <w:color w:val="auto"/>
                <w:w w:val="71"/>
              </w:rPr>
              <w:t>$</w:t>
            </w:r>
          </w:p>
        </w:tc>
        <w:tc>
          <w:tcPr>
            <w:tcW w:w="18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3,116</w:t>
            </w:r>
          </w:p>
        </w:tc>
        <w:tc>
          <w:tcPr>
            <w:tcW w:w="0" w:type="dxa"/>
            <w:vAlign w:val="bottom"/>
          </w:tcPr>
          <w:p>
            <w:pPr>
              <w:spacing w:after="0"/>
              <w:rPr>
                <w:sz w:val="1"/>
                <w:szCs w:val="1"/>
                <w:color w:val="auto"/>
              </w:rPr>
            </w:pPr>
          </w:p>
        </w:tc>
      </w:tr>
      <w:tr>
        <w:trPr>
          <w:trHeight w:val="315"/>
        </w:trPr>
        <w:tc>
          <w:tcPr>
            <w:tcW w:w="4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80" w:type="dxa"/>
            <w:vAlign w:val="bottom"/>
          </w:tcPr>
          <w:p>
            <w:pPr>
              <w:jc w:val="right"/>
              <w:ind w:right="661"/>
              <w:spacing w:after="0"/>
              <w:rPr>
                <w:sz w:val="20"/>
                <w:szCs w:val="20"/>
                <w:color w:val="auto"/>
              </w:rPr>
            </w:pPr>
            <w:r>
              <w:rPr>
                <w:rFonts w:ascii="Arial" w:cs="Arial" w:eastAsia="Arial" w:hAnsi="Arial"/>
                <w:sz w:val="12"/>
                <w:szCs w:val="12"/>
                <w:color w:val="auto"/>
              </w:rPr>
              <w:t>26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44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203" w:right="299" w:bottom="1440" w:gutter="0" w:footer="0" w:header="0"/>
        </w:sectPr>
      </w:pPr>
    </w:p>
    <w:bookmarkStart w:id="28" w:name="page29"/>
    <w:bookmarkEnd w:id="28"/>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83"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Q1 2021 and Q2 2021</w:t>
      </w:r>
    </w:p>
    <w:p>
      <w:pPr>
        <w:spacing w:after="0" w:line="78" w:lineRule="exact"/>
        <w:rPr>
          <w:sz w:val="20"/>
          <w:szCs w:val="20"/>
          <w:color w:val="auto"/>
        </w:rPr>
      </w:pPr>
    </w:p>
    <w:p>
      <w:pPr>
        <w:ind w:right="60" w:firstLine="432"/>
        <w:spacing w:after="0" w:line="276" w:lineRule="auto"/>
        <w:rPr>
          <w:sz w:val="20"/>
          <w:szCs w:val="20"/>
          <w:color w:val="auto"/>
        </w:rPr>
      </w:pPr>
      <w:r>
        <w:rPr>
          <w:rFonts w:ascii="Arial" w:cs="Arial" w:eastAsia="Arial" w:hAnsi="Arial"/>
          <w:sz w:val="12"/>
          <w:szCs w:val="12"/>
          <w:color w:val="auto"/>
        </w:rPr>
        <w:t>We performed a qualitative analysis of the impact of recent events, including business and industry specific considerations, on the fair value of our reporting units and determined that interim quantitative impairment tests were not required for either of our reporting units for each of the first two quarters of 2021.</w:t>
      </w:r>
    </w:p>
    <w:p>
      <w:pPr>
        <w:spacing w:after="0" w:line="43" w:lineRule="exact"/>
        <w:rPr>
          <w:sz w:val="20"/>
          <w:szCs w:val="20"/>
          <w:color w:val="auto"/>
        </w:rPr>
      </w:pPr>
    </w:p>
    <w:p>
      <w:pPr>
        <w:ind w:right="360" w:firstLine="432"/>
        <w:spacing w:after="0" w:line="276" w:lineRule="auto"/>
        <w:rPr>
          <w:sz w:val="20"/>
          <w:szCs w:val="20"/>
          <w:color w:val="auto"/>
        </w:rPr>
      </w:pPr>
      <w:r>
        <w:rPr>
          <w:rFonts w:ascii="Arial" w:cs="Arial" w:eastAsia="Arial" w:hAnsi="Arial"/>
          <w:sz w:val="12"/>
          <w:szCs w:val="12"/>
          <w:color w:val="auto"/>
        </w:rPr>
        <w:t>While the goodwill of our reporting units was not impaired as of the first and second quarters of 2021, we cannot assure you that goodwill will not be impaired in future periods. We will continue to monitor the operating results, cash flow forecasts, and impact from changes in market conditions, as well as impacts of the COVID-19 pandemic, for these reporting units.</w:t>
      </w:r>
    </w:p>
    <w:p>
      <w:pPr>
        <w:spacing w:after="0" w:line="43"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Q1 2020</w:t>
      </w:r>
    </w:p>
    <w:p>
      <w:pPr>
        <w:spacing w:after="0" w:line="78" w:lineRule="exact"/>
        <w:rPr>
          <w:sz w:val="20"/>
          <w:szCs w:val="20"/>
          <w:color w:val="auto"/>
        </w:rPr>
      </w:pPr>
    </w:p>
    <w:p>
      <w:pPr>
        <w:ind w:right="340" w:firstLine="432"/>
        <w:spacing w:after="0" w:line="276" w:lineRule="auto"/>
        <w:rPr>
          <w:sz w:val="20"/>
          <w:szCs w:val="20"/>
          <w:color w:val="auto"/>
        </w:rPr>
      </w:pPr>
      <w:r>
        <w:rPr>
          <w:rFonts w:ascii="Arial" w:cs="Arial" w:eastAsia="Arial" w:hAnsi="Arial"/>
          <w:sz w:val="12"/>
          <w:szCs w:val="12"/>
          <w:color w:val="auto"/>
        </w:rPr>
        <w:t>We recognized a non-cash impairment charge of $73 million in the Impairment line on our Income Statement during the first quarter of 2020 related to the Exchange &amp; Third-Party Management reporting unit, which was primarily driven by the change in expected future operating results as a result of the impact of the COVID-19 pandemic.</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Intangible Assets</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details the composition of our intangible asset balances: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760" w:type="dxa"/>
            <w:vAlign w:val="bottom"/>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400" w:type="dxa"/>
            <w:vAlign w:val="bottom"/>
          </w:tcPr>
          <w:p>
            <w:pPr>
              <w:spacing w:after="0"/>
              <w:rPr>
                <w:sz w:val="12"/>
                <w:szCs w:val="12"/>
                <w:color w:val="auto"/>
              </w:rPr>
            </w:pPr>
          </w:p>
        </w:tc>
        <w:tc>
          <w:tcPr>
            <w:tcW w:w="1900" w:type="dxa"/>
            <w:vAlign w:val="bottom"/>
            <w:gridSpan w:val="2"/>
          </w:tcPr>
          <w:p>
            <w:pPr>
              <w:ind w:left="320"/>
              <w:spacing w:after="0"/>
              <w:rPr>
                <w:sz w:val="20"/>
                <w:szCs w:val="20"/>
                <w:color w:val="auto"/>
              </w:rPr>
            </w:pPr>
            <w:r>
              <w:rPr>
                <w:rFonts w:ascii="Arial" w:cs="Arial" w:eastAsia="Arial" w:hAnsi="Arial"/>
                <w:sz w:val="11"/>
                <w:szCs w:val="11"/>
                <w:b w:val="1"/>
                <w:bCs w:val="1"/>
                <w:color w:val="auto"/>
              </w:rPr>
              <w:t>At June 30, 2021</w:t>
            </w:r>
          </w:p>
        </w:tc>
        <w:tc>
          <w:tcPr>
            <w:tcW w:w="340" w:type="dxa"/>
            <w:vAlign w:val="bottom"/>
          </w:tcPr>
          <w:p>
            <w:pPr>
              <w:spacing w:after="0"/>
              <w:rPr>
                <w:sz w:val="12"/>
                <w:szCs w:val="12"/>
                <w:color w:val="auto"/>
              </w:rPr>
            </w:pPr>
          </w:p>
        </w:tc>
        <w:tc>
          <w:tcPr>
            <w:tcW w:w="1900" w:type="dxa"/>
            <w:vAlign w:val="bottom"/>
          </w:tcPr>
          <w:p>
            <w:pPr>
              <w:jc w:val="right"/>
              <w:ind w:right="561"/>
              <w:spacing w:after="0"/>
              <w:rPr>
                <w:sz w:val="20"/>
                <w:szCs w:val="20"/>
                <w:color w:val="auto"/>
              </w:rPr>
            </w:pPr>
            <w:r>
              <w:rPr>
                <w:rFonts w:ascii="Arial" w:cs="Arial" w:eastAsia="Arial" w:hAnsi="Arial"/>
                <w:sz w:val="11"/>
                <w:szCs w:val="11"/>
                <w:b w:val="1"/>
                <w:bCs w:val="1"/>
                <w:color w:val="auto"/>
              </w:rPr>
              <w:t>At December 31, 2020</w:t>
            </w:r>
          </w:p>
        </w:tc>
      </w:tr>
      <w:tr>
        <w:trPr>
          <w:trHeight w:val="135"/>
        </w:trPr>
        <w:tc>
          <w:tcPr>
            <w:tcW w:w="6760" w:type="dxa"/>
            <w:vAlign w:val="bottom"/>
            <w:tcBorders>
              <w:top w:val="single" w:sz="8" w:color="CCEEFF"/>
            </w:tcBorders>
            <w:shd w:val="clear" w:color="auto" w:fill="CCEEFF"/>
          </w:tcPr>
          <w:p>
            <w:pPr>
              <w:spacing w:after="0" w:line="135" w:lineRule="exact"/>
              <w:rPr>
                <w:sz w:val="20"/>
                <w:szCs w:val="20"/>
                <w:color w:val="auto"/>
              </w:rPr>
            </w:pPr>
            <w:r>
              <w:rPr>
                <w:rFonts w:ascii="Arial" w:cs="Arial" w:eastAsia="Arial" w:hAnsi="Arial"/>
                <w:sz w:val="12"/>
                <w:szCs w:val="12"/>
                <w:color w:val="auto"/>
              </w:rPr>
              <w:t>Definite-lived intangible assets</w:t>
            </w:r>
          </w:p>
        </w:tc>
        <w:tc>
          <w:tcPr>
            <w:tcW w:w="400" w:type="dxa"/>
            <w:vAlign w:val="bottom"/>
            <w:tcBorders>
              <w:top w:val="single" w:sz="8" w:color="auto"/>
            </w:tcBorders>
            <w:shd w:val="clear" w:color="auto" w:fill="CCEEFF"/>
          </w:tcPr>
          <w:p>
            <w:pPr>
              <w:spacing w:after="0"/>
              <w:rPr>
                <w:sz w:val="11"/>
                <w:szCs w:val="11"/>
                <w:color w:val="auto"/>
              </w:rPr>
            </w:pPr>
          </w:p>
        </w:tc>
        <w:tc>
          <w:tcPr>
            <w:tcW w:w="18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900" w:type="dxa"/>
            <w:vAlign w:val="bottom"/>
            <w:tcBorders>
              <w:top w:val="single" w:sz="8" w:color="auto"/>
            </w:tcBorders>
            <w:shd w:val="clear" w:color="auto" w:fill="CCEEFF"/>
          </w:tcPr>
          <w:p>
            <w:pPr>
              <w:spacing w:after="0"/>
              <w:rPr>
                <w:sz w:val="11"/>
                <w:szCs w:val="11"/>
                <w:color w:val="auto"/>
              </w:rPr>
            </w:pPr>
          </w:p>
        </w:tc>
      </w:tr>
      <w:tr>
        <w:trPr>
          <w:trHeight w:val="153"/>
        </w:trPr>
        <w:tc>
          <w:tcPr>
            <w:tcW w:w="6760" w:type="dxa"/>
            <w:vAlign w:val="bottom"/>
          </w:tcPr>
          <w:p>
            <w:pPr>
              <w:ind w:left="140"/>
              <w:spacing w:after="0"/>
              <w:rPr>
                <w:sz w:val="20"/>
                <w:szCs w:val="20"/>
                <w:color w:val="auto"/>
              </w:rPr>
            </w:pPr>
            <w:r>
              <w:rPr>
                <w:rFonts w:ascii="Arial" w:cs="Arial" w:eastAsia="Arial" w:hAnsi="Arial"/>
                <w:sz w:val="12"/>
                <w:szCs w:val="12"/>
                <w:color w:val="auto"/>
              </w:rPr>
              <w:t>Member relationships</w:t>
            </w:r>
          </w:p>
        </w:tc>
        <w:tc>
          <w:tcPr>
            <w:tcW w:w="400" w:type="dxa"/>
            <w:vAlign w:val="bottom"/>
          </w:tcPr>
          <w:p>
            <w:pPr>
              <w:jc w:val="right"/>
              <w:ind w:right="292"/>
              <w:spacing w:after="0"/>
              <w:rPr>
                <w:sz w:val="20"/>
                <w:szCs w:val="20"/>
                <w:color w:val="auto"/>
              </w:rPr>
            </w:pPr>
            <w:r>
              <w:rPr>
                <w:rFonts w:ascii="Arial" w:cs="Arial" w:eastAsia="Arial" w:hAnsi="Arial"/>
                <w:sz w:val="10"/>
                <w:szCs w:val="10"/>
                <w:color w:val="auto"/>
                <w:w w:val="71"/>
              </w:rPr>
              <w:t>$</w:t>
            </w:r>
          </w:p>
        </w:tc>
        <w:tc>
          <w:tcPr>
            <w:tcW w:w="1820" w:type="dxa"/>
            <w:vAlign w:val="bottom"/>
          </w:tcPr>
          <w:p>
            <w:pPr>
              <w:jc w:val="right"/>
              <w:spacing w:after="0"/>
              <w:rPr>
                <w:sz w:val="20"/>
                <w:szCs w:val="20"/>
                <w:color w:val="auto"/>
              </w:rPr>
            </w:pPr>
            <w:r>
              <w:rPr>
                <w:rFonts w:ascii="Arial" w:cs="Arial" w:eastAsia="Arial" w:hAnsi="Arial"/>
                <w:sz w:val="12"/>
                <w:szCs w:val="12"/>
                <w:color w:val="auto"/>
              </w:rPr>
              <w:t>671</w:t>
            </w:r>
          </w:p>
        </w:tc>
        <w:tc>
          <w:tcPr>
            <w:tcW w:w="80" w:type="dxa"/>
            <w:vAlign w:val="bottom"/>
          </w:tcPr>
          <w:p>
            <w:pPr>
              <w:spacing w:after="0"/>
              <w:rPr>
                <w:sz w:val="13"/>
                <w:szCs w:val="13"/>
                <w:color w:val="auto"/>
              </w:rPr>
            </w:pPr>
          </w:p>
        </w:tc>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1900" w:type="dxa"/>
            <w:vAlign w:val="bottom"/>
          </w:tcPr>
          <w:p>
            <w:pPr>
              <w:jc w:val="right"/>
              <w:ind w:right="1"/>
              <w:spacing w:after="0"/>
              <w:rPr>
                <w:sz w:val="20"/>
                <w:szCs w:val="20"/>
                <w:color w:val="auto"/>
              </w:rPr>
            </w:pPr>
            <w:r>
              <w:rPr>
                <w:rFonts w:ascii="Arial" w:cs="Arial" w:eastAsia="Arial" w:hAnsi="Arial"/>
                <w:sz w:val="12"/>
                <w:szCs w:val="12"/>
                <w:color w:val="auto"/>
              </w:rPr>
              <w:t>671</w:t>
            </w:r>
          </w:p>
        </w:tc>
      </w:tr>
      <w:tr>
        <w:trPr>
          <w:trHeight w:val="153"/>
        </w:trPr>
        <w:tc>
          <w:tcPr>
            <w:tcW w:w="67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Management contracts</w:t>
            </w:r>
          </w:p>
        </w:tc>
        <w:tc>
          <w:tcPr>
            <w:tcW w:w="400" w:type="dxa"/>
            <w:vAlign w:val="bottom"/>
            <w:tcBorders>
              <w:bottom w:val="single" w:sz="8" w:color="auto"/>
            </w:tcBorders>
            <w:shd w:val="clear" w:color="auto" w:fill="CCEEFF"/>
          </w:tcPr>
          <w:p>
            <w:pPr>
              <w:spacing w:after="0"/>
              <w:rPr>
                <w:sz w:val="13"/>
                <w:szCs w:val="13"/>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445</w:t>
            </w: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351</w:t>
            </w:r>
          </w:p>
        </w:tc>
      </w:tr>
      <w:tr>
        <w:trPr>
          <w:trHeight w:val="142"/>
        </w:trPr>
        <w:tc>
          <w:tcPr>
            <w:tcW w:w="6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20" w:type="dxa"/>
            <w:vAlign w:val="bottom"/>
          </w:tcPr>
          <w:p>
            <w:pPr>
              <w:jc w:val="right"/>
              <w:spacing w:after="0"/>
              <w:rPr>
                <w:sz w:val="20"/>
                <w:szCs w:val="20"/>
                <w:color w:val="auto"/>
              </w:rPr>
            </w:pPr>
            <w:r>
              <w:rPr>
                <w:rFonts w:ascii="Arial" w:cs="Arial" w:eastAsia="Arial" w:hAnsi="Arial"/>
                <w:sz w:val="12"/>
                <w:szCs w:val="12"/>
                <w:color w:val="auto"/>
              </w:rPr>
              <w:t>1,116</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900" w:type="dxa"/>
            <w:vAlign w:val="bottom"/>
          </w:tcPr>
          <w:p>
            <w:pPr>
              <w:jc w:val="right"/>
              <w:ind w:right="1"/>
              <w:spacing w:after="0"/>
              <w:rPr>
                <w:sz w:val="20"/>
                <w:szCs w:val="20"/>
                <w:color w:val="auto"/>
              </w:rPr>
            </w:pPr>
            <w:r>
              <w:rPr>
                <w:rFonts w:ascii="Arial" w:cs="Arial" w:eastAsia="Arial" w:hAnsi="Arial"/>
                <w:sz w:val="12"/>
                <w:szCs w:val="12"/>
                <w:color w:val="auto"/>
              </w:rPr>
              <w:t>1,022</w:t>
            </w:r>
          </w:p>
        </w:tc>
      </w:tr>
      <w:tr>
        <w:trPr>
          <w:trHeight w:val="153"/>
        </w:trPr>
        <w:tc>
          <w:tcPr>
            <w:tcW w:w="6760" w:type="dxa"/>
            <w:vAlign w:val="bottom"/>
            <w:shd w:val="clear" w:color="auto" w:fill="CCEEFF"/>
          </w:tcPr>
          <w:p>
            <w:pPr>
              <w:spacing w:after="0"/>
              <w:rPr>
                <w:sz w:val="20"/>
                <w:szCs w:val="20"/>
                <w:color w:val="auto"/>
              </w:rPr>
            </w:pPr>
            <w:r>
              <w:rPr>
                <w:rFonts w:ascii="Arial" w:cs="Arial" w:eastAsia="Arial" w:hAnsi="Arial"/>
                <w:sz w:val="12"/>
                <w:szCs w:val="12"/>
                <w:color w:val="auto"/>
              </w:rPr>
              <w:t>Accumulated amortization</w:t>
            </w:r>
          </w:p>
        </w:tc>
        <w:tc>
          <w:tcPr>
            <w:tcW w:w="400" w:type="dxa"/>
            <w:vAlign w:val="bottom"/>
            <w:tcBorders>
              <w:bottom w:val="single" w:sz="8" w:color="auto"/>
            </w:tcBorders>
            <w:shd w:val="clear" w:color="auto" w:fill="CCEEFF"/>
          </w:tcPr>
          <w:p>
            <w:pPr>
              <w:spacing w:after="0"/>
              <w:rPr>
                <w:sz w:val="13"/>
                <w:szCs w:val="13"/>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(163)</w:t>
            </w: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(134)</w:t>
            </w:r>
          </w:p>
        </w:tc>
      </w:tr>
      <w:tr>
        <w:trPr>
          <w:trHeight w:val="142"/>
        </w:trPr>
        <w:tc>
          <w:tcPr>
            <w:tcW w:w="6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20" w:type="dxa"/>
            <w:vAlign w:val="bottom"/>
          </w:tcPr>
          <w:p>
            <w:pPr>
              <w:jc w:val="right"/>
              <w:spacing w:after="0"/>
              <w:rPr>
                <w:sz w:val="20"/>
                <w:szCs w:val="20"/>
                <w:color w:val="auto"/>
              </w:rPr>
            </w:pPr>
            <w:r>
              <w:rPr>
                <w:rFonts w:ascii="Arial" w:cs="Arial" w:eastAsia="Arial" w:hAnsi="Arial"/>
                <w:sz w:val="12"/>
                <w:szCs w:val="12"/>
                <w:color w:val="auto"/>
              </w:rPr>
              <w:t>953</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900" w:type="dxa"/>
            <w:vAlign w:val="bottom"/>
          </w:tcPr>
          <w:p>
            <w:pPr>
              <w:jc w:val="right"/>
              <w:ind w:right="1"/>
              <w:spacing w:after="0"/>
              <w:rPr>
                <w:sz w:val="20"/>
                <w:szCs w:val="20"/>
                <w:color w:val="auto"/>
              </w:rPr>
            </w:pPr>
            <w:r>
              <w:rPr>
                <w:rFonts w:ascii="Arial" w:cs="Arial" w:eastAsia="Arial" w:hAnsi="Arial"/>
                <w:sz w:val="12"/>
                <w:szCs w:val="12"/>
                <w:color w:val="auto"/>
              </w:rPr>
              <w:t>888</w:t>
            </w:r>
          </w:p>
        </w:tc>
      </w:tr>
      <w:tr>
        <w:trPr>
          <w:trHeight w:val="153"/>
        </w:trPr>
        <w:tc>
          <w:tcPr>
            <w:tcW w:w="6760" w:type="dxa"/>
            <w:vAlign w:val="bottom"/>
            <w:shd w:val="clear" w:color="auto" w:fill="CCEEFF"/>
          </w:tcPr>
          <w:p>
            <w:pPr>
              <w:spacing w:after="0"/>
              <w:rPr>
                <w:sz w:val="20"/>
                <w:szCs w:val="20"/>
                <w:color w:val="auto"/>
              </w:rPr>
            </w:pPr>
            <w:r>
              <w:rPr>
                <w:rFonts w:ascii="Arial" w:cs="Arial" w:eastAsia="Arial" w:hAnsi="Arial"/>
                <w:sz w:val="12"/>
                <w:szCs w:val="12"/>
                <w:color w:val="auto"/>
              </w:rPr>
              <w:t>Indefinite-lived intangible assets</w:t>
            </w:r>
          </w:p>
        </w:tc>
        <w:tc>
          <w:tcPr>
            <w:tcW w:w="40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900" w:type="dxa"/>
            <w:vAlign w:val="bottom"/>
            <w:shd w:val="clear" w:color="auto" w:fill="CCEEFF"/>
          </w:tcPr>
          <w:p>
            <w:pPr>
              <w:spacing w:after="0"/>
              <w:rPr>
                <w:sz w:val="13"/>
                <w:szCs w:val="13"/>
                <w:color w:val="auto"/>
              </w:rPr>
            </w:pPr>
          </w:p>
        </w:tc>
      </w:tr>
      <w:tr>
        <w:trPr>
          <w:trHeight w:val="153"/>
        </w:trPr>
        <w:tc>
          <w:tcPr>
            <w:tcW w:w="676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Trade names</w:t>
            </w:r>
          </w:p>
        </w:tc>
        <w:tc>
          <w:tcPr>
            <w:tcW w:w="40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64</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64</w:t>
            </w:r>
          </w:p>
        </w:tc>
      </w:tr>
      <w:tr>
        <w:trPr>
          <w:trHeight w:val="158"/>
        </w:trPr>
        <w:tc>
          <w:tcPr>
            <w:tcW w:w="676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0"/>
                <w:szCs w:val="10"/>
                <w:color w:val="auto"/>
                <w:w w:val="71"/>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1,017</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1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952</w:t>
            </w:r>
          </w:p>
        </w:tc>
      </w:tr>
    </w:tbl>
    <w:p>
      <w:pPr>
        <w:spacing w:after="0" w:line="162"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Q1 2020</w:t>
      </w:r>
    </w:p>
    <w:p>
      <w:pPr>
        <w:spacing w:after="0" w:line="78" w:lineRule="exact"/>
        <w:rPr>
          <w:sz w:val="20"/>
          <w:szCs w:val="20"/>
          <w:color w:val="auto"/>
        </w:rPr>
      </w:pPr>
    </w:p>
    <w:p>
      <w:pPr>
        <w:ind w:right="340" w:firstLine="432"/>
        <w:spacing w:after="0" w:line="323" w:lineRule="auto"/>
        <w:rPr>
          <w:sz w:val="20"/>
          <w:szCs w:val="20"/>
          <w:color w:val="auto"/>
        </w:rPr>
      </w:pPr>
      <w:r>
        <w:rPr>
          <w:rFonts w:ascii="Arial" w:cs="Arial" w:eastAsia="Arial" w:hAnsi="Arial"/>
          <w:sz w:val="11"/>
          <w:szCs w:val="11"/>
          <w:color w:val="auto"/>
        </w:rPr>
        <w:t>We recognized a non-cash impairment charge of $18 million in the Impairment line on our Income Statement during the first quarter of 2020 related to the indefinite-lived intangible assets in our Exchange &amp; Third-Party Management reporting unit, which was primarily attributed to the decline in estimated near-term revenues and related recovery of long-term revenues as a result of the impact of the COVID-19 pandemic.</w:t>
      </w:r>
    </w:p>
    <w:p>
      <w:pPr>
        <w:spacing w:after="0" w:line="70" w:lineRule="exact"/>
        <w:rPr>
          <w:sz w:val="20"/>
          <w:szCs w:val="20"/>
          <w:color w:val="auto"/>
        </w:rPr>
      </w:pPr>
    </w:p>
    <w:p>
      <w:pPr>
        <w:ind w:left="320" w:hanging="316"/>
        <w:spacing w:after="0"/>
        <w:tabs>
          <w:tab w:leader="none" w:pos="320" w:val="left"/>
        </w:tabs>
        <w:numPr>
          <w:ilvl w:val="0"/>
          <w:numId w:val="20"/>
        </w:numPr>
        <w:rPr>
          <w:rFonts w:ascii="Arial" w:cs="Arial" w:eastAsia="Arial" w:hAnsi="Arial"/>
          <w:sz w:val="12"/>
          <w:szCs w:val="12"/>
          <w:b w:val="1"/>
          <w:bCs w:val="1"/>
          <w:color w:val="auto"/>
        </w:rPr>
      </w:pPr>
      <w:r>
        <w:rPr>
          <w:rFonts w:ascii="Arial" w:cs="Arial" w:eastAsia="Arial" w:hAnsi="Arial"/>
          <w:sz w:val="12"/>
          <w:szCs w:val="12"/>
          <w:b w:val="1"/>
          <w:bCs w:val="1"/>
          <w:color w:val="auto"/>
        </w:rPr>
        <w:t>CONTINGENCIES AND COMMITMENTS</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Commitments and Letters of Credit</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As of June 30, 2021, we had the following commitments outstanding:</w:t>
      </w:r>
    </w:p>
    <w:p>
      <w:pPr>
        <w:spacing w:after="0" w:line="78" w:lineRule="exact"/>
        <w:rPr>
          <w:sz w:val="20"/>
          <w:szCs w:val="20"/>
          <w:color w:val="auto"/>
        </w:rPr>
      </w:pPr>
    </w:p>
    <w:p>
      <w:pPr>
        <w:ind w:left="640" w:right="80" w:hanging="216"/>
        <w:spacing w:after="0" w:line="276" w:lineRule="auto"/>
        <w:tabs>
          <w:tab w:leader="none" w:pos="637" w:val="left"/>
        </w:tabs>
        <w:numPr>
          <w:ilvl w:val="0"/>
          <w:numId w:val="21"/>
        </w:numPr>
        <w:rPr>
          <w:rFonts w:ascii="Arial" w:cs="Arial" w:eastAsia="Arial" w:hAnsi="Arial"/>
          <w:sz w:val="12"/>
          <w:szCs w:val="12"/>
          <w:color w:val="auto"/>
        </w:rPr>
      </w:pPr>
      <w:r>
        <w:rPr>
          <w:rFonts w:ascii="Arial" w:cs="Arial" w:eastAsia="Arial" w:hAnsi="Arial"/>
          <w:sz w:val="12"/>
          <w:szCs w:val="12"/>
          <w:color w:val="auto"/>
        </w:rPr>
        <w:t>We have various contracts for the use of information technology hardware and software that we use in the normal course of business. Our aggregate commitment under these contracts was $88 million, of which we expect $22 million, $39 million, $19 million, $5 million, and $3 million will be paid in the remainder of 2021, 2022, 2023, 2024, and 2025, respectively.</w:t>
      </w:r>
    </w:p>
    <w:p>
      <w:pPr>
        <w:spacing w:after="0" w:line="42" w:lineRule="exact"/>
        <w:rPr>
          <w:rFonts w:ascii="Arial" w:cs="Arial" w:eastAsia="Arial" w:hAnsi="Arial"/>
          <w:sz w:val="12"/>
          <w:szCs w:val="12"/>
          <w:color w:val="auto"/>
        </w:rPr>
      </w:pPr>
    </w:p>
    <w:p>
      <w:pPr>
        <w:ind w:left="640" w:right="20" w:hanging="216"/>
        <w:spacing w:after="0" w:line="276" w:lineRule="auto"/>
        <w:tabs>
          <w:tab w:leader="none" w:pos="637" w:val="left"/>
        </w:tabs>
        <w:numPr>
          <w:ilvl w:val="0"/>
          <w:numId w:val="21"/>
        </w:numPr>
        <w:rPr>
          <w:rFonts w:ascii="Arial" w:cs="Arial" w:eastAsia="Arial" w:hAnsi="Arial"/>
          <w:sz w:val="12"/>
          <w:szCs w:val="12"/>
          <w:color w:val="auto"/>
        </w:rPr>
      </w:pPr>
      <w:r>
        <w:rPr>
          <w:rFonts w:ascii="Arial" w:cs="Arial" w:eastAsia="Arial" w:hAnsi="Arial"/>
          <w:sz w:val="12"/>
          <w:szCs w:val="12"/>
          <w:color w:val="auto"/>
        </w:rPr>
        <w:t>We have various commitments to acquire real estate for use in our Vacation Ownership segment via our involvement with VIEs. Refer to Footnote 16 “Variable Interest Entities” for additional information and our activities relating to the VIEs involved in these transactions.</w:t>
      </w:r>
    </w:p>
    <w:p>
      <w:pPr>
        <w:spacing w:after="0" w:line="42" w:lineRule="exact"/>
        <w:rPr>
          <w:rFonts w:ascii="Arial" w:cs="Arial" w:eastAsia="Arial" w:hAnsi="Arial"/>
          <w:sz w:val="12"/>
          <w:szCs w:val="12"/>
          <w:color w:val="auto"/>
        </w:rPr>
      </w:pPr>
    </w:p>
    <w:p>
      <w:pPr>
        <w:jc w:val="both"/>
        <w:ind w:left="640" w:right="60" w:hanging="216"/>
        <w:spacing w:after="0" w:line="375" w:lineRule="auto"/>
        <w:tabs>
          <w:tab w:leader="none" w:pos="637" w:val="left"/>
        </w:tabs>
        <w:numPr>
          <w:ilvl w:val="0"/>
          <w:numId w:val="21"/>
        </w:numPr>
        <w:rPr>
          <w:rFonts w:ascii="Arial" w:cs="Arial" w:eastAsia="Arial" w:hAnsi="Arial"/>
          <w:sz w:val="10"/>
          <w:szCs w:val="10"/>
          <w:color w:val="auto"/>
        </w:rPr>
      </w:pPr>
      <w:r>
        <w:rPr>
          <w:rFonts w:ascii="Arial" w:cs="Arial" w:eastAsia="Arial" w:hAnsi="Arial"/>
          <w:sz w:val="10"/>
          <w:szCs w:val="10"/>
          <w:color w:val="auto"/>
        </w:rPr>
        <w:t>We have a remaining commitment to purchase 88 vacation ownership units located in Bali, Indonesia for use in our Vacation Ownership segment, contingent upon completion of construction to agreed-upon standards. We expect to complete the acquisition in 2021 and to make the remaining payments with respect to these units when specific construction milestones are completed, as follows: $21 million in late 2021 and $2 million in 2022.</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Surety bonds issued as of June 30, 2021 totaled $121 million, the majority of which were requested by federal, state, or local governments in connection with our operations.</w:t>
      </w:r>
    </w:p>
    <w:p>
      <w:pPr>
        <w:spacing w:after="0" w:line="141" w:lineRule="exact"/>
        <w:rPr>
          <w:sz w:val="20"/>
          <w:szCs w:val="20"/>
          <w:color w:val="auto"/>
        </w:rPr>
      </w:pPr>
    </w:p>
    <w:p>
      <w:pPr>
        <w:jc w:val="center"/>
        <w:ind w:left="420"/>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191135</wp:posOffset>
            </wp:positionV>
            <wp:extent cx="7203440"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29" w:name="page30"/>
    <w:bookmarkEnd w:id="29"/>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47" w:lineRule="exact"/>
        <w:rPr>
          <w:sz w:val="20"/>
          <w:szCs w:val="20"/>
          <w:color w:val="auto"/>
        </w:rPr>
      </w:pPr>
    </w:p>
    <w:p>
      <w:pPr>
        <w:ind w:right="60" w:firstLine="432"/>
        <w:spacing w:after="0" w:line="263" w:lineRule="auto"/>
        <w:rPr>
          <w:sz w:val="20"/>
          <w:szCs w:val="20"/>
          <w:color w:val="auto"/>
        </w:rPr>
      </w:pPr>
      <w:r>
        <w:rPr>
          <w:rFonts w:ascii="Arial" w:cs="Arial" w:eastAsia="Arial" w:hAnsi="Arial"/>
          <w:sz w:val="12"/>
          <w:szCs w:val="12"/>
          <w:color w:val="auto"/>
        </w:rPr>
        <w:t>As of June 30, 2021, we had $3 million of letters of credit outstanding under our Revolving Corporate Credit Facility (as defined in Footnote 13 “Debt”). In addition, as of June 30, 2021, we had $2 million in letters of credit outstanding related to and in lieu of reserves required for several vacation ownership notes receivable securitization transactions outstanding. These letters of credit are not issued pursuant to, nor do they impact our borrowing capacity under, the Revolving Corporate Credit Facility.</w:t>
      </w:r>
    </w:p>
    <w:p>
      <w:pPr>
        <w:spacing w:after="0" w:line="50" w:lineRule="exact"/>
        <w:rPr>
          <w:sz w:val="20"/>
          <w:szCs w:val="20"/>
          <w:color w:val="auto"/>
        </w:rPr>
      </w:pPr>
    </w:p>
    <w:p>
      <w:pPr>
        <w:ind w:right="40" w:firstLine="432"/>
        <w:spacing w:after="0" w:line="263" w:lineRule="auto"/>
        <w:rPr>
          <w:sz w:val="20"/>
          <w:szCs w:val="20"/>
          <w:color w:val="auto"/>
        </w:rPr>
      </w:pPr>
      <w:r>
        <w:rPr>
          <w:rFonts w:ascii="Arial" w:cs="Arial" w:eastAsia="Arial" w:hAnsi="Arial"/>
          <w:sz w:val="12"/>
          <w:szCs w:val="12"/>
          <w:color w:val="auto"/>
        </w:rPr>
        <w:t>We estimate the cash outflow associated with completing the phases of our existing portfolio of vacation ownership projects currently under development will be approximately $3 million, of which $1 million is included within liabilities on our Balance Sheet at June 30, 2021. This estimate is based on our current development plans, which remain subject to change, and we expect the phases currently under development will be completed by the end of 2021.</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Guarantees</w:t>
      </w:r>
    </w:p>
    <w:p>
      <w:pPr>
        <w:spacing w:after="0" w:line="78" w:lineRule="exact"/>
        <w:rPr>
          <w:sz w:val="20"/>
          <w:szCs w:val="20"/>
          <w:color w:val="auto"/>
        </w:rPr>
      </w:pPr>
    </w:p>
    <w:p>
      <w:pPr>
        <w:ind w:firstLine="432"/>
        <w:spacing w:after="0" w:line="259" w:lineRule="auto"/>
        <w:rPr>
          <w:sz w:val="20"/>
          <w:szCs w:val="20"/>
          <w:color w:val="auto"/>
        </w:rPr>
      </w:pPr>
      <w:r>
        <w:rPr>
          <w:rFonts w:ascii="Arial" w:cs="Arial" w:eastAsia="Arial" w:hAnsi="Arial"/>
          <w:sz w:val="12"/>
          <w:szCs w:val="12"/>
          <w:color w:val="auto"/>
        </w:rPr>
        <w:t>Certain of our rental management agreements in our Exchange &amp; Third-Party Management segment provide for owners of properties we manage to receive specified percentages or guaranteed amounts of the rental revenue generated under our management. In these cases, the operating expenses for the rental operations are paid from the revenue generated by the rentals, the owners are then paid their contractual percentages or guaranteed amounts, and our vacation rental business either retains the balance (if any) as its fee or makes up the deficit. At June 30, 2021, our maximum exposure under fixed dollar guarantees was $13 million, of which $3 million, $3 million, $2 million, $2 million, $1 million, and $2 million relate to the remainder of 2021, 2022, 2023, 2024, 2025, and thereafter, respectively.</w:t>
      </w:r>
    </w:p>
    <w:p>
      <w:pPr>
        <w:spacing w:after="0" w:line="52" w:lineRule="exact"/>
        <w:rPr>
          <w:sz w:val="20"/>
          <w:szCs w:val="20"/>
          <w:color w:val="auto"/>
        </w:rPr>
      </w:pPr>
    </w:p>
    <w:p>
      <w:pPr>
        <w:ind w:right="60" w:firstLine="432"/>
        <w:spacing w:after="0" w:line="263" w:lineRule="auto"/>
        <w:rPr>
          <w:sz w:val="20"/>
          <w:szCs w:val="20"/>
          <w:color w:val="auto"/>
        </w:rPr>
      </w:pPr>
      <w:r>
        <w:rPr>
          <w:rFonts w:ascii="Arial" w:cs="Arial" w:eastAsia="Arial" w:hAnsi="Arial"/>
          <w:sz w:val="12"/>
          <w:szCs w:val="12"/>
          <w:color w:val="auto"/>
        </w:rPr>
        <w:t>We have a commitment to a property owners’ association that we manage to pay for any shortfall between the actual expenses incurred by the property owners’ association and the income received by the property owners’ association. The agreement will terminate on the earlier of: 1) sale of 80% of the total ownership interests; or 2) upon our written notification of termination. At June 30, 2021, our expected commitment for the remainder of 2021 is $8 million.</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Loss Contingencies</w:t>
      </w:r>
    </w:p>
    <w:p>
      <w:pPr>
        <w:spacing w:after="0" w:line="78" w:lineRule="exact"/>
        <w:rPr>
          <w:sz w:val="20"/>
          <w:szCs w:val="20"/>
          <w:color w:val="auto"/>
        </w:rPr>
      </w:pPr>
    </w:p>
    <w:p>
      <w:pPr>
        <w:ind w:right="60" w:firstLine="432"/>
        <w:spacing w:after="0" w:line="263" w:lineRule="auto"/>
        <w:rPr>
          <w:sz w:val="20"/>
          <w:szCs w:val="20"/>
          <w:color w:val="auto"/>
        </w:rPr>
      </w:pPr>
      <w:r>
        <w:rPr>
          <w:rFonts w:ascii="Arial" w:cs="Arial" w:eastAsia="Arial" w:hAnsi="Arial"/>
          <w:sz w:val="12"/>
          <w:szCs w:val="12"/>
          <w:color w:val="auto"/>
        </w:rPr>
        <w:t>In March 2017, RCHFU, L.L.C. and other owners at The Ritz-Carlton Club, Aspen Highlands (“RCC Aspen Highlands”) filed a complaint in an action pending in the U.S. District Court for the District of Colorado against us and certain third parties, alleging that their fractional interests were devalued by the affiliation of the RCC Aspen Highlands and other Ritz-Carlton Clubs with our points-based Marriott Vacation Club Destinations (“MVCD”) program. The plaintiffs are seeking compensatory damages, disgorgement, punitive damages, fees and costs. A trial is scheduled to begin in January 2022.</w:t>
      </w:r>
    </w:p>
    <w:p>
      <w:pPr>
        <w:spacing w:after="0" w:line="50" w:lineRule="exact"/>
        <w:rPr>
          <w:sz w:val="20"/>
          <w:szCs w:val="20"/>
          <w:color w:val="auto"/>
        </w:rPr>
      </w:pPr>
    </w:p>
    <w:p>
      <w:pPr>
        <w:ind w:right="40" w:firstLine="432"/>
        <w:spacing w:after="0" w:line="298" w:lineRule="auto"/>
        <w:rPr>
          <w:sz w:val="20"/>
          <w:szCs w:val="20"/>
          <w:color w:val="auto"/>
        </w:rPr>
      </w:pPr>
      <w:r>
        <w:rPr>
          <w:rFonts w:ascii="Arial" w:cs="Arial" w:eastAsia="Arial" w:hAnsi="Arial"/>
          <w:sz w:val="11"/>
          <w:szCs w:val="11"/>
          <w:color w:val="auto"/>
        </w:rPr>
        <w:t>In May 2016, a purported class-action lawsuit was filed in the U.S. District Court for the Middle District of Florida by Anthony and Beth Lennen against us and certain third parties. The complaint challenged the characterization of the beneficial interests in the MVCD trust that are sold to customers as real estate interests under Florida law, the structure of the trust, and associated operational aspects of the trust. The plaintiffs sought declaratory relief, an unwinding of the MVCD product, and punitive damages. In August 2019, the District Court granted our motion for judgment on the pleadings and dismissed the case. The plaintiffs have appealed the ruling.</w:t>
      </w:r>
    </w:p>
    <w:p>
      <w:pPr>
        <w:spacing w:after="0" w:line="33" w:lineRule="exact"/>
        <w:rPr>
          <w:sz w:val="20"/>
          <w:szCs w:val="20"/>
          <w:color w:val="auto"/>
        </w:rPr>
      </w:pPr>
    </w:p>
    <w:p>
      <w:pPr>
        <w:ind w:right="20" w:firstLine="432"/>
        <w:spacing w:after="0" w:line="259" w:lineRule="auto"/>
        <w:rPr>
          <w:sz w:val="20"/>
          <w:szCs w:val="20"/>
          <w:color w:val="auto"/>
        </w:rPr>
      </w:pPr>
      <w:r>
        <w:rPr>
          <w:rFonts w:ascii="Arial" w:cs="Arial" w:eastAsia="Arial" w:hAnsi="Arial"/>
          <w:sz w:val="12"/>
          <w:szCs w:val="12"/>
          <w:color w:val="auto"/>
        </w:rPr>
        <w:t>In February 2019, the owners’ association for the St. Regis, NY Club filed a lawsuit in the Supreme Court for the State of New York, New York County, Commercial Division against ILG and several of its subsidiaries and certain third parties. The operative complaint alleges that the defendants breached their fiduciary duties related to sale and rental practices, aided and abetted certain breaches of fiduciary duty, engaged in self-dealing as the sponsor and manager of the club, tortiously interfered with the management agreement, was unjustly enriched, and engaged in anticompetitive conduct. The plaintiff is seeking unspecified damages, punitive damages and disgorgement of payments under the management and purchase agreements.</w:t>
      </w:r>
    </w:p>
    <w:p>
      <w:pPr>
        <w:spacing w:after="0" w:line="52" w:lineRule="exact"/>
        <w:rPr>
          <w:sz w:val="20"/>
          <w:szCs w:val="20"/>
          <w:color w:val="auto"/>
        </w:rPr>
      </w:pPr>
    </w:p>
    <w:p>
      <w:pPr>
        <w:jc w:val="both"/>
        <w:ind w:right="300" w:firstLine="432"/>
        <w:spacing w:after="0" w:line="263" w:lineRule="auto"/>
        <w:rPr>
          <w:sz w:val="20"/>
          <w:szCs w:val="20"/>
          <w:color w:val="auto"/>
        </w:rPr>
      </w:pPr>
      <w:r>
        <w:rPr>
          <w:rFonts w:ascii="Arial" w:cs="Arial" w:eastAsia="Arial" w:hAnsi="Arial"/>
          <w:sz w:val="12"/>
          <w:szCs w:val="12"/>
          <w:color w:val="auto"/>
        </w:rPr>
        <w:t>In April 2019, a purported class-action lawsuit was filed by Alan and Marjorie Helman and others against us in the Superior Court of the Virgin Islands, Division of St. Thomas alleging that their fractional interests were devalued by the affiliation of The Ritz-Carlton Club, St. Thomas and other Ritz-Carlton Clubs with our MVCD program. The lawsuit was subsequently removed to the U.S. District Court for the District of the Virgin Islands. The plaintiffs are seeking unspecified damages, disgorgement of profits, fees and costs.</w:t>
      </w:r>
    </w:p>
    <w:p>
      <w:pPr>
        <w:spacing w:after="0" w:line="50" w:lineRule="exact"/>
        <w:rPr>
          <w:sz w:val="20"/>
          <w:szCs w:val="20"/>
          <w:color w:val="auto"/>
        </w:rPr>
      </w:pPr>
    </w:p>
    <w:p>
      <w:pPr>
        <w:ind w:right="100" w:firstLine="432"/>
        <w:spacing w:after="0" w:line="289" w:lineRule="auto"/>
        <w:rPr>
          <w:sz w:val="20"/>
          <w:szCs w:val="20"/>
          <w:color w:val="auto"/>
        </w:rPr>
      </w:pPr>
      <w:r>
        <w:rPr>
          <w:rFonts w:ascii="Arial" w:cs="Arial" w:eastAsia="Arial" w:hAnsi="Arial"/>
          <w:sz w:val="11"/>
          <w:szCs w:val="11"/>
          <w:color w:val="auto"/>
        </w:rPr>
        <w:t>In May 2019, the G.A. Resort Condominium Association Inc., the owners’ association for the fractional owners at the Hyatt Residence Club Grand Aspen resort (“HRC Grand Aspen”) filed a lawsuit against us in the District Court for the County of Pitkin, Colorado relating to the transfer of ownership of developer-owned fractional interests at HRC Grand Aspen to the HPC Trust Club for sale and use as a part of the Hyatt Residence Club Portfolio Program. The lawsuit was subsequently removed to the U.S. District Court for the District of Colorado. The plaintiff is seeking termination of the management agreement with the owners’ association, the annulment of certain amendments to governing documents at HRC Grand Aspen, the removal of fractional interests at HRC Grand Aspen from the HPC Trust Club, unspecified damages,</w:t>
      </w:r>
    </w:p>
    <w:p>
      <w:pPr>
        <w:spacing w:after="0" w:line="102" w:lineRule="exact"/>
        <w:rPr>
          <w:sz w:val="20"/>
          <w:szCs w:val="20"/>
          <w:color w:val="auto"/>
        </w:rPr>
      </w:pPr>
    </w:p>
    <w:p>
      <w:pPr>
        <w:jc w:val="center"/>
        <w:ind w:left="420"/>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191135</wp:posOffset>
            </wp:positionV>
            <wp:extent cx="7203440"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275" w:right="339" w:bottom="1440" w:gutter="0" w:footer="0" w:header="0"/>
        </w:sectPr>
      </w:pPr>
    </w:p>
    <w:bookmarkStart w:id="30" w:name="page31"/>
    <w:bookmarkEnd w:id="30"/>
    <w:p>
      <w:pPr>
        <w:ind w:left="8"/>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47" w:lineRule="exact"/>
        <w:rPr>
          <w:sz w:val="20"/>
          <w:szCs w:val="20"/>
          <w:color w:val="auto"/>
        </w:rPr>
      </w:pPr>
    </w:p>
    <w:p>
      <w:pPr>
        <w:ind w:left="8"/>
        <w:spacing w:after="0"/>
        <w:rPr>
          <w:sz w:val="20"/>
          <w:szCs w:val="20"/>
          <w:color w:val="auto"/>
        </w:rPr>
      </w:pPr>
      <w:r>
        <w:rPr>
          <w:rFonts w:ascii="Arial" w:cs="Arial" w:eastAsia="Arial" w:hAnsi="Arial"/>
          <w:sz w:val="12"/>
          <w:szCs w:val="12"/>
          <w:color w:val="auto"/>
        </w:rPr>
        <w:t>disgorgement of profits, fees and costs. In November 2020, the District Court granted our motion to dismiss and dismissed the case. The plaintiffs have appealed the ruling.</w:t>
      </w:r>
    </w:p>
    <w:p>
      <w:pPr>
        <w:spacing w:after="0" w:line="78"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We believe we have meritorious defenses to the claims in each of the above matters and intend to vigorously defend each matter.</w:t>
      </w:r>
    </w:p>
    <w:p>
      <w:pPr>
        <w:spacing w:after="0" w:line="78" w:lineRule="exact"/>
        <w:rPr>
          <w:sz w:val="20"/>
          <w:szCs w:val="20"/>
          <w:color w:val="auto"/>
        </w:rPr>
      </w:pPr>
    </w:p>
    <w:p>
      <w:pPr>
        <w:ind w:left="8" w:right="20" w:firstLine="432"/>
        <w:spacing w:after="0" w:line="259" w:lineRule="auto"/>
        <w:rPr>
          <w:sz w:val="20"/>
          <w:szCs w:val="20"/>
          <w:color w:val="auto"/>
        </w:rPr>
      </w:pPr>
      <w:r>
        <w:rPr>
          <w:rFonts w:ascii="Arial" w:cs="Arial" w:eastAsia="Arial" w:hAnsi="Arial"/>
          <w:sz w:val="12"/>
          <w:szCs w:val="12"/>
          <w:color w:val="auto"/>
        </w:rPr>
        <w:t>In the ordinary course of our business, various claims and lawsuits have been filed or are pending against us. A number of these lawsuits and claims may exist at any given time. Additionally, the COVID-19 pandemic may give rise to various claims and lawsuits from owners, members and other parties. We record and accrue for legal contingencies when we determine that it is probable that a liability has been incurred and the amount of the loss can be reasonably estimated. In making such determinations, we evaluate, among other things, the degree of probability of an unfavorable outcome and, when it is probable that a liability has been incurred, our ability to make a reasonable estimate of loss. We review these accruals each reporting period and make revisions based on changes in facts and circumstances.</w:t>
      </w:r>
    </w:p>
    <w:p>
      <w:pPr>
        <w:spacing w:after="0" w:line="52" w:lineRule="exact"/>
        <w:rPr>
          <w:sz w:val="20"/>
          <w:szCs w:val="20"/>
          <w:color w:val="auto"/>
        </w:rPr>
      </w:pPr>
    </w:p>
    <w:p>
      <w:pPr>
        <w:ind w:left="8" w:right="100" w:firstLine="432"/>
        <w:spacing w:after="0" w:line="289" w:lineRule="auto"/>
        <w:rPr>
          <w:sz w:val="20"/>
          <w:szCs w:val="20"/>
          <w:color w:val="auto"/>
        </w:rPr>
      </w:pPr>
      <w:r>
        <w:rPr>
          <w:rFonts w:ascii="Arial" w:cs="Arial" w:eastAsia="Arial" w:hAnsi="Arial"/>
          <w:sz w:val="11"/>
          <w:szCs w:val="11"/>
          <w:color w:val="auto"/>
        </w:rPr>
        <w:t>We have not accrued for any of the pending matters described above and we cannot estimate a range of the potential liability associated with these pending matters, if any, at this time. We have accrued for other claims and lawsuits, but the amount accrued is not material individually or in the aggregate. For matters not requiring accrual, we do not believe that the ultimate outcome of such matters, individually or in the aggregate, will materially harm our financial position, cash flows, or overall trends in results of operations based on information currently available. However, legal proceedings are inherently uncertain, and while we believe that our accruals are adequate and/or we have valid defenses to the claims asserted, unfavorable rulings could occur that could, individually or in the aggregate, have a material adverse effect on our business, financial condition, or operating results.</w:t>
      </w:r>
    </w:p>
    <w:p>
      <w:pPr>
        <w:spacing w:after="0" w:line="111"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Leases That Have Not Yet Commenced</w:t>
      </w:r>
    </w:p>
    <w:p>
      <w:pPr>
        <w:spacing w:after="0" w:line="78" w:lineRule="exact"/>
        <w:rPr>
          <w:sz w:val="20"/>
          <w:szCs w:val="20"/>
          <w:color w:val="auto"/>
        </w:rPr>
      </w:pPr>
    </w:p>
    <w:p>
      <w:pPr>
        <w:ind w:left="8" w:right="20" w:firstLine="432"/>
        <w:spacing w:after="0" w:line="259" w:lineRule="auto"/>
        <w:rPr>
          <w:sz w:val="20"/>
          <w:szCs w:val="20"/>
          <w:color w:val="auto"/>
        </w:rPr>
      </w:pPr>
      <w:r>
        <w:rPr>
          <w:rFonts w:ascii="Arial" w:cs="Arial" w:eastAsia="Arial" w:hAnsi="Arial"/>
          <w:sz w:val="12"/>
          <w:szCs w:val="12"/>
          <w:color w:val="auto"/>
        </w:rPr>
        <w:t>During the first quarter of 2020, we entered into a finance lease arrangement for our new global headquarters in Orlando, Florida. The initial lease term is approximately 16 years with total lease payments of $129 million for the aforementioned period. During 2020, in response to the COVID-19 pandemic and our ongoing evaluation of future space needs, we entered into a standstill arrangement with the developer/lessor, which expired in June 2021. During the second quarter of 2021, we amended our lease agreement with the developer/lessor and expect the new office building to be completed in 2023. Upon commencement of the lease term, a right-of-use asset and corresponding liability will be recorded on our balance sheet.</w:t>
      </w:r>
    </w:p>
    <w:p>
      <w:pPr>
        <w:spacing w:after="0" w:line="174" w:lineRule="exact"/>
        <w:rPr>
          <w:sz w:val="20"/>
          <w:szCs w:val="20"/>
          <w:color w:val="auto"/>
        </w:rPr>
      </w:pPr>
    </w:p>
    <w:p>
      <w:pPr>
        <w:ind w:left="8"/>
        <w:spacing w:after="0"/>
        <w:tabs>
          <w:tab w:leader="none" w:pos="308" w:val="left"/>
        </w:tabs>
        <w:rPr>
          <w:sz w:val="20"/>
          <w:szCs w:val="20"/>
          <w:color w:val="auto"/>
        </w:rPr>
      </w:pPr>
      <w:r>
        <w:rPr>
          <w:rFonts w:ascii="Arial" w:cs="Arial" w:eastAsia="Arial" w:hAnsi="Arial"/>
          <w:sz w:val="12"/>
          <w:szCs w:val="12"/>
          <w:b w:val="1"/>
          <w:bCs w:val="1"/>
          <w:color w:val="auto"/>
        </w:rPr>
        <w:t>12.</w:t>
        <w:tab/>
        <w:t>SECURITIZED DEBT</w:t>
      </w:r>
    </w:p>
    <w:p>
      <w:pPr>
        <w:spacing w:after="0" w:line="145"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following table provides detail on our securitized debt, net of unamortized debt discount and issuance costs.</w:t>
      </w:r>
    </w:p>
    <w:p>
      <w:pPr>
        <w:spacing w:after="0" w:line="33"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6740" w:type="dxa"/>
            <w:vAlign w:val="bottom"/>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400" w:type="dxa"/>
            <w:vAlign w:val="bottom"/>
          </w:tcPr>
          <w:p>
            <w:pPr>
              <w:spacing w:after="0"/>
              <w:rPr>
                <w:sz w:val="12"/>
                <w:szCs w:val="12"/>
                <w:color w:val="auto"/>
              </w:rPr>
            </w:pPr>
          </w:p>
        </w:tc>
        <w:tc>
          <w:tcPr>
            <w:tcW w:w="1920" w:type="dxa"/>
            <w:vAlign w:val="bottom"/>
            <w:gridSpan w:val="2"/>
          </w:tcPr>
          <w:p>
            <w:pPr>
              <w:ind w:left="320"/>
              <w:spacing w:after="0"/>
              <w:rPr>
                <w:sz w:val="20"/>
                <w:szCs w:val="20"/>
                <w:color w:val="auto"/>
              </w:rPr>
            </w:pPr>
            <w:r>
              <w:rPr>
                <w:rFonts w:ascii="Arial" w:cs="Arial" w:eastAsia="Arial" w:hAnsi="Arial"/>
                <w:sz w:val="11"/>
                <w:szCs w:val="11"/>
                <w:b w:val="1"/>
                <w:bCs w:val="1"/>
                <w:color w:val="auto"/>
              </w:rPr>
              <w:t>At June 30, 2021</w:t>
            </w:r>
          </w:p>
        </w:tc>
        <w:tc>
          <w:tcPr>
            <w:tcW w:w="340" w:type="dxa"/>
            <w:vAlign w:val="bottom"/>
          </w:tcPr>
          <w:p>
            <w:pPr>
              <w:spacing w:after="0"/>
              <w:rPr>
                <w:sz w:val="12"/>
                <w:szCs w:val="12"/>
                <w:color w:val="auto"/>
              </w:rPr>
            </w:pPr>
          </w:p>
        </w:tc>
        <w:tc>
          <w:tcPr>
            <w:tcW w:w="1900" w:type="dxa"/>
            <w:vAlign w:val="bottom"/>
          </w:tcPr>
          <w:p>
            <w:pPr>
              <w:jc w:val="right"/>
              <w:ind w:right="562"/>
              <w:spacing w:after="0"/>
              <w:rPr>
                <w:sz w:val="20"/>
                <w:szCs w:val="20"/>
                <w:color w:val="auto"/>
              </w:rPr>
            </w:pPr>
            <w:r>
              <w:rPr>
                <w:rFonts w:ascii="Arial" w:cs="Arial" w:eastAsia="Arial" w:hAnsi="Arial"/>
                <w:sz w:val="11"/>
                <w:szCs w:val="11"/>
                <w:b w:val="1"/>
                <w:bCs w:val="1"/>
                <w:color w:val="auto"/>
              </w:rPr>
              <w:t>At December 31, 2020</w:t>
            </w:r>
          </w:p>
        </w:tc>
      </w:tr>
      <w:tr>
        <w:trPr>
          <w:trHeight w:val="144"/>
        </w:trPr>
        <w:tc>
          <w:tcPr>
            <w:tcW w:w="6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Vacation ownership notes receivable securitizations, gross</w:t>
            </w:r>
            <w:r>
              <w:rPr>
                <w:rFonts w:ascii="Arial" w:cs="Arial" w:eastAsia="Arial" w:hAnsi="Arial"/>
                <w:sz w:val="6"/>
                <w:szCs w:val="6"/>
                <w:color w:val="auto"/>
              </w:rPr>
              <w:t>(1)</w:t>
            </w:r>
          </w:p>
        </w:tc>
        <w:tc>
          <w:tcPr>
            <w:tcW w:w="400" w:type="dxa"/>
            <w:vAlign w:val="bottom"/>
            <w:tcBorders>
              <w:top w:val="single" w:sz="8" w:color="auto"/>
            </w:tcBorders>
            <w:shd w:val="clear" w:color="auto" w:fill="CCEEFF"/>
          </w:tcPr>
          <w:p>
            <w:pPr>
              <w:jc w:val="right"/>
              <w:ind w:right="292"/>
              <w:spacing w:after="0"/>
              <w:rPr>
                <w:sz w:val="20"/>
                <w:szCs w:val="20"/>
                <w:color w:val="auto"/>
              </w:rPr>
            </w:pPr>
            <w:r>
              <w:rPr>
                <w:rFonts w:ascii="Arial" w:cs="Arial" w:eastAsia="Arial" w:hAnsi="Arial"/>
                <w:sz w:val="10"/>
                <w:szCs w:val="10"/>
                <w:color w:val="auto"/>
                <w:w w:val="71"/>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1,794</w:t>
            </w: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19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1,604</w:t>
            </w:r>
          </w:p>
        </w:tc>
      </w:tr>
      <w:tr>
        <w:trPr>
          <w:trHeight w:val="153"/>
        </w:trPr>
        <w:tc>
          <w:tcPr>
            <w:tcW w:w="67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Unamortized debt discount and issuance costs</w:t>
            </w:r>
          </w:p>
        </w:tc>
        <w:tc>
          <w:tcPr>
            <w:tcW w:w="40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w:t>
            </w:r>
          </w:p>
        </w:tc>
      </w:tr>
      <w:tr>
        <w:trPr>
          <w:trHeight w:val="158"/>
        </w:trPr>
        <w:tc>
          <w:tcPr>
            <w:tcW w:w="674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0"/>
                <w:szCs w:val="10"/>
                <w:color w:val="auto"/>
                <w:w w:val="71"/>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1,775</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19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1,588</w:t>
            </w:r>
          </w:p>
        </w:tc>
      </w:tr>
    </w:tbl>
    <w:p>
      <w:pPr>
        <w:spacing w:after="0" w:line="45" w:lineRule="exact"/>
        <w:rPr>
          <w:sz w:val="20"/>
          <w:szCs w:val="20"/>
          <w:color w:val="auto"/>
        </w:rPr>
      </w:pPr>
    </w:p>
    <w:p>
      <w:pPr>
        <w:ind w:left="8"/>
        <w:spacing w:after="0"/>
        <w:rPr>
          <w:sz w:val="20"/>
          <w:szCs w:val="20"/>
          <w:color w:val="auto"/>
        </w:rPr>
      </w:pPr>
      <w:r>
        <w:rPr>
          <w:rFonts w:ascii="Arial" w:cs="Arial" w:eastAsia="Arial" w:hAnsi="Arial"/>
          <w:sz w:val="12"/>
          <w:szCs w:val="12"/>
          <w:color w:val="auto"/>
        </w:rPr>
        <w:t>_________________________</w:t>
      </w:r>
    </w:p>
    <w:p>
      <w:pPr>
        <w:spacing w:after="0" w:line="11" w:lineRule="exact"/>
        <w:rPr>
          <w:sz w:val="20"/>
          <w:szCs w:val="20"/>
          <w:color w:val="auto"/>
        </w:rPr>
      </w:pPr>
    </w:p>
    <w:p>
      <w:pPr>
        <w:ind w:left="428" w:hanging="428"/>
        <w:spacing w:after="0"/>
        <w:tabs>
          <w:tab w:leader="none" w:pos="428" w:val="left"/>
        </w:tabs>
        <w:numPr>
          <w:ilvl w:val="0"/>
          <w:numId w:val="22"/>
        </w:numPr>
        <w:rPr>
          <w:rFonts w:ascii="Arial" w:cs="Arial" w:eastAsia="Arial" w:hAnsi="Arial"/>
          <w:sz w:val="16"/>
          <w:szCs w:val="16"/>
          <w:color w:val="auto"/>
          <w:vertAlign w:val="superscript"/>
        </w:rPr>
      </w:pPr>
      <w:r>
        <w:rPr>
          <w:rFonts w:ascii="Arial" w:cs="Arial" w:eastAsia="Arial" w:hAnsi="Arial"/>
          <w:sz w:val="12"/>
          <w:szCs w:val="12"/>
          <w:color w:val="auto"/>
        </w:rPr>
        <w:t>Interest rates as of June 30, 2021 range from 1.5% to 4.4%, with a weighted average interest rate of 2.5%</w:t>
      </w:r>
    </w:p>
    <w:p>
      <w:pPr>
        <w:spacing w:after="0" w:line="63" w:lineRule="exact"/>
        <w:rPr>
          <w:rFonts w:ascii="Arial" w:cs="Arial" w:eastAsia="Arial" w:hAnsi="Arial"/>
          <w:sz w:val="16"/>
          <w:szCs w:val="16"/>
          <w:color w:val="auto"/>
          <w:vertAlign w:val="superscript"/>
        </w:rPr>
      </w:pPr>
    </w:p>
    <w:p>
      <w:pPr>
        <w:ind w:left="428" w:right="1860"/>
        <w:spacing w:after="0" w:line="398" w:lineRule="auto"/>
        <w:rPr>
          <w:rFonts w:ascii="Arial" w:cs="Arial" w:eastAsia="Arial" w:hAnsi="Arial"/>
          <w:sz w:val="16"/>
          <w:szCs w:val="16"/>
          <w:color w:val="auto"/>
          <w:vertAlign w:val="superscript"/>
        </w:rPr>
      </w:pPr>
      <w:r>
        <w:rPr>
          <w:rFonts w:ascii="Arial" w:cs="Arial" w:eastAsia="Arial" w:hAnsi="Arial"/>
          <w:sz w:val="12"/>
          <w:szCs w:val="12"/>
          <w:color w:val="auto"/>
        </w:rPr>
        <w:t>All of our securitized debt is non-recourse to us. See Footnote 16 “Variable Interest Entities” for a discussion of the collateral for the non-recourse debt associated with our securitized debt. The following table shows scheduled future principal payments for our securitized debt as of June 30, 2021.</w:t>
      </w:r>
    </w:p>
    <w:tbl>
      <w:tblPr>
        <w:tblLayout w:type="fixed"/>
        <w:tblInd w:w="8" w:type="dxa"/>
        <w:tblCellMar>
          <w:top w:w="0" w:type="dxa"/>
          <w:left w:w="0" w:type="dxa"/>
          <w:bottom w:w="0" w:type="dxa"/>
          <w:right w:w="0" w:type="dxa"/>
        </w:tblCellMar>
      </w:tblPr>
      <w:tr>
        <w:trPr>
          <w:trHeight w:val="109"/>
        </w:trPr>
        <w:tc>
          <w:tcPr>
            <w:tcW w:w="3360" w:type="dxa"/>
            <w:vAlign w:val="bottom"/>
          </w:tcPr>
          <w:p>
            <w:pPr>
              <w:spacing w:after="0"/>
              <w:rPr>
                <w:sz w:val="9"/>
                <w:szCs w:val="9"/>
                <w:color w:val="auto"/>
              </w:rPr>
            </w:pPr>
          </w:p>
        </w:tc>
        <w:tc>
          <w:tcPr>
            <w:tcW w:w="4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40" w:type="dxa"/>
            <w:vAlign w:val="bottom"/>
          </w:tcPr>
          <w:p>
            <w:pPr>
              <w:jc w:val="right"/>
              <w:ind w:right="1021"/>
              <w:spacing w:after="0" w:line="110" w:lineRule="exact"/>
              <w:rPr>
                <w:sz w:val="20"/>
                <w:szCs w:val="20"/>
                <w:color w:val="auto"/>
              </w:rPr>
            </w:pPr>
            <w:r>
              <w:rPr>
                <w:rFonts w:ascii="Arial" w:cs="Arial" w:eastAsia="Arial" w:hAnsi="Arial"/>
                <w:sz w:val="11"/>
                <w:szCs w:val="11"/>
                <w:b w:val="1"/>
                <w:bCs w:val="1"/>
                <w:color w:val="auto"/>
              </w:rPr>
              <w:t>Vacation Ownership</w:t>
            </w:r>
          </w:p>
        </w:tc>
        <w:tc>
          <w:tcPr>
            <w:tcW w:w="0" w:type="dxa"/>
            <w:vAlign w:val="bottom"/>
          </w:tcPr>
          <w:p>
            <w:pPr>
              <w:spacing w:after="0"/>
              <w:rPr>
                <w:sz w:val="1"/>
                <w:szCs w:val="1"/>
                <w:color w:val="auto"/>
              </w:rPr>
            </w:pPr>
          </w:p>
        </w:tc>
      </w:tr>
      <w:tr>
        <w:trPr>
          <w:trHeight w:val="142"/>
        </w:trPr>
        <w:tc>
          <w:tcPr>
            <w:tcW w:w="336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486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640" w:type="dxa"/>
            <w:vAlign w:val="bottom"/>
            <w:tcBorders>
              <w:bottom w:val="single" w:sz="8" w:color="auto"/>
            </w:tcBorders>
          </w:tcPr>
          <w:p>
            <w:pPr>
              <w:jc w:val="right"/>
              <w:ind w:right="741"/>
              <w:spacing w:after="0"/>
              <w:rPr>
                <w:sz w:val="20"/>
                <w:szCs w:val="20"/>
                <w:color w:val="auto"/>
              </w:rPr>
            </w:pPr>
            <w:r>
              <w:rPr>
                <w:rFonts w:ascii="Arial" w:cs="Arial" w:eastAsia="Arial" w:hAnsi="Arial"/>
                <w:sz w:val="11"/>
                <w:szCs w:val="11"/>
                <w:b w:val="1"/>
                <w:bCs w:val="1"/>
                <w:color w:val="auto"/>
              </w:rPr>
              <w:t>Notes Receivable Securitizations</w:t>
            </w:r>
          </w:p>
        </w:tc>
        <w:tc>
          <w:tcPr>
            <w:tcW w:w="0" w:type="dxa"/>
            <w:vAlign w:val="bottom"/>
          </w:tcPr>
          <w:p>
            <w:pPr>
              <w:spacing w:after="0"/>
              <w:rPr>
                <w:sz w:val="1"/>
                <w:szCs w:val="1"/>
                <w:color w:val="auto"/>
              </w:rPr>
            </w:pPr>
          </w:p>
        </w:tc>
      </w:tr>
      <w:tr>
        <w:trPr>
          <w:trHeight w:val="126"/>
        </w:trPr>
        <w:tc>
          <w:tcPr>
            <w:tcW w:w="336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Payments Year</w:t>
            </w:r>
          </w:p>
        </w:tc>
        <w:tc>
          <w:tcPr>
            <w:tcW w:w="48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360" w:type="dxa"/>
            <w:vAlign w:val="bottom"/>
          </w:tcPr>
          <w:p>
            <w:pPr>
              <w:ind w:left="140"/>
              <w:spacing w:after="0"/>
              <w:rPr>
                <w:sz w:val="20"/>
                <w:szCs w:val="20"/>
                <w:color w:val="auto"/>
              </w:rPr>
            </w:pPr>
            <w:r>
              <w:rPr>
                <w:rFonts w:ascii="Arial" w:cs="Arial" w:eastAsia="Arial" w:hAnsi="Arial"/>
                <w:sz w:val="12"/>
                <w:szCs w:val="12"/>
                <w:color w:val="auto"/>
              </w:rPr>
              <w:t>2021, remaining</w:t>
            </w:r>
          </w:p>
        </w:tc>
        <w:tc>
          <w:tcPr>
            <w:tcW w:w="530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c>
          <w:tcPr>
            <w:tcW w:w="2640" w:type="dxa"/>
            <w:vAlign w:val="bottom"/>
          </w:tcPr>
          <w:p>
            <w:pPr>
              <w:jc w:val="right"/>
              <w:ind w:right="1"/>
              <w:spacing w:after="0"/>
              <w:rPr>
                <w:sz w:val="20"/>
                <w:szCs w:val="20"/>
                <w:color w:val="auto"/>
              </w:rPr>
            </w:pPr>
            <w:r>
              <w:rPr>
                <w:rFonts w:ascii="Arial" w:cs="Arial" w:eastAsia="Arial" w:hAnsi="Arial"/>
                <w:sz w:val="12"/>
                <w:szCs w:val="12"/>
                <w:color w:val="auto"/>
              </w:rPr>
              <w:t>92</w:t>
            </w:r>
          </w:p>
        </w:tc>
        <w:tc>
          <w:tcPr>
            <w:tcW w:w="0" w:type="dxa"/>
            <w:vAlign w:val="bottom"/>
          </w:tcPr>
          <w:p>
            <w:pPr>
              <w:spacing w:after="0"/>
              <w:rPr>
                <w:sz w:val="1"/>
                <w:szCs w:val="1"/>
                <w:color w:val="auto"/>
              </w:rPr>
            </w:pPr>
          </w:p>
        </w:tc>
      </w:tr>
      <w:tr>
        <w:trPr>
          <w:trHeight w:val="153"/>
        </w:trPr>
        <w:tc>
          <w:tcPr>
            <w:tcW w:w="33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2022</w:t>
            </w:r>
          </w:p>
        </w:tc>
        <w:tc>
          <w:tcPr>
            <w:tcW w:w="48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6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187</w:t>
            </w:r>
          </w:p>
        </w:tc>
        <w:tc>
          <w:tcPr>
            <w:tcW w:w="0" w:type="dxa"/>
            <w:vAlign w:val="bottom"/>
          </w:tcPr>
          <w:p>
            <w:pPr>
              <w:spacing w:after="0"/>
              <w:rPr>
                <w:sz w:val="1"/>
                <w:szCs w:val="1"/>
                <w:color w:val="auto"/>
              </w:rPr>
            </w:pPr>
          </w:p>
        </w:tc>
      </w:tr>
      <w:tr>
        <w:trPr>
          <w:trHeight w:val="153"/>
        </w:trPr>
        <w:tc>
          <w:tcPr>
            <w:tcW w:w="3360" w:type="dxa"/>
            <w:vAlign w:val="bottom"/>
          </w:tcPr>
          <w:p>
            <w:pPr>
              <w:ind w:left="140"/>
              <w:spacing w:after="0"/>
              <w:rPr>
                <w:sz w:val="20"/>
                <w:szCs w:val="20"/>
                <w:color w:val="auto"/>
              </w:rPr>
            </w:pPr>
            <w:r>
              <w:rPr>
                <w:rFonts w:ascii="Arial" w:cs="Arial" w:eastAsia="Arial" w:hAnsi="Arial"/>
                <w:sz w:val="12"/>
                <w:szCs w:val="12"/>
                <w:color w:val="auto"/>
              </w:rPr>
              <w:t>2023</w:t>
            </w:r>
          </w:p>
        </w:tc>
        <w:tc>
          <w:tcPr>
            <w:tcW w:w="4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40" w:type="dxa"/>
            <w:vAlign w:val="bottom"/>
          </w:tcPr>
          <w:p>
            <w:pPr>
              <w:jc w:val="right"/>
              <w:ind w:right="1"/>
              <w:spacing w:after="0"/>
              <w:rPr>
                <w:sz w:val="20"/>
                <w:szCs w:val="20"/>
                <w:color w:val="auto"/>
              </w:rPr>
            </w:pPr>
            <w:r>
              <w:rPr>
                <w:rFonts w:ascii="Arial" w:cs="Arial" w:eastAsia="Arial" w:hAnsi="Arial"/>
                <w:sz w:val="12"/>
                <w:szCs w:val="12"/>
                <w:color w:val="auto"/>
              </w:rPr>
              <w:t>193</w:t>
            </w:r>
          </w:p>
        </w:tc>
        <w:tc>
          <w:tcPr>
            <w:tcW w:w="0" w:type="dxa"/>
            <w:vAlign w:val="bottom"/>
          </w:tcPr>
          <w:p>
            <w:pPr>
              <w:spacing w:after="0"/>
              <w:rPr>
                <w:sz w:val="1"/>
                <w:szCs w:val="1"/>
                <w:color w:val="auto"/>
              </w:rPr>
            </w:pPr>
          </w:p>
        </w:tc>
      </w:tr>
      <w:tr>
        <w:trPr>
          <w:trHeight w:val="153"/>
        </w:trPr>
        <w:tc>
          <w:tcPr>
            <w:tcW w:w="33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2024</w:t>
            </w:r>
          </w:p>
        </w:tc>
        <w:tc>
          <w:tcPr>
            <w:tcW w:w="48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6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197</w:t>
            </w:r>
          </w:p>
        </w:tc>
        <w:tc>
          <w:tcPr>
            <w:tcW w:w="0" w:type="dxa"/>
            <w:vAlign w:val="bottom"/>
          </w:tcPr>
          <w:p>
            <w:pPr>
              <w:spacing w:after="0"/>
              <w:rPr>
                <w:sz w:val="1"/>
                <w:szCs w:val="1"/>
                <w:color w:val="auto"/>
              </w:rPr>
            </w:pPr>
          </w:p>
        </w:tc>
      </w:tr>
      <w:tr>
        <w:trPr>
          <w:trHeight w:val="153"/>
        </w:trPr>
        <w:tc>
          <w:tcPr>
            <w:tcW w:w="3360" w:type="dxa"/>
            <w:vAlign w:val="bottom"/>
          </w:tcPr>
          <w:p>
            <w:pPr>
              <w:ind w:left="140"/>
              <w:spacing w:after="0"/>
              <w:rPr>
                <w:sz w:val="20"/>
                <w:szCs w:val="20"/>
                <w:color w:val="auto"/>
              </w:rPr>
            </w:pPr>
            <w:r>
              <w:rPr>
                <w:rFonts w:ascii="Arial" w:cs="Arial" w:eastAsia="Arial" w:hAnsi="Arial"/>
                <w:sz w:val="12"/>
                <w:szCs w:val="12"/>
                <w:color w:val="auto"/>
              </w:rPr>
              <w:t>2025</w:t>
            </w:r>
          </w:p>
        </w:tc>
        <w:tc>
          <w:tcPr>
            <w:tcW w:w="4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40" w:type="dxa"/>
            <w:vAlign w:val="bottom"/>
          </w:tcPr>
          <w:p>
            <w:pPr>
              <w:jc w:val="right"/>
              <w:ind w:right="1"/>
              <w:spacing w:after="0"/>
              <w:rPr>
                <w:sz w:val="20"/>
                <w:szCs w:val="20"/>
                <w:color w:val="auto"/>
              </w:rPr>
            </w:pPr>
            <w:r>
              <w:rPr>
                <w:rFonts w:ascii="Arial" w:cs="Arial" w:eastAsia="Arial" w:hAnsi="Arial"/>
                <w:sz w:val="12"/>
                <w:szCs w:val="12"/>
                <w:color w:val="auto"/>
              </w:rPr>
              <w:t>200</w:t>
            </w:r>
          </w:p>
        </w:tc>
        <w:tc>
          <w:tcPr>
            <w:tcW w:w="0" w:type="dxa"/>
            <w:vAlign w:val="bottom"/>
          </w:tcPr>
          <w:p>
            <w:pPr>
              <w:spacing w:after="0"/>
              <w:rPr>
                <w:sz w:val="1"/>
                <w:szCs w:val="1"/>
                <w:color w:val="auto"/>
              </w:rPr>
            </w:pPr>
          </w:p>
        </w:tc>
      </w:tr>
      <w:tr>
        <w:trPr>
          <w:trHeight w:val="153"/>
        </w:trPr>
        <w:tc>
          <w:tcPr>
            <w:tcW w:w="33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Thereafter</w:t>
            </w:r>
          </w:p>
        </w:tc>
        <w:tc>
          <w:tcPr>
            <w:tcW w:w="486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26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925</w:t>
            </w:r>
          </w:p>
        </w:tc>
        <w:tc>
          <w:tcPr>
            <w:tcW w:w="0" w:type="dxa"/>
            <w:vAlign w:val="bottom"/>
          </w:tcPr>
          <w:p>
            <w:pPr>
              <w:spacing w:after="0"/>
              <w:rPr>
                <w:sz w:val="1"/>
                <w:szCs w:val="1"/>
                <w:color w:val="auto"/>
              </w:rPr>
            </w:pPr>
          </w:p>
        </w:tc>
      </w:tr>
      <w:tr>
        <w:trPr>
          <w:trHeight w:val="142"/>
        </w:trPr>
        <w:tc>
          <w:tcPr>
            <w:tcW w:w="3360" w:type="dxa"/>
            <w:vAlign w:val="bottom"/>
          </w:tcPr>
          <w:p>
            <w:pPr>
              <w:spacing w:after="0"/>
              <w:rPr>
                <w:sz w:val="12"/>
                <w:szCs w:val="12"/>
                <w:color w:val="auto"/>
              </w:rPr>
            </w:pPr>
          </w:p>
        </w:tc>
        <w:tc>
          <w:tcPr>
            <w:tcW w:w="530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c>
          <w:tcPr>
            <w:tcW w:w="2640" w:type="dxa"/>
            <w:vAlign w:val="bottom"/>
          </w:tcPr>
          <w:p>
            <w:pPr>
              <w:jc w:val="right"/>
              <w:ind w:right="1"/>
              <w:spacing w:after="0"/>
              <w:rPr>
                <w:sz w:val="20"/>
                <w:szCs w:val="20"/>
                <w:color w:val="auto"/>
              </w:rPr>
            </w:pPr>
            <w:r>
              <w:rPr>
                <w:rFonts w:ascii="Arial" w:cs="Arial" w:eastAsia="Arial" w:hAnsi="Arial"/>
                <w:sz w:val="12"/>
                <w:szCs w:val="12"/>
                <w:color w:val="auto"/>
              </w:rPr>
              <w:t>1,794</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4860" w:type="dxa"/>
            <w:vAlign w:val="bottom"/>
            <w:vMerge w:val="restart"/>
          </w:tcPr>
          <w:p>
            <w:pPr>
              <w:jc w:val="right"/>
              <w:ind w:right="2240"/>
              <w:spacing w:after="0"/>
              <w:rPr>
                <w:sz w:val="20"/>
                <w:szCs w:val="20"/>
                <w:color w:val="auto"/>
              </w:rPr>
            </w:pPr>
            <w:r>
              <w:rPr>
                <w:rFonts w:ascii="Arial" w:cs="Arial" w:eastAsia="Arial" w:hAnsi="Arial"/>
                <w:sz w:val="12"/>
                <w:szCs w:val="12"/>
                <w:color w:val="auto"/>
              </w:rPr>
              <w:t>29</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360" w:type="dxa"/>
            <w:vAlign w:val="bottom"/>
          </w:tcPr>
          <w:p>
            <w:pPr>
              <w:spacing w:after="0"/>
              <w:rPr>
                <w:sz w:val="24"/>
                <w:szCs w:val="24"/>
                <w:color w:val="auto"/>
              </w:rPr>
            </w:pPr>
          </w:p>
        </w:tc>
        <w:tc>
          <w:tcPr>
            <w:tcW w:w="486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336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275" w:right="299" w:bottom="1440" w:gutter="0" w:footer="0" w:header="0"/>
        </w:sectPr>
      </w:pPr>
    </w:p>
    <w:bookmarkStart w:id="31" w:name="page32"/>
    <w:bookmarkEnd w:id="31"/>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Vacation Ownership Notes Receivable Securitizations</w:t>
      </w:r>
    </w:p>
    <w:p>
      <w:pPr>
        <w:spacing w:after="0" w:line="78" w:lineRule="exact"/>
        <w:rPr>
          <w:sz w:val="20"/>
          <w:szCs w:val="20"/>
          <w:color w:val="auto"/>
        </w:rPr>
      </w:pPr>
    </w:p>
    <w:p>
      <w:pPr>
        <w:ind w:firstLine="432"/>
        <w:spacing w:after="0" w:line="256" w:lineRule="auto"/>
        <w:rPr>
          <w:sz w:val="20"/>
          <w:szCs w:val="20"/>
          <w:color w:val="auto"/>
        </w:rPr>
      </w:pPr>
      <w:r>
        <w:rPr>
          <w:rFonts w:ascii="Arial" w:cs="Arial" w:eastAsia="Arial" w:hAnsi="Arial"/>
          <w:sz w:val="12"/>
          <w:szCs w:val="12"/>
          <w:color w:val="auto"/>
        </w:rPr>
        <w:t>Each of the securitized vacation ownership notes receivable transactions contains various triggers relating to the performance of the underlying vacation ownership notes receivable. If a pool of securitized vacation ownership notes receivable fails to perform within the pool’s established parameters (default or delinquency thresholds vary by transaction), transaction provisions effectively redirect the monthly excess spread we would otherwise receive from that pool (attributable to the interests we retained) to accelerate the principal payments to investors (taking into account the subordination of the different tranches to the extent there are multiple tranches) until the performance trigger is cured. During the second quarter of 2021, and as of June 30, 2021, no securitized vacation ownership notes receivable pools were out of compliance with their respective established parameters. As of June 30, 2021, we had 13 securitized vacation ownership notes receivable pools outstanding.</w:t>
      </w:r>
    </w:p>
    <w:p>
      <w:pPr>
        <w:spacing w:after="0" w:line="56" w:lineRule="exact"/>
        <w:rPr>
          <w:sz w:val="20"/>
          <w:szCs w:val="20"/>
          <w:color w:val="auto"/>
        </w:rPr>
      </w:pPr>
    </w:p>
    <w:p>
      <w:pPr>
        <w:ind w:right="120" w:firstLine="432"/>
        <w:spacing w:after="0" w:line="276" w:lineRule="auto"/>
        <w:rPr>
          <w:sz w:val="20"/>
          <w:szCs w:val="20"/>
          <w:color w:val="auto"/>
        </w:rPr>
      </w:pPr>
      <w:r>
        <w:rPr>
          <w:rFonts w:ascii="Arial" w:cs="Arial" w:eastAsia="Arial" w:hAnsi="Arial"/>
          <w:sz w:val="12"/>
          <w:szCs w:val="12"/>
          <w:color w:val="auto"/>
        </w:rPr>
        <w:t>As the contractual terms of the underlying securitized vacation ownership notes receivable determine the maturities of the non-recourse debt associated with them, actual maturities may occur earlier than shown above due to prepayments by the vacation ownership notes receivable obligors.</w:t>
      </w:r>
    </w:p>
    <w:p>
      <w:pPr>
        <w:spacing w:after="0" w:line="43" w:lineRule="exact"/>
        <w:rPr>
          <w:sz w:val="20"/>
          <w:szCs w:val="20"/>
          <w:color w:val="auto"/>
        </w:rPr>
      </w:pPr>
    </w:p>
    <w:p>
      <w:pPr>
        <w:ind w:firstLine="432"/>
        <w:spacing w:after="0" w:line="283" w:lineRule="auto"/>
        <w:rPr>
          <w:sz w:val="20"/>
          <w:szCs w:val="20"/>
          <w:color w:val="auto"/>
        </w:rPr>
      </w:pPr>
      <w:r>
        <w:rPr>
          <w:rFonts w:ascii="Arial" w:cs="Arial" w:eastAsia="Arial" w:hAnsi="Arial"/>
          <w:sz w:val="11"/>
          <w:szCs w:val="11"/>
          <w:color w:val="auto"/>
        </w:rPr>
        <w:t>During the second quarter of 2021, we completed the securitization of a pool of $434 million of vacation ownership notes receivable. In connection with the securitization, investors purchased in a private placement $425 million in vacation ownership loan backed notes from MVW 2021-1W LLC (the “2021-1W LLC”). Four classes of vacation ownership loan backed notes were issued by the 2021-1W LLC: $207 million of Class A Notes, $107 million of Class B Notes, $80 million of Class C Notes, and $31 million of Class D Notes. The Class A Notes have an interest rate of 1.14 percent, the Class B Notes have an interest rate of 1.44 percent, the Class C Notes have an interest rate of 1.94 percent, and the Class D Notes have an interest rate of 3.17 percent, for an overall weighted average interest rate of 1.52 percent. Of the $425 million in proceeds from the transaction, $8 million was used to pay transaction expenses and fund required reserves, and the remainder will be used for general corporate purposes. In connection with the 2021-1W securitization, we redeemed certain remaining vacation ownership notes receivable securitizations from 2014 and 2015, as well as certain vacation ownership notes receivable securitizations acquired as part of the Welk Acquisition.</w:t>
      </w:r>
    </w:p>
    <w:p>
      <w:pPr>
        <w:spacing w:after="0" w:line="4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Warehouse Credit Facility</w:t>
      </w:r>
    </w:p>
    <w:p>
      <w:pPr>
        <w:spacing w:after="0" w:line="78" w:lineRule="exact"/>
        <w:rPr>
          <w:sz w:val="20"/>
          <w:szCs w:val="20"/>
          <w:color w:val="auto"/>
        </w:rPr>
      </w:pPr>
    </w:p>
    <w:p>
      <w:pPr>
        <w:ind w:right="60" w:firstLine="432"/>
        <w:spacing w:after="0" w:line="289" w:lineRule="auto"/>
        <w:rPr>
          <w:sz w:val="20"/>
          <w:szCs w:val="20"/>
          <w:color w:val="auto"/>
        </w:rPr>
      </w:pPr>
      <w:r>
        <w:rPr>
          <w:rFonts w:ascii="Arial" w:cs="Arial" w:eastAsia="Arial" w:hAnsi="Arial"/>
          <w:sz w:val="11"/>
          <w:szCs w:val="11"/>
          <w:color w:val="auto"/>
        </w:rPr>
        <w:t>Our warehouse credit facility (the “Warehouse Credit Facility”), which has a borrowing capacity of $350 million, allows for the securitization of vacation ownership notes receivable on a revolving non-recourse basis. During the second quarter of 2021, we amended certain agreements associated with this facility, and as a result, the revolving period was extended from December 20, 2021 to April 21, 2023 and the interest rate increased from primarily LIBOR plus 1.1% to primarily LIBOR plus 1.35%. Our borrowing capacity was not modified by these amendments. The amended facility expands our ability to monetize vacation ownership notes receivable loans originated by Welk. The other terms are substantially similar to those in effect prior to the execution of the amendments. As of June 30, 2021, there were no cash borrowings outstanding under our Warehouse Credit Facility.</w:t>
      </w:r>
    </w:p>
    <w:p>
      <w:pPr>
        <w:spacing w:after="0" w:line="102" w:lineRule="exact"/>
        <w:rPr>
          <w:sz w:val="20"/>
          <w:szCs w:val="20"/>
          <w:color w:val="auto"/>
        </w:rPr>
      </w:pPr>
    </w:p>
    <w:p>
      <w:pPr>
        <w:jc w:val="center"/>
        <w:ind w:left="420"/>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191135</wp:posOffset>
            </wp:positionV>
            <wp:extent cx="7203440"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275" w:right="339" w:bottom="1440" w:gutter="0" w:footer="0" w:header="0"/>
        </w:sectPr>
      </w:pPr>
    </w:p>
    <w:bookmarkStart w:id="32" w:name="page33"/>
    <w:bookmarkEnd w:id="32"/>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69" w:lineRule="exact"/>
        <w:rPr>
          <w:sz w:val="20"/>
          <w:szCs w:val="20"/>
          <w:color w:val="auto"/>
        </w:rPr>
      </w:pPr>
    </w:p>
    <w:p>
      <w:pPr>
        <w:ind w:left="320" w:hanging="316"/>
        <w:spacing w:after="0"/>
        <w:tabs>
          <w:tab w:leader="none" w:pos="320" w:val="left"/>
        </w:tabs>
        <w:numPr>
          <w:ilvl w:val="0"/>
          <w:numId w:val="23"/>
        </w:numPr>
        <w:rPr>
          <w:rFonts w:ascii="Arial" w:cs="Arial" w:eastAsia="Arial" w:hAnsi="Arial"/>
          <w:sz w:val="12"/>
          <w:szCs w:val="12"/>
          <w:b w:val="1"/>
          <w:bCs w:val="1"/>
          <w:color w:val="auto"/>
        </w:rPr>
      </w:pPr>
      <w:r>
        <w:rPr>
          <w:rFonts w:ascii="Arial" w:cs="Arial" w:eastAsia="Arial" w:hAnsi="Arial"/>
          <w:sz w:val="12"/>
          <w:szCs w:val="12"/>
          <w:b w:val="1"/>
          <w:bCs w:val="1"/>
          <w:color w:val="auto"/>
        </w:rPr>
        <w:t>DEBT</w:t>
      </w:r>
    </w:p>
    <w:p>
      <w:pPr>
        <w:spacing w:after="0" w:line="14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provides detail on our debt balances, net of unamortized debt discount and issuance costs.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74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260" w:type="dxa"/>
            <w:vAlign w:val="bottom"/>
            <w:tcBorders>
              <w:bottom w:val="single" w:sz="8" w:color="CCEEFF"/>
            </w:tcBorders>
          </w:tcPr>
          <w:p>
            <w:pPr>
              <w:spacing w:after="0"/>
              <w:rPr>
                <w:sz w:val="12"/>
                <w:szCs w:val="12"/>
                <w:color w:val="auto"/>
              </w:rPr>
            </w:pPr>
          </w:p>
        </w:tc>
        <w:tc>
          <w:tcPr>
            <w:tcW w:w="8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ind w:left="60"/>
              <w:spacing w:after="0"/>
              <w:rPr>
                <w:sz w:val="20"/>
                <w:szCs w:val="20"/>
                <w:color w:val="auto"/>
              </w:rPr>
            </w:pPr>
            <w:r>
              <w:rPr>
                <w:rFonts w:ascii="Arial" w:cs="Arial" w:eastAsia="Arial" w:hAnsi="Arial"/>
                <w:sz w:val="11"/>
                <w:szCs w:val="11"/>
                <w:b w:val="1"/>
                <w:bCs w:val="1"/>
                <w:color w:val="auto"/>
                <w:w w:val="97"/>
              </w:rPr>
              <w:t>At June 30, 2021</w:t>
            </w:r>
          </w:p>
        </w:tc>
        <w:tc>
          <w:tcPr>
            <w:tcW w:w="2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1"/>
                <w:szCs w:val="11"/>
                <w:b w:val="1"/>
                <w:bCs w:val="1"/>
                <w:color w:val="auto"/>
              </w:rPr>
              <w:t>At December 31, 2020</w:t>
            </w:r>
          </w:p>
        </w:tc>
        <w:tc>
          <w:tcPr>
            <w:tcW w:w="0" w:type="dxa"/>
            <w:vAlign w:val="bottom"/>
          </w:tcPr>
          <w:p>
            <w:pPr>
              <w:spacing w:after="0"/>
              <w:rPr>
                <w:sz w:val="1"/>
                <w:szCs w:val="1"/>
                <w:color w:val="auto"/>
              </w:rPr>
            </w:pPr>
          </w:p>
        </w:tc>
      </w:tr>
      <w:tr>
        <w:trPr>
          <w:trHeight w:val="135"/>
        </w:trPr>
        <w:tc>
          <w:tcPr>
            <w:tcW w:w="174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Senior Secured Notes</w:t>
            </w: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40" w:type="dxa"/>
            <w:vAlign w:val="bottom"/>
          </w:tcPr>
          <w:p>
            <w:pPr>
              <w:ind w:left="400"/>
              <w:spacing w:after="0"/>
              <w:rPr>
                <w:sz w:val="20"/>
                <w:szCs w:val="20"/>
                <w:color w:val="auto"/>
              </w:rPr>
            </w:pPr>
            <w:r>
              <w:rPr>
                <w:rFonts w:ascii="Arial" w:cs="Arial" w:eastAsia="Arial" w:hAnsi="Arial"/>
                <w:sz w:val="12"/>
                <w:szCs w:val="12"/>
                <w:color w:val="auto"/>
              </w:rPr>
              <w:t>2025 Notes</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2"/>
                <w:szCs w:val="12"/>
                <w:color w:val="auto"/>
                <w:w w:val="89"/>
              </w:rPr>
              <w:t>$</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gridSpan w:val="3"/>
          </w:tcPr>
          <w:p>
            <w:pPr>
              <w:jc w:val="right"/>
              <w:ind w:right="6"/>
              <w:spacing w:after="0"/>
              <w:rPr>
                <w:sz w:val="20"/>
                <w:szCs w:val="20"/>
                <w:color w:val="auto"/>
              </w:rPr>
            </w:pPr>
            <w:r>
              <w:rPr>
                <w:rFonts w:ascii="Arial" w:cs="Arial" w:eastAsia="Arial" w:hAnsi="Arial"/>
                <w:sz w:val="12"/>
                <w:szCs w:val="12"/>
                <w:color w:val="auto"/>
                <w:w w:val="99"/>
              </w:rPr>
              <w:t>500</w:t>
            </w:r>
          </w:p>
        </w:tc>
        <w:tc>
          <w:tcPr>
            <w:tcW w:w="8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500</w:t>
            </w:r>
          </w:p>
        </w:tc>
        <w:tc>
          <w:tcPr>
            <w:tcW w:w="0" w:type="dxa"/>
            <w:vAlign w:val="bottom"/>
          </w:tcPr>
          <w:p>
            <w:pPr>
              <w:spacing w:after="0"/>
              <w:rPr>
                <w:sz w:val="1"/>
                <w:szCs w:val="1"/>
                <w:color w:val="auto"/>
              </w:rPr>
            </w:pPr>
          </w:p>
        </w:tc>
      </w:tr>
      <w:tr>
        <w:trPr>
          <w:trHeight w:val="153"/>
        </w:trPr>
        <w:tc>
          <w:tcPr>
            <w:tcW w:w="2960" w:type="dxa"/>
            <w:vAlign w:val="bottom"/>
            <w:gridSpan w:val="4"/>
            <w:shd w:val="clear" w:color="auto" w:fill="CCEEFF"/>
          </w:tcPr>
          <w:p>
            <w:pPr>
              <w:ind w:left="400"/>
              <w:spacing w:after="0"/>
              <w:rPr>
                <w:sz w:val="20"/>
                <w:szCs w:val="20"/>
                <w:color w:val="auto"/>
              </w:rPr>
            </w:pPr>
            <w:r>
              <w:rPr>
                <w:rFonts w:ascii="Arial" w:cs="Arial" w:eastAsia="Arial" w:hAnsi="Arial"/>
                <w:sz w:val="12"/>
                <w:szCs w:val="12"/>
                <w:color w:val="auto"/>
              </w:rPr>
              <w:t>Unamortized debt discount and issuance costs</w:t>
            </w: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42"/>
        </w:trPr>
        <w:tc>
          <w:tcPr>
            <w:tcW w:w="1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gridSpan w:val="3"/>
          </w:tcPr>
          <w:p>
            <w:pPr>
              <w:jc w:val="right"/>
              <w:ind w:right="6"/>
              <w:spacing w:after="0"/>
              <w:rPr>
                <w:sz w:val="20"/>
                <w:szCs w:val="20"/>
                <w:color w:val="auto"/>
              </w:rPr>
            </w:pPr>
            <w:r>
              <w:rPr>
                <w:rFonts w:ascii="Arial" w:cs="Arial" w:eastAsia="Arial" w:hAnsi="Arial"/>
                <w:sz w:val="12"/>
                <w:szCs w:val="12"/>
                <w:color w:val="auto"/>
                <w:w w:val="99"/>
              </w:rPr>
              <w:t>494</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494</w:t>
            </w:r>
          </w:p>
        </w:tc>
        <w:tc>
          <w:tcPr>
            <w:tcW w:w="0" w:type="dxa"/>
            <w:vAlign w:val="bottom"/>
          </w:tcPr>
          <w:p>
            <w:pPr>
              <w:spacing w:after="0"/>
              <w:rPr>
                <w:sz w:val="1"/>
                <w:szCs w:val="1"/>
                <w:color w:val="auto"/>
              </w:rPr>
            </w:pPr>
          </w:p>
        </w:tc>
      </w:tr>
      <w:tr>
        <w:trPr>
          <w:trHeight w:val="153"/>
        </w:trPr>
        <w:tc>
          <w:tcPr>
            <w:tcW w:w="17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Senior Unsecured Notes</w:t>
            </w: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740" w:type="dxa"/>
            <w:vAlign w:val="bottom"/>
          </w:tcPr>
          <w:p>
            <w:pPr>
              <w:ind w:left="400"/>
              <w:spacing w:after="0"/>
              <w:rPr>
                <w:sz w:val="20"/>
                <w:szCs w:val="20"/>
                <w:color w:val="auto"/>
              </w:rPr>
            </w:pPr>
            <w:r>
              <w:rPr>
                <w:rFonts w:ascii="Arial" w:cs="Arial" w:eastAsia="Arial" w:hAnsi="Arial"/>
                <w:sz w:val="12"/>
                <w:szCs w:val="12"/>
                <w:color w:val="auto"/>
              </w:rPr>
              <w:t>2026 Notes</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gridSpan w:val="3"/>
          </w:tcPr>
          <w:p>
            <w:pPr>
              <w:jc w:val="right"/>
              <w:ind w:right="6"/>
              <w:spacing w:after="0"/>
              <w:rPr>
                <w:sz w:val="20"/>
                <w:szCs w:val="20"/>
                <w:color w:val="auto"/>
              </w:rPr>
            </w:pPr>
            <w:r>
              <w:rPr>
                <w:rFonts w:ascii="Arial" w:cs="Arial" w:eastAsia="Arial" w:hAnsi="Arial"/>
                <w:sz w:val="12"/>
                <w:szCs w:val="12"/>
                <w:color w:val="auto"/>
                <w:w w:val="99"/>
              </w:rPr>
              <w:t>750</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750</w:t>
            </w:r>
          </w:p>
        </w:tc>
        <w:tc>
          <w:tcPr>
            <w:tcW w:w="0" w:type="dxa"/>
            <w:vAlign w:val="bottom"/>
          </w:tcPr>
          <w:p>
            <w:pPr>
              <w:spacing w:after="0"/>
              <w:rPr>
                <w:sz w:val="1"/>
                <w:szCs w:val="1"/>
                <w:color w:val="auto"/>
              </w:rPr>
            </w:pPr>
          </w:p>
        </w:tc>
      </w:tr>
      <w:tr>
        <w:trPr>
          <w:trHeight w:val="153"/>
        </w:trPr>
        <w:tc>
          <w:tcPr>
            <w:tcW w:w="2960" w:type="dxa"/>
            <w:vAlign w:val="bottom"/>
            <w:gridSpan w:val="4"/>
            <w:shd w:val="clear" w:color="auto" w:fill="CCEEFF"/>
          </w:tcPr>
          <w:p>
            <w:pPr>
              <w:ind w:left="400"/>
              <w:spacing w:after="0"/>
              <w:rPr>
                <w:sz w:val="20"/>
                <w:szCs w:val="20"/>
                <w:color w:val="auto"/>
              </w:rPr>
            </w:pPr>
            <w:r>
              <w:rPr>
                <w:rFonts w:ascii="Arial" w:cs="Arial" w:eastAsia="Arial" w:hAnsi="Arial"/>
                <w:sz w:val="12"/>
                <w:szCs w:val="12"/>
                <w:color w:val="auto"/>
              </w:rPr>
              <w:t>Unamortized debt discount and issuance costs</w:t>
            </w: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42"/>
        </w:trPr>
        <w:tc>
          <w:tcPr>
            <w:tcW w:w="1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gridSpan w:val="3"/>
          </w:tcPr>
          <w:p>
            <w:pPr>
              <w:jc w:val="right"/>
              <w:ind w:right="6"/>
              <w:spacing w:after="0"/>
              <w:rPr>
                <w:sz w:val="20"/>
                <w:szCs w:val="20"/>
                <w:color w:val="auto"/>
              </w:rPr>
            </w:pPr>
            <w:r>
              <w:rPr>
                <w:rFonts w:ascii="Arial" w:cs="Arial" w:eastAsia="Arial" w:hAnsi="Arial"/>
                <w:sz w:val="12"/>
                <w:szCs w:val="12"/>
                <w:color w:val="auto"/>
                <w:w w:val="99"/>
              </w:rPr>
              <w:t>744</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744</w:t>
            </w:r>
          </w:p>
        </w:tc>
        <w:tc>
          <w:tcPr>
            <w:tcW w:w="0" w:type="dxa"/>
            <w:vAlign w:val="bottom"/>
          </w:tcPr>
          <w:p>
            <w:pPr>
              <w:spacing w:after="0"/>
              <w:rPr>
                <w:sz w:val="1"/>
                <w:szCs w:val="1"/>
                <w:color w:val="auto"/>
              </w:rPr>
            </w:pPr>
          </w:p>
        </w:tc>
      </w:tr>
      <w:tr>
        <w:trPr>
          <w:trHeight w:val="171"/>
        </w:trPr>
        <w:tc>
          <w:tcPr>
            <w:tcW w:w="1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740" w:type="dxa"/>
            <w:vAlign w:val="bottom"/>
          </w:tcPr>
          <w:p>
            <w:pPr>
              <w:ind w:left="400"/>
              <w:spacing w:after="0"/>
              <w:rPr>
                <w:sz w:val="20"/>
                <w:szCs w:val="20"/>
                <w:color w:val="auto"/>
              </w:rPr>
            </w:pPr>
            <w:r>
              <w:rPr>
                <w:rFonts w:ascii="Arial" w:cs="Arial" w:eastAsia="Arial" w:hAnsi="Arial"/>
                <w:sz w:val="12"/>
                <w:szCs w:val="12"/>
                <w:color w:val="auto"/>
              </w:rPr>
              <w:t>2028 Notes</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gridSpan w:val="3"/>
          </w:tcPr>
          <w:p>
            <w:pPr>
              <w:jc w:val="right"/>
              <w:ind w:right="6"/>
              <w:spacing w:after="0"/>
              <w:rPr>
                <w:sz w:val="20"/>
                <w:szCs w:val="20"/>
                <w:color w:val="auto"/>
              </w:rPr>
            </w:pPr>
            <w:r>
              <w:rPr>
                <w:rFonts w:ascii="Arial" w:cs="Arial" w:eastAsia="Arial" w:hAnsi="Arial"/>
                <w:sz w:val="12"/>
                <w:szCs w:val="12"/>
                <w:color w:val="auto"/>
                <w:w w:val="99"/>
              </w:rPr>
              <w:t>350</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350</w:t>
            </w:r>
          </w:p>
        </w:tc>
        <w:tc>
          <w:tcPr>
            <w:tcW w:w="0" w:type="dxa"/>
            <w:vAlign w:val="bottom"/>
          </w:tcPr>
          <w:p>
            <w:pPr>
              <w:spacing w:after="0"/>
              <w:rPr>
                <w:sz w:val="1"/>
                <w:szCs w:val="1"/>
                <w:color w:val="auto"/>
              </w:rPr>
            </w:pPr>
          </w:p>
        </w:tc>
      </w:tr>
      <w:tr>
        <w:trPr>
          <w:trHeight w:val="153"/>
        </w:trPr>
        <w:tc>
          <w:tcPr>
            <w:tcW w:w="2960" w:type="dxa"/>
            <w:vAlign w:val="bottom"/>
            <w:gridSpan w:val="4"/>
            <w:shd w:val="clear" w:color="auto" w:fill="CCEEFF"/>
          </w:tcPr>
          <w:p>
            <w:pPr>
              <w:ind w:left="400"/>
              <w:spacing w:after="0"/>
              <w:rPr>
                <w:sz w:val="20"/>
                <w:szCs w:val="20"/>
                <w:color w:val="auto"/>
              </w:rPr>
            </w:pPr>
            <w:r>
              <w:rPr>
                <w:rFonts w:ascii="Arial" w:cs="Arial" w:eastAsia="Arial" w:hAnsi="Arial"/>
                <w:sz w:val="12"/>
                <w:szCs w:val="12"/>
                <w:color w:val="auto"/>
              </w:rPr>
              <w:t>Unamortized debt discount and issuance costs</w:t>
            </w: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42"/>
        </w:trPr>
        <w:tc>
          <w:tcPr>
            <w:tcW w:w="1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gridSpan w:val="3"/>
          </w:tcPr>
          <w:p>
            <w:pPr>
              <w:jc w:val="right"/>
              <w:ind w:right="6"/>
              <w:spacing w:after="0"/>
              <w:rPr>
                <w:sz w:val="20"/>
                <w:szCs w:val="20"/>
                <w:color w:val="auto"/>
              </w:rPr>
            </w:pPr>
            <w:r>
              <w:rPr>
                <w:rFonts w:ascii="Arial" w:cs="Arial" w:eastAsia="Arial" w:hAnsi="Arial"/>
                <w:sz w:val="12"/>
                <w:szCs w:val="12"/>
                <w:color w:val="auto"/>
                <w:w w:val="99"/>
              </w:rPr>
              <w:t>346</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346</w:t>
            </w:r>
          </w:p>
        </w:tc>
        <w:tc>
          <w:tcPr>
            <w:tcW w:w="0" w:type="dxa"/>
            <w:vAlign w:val="bottom"/>
          </w:tcPr>
          <w:p>
            <w:pPr>
              <w:spacing w:after="0"/>
              <w:rPr>
                <w:sz w:val="1"/>
                <w:szCs w:val="1"/>
                <w:color w:val="auto"/>
              </w:rPr>
            </w:pPr>
          </w:p>
        </w:tc>
      </w:tr>
      <w:tr>
        <w:trPr>
          <w:trHeight w:val="171"/>
        </w:trPr>
        <w:tc>
          <w:tcPr>
            <w:tcW w:w="1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740" w:type="dxa"/>
            <w:vAlign w:val="bottom"/>
          </w:tcPr>
          <w:p>
            <w:pPr>
              <w:ind w:left="400"/>
              <w:spacing w:after="0"/>
              <w:rPr>
                <w:sz w:val="20"/>
                <w:szCs w:val="20"/>
                <w:color w:val="auto"/>
              </w:rPr>
            </w:pPr>
            <w:r>
              <w:rPr>
                <w:rFonts w:ascii="Arial" w:cs="Arial" w:eastAsia="Arial" w:hAnsi="Arial"/>
                <w:sz w:val="12"/>
                <w:szCs w:val="12"/>
                <w:color w:val="auto"/>
              </w:rPr>
              <w:t>2029 Notes</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gridSpan w:val="3"/>
          </w:tcPr>
          <w:p>
            <w:pPr>
              <w:jc w:val="right"/>
              <w:ind w:right="6"/>
              <w:spacing w:after="0"/>
              <w:rPr>
                <w:sz w:val="20"/>
                <w:szCs w:val="20"/>
                <w:color w:val="auto"/>
              </w:rPr>
            </w:pPr>
            <w:r>
              <w:rPr>
                <w:rFonts w:ascii="Arial" w:cs="Arial" w:eastAsia="Arial" w:hAnsi="Arial"/>
                <w:sz w:val="12"/>
                <w:szCs w:val="12"/>
                <w:color w:val="auto"/>
                <w:w w:val="99"/>
              </w:rPr>
              <w:t>500</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2960" w:type="dxa"/>
            <w:vAlign w:val="bottom"/>
            <w:gridSpan w:val="4"/>
            <w:shd w:val="clear" w:color="auto" w:fill="CCEEFF"/>
          </w:tcPr>
          <w:p>
            <w:pPr>
              <w:ind w:left="400"/>
              <w:spacing w:after="0"/>
              <w:rPr>
                <w:sz w:val="20"/>
                <w:szCs w:val="20"/>
                <w:color w:val="auto"/>
              </w:rPr>
            </w:pPr>
            <w:r>
              <w:rPr>
                <w:rFonts w:ascii="Arial" w:cs="Arial" w:eastAsia="Arial" w:hAnsi="Arial"/>
                <w:sz w:val="12"/>
                <w:szCs w:val="12"/>
                <w:color w:val="auto"/>
              </w:rPr>
              <w:t>Unamortized debt discount and issuance costs</w:t>
            </w: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1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gridSpan w:val="3"/>
          </w:tcPr>
          <w:p>
            <w:pPr>
              <w:jc w:val="right"/>
              <w:ind w:right="6"/>
              <w:spacing w:after="0"/>
              <w:rPr>
                <w:sz w:val="20"/>
                <w:szCs w:val="20"/>
                <w:color w:val="auto"/>
              </w:rPr>
            </w:pPr>
            <w:r>
              <w:rPr>
                <w:rFonts w:ascii="Arial" w:cs="Arial" w:eastAsia="Arial" w:hAnsi="Arial"/>
                <w:sz w:val="12"/>
                <w:szCs w:val="12"/>
                <w:color w:val="auto"/>
                <w:w w:val="99"/>
              </w:rPr>
              <w:t>493</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17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Corporate Credit Facility</w:t>
            </w: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740" w:type="dxa"/>
            <w:vAlign w:val="bottom"/>
          </w:tcPr>
          <w:p>
            <w:pPr>
              <w:ind w:left="400"/>
              <w:spacing w:after="0"/>
              <w:rPr>
                <w:sz w:val="20"/>
                <w:szCs w:val="20"/>
                <w:color w:val="auto"/>
              </w:rPr>
            </w:pPr>
            <w:r>
              <w:rPr>
                <w:rFonts w:ascii="Arial" w:cs="Arial" w:eastAsia="Arial" w:hAnsi="Arial"/>
                <w:sz w:val="12"/>
                <w:szCs w:val="12"/>
                <w:color w:val="auto"/>
              </w:rPr>
              <w:t>Term Loan</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gridSpan w:val="3"/>
          </w:tcPr>
          <w:p>
            <w:pPr>
              <w:jc w:val="right"/>
              <w:ind w:right="6"/>
              <w:spacing w:after="0"/>
              <w:rPr>
                <w:sz w:val="20"/>
                <w:szCs w:val="20"/>
                <w:color w:val="auto"/>
              </w:rPr>
            </w:pPr>
            <w:r>
              <w:rPr>
                <w:rFonts w:ascii="Arial" w:cs="Arial" w:eastAsia="Arial" w:hAnsi="Arial"/>
                <w:sz w:val="12"/>
                <w:szCs w:val="12"/>
                <w:color w:val="auto"/>
                <w:w w:val="99"/>
              </w:rPr>
              <w:t>784</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884</w:t>
            </w:r>
          </w:p>
        </w:tc>
        <w:tc>
          <w:tcPr>
            <w:tcW w:w="0" w:type="dxa"/>
            <w:vAlign w:val="bottom"/>
          </w:tcPr>
          <w:p>
            <w:pPr>
              <w:spacing w:after="0"/>
              <w:rPr>
                <w:sz w:val="1"/>
                <w:szCs w:val="1"/>
                <w:color w:val="auto"/>
              </w:rPr>
            </w:pPr>
          </w:p>
        </w:tc>
      </w:tr>
      <w:tr>
        <w:trPr>
          <w:trHeight w:val="153"/>
        </w:trPr>
        <w:tc>
          <w:tcPr>
            <w:tcW w:w="2960" w:type="dxa"/>
            <w:vAlign w:val="bottom"/>
            <w:gridSpan w:val="4"/>
            <w:shd w:val="clear" w:color="auto" w:fill="CCEEFF"/>
          </w:tcPr>
          <w:p>
            <w:pPr>
              <w:ind w:left="400"/>
              <w:spacing w:after="0"/>
              <w:rPr>
                <w:sz w:val="20"/>
                <w:szCs w:val="20"/>
                <w:color w:val="auto"/>
              </w:rPr>
            </w:pPr>
            <w:r>
              <w:rPr>
                <w:rFonts w:ascii="Arial" w:cs="Arial" w:eastAsia="Arial" w:hAnsi="Arial"/>
                <w:sz w:val="12"/>
                <w:szCs w:val="12"/>
                <w:color w:val="auto"/>
              </w:rPr>
              <w:t>Unamortized debt discount and issuance costs</w:t>
            </w: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2"/>
                <w:szCs w:val="12"/>
                <w:color w:val="auto"/>
              </w:rPr>
              <w:t>(9)</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142"/>
        </w:trPr>
        <w:tc>
          <w:tcPr>
            <w:tcW w:w="1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gridSpan w:val="3"/>
          </w:tcPr>
          <w:p>
            <w:pPr>
              <w:jc w:val="right"/>
              <w:ind w:right="6"/>
              <w:spacing w:after="0"/>
              <w:rPr>
                <w:sz w:val="20"/>
                <w:szCs w:val="20"/>
                <w:color w:val="auto"/>
              </w:rPr>
            </w:pPr>
            <w:r>
              <w:rPr>
                <w:rFonts w:ascii="Arial" w:cs="Arial" w:eastAsia="Arial" w:hAnsi="Arial"/>
                <w:sz w:val="12"/>
                <w:szCs w:val="12"/>
                <w:color w:val="auto"/>
                <w:w w:val="99"/>
              </w:rPr>
              <w:t>775</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873</w:t>
            </w:r>
          </w:p>
        </w:tc>
        <w:tc>
          <w:tcPr>
            <w:tcW w:w="0" w:type="dxa"/>
            <w:vAlign w:val="bottom"/>
          </w:tcPr>
          <w:p>
            <w:pPr>
              <w:spacing w:after="0"/>
              <w:rPr>
                <w:sz w:val="1"/>
                <w:szCs w:val="1"/>
                <w:color w:val="auto"/>
              </w:rPr>
            </w:pPr>
          </w:p>
        </w:tc>
      </w:tr>
      <w:tr>
        <w:trPr>
          <w:trHeight w:val="153"/>
        </w:trPr>
        <w:tc>
          <w:tcPr>
            <w:tcW w:w="17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Convertible Notes</w:t>
            </w: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740" w:type="dxa"/>
            <w:vAlign w:val="bottom"/>
          </w:tcPr>
          <w:p>
            <w:pPr>
              <w:ind w:left="400"/>
              <w:spacing w:after="0"/>
              <w:rPr>
                <w:sz w:val="20"/>
                <w:szCs w:val="20"/>
                <w:color w:val="auto"/>
              </w:rPr>
            </w:pPr>
            <w:r>
              <w:rPr>
                <w:rFonts w:ascii="Arial" w:cs="Arial" w:eastAsia="Arial" w:hAnsi="Arial"/>
                <w:sz w:val="12"/>
                <w:szCs w:val="12"/>
                <w:color w:val="auto"/>
              </w:rPr>
              <w:t>2022 Convertible Notes</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gridSpan w:val="3"/>
          </w:tcPr>
          <w:p>
            <w:pPr>
              <w:jc w:val="right"/>
              <w:ind w:right="6"/>
              <w:spacing w:after="0"/>
              <w:rPr>
                <w:sz w:val="20"/>
                <w:szCs w:val="20"/>
                <w:color w:val="auto"/>
              </w:rPr>
            </w:pPr>
            <w:r>
              <w:rPr>
                <w:rFonts w:ascii="Arial" w:cs="Arial" w:eastAsia="Arial" w:hAnsi="Arial"/>
                <w:sz w:val="12"/>
                <w:szCs w:val="12"/>
                <w:color w:val="auto"/>
                <w:w w:val="99"/>
              </w:rPr>
              <w:t>230</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230</w:t>
            </w:r>
          </w:p>
        </w:tc>
        <w:tc>
          <w:tcPr>
            <w:tcW w:w="0" w:type="dxa"/>
            <w:vAlign w:val="bottom"/>
          </w:tcPr>
          <w:p>
            <w:pPr>
              <w:spacing w:after="0"/>
              <w:rPr>
                <w:sz w:val="1"/>
                <w:szCs w:val="1"/>
                <w:color w:val="auto"/>
              </w:rPr>
            </w:pPr>
          </w:p>
        </w:tc>
      </w:tr>
      <w:tr>
        <w:trPr>
          <w:trHeight w:val="153"/>
        </w:trPr>
        <w:tc>
          <w:tcPr>
            <w:tcW w:w="2960" w:type="dxa"/>
            <w:vAlign w:val="bottom"/>
            <w:gridSpan w:val="4"/>
            <w:shd w:val="clear" w:color="auto" w:fill="CCEEFF"/>
          </w:tcPr>
          <w:p>
            <w:pPr>
              <w:ind w:left="400"/>
              <w:spacing w:after="0"/>
              <w:rPr>
                <w:sz w:val="20"/>
                <w:szCs w:val="20"/>
                <w:color w:val="auto"/>
              </w:rPr>
            </w:pPr>
            <w:r>
              <w:rPr>
                <w:rFonts w:ascii="Arial" w:cs="Arial" w:eastAsia="Arial" w:hAnsi="Arial"/>
                <w:sz w:val="12"/>
                <w:szCs w:val="12"/>
                <w:color w:val="auto"/>
              </w:rPr>
              <w:t>Unamortized debt discount and issuance costs</w:t>
            </w: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w:t>
            </w:r>
          </w:p>
        </w:tc>
        <w:tc>
          <w:tcPr>
            <w:tcW w:w="0" w:type="dxa"/>
            <w:vAlign w:val="bottom"/>
          </w:tcPr>
          <w:p>
            <w:pPr>
              <w:spacing w:after="0"/>
              <w:rPr>
                <w:sz w:val="1"/>
                <w:szCs w:val="1"/>
                <w:color w:val="auto"/>
              </w:rPr>
            </w:pPr>
          </w:p>
        </w:tc>
      </w:tr>
      <w:tr>
        <w:trPr>
          <w:trHeight w:val="142"/>
        </w:trPr>
        <w:tc>
          <w:tcPr>
            <w:tcW w:w="1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gridSpan w:val="3"/>
          </w:tcPr>
          <w:p>
            <w:pPr>
              <w:jc w:val="right"/>
              <w:ind w:right="6"/>
              <w:spacing w:after="0"/>
              <w:rPr>
                <w:sz w:val="20"/>
                <w:szCs w:val="20"/>
                <w:color w:val="auto"/>
              </w:rPr>
            </w:pPr>
            <w:r>
              <w:rPr>
                <w:rFonts w:ascii="Arial" w:cs="Arial" w:eastAsia="Arial" w:hAnsi="Arial"/>
                <w:sz w:val="12"/>
                <w:szCs w:val="12"/>
                <w:color w:val="auto"/>
                <w:w w:val="99"/>
              </w:rPr>
              <w:t>219</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215</w:t>
            </w:r>
          </w:p>
        </w:tc>
        <w:tc>
          <w:tcPr>
            <w:tcW w:w="0" w:type="dxa"/>
            <w:vAlign w:val="bottom"/>
          </w:tcPr>
          <w:p>
            <w:pPr>
              <w:spacing w:after="0"/>
              <w:rPr>
                <w:sz w:val="1"/>
                <w:szCs w:val="1"/>
                <w:color w:val="auto"/>
              </w:rPr>
            </w:pPr>
          </w:p>
        </w:tc>
      </w:tr>
      <w:tr>
        <w:trPr>
          <w:trHeight w:val="171"/>
        </w:trPr>
        <w:tc>
          <w:tcPr>
            <w:tcW w:w="1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740" w:type="dxa"/>
            <w:vAlign w:val="bottom"/>
          </w:tcPr>
          <w:p>
            <w:pPr>
              <w:ind w:left="400"/>
              <w:spacing w:after="0"/>
              <w:rPr>
                <w:sz w:val="20"/>
                <w:szCs w:val="20"/>
                <w:color w:val="auto"/>
              </w:rPr>
            </w:pPr>
            <w:r>
              <w:rPr>
                <w:rFonts w:ascii="Arial" w:cs="Arial" w:eastAsia="Arial" w:hAnsi="Arial"/>
                <w:sz w:val="12"/>
                <w:szCs w:val="12"/>
                <w:color w:val="auto"/>
              </w:rPr>
              <w:t>2026 Convertible Notes</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gridSpan w:val="3"/>
          </w:tcPr>
          <w:p>
            <w:pPr>
              <w:jc w:val="right"/>
              <w:ind w:right="6"/>
              <w:spacing w:after="0"/>
              <w:rPr>
                <w:sz w:val="20"/>
                <w:szCs w:val="20"/>
                <w:color w:val="auto"/>
              </w:rPr>
            </w:pPr>
            <w:r>
              <w:rPr>
                <w:rFonts w:ascii="Arial" w:cs="Arial" w:eastAsia="Arial" w:hAnsi="Arial"/>
                <w:sz w:val="12"/>
                <w:szCs w:val="12"/>
                <w:color w:val="auto"/>
                <w:w w:val="99"/>
              </w:rPr>
              <w:t>575</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2960" w:type="dxa"/>
            <w:vAlign w:val="bottom"/>
            <w:gridSpan w:val="4"/>
            <w:shd w:val="clear" w:color="auto" w:fill="CCEEFF"/>
          </w:tcPr>
          <w:p>
            <w:pPr>
              <w:ind w:left="400"/>
              <w:spacing w:after="0"/>
              <w:rPr>
                <w:sz w:val="20"/>
                <w:szCs w:val="20"/>
                <w:color w:val="auto"/>
              </w:rPr>
            </w:pPr>
            <w:r>
              <w:rPr>
                <w:rFonts w:ascii="Arial" w:cs="Arial" w:eastAsia="Arial" w:hAnsi="Arial"/>
                <w:sz w:val="12"/>
                <w:szCs w:val="12"/>
                <w:color w:val="auto"/>
              </w:rPr>
              <w:t>Unamortized debt discount and issuance costs</w:t>
            </w: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2"/>
                <w:szCs w:val="12"/>
                <w:color w:val="auto"/>
                <w:w w:val="85"/>
              </w:rPr>
              <w:t>(127)</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1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gridSpan w:val="3"/>
          </w:tcPr>
          <w:p>
            <w:pPr>
              <w:jc w:val="right"/>
              <w:ind w:right="6"/>
              <w:spacing w:after="0"/>
              <w:rPr>
                <w:sz w:val="20"/>
                <w:szCs w:val="20"/>
                <w:color w:val="auto"/>
              </w:rPr>
            </w:pPr>
            <w:r>
              <w:rPr>
                <w:rFonts w:ascii="Arial" w:cs="Arial" w:eastAsia="Arial" w:hAnsi="Arial"/>
                <w:sz w:val="12"/>
                <w:szCs w:val="12"/>
                <w:color w:val="auto"/>
                <w:w w:val="99"/>
              </w:rPr>
              <w:t>448</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1"/>
        </w:trPr>
        <w:tc>
          <w:tcPr>
            <w:tcW w:w="1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740" w:type="dxa"/>
            <w:vAlign w:val="bottom"/>
            <w:tcBorders>
              <w:bottom w:val="single" w:sz="8" w:color="CCEEFF"/>
            </w:tcBorders>
          </w:tcPr>
          <w:p>
            <w:pPr>
              <w:spacing w:after="0"/>
              <w:rPr>
                <w:sz w:val="20"/>
                <w:szCs w:val="20"/>
                <w:color w:val="auto"/>
              </w:rPr>
            </w:pPr>
            <w:r>
              <w:rPr>
                <w:rFonts w:ascii="Arial" w:cs="Arial" w:eastAsia="Arial" w:hAnsi="Arial"/>
                <w:sz w:val="12"/>
                <w:szCs w:val="12"/>
                <w:b w:val="1"/>
                <w:bCs w:val="1"/>
                <w:color w:val="auto"/>
              </w:rPr>
              <w:t>Finance Leases</w:t>
            </w:r>
          </w:p>
        </w:tc>
        <w:tc>
          <w:tcPr>
            <w:tcW w:w="260" w:type="dxa"/>
            <w:vAlign w:val="bottom"/>
            <w:tcBorders>
              <w:bottom w:val="single" w:sz="8" w:color="CCEEFF"/>
            </w:tcBorders>
          </w:tcPr>
          <w:p>
            <w:pPr>
              <w:spacing w:after="0"/>
              <w:rPr>
                <w:sz w:val="13"/>
                <w:szCs w:val="13"/>
                <w:color w:val="auto"/>
              </w:rPr>
            </w:pPr>
          </w:p>
        </w:tc>
        <w:tc>
          <w:tcPr>
            <w:tcW w:w="8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8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8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8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gridSpan w:val="3"/>
          </w:tcPr>
          <w:p>
            <w:pPr>
              <w:jc w:val="right"/>
              <w:ind w:right="6"/>
              <w:spacing w:after="0"/>
              <w:rPr>
                <w:sz w:val="20"/>
                <w:szCs w:val="20"/>
                <w:color w:val="auto"/>
              </w:rPr>
            </w:pPr>
            <w:r>
              <w:rPr>
                <w:rFonts w:ascii="Arial" w:cs="Arial" w:eastAsia="Arial" w:hAnsi="Arial"/>
                <w:sz w:val="12"/>
                <w:szCs w:val="12"/>
                <w:color w:val="auto"/>
              </w:rPr>
              <w:t>9</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162"/>
        </w:trPr>
        <w:tc>
          <w:tcPr>
            <w:tcW w:w="1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center"/>
              <w:ind w:right="180"/>
              <w:spacing w:after="0"/>
              <w:rPr>
                <w:sz w:val="20"/>
                <w:szCs w:val="20"/>
                <w:color w:val="auto"/>
              </w:rPr>
            </w:pPr>
            <w:r>
              <w:rPr>
                <w:rFonts w:ascii="Arial" w:cs="Arial" w:eastAsia="Arial" w:hAnsi="Arial"/>
                <w:sz w:val="12"/>
                <w:szCs w:val="12"/>
                <w:color w:val="auto"/>
                <w:w w:val="89"/>
              </w:rPr>
              <w:t>$</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60" w:type="dxa"/>
            <w:vAlign w:val="bottom"/>
            <w:gridSpan w:val="4"/>
            <w:shd w:val="clear" w:color="auto" w:fill="CCEEFF"/>
          </w:tcPr>
          <w:p>
            <w:pPr>
              <w:jc w:val="right"/>
              <w:ind w:right="6"/>
              <w:spacing w:after="0"/>
              <w:rPr>
                <w:sz w:val="20"/>
                <w:szCs w:val="20"/>
                <w:color w:val="auto"/>
              </w:rPr>
            </w:pPr>
            <w:r>
              <w:rPr>
                <w:rFonts w:ascii="Arial" w:cs="Arial" w:eastAsia="Arial" w:hAnsi="Arial"/>
                <w:sz w:val="12"/>
                <w:szCs w:val="12"/>
                <w:color w:val="auto"/>
              </w:rPr>
              <w:t>3,528</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2,680</w:t>
            </w:r>
          </w:p>
        </w:tc>
        <w:tc>
          <w:tcPr>
            <w:tcW w:w="0" w:type="dxa"/>
            <w:vAlign w:val="bottom"/>
          </w:tcPr>
          <w:p>
            <w:pPr>
              <w:spacing w:after="0"/>
              <w:rPr>
                <w:sz w:val="1"/>
                <w:szCs w:val="1"/>
                <w:color w:val="auto"/>
              </w:rPr>
            </w:pPr>
          </w:p>
        </w:tc>
      </w:tr>
      <w:tr>
        <w:trPr>
          <w:trHeight w:val="284"/>
        </w:trPr>
        <w:tc>
          <w:tcPr>
            <w:tcW w:w="6540" w:type="dxa"/>
            <w:vAlign w:val="bottom"/>
            <w:tcBorders>
              <w:top w:val="single" w:sz="8" w:color="CCEEFF"/>
            </w:tcBorders>
            <w:gridSpan w:val="13"/>
          </w:tcPr>
          <w:p>
            <w:pPr>
              <w:ind w:left="420"/>
              <w:spacing w:after="0"/>
              <w:rPr>
                <w:sz w:val="20"/>
                <w:szCs w:val="20"/>
                <w:color w:val="auto"/>
              </w:rPr>
            </w:pPr>
            <w:r>
              <w:rPr>
                <w:rFonts w:ascii="Arial" w:cs="Arial" w:eastAsia="Arial" w:hAnsi="Arial"/>
                <w:sz w:val="12"/>
                <w:szCs w:val="12"/>
                <w:color w:val="auto"/>
                <w:w w:val="93"/>
              </w:rPr>
              <w:t>The following table shows scheduled future principal payments for our debt, excluding finance leases, as of June 30, 2021.</w:t>
            </w:r>
          </w:p>
        </w:tc>
        <w:tc>
          <w:tcPr>
            <w:tcW w:w="26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1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jc w:val="right"/>
              <w:ind w:right="401"/>
              <w:spacing w:after="0"/>
              <w:rPr>
                <w:sz w:val="20"/>
                <w:szCs w:val="20"/>
                <w:color w:val="auto"/>
              </w:rPr>
            </w:pPr>
            <w:r>
              <w:rPr>
                <w:rFonts w:ascii="Arial" w:cs="Arial" w:eastAsia="Arial" w:hAnsi="Arial"/>
                <w:sz w:val="11"/>
                <w:szCs w:val="11"/>
                <w:b w:val="1"/>
                <w:bCs w:val="1"/>
                <w:color w:val="auto"/>
              </w:rPr>
              <w:t>2025</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jc w:val="right"/>
              <w:ind w:right="401"/>
              <w:spacing w:after="0"/>
              <w:rPr>
                <w:sz w:val="20"/>
                <w:szCs w:val="20"/>
                <w:color w:val="auto"/>
              </w:rPr>
            </w:pPr>
            <w:r>
              <w:rPr>
                <w:rFonts w:ascii="Arial" w:cs="Arial" w:eastAsia="Arial" w:hAnsi="Arial"/>
                <w:sz w:val="11"/>
                <w:szCs w:val="11"/>
                <w:b w:val="1"/>
                <w:bCs w:val="1"/>
                <w:color w:val="auto"/>
              </w:rPr>
              <w:t>2026</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jc w:val="right"/>
              <w:ind w:right="401"/>
              <w:spacing w:after="0"/>
              <w:rPr>
                <w:sz w:val="20"/>
                <w:szCs w:val="20"/>
                <w:color w:val="auto"/>
              </w:rPr>
            </w:pPr>
            <w:r>
              <w:rPr>
                <w:rFonts w:ascii="Arial" w:cs="Arial" w:eastAsia="Arial" w:hAnsi="Arial"/>
                <w:sz w:val="11"/>
                <w:szCs w:val="11"/>
                <w:b w:val="1"/>
                <w:bCs w:val="1"/>
                <w:color w:val="auto"/>
              </w:rPr>
              <w:t>2028</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jc w:val="right"/>
              <w:ind w:right="381"/>
              <w:spacing w:after="0"/>
              <w:rPr>
                <w:sz w:val="20"/>
                <w:szCs w:val="20"/>
                <w:color w:val="auto"/>
              </w:rPr>
            </w:pPr>
            <w:r>
              <w:rPr>
                <w:rFonts w:ascii="Arial" w:cs="Arial" w:eastAsia="Arial" w:hAnsi="Arial"/>
                <w:sz w:val="11"/>
                <w:szCs w:val="11"/>
                <w:b w:val="1"/>
                <w:bCs w:val="1"/>
                <w:color w:val="auto"/>
              </w:rPr>
              <w:t>2029</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6"/>
              </w:rPr>
              <w:t>Term</w:t>
            </w:r>
          </w:p>
        </w:tc>
        <w:tc>
          <w:tcPr>
            <w:tcW w:w="100" w:type="dxa"/>
            <w:vAlign w:val="bottom"/>
          </w:tcPr>
          <w:p>
            <w:pPr>
              <w:spacing w:after="0"/>
              <w:rPr>
                <w:sz w:val="10"/>
                <w:szCs w:val="10"/>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w w:val="87"/>
              </w:rPr>
              <w:t>2022 Convertible Notes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5"/>
            <w:vMerge w:val="restart"/>
          </w:tcPr>
          <w:p>
            <w:pPr>
              <w:ind w:left="20"/>
              <w:spacing w:after="0"/>
              <w:rPr>
                <w:sz w:val="20"/>
                <w:szCs w:val="20"/>
                <w:color w:val="auto"/>
              </w:rPr>
            </w:pPr>
            <w:r>
              <w:rPr>
                <w:rFonts w:ascii="Arial" w:cs="Arial" w:eastAsia="Arial" w:hAnsi="Arial"/>
                <w:sz w:val="11"/>
                <w:szCs w:val="11"/>
                <w:b w:val="1"/>
                <w:bCs w:val="1"/>
                <w:color w:val="auto"/>
                <w:w w:val="96"/>
              </w:rPr>
              <w:t>2026 Convertible Notes</w:t>
            </w:r>
          </w:p>
        </w:tc>
        <w:tc>
          <w:tcPr>
            <w:tcW w:w="240" w:type="dxa"/>
            <w:vAlign w:val="bottom"/>
          </w:tcPr>
          <w:p>
            <w:pPr>
              <w:spacing w:after="0"/>
              <w:rPr>
                <w:sz w:val="10"/>
                <w:szCs w:val="10"/>
                <w:color w:val="auto"/>
              </w:rPr>
            </w:pPr>
          </w:p>
        </w:tc>
        <w:tc>
          <w:tcPr>
            <w:tcW w:w="880" w:type="dxa"/>
            <w:vAlign w:val="bottom"/>
            <w:vMerge w:val="restart"/>
          </w:tcPr>
          <w:p>
            <w:pPr>
              <w:jc w:val="right"/>
              <w:ind w:right="38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2"/>
        </w:trPr>
        <w:tc>
          <w:tcPr>
            <w:tcW w:w="1740" w:type="dxa"/>
            <w:vAlign w:val="bottom"/>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260" w:type="dxa"/>
            <w:vAlign w:val="bottom"/>
          </w:tcPr>
          <w:p>
            <w:pPr>
              <w:spacing w:after="0"/>
              <w:rPr>
                <w:sz w:val="12"/>
                <w:szCs w:val="12"/>
                <w:color w:val="auto"/>
              </w:rPr>
            </w:pPr>
          </w:p>
        </w:tc>
        <w:tc>
          <w:tcPr>
            <w:tcW w:w="960" w:type="dxa"/>
            <w:vAlign w:val="bottom"/>
            <w:gridSpan w:val="2"/>
          </w:tcPr>
          <w:p>
            <w:pPr>
              <w:ind w:left="180"/>
              <w:spacing w:after="0"/>
              <w:rPr>
                <w:sz w:val="20"/>
                <w:szCs w:val="20"/>
                <w:color w:val="auto"/>
              </w:rPr>
            </w:pPr>
            <w:r>
              <w:rPr>
                <w:rFonts w:ascii="Arial" w:cs="Arial" w:eastAsia="Arial" w:hAnsi="Arial"/>
                <w:sz w:val="11"/>
                <w:szCs w:val="11"/>
                <w:b w:val="1"/>
                <w:bCs w:val="1"/>
                <w:color w:val="auto"/>
              </w:rPr>
              <w:t>Notes</w:t>
            </w:r>
          </w:p>
        </w:tc>
        <w:tc>
          <w:tcPr>
            <w:tcW w:w="240" w:type="dxa"/>
            <w:vAlign w:val="bottom"/>
          </w:tcPr>
          <w:p>
            <w:pPr>
              <w:spacing w:after="0"/>
              <w:rPr>
                <w:sz w:val="12"/>
                <w:szCs w:val="12"/>
                <w:color w:val="auto"/>
              </w:rPr>
            </w:pPr>
          </w:p>
        </w:tc>
        <w:tc>
          <w:tcPr>
            <w:tcW w:w="960" w:type="dxa"/>
            <w:vAlign w:val="bottom"/>
            <w:gridSpan w:val="2"/>
          </w:tcPr>
          <w:p>
            <w:pPr>
              <w:ind w:left="180"/>
              <w:spacing w:after="0"/>
              <w:rPr>
                <w:sz w:val="20"/>
                <w:szCs w:val="20"/>
                <w:color w:val="auto"/>
              </w:rPr>
            </w:pPr>
            <w:r>
              <w:rPr>
                <w:rFonts w:ascii="Arial" w:cs="Arial" w:eastAsia="Arial" w:hAnsi="Arial"/>
                <w:sz w:val="11"/>
                <w:szCs w:val="11"/>
                <w:b w:val="1"/>
                <w:bCs w:val="1"/>
                <w:color w:val="auto"/>
              </w:rPr>
              <w:t>Notes</w:t>
            </w:r>
          </w:p>
        </w:tc>
        <w:tc>
          <w:tcPr>
            <w:tcW w:w="260" w:type="dxa"/>
            <w:vAlign w:val="bottom"/>
          </w:tcPr>
          <w:p>
            <w:pPr>
              <w:spacing w:after="0"/>
              <w:rPr>
                <w:sz w:val="12"/>
                <w:szCs w:val="12"/>
                <w:color w:val="auto"/>
              </w:rPr>
            </w:pPr>
          </w:p>
        </w:tc>
        <w:tc>
          <w:tcPr>
            <w:tcW w:w="960" w:type="dxa"/>
            <w:vAlign w:val="bottom"/>
            <w:gridSpan w:val="2"/>
          </w:tcPr>
          <w:p>
            <w:pPr>
              <w:ind w:left="180"/>
              <w:spacing w:after="0"/>
              <w:rPr>
                <w:sz w:val="20"/>
                <w:szCs w:val="20"/>
                <w:color w:val="auto"/>
              </w:rPr>
            </w:pPr>
            <w:r>
              <w:rPr>
                <w:rFonts w:ascii="Arial" w:cs="Arial" w:eastAsia="Arial" w:hAnsi="Arial"/>
                <w:sz w:val="11"/>
                <w:szCs w:val="11"/>
                <w:b w:val="1"/>
                <w:bCs w:val="1"/>
                <w:color w:val="auto"/>
              </w:rPr>
              <w:t>Notes</w:t>
            </w:r>
          </w:p>
        </w:tc>
        <w:tc>
          <w:tcPr>
            <w:tcW w:w="240" w:type="dxa"/>
            <w:vAlign w:val="bottom"/>
          </w:tcPr>
          <w:p>
            <w:pPr>
              <w:spacing w:after="0"/>
              <w:rPr>
                <w:sz w:val="12"/>
                <w:szCs w:val="12"/>
                <w:color w:val="auto"/>
              </w:rPr>
            </w:pPr>
          </w:p>
        </w:tc>
        <w:tc>
          <w:tcPr>
            <w:tcW w:w="920" w:type="dxa"/>
            <w:vAlign w:val="bottom"/>
            <w:gridSpan w:val="2"/>
          </w:tcPr>
          <w:p>
            <w:pPr>
              <w:ind w:left="160"/>
              <w:spacing w:after="0"/>
              <w:rPr>
                <w:sz w:val="20"/>
                <w:szCs w:val="20"/>
                <w:color w:val="auto"/>
              </w:rPr>
            </w:pPr>
            <w:r>
              <w:rPr>
                <w:rFonts w:ascii="Arial" w:cs="Arial" w:eastAsia="Arial" w:hAnsi="Arial"/>
                <w:sz w:val="11"/>
                <w:szCs w:val="11"/>
                <w:b w:val="1"/>
                <w:bCs w:val="1"/>
                <w:color w:val="auto"/>
              </w:rPr>
              <w:t>Notes</w:t>
            </w:r>
          </w:p>
        </w:tc>
        <w:tc>
          <w:tcPr>
            <w:tcW w:w="260" w:type="dxa"/>
            <w:vAlign w:val="bottom"/>
          </w:tcPr>
          <w:p>
            <w:pPr>
              <w:spacing w:after="0"/>
              <w:rPr>
                <w:sz w:val="12"/>
                <w:szCs w:val="12"/>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Loan</w:t>
            </w: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5"/>
            <w:vMerge w:val="continue"/>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740" w:type="dxa"/>
            <w:vAlign w:val="bottom"/>
            <w:tcBorders>
              <w:top w:val="single" w:sz="8" w:color="CCEEFF"/>
            </w:tcBorders>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Payments Year</w:t>
            </w:r>
          </w:p>
        </w:tc>
        <w:tc>
          <w:tcPr>
            <w:tcW w:w="26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740" w:type="dxa"/>
            <w:vAlign w:val="bottom"/>
          </w:tcPr>
          <w:p>
            <w:pPr>
              <w:spacing w:after="0"/>
              <w:rPr>
                <w:sz w:val="20"/>
                <w:szCs w:val="20"/>
                <w:color w:val="auto"/>
              </w:rPr>
            </w:pPr>
            <w:r>
              <w:rPr>
                <w:rFonts w:ascii="Arial" w:cs="Arial" w:eastAsia="Arial" w:hAnsi="Arial"/>
                <w:sz w:val="12"/>
                <w:szCs w:val="12"/>
                <w:color w:val="auto"/>
              </w:rPr>
              <w:t>2021, remaining</w:t>
            </w: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2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92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28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gridSpan w:val="3"/>
          </w:tcPr>
          <w:p>
            <w:pPr>
              <w:jc w:val="right"/>
              <w:ind w:right="66"/>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2022</w:t>
            </w:r>
          </w:p>
        </w:tc>
        <w:tc>
          <w:tcPr>
            <w:tcW w:w="2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230</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230</w:t>
            </w:r>
          </w:p>
        </w:tc>
        <w:tc>
          <w:tcPr>
            <w:tcW w:w="0" w:type="dxa"/>
            <w:vAlign w:val="bottom"/>
          </w:tcPr>
          <w:p>
            <w:pPr>
              <w:spacing w:after="0"/>
              <w:rPr>
                <w:sz w:val="1"/>
                <w:szCs w:val="1"/>
                <w:color w:val="auto"/>
              </w:rPr>
            </w:pPr>
          </w:p>
        </w:tc>
      </w:tr>
      <w:tr>
        <w:trPr>
          <w:trHeight w:val="153"/>
        </w:trPr>
        <w:tc>
          <w:tcPr>
            <w:tcW w:w="1740" w:type="dxa"/>
            <w:vAlign w:val="bottom"/>
          </w:tcPr>
          <w:p>
            <w:pPr>
              <w:spacing w:after="0"/>
              <w:rPr>
                <w:sz w:val="20"/>
                <w:szCs w:val="20"/>
                <w:color w:val="auto"/>
              </w:rPr>
            </w:pPr>
            <w:r>
              <w:rPr>
                <w:rFonts w:ascii="Arial" w:cs="Arial" w:eastAsia="Arial" w:hAnsi="Arial"/>
                <w:sz w:val="12"/>
                <w:szCs w:val="12"/>
                <w:color w:val="auto"/>
              </w:rPr>
              <w:t>2023</w:t>
            </w:r>
          </w:p>
        </w:tc>
        <w:tc>
          <w:tcPr>
            <w:tcW w:w="26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2024</w:t>
            </w:r>
          </w:p>
        </w:tc>
        <w:tc>
          <w:tcPr>
            <w:tcW w:w="2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1740" w:type="dxa"/>
            <w:vAlign w:val="bottom"/>
          </w:tcPr>
          <w:p>
            <w:pPr>
              <w:spacing w:after="0"/>
              <w:rPr>
                <w:sz w:val="20"/>
                <w:szCs w:val="20"/>
                <w:color w:val="auto"/>
              </w:rPr>
            </w:pPr>
            <w:r>
              <w:rPr>
                <w:rFonts w:ascii="Arial" w:cs="Arial" w:eastAsia="Arial" w:hAnsi="Arial"/>
                <w:sz w:val="12"/>
                <w:szCs w:val="12"/>
                <w:color w:val="auto"/>
              </w:rPr>
              <w:t>2025</w:t>
            </w: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500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Arial" w:cs="Arial" w:eastAsia="Arial" w:hAnsi="Arial"/>
                <w:sz w:val="12"/>
                <w:szCs w:val="12"/>
                <w:color w:val="auto"/>
              </w:rPr>
              <w:t>784</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1,284</w:t>
            </w:r>
          </w:p>
        </w:tc>
        <w:tc>
          <w:tcPr>
            <w:tcW w:w="0" w:type="dxa"/>
            <w:vAlign w:val="bottom"/>
          </w:tcPr>
          <w:p>
            <w:pPr>
              <w:spacing w:after="0"/>
              <w:rPr>
                <w:sz w:val="1"/>
                <w:szCs w:val="1"/>
                <w:color w:val="auto"/>
              </w:rPr>
            </w:pPr>
          </w:p>
        </w:tc>
      </w:tr>
      <w:tr>
        <w:trPr>
          <w:trHeight w:val="153"/>
        </w:trPr>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Thereafter</w:t>
            </w:r>
          </w:p>
        </w:tc>
        <w:tc>
          <w:tcPr>
            <w:tcW w:w="26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750</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350</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500</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575</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2,175</w:t>
            </w:r>
          </w:p>
        </w:tc>
        <w:tc>
          <w:tcPr>
            <w:tcW w:w="0" w:type="dxa"/>
            <w:vAlign w:val="bottom"/>
          </w:tcPr>
          <w:p>
            <w:pPr>
              <w:spacing w:after="0"/>
              <w:rPr>
                <w:sz w:val="1"/>
                <w:szCs w:val="1"/>
                <w:color w:val="auto"/>
              </w:rPr>
            </w:pPr>
          </w:p>
        </w:tc>
      </w:tr>
      <w:tr>
        <w:trPr>
          <w:trHeight w:val="142"/>
        </w:trPr>
        <w:tc>
          <w:tcPr>
            <w:tcW w:w="1740" w:type="dxa"/>
            <w:vAlign w:val="bottom"/>
          </w:tcPr>
          <w:p>
            <w:pPr>
              <w:spacing w:after="0"/>
              <w:rPr>
                <w:sz w:val="12"/>
                <w:szCs w:val="12"/>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500</w:t>
            </w:r>
          </w:p>
        </w:tc>
        <w:tc>
          <w:tcPr>
            <w:tcW w:w="100" w:type="dxa"/>
            <w:vAlign w:val="bottom"/>
          </w:tcPr>
          <w:p>
            <w:pPr>
              <w:spacing w:after="0"/>
              <w:rPr>
                <w:sz w:val="12"/>
                <w:szCs w:val="12"/>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750</w:t>
            </w:r>
          </w:p>
        </w:tc>
        <w:tc>
          <w:tcPr>
            <w:tcW w:w="80" w:type="dxa"/>
            <w:vAlign w:val="bottom"/>
          </w:tcPr>
          <w:p>
            <w:pPr>
              <w:spacing w:after="0"/>
              <w:rPr>
                <w:sz w:val="12"/>
                <w:szCs w:val="12"/>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ind w:right="1"/>
              <w:spacing w:after="0"/>
              <w:rPr>
                <w:sz w:val="20"/>
                <w:szCs w:val="20"/>
                <w:color w:val="auto"/>
              </w:rPr>
            </w:pPr>
            <w:r>
              <w:rPr>
                <w:rFonts w:ascii="Arial" w:cs="Arial" w:eastAsia="Arial" w:hAnsi="Arial"/>
                <w:sz w:val="12"/>
                <w:szCs w:val="12"/>
                <w:color w:val="auto"/>
              </w:rPr>
              <w:t>350</w:t>
            </w:r>
          </w:p>
        </w:tc>
        <w:tc>
          <w:tcPr>
            <w:tcW w:w="80" w:type="dxa"/>
            <w:vAlign w:val="bottom"/>
          </w:tcPr>
          <w:p>
            <w:pPr>
              <w:spacing w:after="0"/>
              <w:rPr>
                <w:sz w:val="12"/>
                <w:szCs w:val="12"/>
                <w:color w:val="auto"/>
              </w:rPr>
            </w:pP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840" w:type="dxa"/>
            <w:vAlign w:val="bottom"/>
          </w:tcPr>
          <w:p>
            <w:pPr>
              <w:jc w:val="right"/>
              <w:ind w:right="1"/>
              <w:spacing w:after="0"/>
              <w:rPr>
                <w:sz w:val="20"/>
                <w:szCs w:val="20"/>
                <w:color w:val="auto"/>
              </w:rPr>
            </w:pPr>
            <w:r>
              <w:rPr>
                <w:rFonts w:ascii="Arial" w:cs="Arial" w:eastAsia="Arial" w:hAnsi="Arial"/>
                <w:sz w:val="12"/>
                <w:szCs w:val="12"/>
                <w:color w:val="auto"/>
              </w:rPr>
              <w:t>500</w:t>
            </w:r>
          </w:p>
        </w:tc>
        <w:tc>
          <w:tcPr>
            <w:tcW w:w="80" w:type="dxa"/>
            <w:vAlign w:val="bottom"/>
          </w:tcPr>
          <w:p>
            <w:pPr>
              <w:spacing w:after="0"/>
              <w:rPr>
                <w:sz w:val="12"/>
                <w:szCs w:val="12"/>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860" w:type="dxa"/>
            <w:vAlign w:val="bottom"/>
            <w:gridSpan w:val="2"/>
          </w:tcPr>
          <w:p>
            <w:pPr>
              <w:jc w:val="right"/>
              <w:spacing w:after="0"/>
              <w:rPr>
                <w:sz w:val="20"/>
                <w:szCs w:val="20"/>
                <w:color w:val="auto"/>
              </w:rPr>
            </w:pPr>
            <w:r>
              <w:rPr>
                <w:rFonts w:ascii="Arial" w:cs="Arial" w:eastAsia="Arial" w:hAnsi="Arial"/>
                <w:sz w:val="12"/>
                <w:szCs w:val="12"/>
                <w:color w:val="auto"/>
              </w:rPr>
              <w:t>784</w:t>
            </w:r>
          </w:p>
        </w:tc>
        <w:tc>
          <w:tcPr>
            <w:tcW w:w="92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280" w:type="dxa"/>
            <w:vAlign w:val="bottom"/>
          </w:tcPr>
          <w:p>
            <w:pPr>
              <w:jc w:val="right"/>
              <w:spacing w:after="0"/>
              <w:rPr>
                <w:sz w:val="20"/>
                <w:szCs w:val="20"/>
                <w:color w:val="auto"/>
              </w:rPr>
            </w:pPr>
            <w:r>
              <w:rPr>
                <w:rFonts w:ascii="Arial" w:cs="Arial" w:eastAsia="Arial" w:hAnsi="Arial"/>
                <w:sz w:val="12"/>
                <w:szCs w:val="12"/>
                <w:color w:val="auto"/>
              </w:rPr>
              <w:t>230</w:t>
            </w:r>
          </w:p>
        </w:tc>
        <w:tc>
          <w:tcPr>
            <w:tcW w:w="280" w:type="dxa"/>
            <w:vAlign w:val="bottom"/>
            <w:gridSpan w:val="3"/>
          </w:tcPr>
          <w:p>
            <w:pPr>
              <w:jc w:val="right"/>
              <w:ind w:right="66"/>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575</w:t>
            </w:r>
          </w:p>
        </w:tc>
        <w:tc>
          <w:tcPr>
            <w:tcW w:w="100" w:type="dxa"/>
            <w:vAlign w:val="bottom"/>
          </w:tcPr>
          <w:p>
            <w:pPr>
              <w:spacing w:after="0"/>
              <w:rPr>
                <w:sz w:val="12"/>
                <w:szCs w:val="12"/>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3,689</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1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ind w:right="481"/>
              <w:spacing w:after="0"/>
              <w:rPr>
                <w:sz w:val="20"/>
                <w:szCs w:val="20"/>
                <w:color w:val="auto"/>
              </w:rPr>
            </w:pPr>
            <w:r>
              <w:rPr>
                <w:rFonts w:ascii="Arial" w:cs="Arial" w:eastAsia="Arial" w:hAnsi="Arial"/>
                <w:sz w:val="12"/>
                <w:szCs w:val="12"/>
                <w:color w:val="auto"/>
              </w:rPr>
              <w:t>31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7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33" w:name="page34"/>
    <w:bookmarkEnd w:id="33"/>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Senior Notes</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Our senior notes include:</w:t>
      </w:r>
    </w:p>
    <w:p>
      <w:pPr>
        <w:spacing w:after="0" w:line="78" w:lineRule="exact"/>
        <w:rPr>
          <w:sz w:val="20"/>
          <w:szCs w:val="20"/>
          <w:color w:val="auto"/>
        </w:rPr>
      </w:pPr>
    </w:p>
    <w:p>
      <w:pPr>
        <w:ind w:left="860" w:hanging="220"/>
        <w:spacing w:after="0"/>
        <w:tabs>
          <w:tab w:leader="none" w:pos="860" w:val="left"/>
        </w:tabs>
        <w:numPr>
          <w:ilvl w:val="0"/>
          <w:numId w:val="24"/>
        </w:numPr>
        <w:rPr>
          <w:rFonts w:ascii="Arial" w:cs="Arial" w:eastAsia="Arial" w:hAnsi="Arial"/>
          <w:sz w:val="12"/>
          <w:szCs w:val="12"/>
          <w:color w:val="auto"/>
        </w:rPr>
      </w:pPr>
      <w:r>
        <w:rPr>
          <w:rFonts w:ascii="Arial" w:cs="Arial" w:eastAsia="Arial" w:hAnsi="Arial"/>
          <w:sz w:val="12"/>
          <w:szCs w:val="12"/>
          <w:color w:val="auto"/>
        </w:rPr>
        <w:t>$500 million aggregate principal amount of 6.125% Senior Secured Notes due 2025 issued in the second quarter of 2020 with a maturity date of September 15, 2025 (the “2025 Notes”).</w:t>
      </w:r>
    </w:p>
    <w:p>
      <w:pPr>
        <w:spacing w:after="0" w:line="42" w:lineRule="exact"/>
        <w:rPr>
          <w:rFonts w:ascii="Arial" w:cs="Arial" w:eastAsia="Arial" w:hAnsi="Arial"/>
          <w:sz w:val="12"/>
          <w:szCs w:val="12"/>
          <w:color w:val="auto"/>
        </w:rPr>
      </w:pPr>
    </w:p>
    <w:p>
      <w:pPr>
        <w:ind w:left="860" w:hanging="220"/>
        <w:spacing w:after="0"/>
        <w:tabs>
          <w:tab w:leader="none" w:pos="860" w:val="left"/>
        </w:tabs>
        <w:numPr>
          <w:ilvl w:val="0"/>
          <w:numId w:val="24"/>
        </w:numPr>
        <w:rPr>
          <w:rFonts w:ascii="Arial" w:cs="Arial" w:eastAsia="Arial" w:hAnsi="Arial"/>
          <w:sz w:val="12"/>
          <w:szCs w:val="12"/>
          <w:color w:val="auto"/>
        </w:rPr>
      </w:pPr>
      <w:r>
        <w:rPr>
          <w:rFonts w:ascii="Arial" w:cs="Arial" w:eastAsia="Arial" w:hAnsi="Arial"/>
          <w:sz w:val="12"/>
          <w:szCs w:val="12"/>
          <w:color w:val="auto"/>
        </w:rPr>
        <w:t>$750 million aggregate principal amount of 6.500% Senior Unsecured Notes due 2026 issued in the third quarter of 2018 with a maturity date of September 15, 2026 (the “2026 Notes”); and</w:t>
      </w:r>
    </w:p>
    <w:p>
      <w:pPr>
        <w:spacing w:after="0" w:line="42" w:lineRule="exact"/>
        <w:rPr>
          <w:rFonts w:ascii="Arial" w:cs="Arial" w:eastAsia="Arial" w:hAnsi="Arial"/>
          <w:sz w:val="12"/>
          <w:szCs w:val="12"/>
          <w:color w:val="auto"/>
        </w:rPr>
      </w:pPr>
    </w:p>
    <w:p>
      <w:pPr>
        <w:ind w:left="860" w:hanging="220"/>
        <w:spacing w:after="0"/>
        <w:tabs>
          <w:tab w:leader="none" w:pos="860" w:val="left"/>
        </w:tabs>
        <w:numPr>
          <w:ilvl w:val="0"/>
          <w:numId w:val="24"/>
        </w:numPr>
        <w:rPr>
          <w:rFonts w:ascii="Arial" w:cs="Arial" w:eastAsia="Arial" w:hAnsi="Arial"/>
          <w:sz w:val="12"/>
          <w:szCs w:val="12"/>
          <w:color w:val="auto"/>
        </w:rPr>
      </w:pPr>
      <w:r>
        <w:rPr>
          <w:rFonts w:ascii="Arial" w:cs="Arial" w:eastAsia="Arial" w:hAnsi="Arial"/>
          <w:sz w:val="12"/>
          <w:szCs w:val="12"/>
          <w:color w:val="auto"/>
        </w:rPr>
        <w:t>$350 million aggregate principal amount of 4.750% Senior Unsecured Notes due 2028 issued in the fourth quarter of 2019 with a maturity date of January 15, 2028 (the “2028 Notes”).</w:t>
      </w:r>
    </w:p>
    <w:p>
      <w:pPr>
        <w:spacing w:after="0" w:line="42" w:lineRule="exact"/>
        <w:rPr>
          <w:rFonts w:ascii="Arial" w:cs="Arial" w:eastAsia="Arial" w:hAnsi="Arial"/>
          <w:sz w:val="12"/>
          <w:szCs w:val="12"/>
          <w:color w:val="auto"/>
        </w:rPr>
      </w:pPr>
    </w:p>
    <w:p>
      <w:pPr>
        <w:ind w:left="860" w:hanging="220"/>
        <w:spacing w:after="0"/>
        <w:tabs>
          <w:tab w:leader="none" w:pos="860" w:val="left"/>
        </w:tabs>
        <w:numPr>
          <w:ilvl w:val="0"/>
          <w:numId w:val="24"/>
        </w:numPr>
        <w:rPr>
          <w:rFonts w:ascii="Arial" w:cs="Arial" w:eastAsia="Arial" w:hAnsi="Arial"/>
          <w:sz w:val="12"/>
          <w:szCs w:val="12"/>
          <w:color w:val="auto"/>
        </w:rPr>
      </w:pPr>
      <w:r>
        <w:rPr>
          <w:rFonts w:ascii="Arial" w:cs="Arial" w:eastAsia="Arial" w:hAnsi="Arial"/>
          <w:sz w:val="12"/>
          <w:szCs w:val="12"/>
          <w:color w:val="auto"/>
        </w:rPr>
        <w:t>$500 million aggregate principal amount of 4.500% Senior Unsecured Notes due 2029 issued in the second quarter of 2021 with a maturity date of June 15, 2029 (the “2029 Notes”).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Issuance of Senior Unsecured Notes</w:t>
      </w:r>
    </w:p>
    <w:p>
      <w:pPr>
        <w:spacing w:after="0" w:line="78" w:lineRule="exact"/>
        <w:rPr>
          <w:sz w:val="20"/>
          <w:szCs w:val="20"/>
          <w:color w:val="auto"/>
        </w:rPr>
      </w:pPr>
    </w:p>
    <w:p>
      <w:pPr>
        <w:ind w:right="200" w:firstLine="432"/>
        <w:spacing w:after="0" w:line="298" w:lineRule="auto"/>
        <w:rPr>
          <w:sz w:val="20"/>
          <w:szCs w:val="20"/>
          <w:color w:val="auto"/>
        </w:rPr>
      </w:pPr>
      <w:r>
        <w:rPr>
          <w:rFonts w:ascii="Arial" w:cs="Arial" w:eastAsia="Arial" w:hAnsi="Arial"/>
          <w:sz w:val="11"/>
          <w:szCs w:val="11"/>
          <w:color w:val="auto"/>
        </w:rPr>
        <w:t>The 2029 Notes were issued under an indenture dated June 21, 2021 with The Bank of New York Mellon Trust Company, N.A., as trustee. We received net proceeds of $493 million from the offering, after deducting the underwriting fees and transaction expenses. We intend to use these proceeds to redeem a portion of the 2026 Notes and pay transaction expenses and fees in connection with the transaction. We will pay interest on the 2029 Notes on June 15 and December 15 of each year, commencing on December 15, 2021. We may redeem some or all of the 2029 Notes prior to maturity under the terms provided in the indenture.</w:t>
      </w:r>
    </w:p>
    <w:p>
      <w:pPr>
        <w:spacing w:after="0" w:line="33" w:lineRule="exact"/>
        <w:rPr>
          <w:sz w:val="20"/>
          <w:szCs w:val="20"/>
          <w:color w:val="auto"/>
        </w:rPr>
      </w:pPr>
    </w:p>
    <w:p>
      <w:pPr>
        <w:ind w:right="120" w:firstLine="432"/>
        <w:spacing w:after="0" w:line="298" w:lineRule="auto"/>
        <w:rPr>
          <w:sz w:val="20"/>
          <w:szCs w:val="20"/>
          <w:color w:val="auto"/>
        </w:rPr>
      </w:pPr>
      <w:r>
        <w:rPr>
          <w:rFonts w:ascii="Arial" w:cs="Arial" w:eastAsia="Arial" w:hAnsi="Arial"/>
          <w:sz w:val="11"/>
          <w:szCs w:val="11"/>
          <w:color w:val="auto"/>
        </w:rPr>
        <w:t>During the second quarter of 2021, we delivered a redemption notice of $500 million aggregate principal amount of the issued and outstanding 2026 Notes pursuant to the terms of the indenture governing the 2026 Notes. On July 7, 2021, subsequent to the end of the second quarter of 2021, we redeemed, prior to maturity, $500 million aggregate principal amount of the 2026 Notes. In connection with this redemption, we expect to incur total charges of approximately $26 million, inclusive of a redemption premium and the write-off of unamortized debt issuance costs, which will be recorded in the third quarter of 2021.</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Corporate Credit Facility</w:t>
      </w:r>
    </w:p>
    <w:p>
      <w:pPr>
        <w:spacing w:after="0" w:line="78" w:lineRule="exact"/>
        <w:rPr>
          <w:sz w:val="20"/>
          <w:szCs w:val="20"/>
          <w:color w:val="auto"/>
        </w:rPr>
      </w:pPr>
    </w:p>
    <w:p>
      <w:pPr>
        <w:ind w:right="40" w:firstLine="432"/>
        <w:spacing w:after="0" w:line="323" w:lineRule="auto"/>
        <w:rPr>
          <w:sz w:val="20"/>
          <w:szCs w:val="20"/>
          <w:color w:val="auto"/>
        </w:rPr>
      </w:pPr>
      <w:r>
        <w:rPr>
          <w:rFonts w:ascii="Arial" w:cs="Arial" w:eastAsia="Arial" w:hAnsi="Arial"/>
          <w:sz w:val="11"/>
          <w:szCs w:val="11"/>
          <w:color w:val="auto"/>
        </w:rPr>
        <w:t>Our corporate credit facility (“Corporate Credit Facility”), which provides support for our business, including ongoing liquidity and letters of credit, includes a $900 million term loan facility (the “Term Loan”), which matures on August 31, 2025, and a revolving credit facility with a borrowing capacity of $600 million (the “Revolving Corporate Credit Facility”), including a letter of credit sub-facility of $75 million, that terminates on August 31, 2023.</w:t>
      </w:r>
    </w:p>
    <w:p>
      <w:pPr>
        <w:spacing w:after="0" w:line="20" w:lineRule="exact"/>
        <w:rPr>
          <w:sz w:val="20"/>
          <w:szCs w:val="20"/>
          <w:color w:val="auto"/>
        </w:rPr>
      </w:pPr>
    </w:p>
    <w:p>
      <w:pPr>
        <w:ind w:right="60" w:firstLine="432"/>
        <w:spacing w:after="0" w:line="263" w:lineRule="auto"/>
        <w:rPr>
          <w:sz w:val="20"/>
          <w:szCs w:val="20"/>
          <w:color w:val="auto"/>
        </w:rPr>
      </w:pPr>
      <w:r>
        <w:rPr>
          <w:rFonts w:ascii="Arial" w:cs="Arial" w:eastAsia="Arial" w:hAnsi="Arial"/>
          <w:sz w:val="12"/>
          <w:szCs w:val="12"/>
          <w:color w:val="auto"/>
        </w:rPr>
        <w:t>The Term Loan bears interest at LIBOR plus 1.75 percent. Borrowings under the Revolving Corporate Credit Facility generally bear interest at a floating rate plus an applicable margin that varies from 0.50 percent to 2.75 percent depending on the type of loan and our credit rating. In addition, we pay a commitment fee on the unused availability under the Revolving Corporate Credit Facility at a rate that varies from 20 to 40 basis points per annum, also depending on our credit rating.</w:t>
      </w:r>
    </w:p>
    <w:p>
      <w:pPr>
        <w:spacing w:after="0" w:line="50" w:lineRule="exact"/>
        <w:rPr>
          <w:sz w:val="20"/>
          <w:szCs w:val="20"/>
          <w:color w:val="auto"/>
        </w:rPr>
      </w:pPr>
    </w:p>
    <w:p>
      <w:pPr>
        <w:ind w:firstLine="432"/>
        <w:spacing w:after="0" w:line="255" w:lineRule="auto"/>
        <w:rPr>
          <w:sz w:val="20"/>
          <w:szCs w:val="20"/>
          <w:color w:val="auto"/>
        </w:rPr>
      </w:pPr>
      <w:r>
        <w:rPr>
          <w:rFonts w:ascii="Arial" w:cs="Arial" w:eastAsia="Arial" w:hAnsi="Arial"/>
          <w:sz w:val="12"/>
          <w:szCs w:val="12"/>
          <w:color w:val="auto"/>
        </w:rPr>
        <w:t>In 2020, we entered into a waiver (the “Waiver”) to the agreement that governs our Corporate Credit Facility, which, among other things, suspended the requirement to comply with the leverage covenant in the Revolving Corporate Credit Facility, commencing with the fiscal quarter ending June 30, 2020. The initial suspension period included in the Waiver was up to four quarters, however in February 2021, we further amended the agreement governing our Corporate Credit Facility to extend the suspension period included in the Waiver through the end of 2021. We are required to maintain monthly minimum liquidity of at least $300 million until the later of December 31, 2021 or the end of the suspension period. In addition, for the duration of the period during which the waiver of the leverage covenant remains in effect, we are prohibited from making certain restricted payments, including share repurchases and dividends. While we are currently evaluating whether to terminate the Waiver early, if we are not in compliance with the leverage covenant at the end of the suspension period, we will seek to negotiate with our lenders to amend such covenant, as needed.</w:t>
      </w:r>
    </w:p>
    <w:p>
      <w:pPr>
        <w:spacing w:after="0" w:line="56" w:lineRule="exact"/>
        <w:rPr>
          <w:sz w:val="20"/>
          <w:szCs w:val="20"/>
          <w:color w:val="auto"/>
        </w:rPr>
      </w:pPr>
    </w:p>
    <w:p>
      <w:pPr>
        <w:ind w:right="20" w:firstLine="432"/>
        <w:spacing w:after="0" w:line="256" w:lineRule="auto"/>
        <w:rPr>
          <w:sz w:val="20"/>
          <w:szCs w:val="20"/>
          <w:color w:val="auto"/>
        </w:rPr>
      </w:pPr>
      <w:r>
        <w:rPr>
          <w:rFonts w:ascii="Arial" w:cs="Arial" w:eastAsia="Arial" w:hAnsi="Arial"/>
          <w:sz w:val="12"/>
          <w:szCs w:val="12"/>
          <w:color w:val="auto"/>
        </w:rPr>
        <w:t>Prior to 2020, we entered into $250 million of interest rate swaps under which we pay a fixed rate of 2.9625 percent and receive a floating interest rate through September 2023 and $200 million of interest rate swaps under which we pay a fixed rate of 2.2480 percent and receive a floating interest rate through April 2024, in each case to hedge a portion of our interest rate risk on the Term Loan. We also entered into a $100 million interest rate collar with a cap strike rate of 2.5000 percent and a floor strike rate of 1.8810 percent through April 2024 to further hedge our interest rate risk on the Term Loan. Both the interest rate swaps and the interest rate collar have been designated and qualify as cash flow hedges of interest rate risk and recorded in Other liabilities on our Balance Sheet as of June 30, 2021 and December 31, 2020. We characterize payments we make in connection with these derivative instruments as interest expense and a reclassification of accumulated other comprehensive income for presentation purposes.</w:t>
      </w:r>
    </w:p>
    <w:p>
      <w:pPr>
        <w:spacing w:after="0" w:line="119" w:lineRule="exact"/>
        <w:rPr>
          <w:sz w:val="20"/>
          <w:szCs w:val="20"/>
          <w:color w:val="auto"/>
        </w:rPr>
      </w:pPr>
    </w:p>
    <w:p>
      <w:pPr>
        <w:jc w:val="center"/>
        <w:ind w:left="420"/>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191135</wp:posOffset>
            </wp:positionV>
            <wp:extent cx="7203440"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275" w:right="319" w:bottom="1440" w:gutter="0" w:footer="0" w:header="0"/>
        </w:sectPr>
      </w:pPr>
    </w:p>
    <w:bookmarkStart w:id="34" w:name="page35"/>
    <w:bookmarkEnd w:id="34"/>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4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reflects the activity in accumulated other comprehensive loss related to our derivative instruments during the first and second quarters of 2021 and 2020:</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96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52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right"/>
              <w:ind w:right="881"/>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jc w:val="right"/>
              <w:ind w:right="901"/>
              <w:spacing w:after="0"/>
              <w:rPr>
                <w:sz w:val="20"/>
                <w:szCs w:val="20"/>
                <w:color w:val="auto"/>
              </w:rPr>
            </w:pPr>
            <w:r>
              <w:rPr>
                <w:rFonts w:ascii="Arial" w:cs="Arial" w:eastAsia="Arial" w:hAnsi="Arial"/>
                <w:sz w:val="11"/>
                <w:szCs w:val="11"/>
                <w:b w:val="1"/>
                <w:bCs w:val="1"/>
                <w:color w:val="auto"/>
              </w:rPr>
              <w:t>2020</w:t>
            </w:r>
          </w:p>
        </w:tc>
      </w:tr>
      <w:tr>
        <w:trPr>
          <w:trHeight w:val="144"/>
        </w:trPr>
        <w:tc>
          <w:tcPr>
            <w:tcW w:w="6960" w:type="dxa"/>
            <w:vAlign w:val="bottom"/>
            <w:shd w:val="clear" w:color="auto" w:fill="CCEEFF"/>
          </w:tcPr>
          <w:p>
            <w:pPr>
              <w:spacing w:after="0"/>
              <w:rPr>
                <w:sz w:val="20"/>
                <w:szCs w:val="20"/>
                <w:color w:val="auto"/>
              </w:rPr>
            </w:pPr>
            <w:r>
              <w:rPr>
                <w:rFonts w:ascii="Arial" w:cs="Arial" w:eastAsia="Arial" w:hAnsi="Arial"/>
                <w:sz w:val="12"/>
                <w:szCs w:val="12"/>
                <w:color w:val="auto"/>
              </w:rPr>
              <w:t>Derivative instrument adjustment balance, January 1</w:t>
            </w:r>
          </w:p>
        </w:tc>
        <w:tc>
          <w:tcPr>
            <w:tcW w:w="520" w:type="dxa"/>
            <w:vAlign w:val="bottom"/>
            <w:shd w:val="clear" w:color="auto" w:fill="CCEEFF"/>
          </w:tcPr>
          <w:p>
            <w:pPr>
              <w:jc w:val="right"/>
              <w:ind w:right="380"/>
              <w:spacing w:after="0"/>
              <w:rPr>
                <w:sz w:val="20"/>
                <w:szCs w:val="20"/>
                <w:color w:val="auto"/>
              </w:rPr>
            </w:pPr>
            <w:r>
              <w:rPr>
                <w:rFonts w:ascii="Arial" w:cs="Arial" w:eastAsia="Arial" w:hAnsi="Arial"/>
                <w:sz w:val="12"/>
                <w:szCs w:val="12"/>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412"/>
              <w:spacing w:after="0"/>
              <w:rPr>
                <w:sz w:val="20"/>
                <w:szCs w:val="20"/>
                <w:color w:val="auto"/>
              </w:rPr>
            </w:pPr>
            <w:r>
              <w:rPr>
                <w:rFonts w:ascii="Arial" w:cs="Arial" w:eastAsia="Arial" w:hAnsi="Arial"/>
                <w:sz w:val="10"/>
                <w:szCs w:val="10"/>
                <w:color w:val="auto"/>
                <w:w w:val="71"/>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w:t>
            </w:r>
          </w:p>
        </w:tc>
      </w:tr>
      <w:tr>
        <w:trPr>
          <w:trHeight w:val="153"/>
        </w:trPr>
        <w:tc>
          <w:tcPr>
            <w:tcW w:w="6960" w:type="dxa"/>
            <w:vAlign w:val="bottom"/>
          </w:tcPr>
          <w:p>
            <w:pPr>
              <w:ind w:left="140"/>
              <w:spacing w:after="0"/>
              <w:rPr>
                <w:sz w:val="20"/>
                <w:szCs w:val="20"/>
                <w:color w:val="auto"/>
              </w:rPr>
            </w:pPr>
            <w:r>
              <w:rPr>
                <w:rFonts w:ascii="Arial" w:cs="Arial" w:eastAsia="Arial" w:hAnsi="Arial"/>
                <w:sz w:val="12"/>
                <w:szCs w:val="12"/>
                <w:color w:val="auto"/>
              </w:rPr>
              <w:t>Other comprehensive gain (loss) before reclassifications</w:t>
            </w:r>
          </w:p>
        </w:tc>
        <w:tc>
          <w:tcPr>
            <w:tcW w:w="52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(24)</w:t>
            </w:r>
          </w:p>
        </w:tc>
      </w:tr>
      <w:tr>
        <w:trPr>
          <w:trHeight w:val="153"/>
        </w:trPr>
        <w:tc>
          <w:tcPr>
            <w:tcW w:w="69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Reclassification to Income Statement</w:t>
            </w:r>
          </w:p>
        </w:tc>
        <w:tc>
          <w:tcPr>
            <w:tcW w:w="520" w:type="dxa"/>
            <w:vAlign w:val="bottom"/>
            <w:shd w:val="clear" w:color="auto" w:fill="CCEEFF"/>
          </w:tcPr>
          <w:p>
            <w:pPr>
              <w:spacing w:after="0"/>
              <w:rPr>
                <w:sz w:val="13"/>
                <w:szCs w:val="13"/>
                <w:color w:val="auto"/>
              </w:rPr>
            </w:pP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spacing w:after="0"/>
              <w:rPr>
                <w:sz w:val="13"/>
                <w:szCs w:val="13"/>
                <w:color w:val="auto"/>
              </w:rPr>
            </w:pPr>
          </w:p>
        </w:tc>
        <w:tc>
          <w:tcPr>
            <w:tcW w:w="16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r>
      <w:tr>
        <w:trPr>
          <w:trHeight w:val="142"/>
        </w:trPr>
        <w:tc>
          <w:tcPr>
            <w:tcW w:w="6960" w:type="dxa"/>
            <w:vAlign w:val="bottom"/>
            <w:tcBorders>
              <w:bottom w:val="single" w:sz="8" w:color="CCEEFF"/>
            </w:tcBorders>
          </w:tcPr>
          <w:p>
            <w:pPr>
              <w:ind w:left="300"/>
              <w:spacing w:after="0"/>
              <w:rPr>
                <w:sz w:val="20"/>
                <w:szCs w:val="20"/>
                <w:color w:val="auto"/>
              </w:rPr>
            </w:pPr>
            <w:r>
              <w:rPr>
                <w:rFonts w:ascii="Arial" w:cs="Arial" w:eastAsia="Arial" w:hAnsi="Arial"/>
                <w:sz w:val="12"/>
                <w:szCs w:val="12"/>
                <w:color w:val="auto"/>
              </w:rPr>
              <w:t>Net other comprehensive income (loss)</w:t>
            </w:r>
          </w:p>
        </w:tc>
        <w:tc>
          <w:tcPr>
            <w:tcW w:w="520" w:type="dxa"/>
            <w:vAlign w:val="bottom"/>
            <w:tcBorders>
              <w:top w:val="single" w:sz="8" w:color="auto"/>
              <w:bottom w:val="single" w:sz="8" w:color="auto"/>
            </w:tcBorders>
          </w:tcPr>
          <w:p>
            <w:pPr>
              <w:spacing w:after="0"/>
              <w:rPr>
                <w:sz w:val="12"/>
                <w:szCs w:val="12"/>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w:t>
            </w:r>
          </w:p>
        </w:tc>
        <w:tc>
          <w:tcPr>
            <w:tcW w:w="10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(24)</w:t>
            </w:r>
          </w:p>
        </w:tc>
      </w:tr>
      <w:tr>
        <w:trPr>
          <w:trHeight w:val="142"/>
        </w:trPr>
        <w:tc>
          <w:tcPr>
            <w:tcW w:w="6960" w:type="dxa"/>
            <w:vAlign w:val="bottom"/>
            <w:shd w:val="clear" w:color="auto" w:fill="CCEEFF"/>
          </w:tcPr>
          <w:p>
            <w:pPr>
              <w:spacing w:after="0"/>
              <w:rPr>
                <w:sz w:val="20"/>
                <w:szCs w:val="20"/>
                <w:color w:val="auto"/>
              </w:rPr>
            </w:pPr>
            <w:r>
              <w:rPr>
                <w:rFonts w:ascii="Arial" w:cs="Arial" w:eastAsia="Arial" w:hAnsi="Arial"/>
                <w:sz w:val="12"/>
                <w:szCs w:val="12"/>
                <w:color w:val="auto"/>
              </w:rPr>
              <w:t>Derivative instrument adjustment balance, March 31</w:t>
            </w:r>
          </w:p>
        </w:tc>
        <w:tc>
          <w:tcPr>
            <w:tcW w:w="520" w:type="dxa"/>
            <w:vAlign w:val="bottom"/>
            <w:shd w:val="clear" w:color="auto" w:fill="CCEEFF"/>
          </w:tcPr>
          <w:p>
            <w:pPr>
              <w:spacing w:after="0"/>
              <w:rPr>
                <w:sz w:val="12"/>
                <w:szCs w:val="1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w:t>
            </w:r>
          </w:p>
        </w:tc>
      </w:tr>
      <w:tr>
        <w:trPr>
          <w:trHeight w:val="153"/>
        </w:trPr>
        <w:tc>
          <w:tcPr>
            <w:tcW w:w="6960" w:type="dxa"/>
            <w:vAlign w:val="bottom"/>
          </w:tcPr>
          <w:p>
            <w:pPr>
              <w:ind w:left="140"/>
              <w:spacing w:after="0"/>
              <w:rPr>
                <w:sz w:val="20"/>
                <w:szCs w:val="20"/>
                <w:color w:val="auto"/>
              </w:rPr>
            </w:pPr>
            <w:r>
              <w:rPr>
                <w:rFonts w:ascii="Arial" w:cs="Arial" w:eastAsia="Arial" w:hAnsi="Arial"/>
                <w:sz w:val="12"/>
                <w:szCs w:val="12"/>
                <w:color w:val="auto"/>
              </w:rPr>
              <w:t>Other comprehensive gain (loss) before reclassifications</w:t>
            </w:r>
          </w:p>
        </w:tc>
        <w:tc>
          <w:tcPr>
            <w:tcW w:w="52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(1)</w:t>
            </w:r>
          </w:p>
        </w:tc>
      </w:tr>
      <w:tr>
        <w:trPr>
          <w:trHeight w:val="153"/>
        </w:trPr>
        <w:tc>
          <w:tcPr>
            <w:tcW w:w="69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Reclassification to Income Statement</w:t>
            </w:r>
          </w:p>
        </w:tc>
        <w:tc>
          <w:tcPr>
            <w:tcW w:w="520" w:type="dxa"/>
            <w:vAlign w:val="bottom"/>
            <w:shd w:val="clear" w:color="auto" w:fill="CCEEFF"/>
          </w:tcPr>
          <w:p>
            <w:pPr>
              <w:spacing w:after="0"/>
              <w:rPr>
                <w:sz w:val="13"/>
                <w:szCs w:val="13"/>
                <w:color w:val="auto"/>
              </w:rPr>
            </w:pP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spacing w:after="0"/>
              <w:rPr>
                <w:sz w:val="13"/>
                <w:szCs w:val="13"/>
                <w:color w:val="auto"/>
              </w:rPr>
            </w:pPr>
          </w:p>
        </w:tc>
        <w:tc>
          <w:tcPr>
            <w:tcW w:w="16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r>
      <w:tr>
        <w:trPr>
          <w:trHeight w:val="142"/>
        </w:trPr>
        <w:tc>
          <w:tcPr>
            <w:tcW w:w="6960" w:type="dxa"/>
            <w:vAlign w:val="bottom"/>
            <w:tcBorders>
              <w:bottom w:val="single" w:sz="8" w:color="CCEEFF"/>
            </w:tcBorders>
          </w:tcPr>
          <w:p>
            <w:pPr>
              <w:ind w:left="300"/>
              <w:spacing w:after="0"/>
              <w:rPr>
                <w:sz w:val="20"/>
                <w:szCs w:val="20"/>
                <w:color w:val="auto"/>
              </w:rPr>
            </w:pPr>
            <w:r>
              <w:rPr>
                <w:rFonts w:ascii="Arial" w:cs="Arial" w:eastAsia="Arial" w:hAnsi="Arial"/>
                <w:sz w:val="12"/>
                <w:szCs w:val="12"/>
                <w:color w:val="auto"/>
              </w:rPr>
              <w:t>Net other comprehensive income (loss)</w:t>
            </w:r>
          </w:p>
        </w:tc>
        <w:tc>
          <w:tcPr>
            <w:tcW w:w="520" w:type="dxa"/>
            <w:vAlign w:val="bottom"/>
            <w:tcBorders>
              <w:top w:val="single" w:sz="8" w:color="auto"/>
              <w:bottom w:val="single" w:sz="8" w:color="auto"/>
            </w:tcBorders>
          </w:tcPr>
          <w:p>
            <w:pPr>
              <w:spacing w:after="0"/>
              <w:rPr>
                <w:sz w:val="12"/>
                <w:szCs w:val="12"/>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w:t>
            </w:r>
          </w:p>
        </w:tc>
        <w:tc>
          <w:tcPr>
            <w:tcW w:w="10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w:t>
            </w:r>
          </w:p>
        </w:tc>
      </w:tr>
      <w:tr>
        <w:trPr>
          <w:trHeight w:val="158"/>
        </w:trPr>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Derivative instrument adjustment balance, June 30</w:t>
            </w:r>
          </w:p>
        </w:tc>
        <w:tc>
          <w:tcPr>
            <w:tcW w:w="520" w:type="dxa"/>
            <w:vAlign w:val="bottom"/>
            <w:tcBorders>
              <w:bottom w:val="single" w:sz="8" w:color="auto"/>
            </w:tcBorders>
            <w:shd w:val="clear" w:color="auto" w:fill="CCEEFF"/>
          </w:tcPr>
          <w:p>
            <w:pPr>
              <w:jc w:val="right"/>
              <w:ind w:right="380"/>
              <w:spacing w:after="0"/>
              <w:rPr>
                <w:sz w:val="20"/>
                <w:szCs w:val="20"/>
                <w:color w:val="auto"/>
              </w:rPr>
            </w:pPr>
            <w:r>
              <w:rPr>
                <w:rFonts w:ascii="Arial" w:cs="Arial" w:eastAsia="Arial" w:hAnsi="Arial"/>
                <w:sz w:val="12"/>
                <w:szCs w:val="12"/>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w:t>
            </w:r>
          </w:p>
        </w:tc>
        <w:tc>
          <w:tcPr>
            <w:tcW w:w="10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0"/>
                <w:szCs w:val="10"/>
                <w:color w:val="auto"/>
                <w:w w:val="71"/>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w:t>
            </w:r>
          </w:p>
        </w:tc>
      </w:tr>
    </w:tbl>
    <w:p>
      <w:pPr>
        <w:spacing w:after="0" w:line="21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Convertible Notes</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2022 Convertible Notes</w:t>
      </w:r>
    </w:p>
    <w:p>
      <w:pPr>
        <w:spacing w:after="0" w:line="78" w:lineRule="exact"/>
        <w:rPr>
          <w:sz w:val="20"/>
          <w:szCs w:val="20"/>
          <w:color w:val="auto"/>
        </w:rPr>
      </w:pPr>
    </w:p>
    <w:p>
      <w:pPr>
        <w:ind w:right="160" w:firstLine="432"/>
        <w:spacing w:after="0" w:line="276" w:lineRule="auto"/>
        <w:rPr>
          <w:sz w:val="20"/>
          <w:szCs w:val="20"/>
          <w:color w:val="auto"/>
        </w:rPr>
      </w:pPr>
      <w:r>
        <w:rPr>
          <w:rFonts w:ascii="Arial" w:cs="Arial" w:eastAsia="Arial" w:hAnsi="Arial"/>
          <w:sz w:val="12"/>
          <w:szCs w:val="12"/>
          <w:color w:val="auto"/>
        </w:rPr>
        <w:t>During 2017, we issued $230 million of aggregate principal amount of convertible senior notes (the “2022 Convertible Notes”) that bear interest at a rate of 1.50 percent, payable in cash semi-annually. The 2022 Convertible Notes mature on September 15, 2022, unless repurchased or converted in accordance with their terms prior to that date.</w:t>
      </w:r>
    </w:p>
    <w:p>
      <w:pPr>
        <w:spacing w:after="0" w:line="43" w:lineRule="exact"/>
        <w:rPr>
          <w:sz w:val="20"/>
          <w:szCs w:val="20"/>
          <w:color w:val="auto"/>
        </w:rPr>
      </w:pPr>
    </w:p>
    <w:p>
      <w:pPr>
        <w:ind w:firstLine="432"/>
        <w:spacing w:after="0" w:line="285" w:lineRule="auto"/>
        <w:rPr>
          <w:sz w:val="20"/>
          <w:szCs w:val="20"/>
          <w:color w:val="auto"/>
        </w:rPr>
      </w:pPr>
      <w:r>
        <w:rPr>
          <w:rFonts w:ascii="Arial" w:cs="Arial" w:eastAsia="Arial" w:hAnsi="Arial"/>
          <w:sz w:val="11"/>
          <w:szCs w:val="11"/>
          <w:color w:val="auto"/>
        </w:rPr>
        <w:t>The conversion rate is subject to adjustment for certain events as described in the indenture governing the notes, and was subject to adjustment as of June 30, 2021 to 6.8115 shares of common stock per $1,000 principal amount of 2022 Convertible Notes (equivalent to a conversion price of $146.81 per share of our common stock), as a result of the dividends that have been declared since issuance that were greater than the quarterly dividend when the 2022 Convertible Notes were issued. Upon conversion, we will pay or deliver, as the case may be, cash, shares of our common stock or a combination of cash and shares of our common stock, at our election. It is our intent to settle conversions of the 2022 Convertible Notes through combination settlement, which contemplates repayment in cash of the principal amount and repayment in shares of our common stock of any excess of the conversion value over the principal amount. As of June 30, 2021, the effective interest rate was 4.73% and the remaining discount amortization period was 1.2 years.</w:t>
      </w:r>
    </w:p>
    <w:p>
      <w:pPr>
        <w:spacing w:after="0" w:line="4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shows the net carrying value of the 2022 Convertible Notes.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000" w:type="dxa"/>
            <w:vAlign w:val="bottom"/>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380" w:type="dxa"/>
            <w:vAlign w:val="bottom"/>
          </w:tcPr>
          <w:p>
            <w:pPr>
              <w:spacing w:after="0"/>
              <w:rPr>
                <w:sz w:val="12"/>
                <w:szCs w:val="12"/>
                <w:color w:val="auto"/>
              </w:rPr>
            </w:pPr>
          </w:p>
        </w:tc>
        <w:tc>
          <w:tcPr>
            <w:tcW w:w="1800" w:type="dxa"/>
            <w:vAlign w:val="bottom"/>
            <w:gridSpan w:val="2"/>
          </w:tcPr>
          <w:p>
            <w:pPr>
              <w:ind w:left="280"/>
              <w:spacing w:after="0"/>
              <w:rPr>
                <w:sz w:val="20"/>
                <w:szCs w:val="20"/>
                <w:color w:val="auto"/>
              </w:rPr>
            </w:pPr>
            <w:r>
              <w:rPr>
                <w:rFonts w:ascii="Arial" w:cs="Arial" w:eastAsia="Arial" w:hAnsi="Arial"/>
                <w:sz w:val="11"/>
                <w:szCs w:val="11"/>
                <w:b w:val="1"/>
                <w:bCs w:val="1"/>
                <w:color w:val="auto"/>
              </w:rPr>
              <w:t>At June 30, 2021</w:t>
            </w:r>
          </w:p>
        </w:tc>
        <w:tc>
          <w:tcPr>
            <w:tcW w:w="320" w:type="dxa"/>
            <w:vAlign w:val="bottom"/>
          </w:tcPr>
          <w:p>
            <w:pPr>
              <w:spacing w:after="0"/>
              <w:rPr>
                <w:sz w:val="12"/>
                <w:szCs w:val="12"/>
                <w:color w:val="auto"/>
              </w:rPr>
            </w:pPr>
          </w:p>
        </w:tc>
        <w:tc>
          <w:tcPr>
            <w:tcW w:w="1800" w:type="dxa"/>
            <w:vAlign w:val="bottom"/>
          </w:tcPr>
          <w:p>
            <w:pPr>
              <w:jc w:val="right"/>
              <w:ind w:right="501"/>
              <w:spacing w:after="0"/>
              <w:rPr>
                <w:sz w:val="20"/>
                <w:szCs w:val="20"/>
                <w:color w:val="auto"/>
              </w:rPr>
            </w:pPr>
            <w:r>
              <w:rPr>
                <w:rFonts w:ascii="Arial" w:cs="Arial" w:eastAsia="Arial" w:hAnsi="Arial"/>
                <w:sz w:val="11"/>
                <w:szCs w:val="11"/>
                <w:b w:val="1"/>
                <w:bCs w:val="1"/>
                <w:color w:val="auto"/>
              </w:rPr>
              <w:t>At December 31, 2020</w:t>
            </w:r>
          </w:p>
        </w:tc>
      </w:tr>
      <w:tr>
        <w:trPr>
          <w:trHeight w:val="135"/>
        </w:trPr>
        <w:tc>
          <w:tcPr>
            <w:tcW w:w="7000" w:type="dxa"/>
            <w:vAlign w:val="bottom"/>
            <w:tcBorders>
              <w:top w:val="single" w:sz="8" w:color="CCEEFF"/>
            </w:tcBorders>
            <w:shd w:val="clear" w:color="auto" w:fill="CCEEFF"/>
          </w:tcPr>
          <w:p>
            <w:pPr>
              <w:spacing w:after="0" w:line="135" w:lineRule="exact"/>
              <w:rPr>
                <w:sz w:val="20"/>
                <w:szCs w:val="20"/>
                <w:color w:val="auto"/>
              </w:rPr>
            </w:pPr>
            <w:r>
              <w:rPr>
                <w:rFonts w:ascii="Arial" w:cs="Arial" w:eastAsia="Arial" w:hAnsi="Arial"/>
                <w:sz w:val="12"/>
                <w:szCs w:val="12"/>
                <w:color w:val="auto"/>
              </w:rPr>
              <w:t>Liability component</w:t>
            </w:r>
          </w:p>
        </w:tc>
        <w:tc>
          <w:tcPr>
            <w:tcW w:w="380" w:type="dxa"/>
            <w:vAlign w:val="bottom"/>
            <w:tcBorders>
              <w:top w:val="single" w:sz="8" w:color="auto"/>
            </w:tcBorders>
            <w:shd w:val="clear" w:color="auto" w:fill="CCEEFF"/>
          </w:tcPr>
          <w:p>
            <w:pPr>
              <w:spacing w:after="0"/>
              <w:rPr>
                <w:sz w:val="11"/>
                <w:szCs w:val="11"/>
                <w:color w:val="auto"/>
              </w:rPr>
            </w:pPr>
          </w:p>
        </w:tc>
        <w:tc>
          <w:tcPr>
            <w:tcW w:w="17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800" w:type="dxa"/>
            <w:vAlign w:val="bottom"/>
            <w:tcBorders>
              <w:top w:val="single" w:sz="8" w:color="auto"/>
            </w:tcBorders>
            <w:shd w:val="clear" w:color="auto" w:fill="CCEEFF"/>
          </w:tcPr>
          <w:p>
            <w:pPr>
              <w:spacing w:after="0"/>
              <w:rPr>
                <w:sz w:val="11"/>
                <w:szCs w:val="11"/>
                <w:color w:val="auto"/>
              </w:rPr>
            </w:pPr>
          </w:p>
        </w:tc>
      </w:tr>
      <w:tr>
        <w:trPr>
          <w:trHeight w:val="153"/>
        </w:trPr>
        <w:tc>
          <w:tcPr>
            <w:tcW w:w="7000" w:type="dxa"/>
            <w:vAlign w:val="bottom"/>
          </w:tcPr>
          <w:p>
            <w:pPr>
              <w:ind w:left="140"/>
              <w:spacing w:after="0"/>
              <w:rPr>
                <w:sz w:val="20"/>
                <w:szCs w:val="20"/>
                <w:color w:val="auto"/>
              </w:rPr>
            </w:pPr>
            <w:r>
              <w:rPr>
                <w:rFonts w:ascii="Arial" w:cs="Arial" w:eastAsia="Arial" w:hAnsi="Arial"/>
                <w:sz w:val="12"/>
                <w:szCs w:val="12"/>
                <w:color w:val="auto"/>
              </w:rPr>
              <w:t>Principal amount</w:t>
            </w:r>
          </w:p>
        </w:tc>
        <w:tc>
          <w:tcPr>
            <w:tcW w:w="380" w:type="dxa"/>
            <w:vAlign w:val="bottom"/>
          </w:tcPr>
          <w:p>
            <w:pPr>
              <w:jc w:val="right"/>
              <w:ind w:right="240"/>
              <w:spacing w:after="0"/>
              <w:rPr>
                <w:sz w:val="20"/>
                <w:szCs w:val="20"/>
                <w:color w:val="auto"/>
              </w:rPr>
            </w:pPr>
            <w:r>
              <w:rPr>
                <w:rFonts w:ascii="Arial" w:cs="Arial" w:eastAsia="Arial" w:hAnsi="Arial"/>
                <w:sz w:val="12"/>
                <w:szCs w:val="12"/>
                <w:color w:val="auto"/>
                <w:w w:val="89"/>
              </w:rPr>
              <w:t>$</w:t>
            </w:r>
          </w:p>
        </w:tc>
        <w:tc>
          <w:tcPr>
            <w:tcW w:w="1720" w:type="dxa"/>
            <w:vAlign w:val="bottom"/>
          </w:tcPr>
          <w:p>
            <w:pPr>
              <w:jc w:val="right"/>
              <w:spacing w:after="0"/>
              <w:rPr>
                <w:sz w:val="20"/>
                <w:szCs w:val="20"/>
                <w:color w:val="auto"/>
              </w:rPr>
            </w:pPr>
            <w:r>
              <w:rPr>
                <w:rFonts w:ascii="Arial" w:cs="Arial" w:eastAsia="Arial" w:hAnsi="Arial"/>
                <w:sz w:val="12"/>
                <w:szCs w:val="12"/>
                <w:color w:val="auto"/>
              </w:rPr>
              <w:t>230</w:t>
            </w:r>
          </w:p>
        </w:tc>
        <w:tc>
          <w:tcPr>
            <w:tcW w:w="80" w:type="dxa"/>
            <w:vAlign w:val="bottom"/>
          </w:tcPr>
          <w:p>
            <w:pPr>
              <w:spacing w:after="0"/>
              <w:rPr>
                <w:sz w:val="13"/>
                <w:szCs w:val="13"/>
                <w:color w:val="auto"/>
              </w:rPr>
            </w:pP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800" w:type="dxa"/>
            <w:vAlign w:val="bottom"/>
          </w:tcPr>
          <w:p>
            <w:pPr>
              <w:jc w:val="right"/>
              <w:ind w:right="1"/>
              <w:spacing w:after="0"/>
              <w:rPr>
                <w:sz w:val="20"/>
                <w:szCs w:val="20"/>
                <w:color w:val="auto"/>
              </w:rPr>
            </w:pPr>
            <w:r>
              <w:rPr>
                <w:rFonts w:ascii="Arial" w:cs="Arial" w:eastAsia="Arial" w:hAnsi="Arial"/>
                <w:sz w:val="12"/>
                <w:szCs w:val="12"/>
                <w:color w:val="auto"/>
              </w:rPr>
              <w:t>230</w:t>
            </w:r>
          </w:p>
        </w:tc>
      </w:tr>
      <w:tr>
        <w:trPr>
          <w:trHeight w:val="153"/>
        </w:trPr>
        <w:tc>
          <w:tcPr>
            <w:tcW w:w="70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Unamortized debt discount</w:t>
            </w:r>
          </w:p>
        </w:tc>
        <w:tc>
          <w:tcPr>
            <w:tcW w:w="380" w:type="dxa"/>
            <w:vAlign w:val="bottom"/>
            <w:shd w:val="clear" w:color="auto" w:fill="CCEEFF"/>
          </w:tcPr>
          <w:p>
            <w:pPr>
              <w:spacing w:after="0"/>
              <w:rPr>
                <w:sz w:val="13"/>
                <w:szCs w:val="13"/>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w:t>
            </w:r>
          </w:p>
        </w:tc>
      </w:tr>
      <w:tr>
        <w:trPr>
          <w:trHeight w:val="153"/>
        </w:trPr>
        <w:tc>
          <w:tcPr>
            <w:tcW w:w="700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Unamortized debt issuance costs</w:t>
            </w:r>
          </w:p>
        </w:tc>
        <w:tc>
          <w:tcPr>
            <w:tcW w:w="38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w:t>
            </w:r>
          </w:p>
        </w:tc>
      </w:tr>
      <w:tr>
        <w:trPr>
          <w:trHeight w:val="158"/>
        </w:trPr>
        <w:tc>
          <w:tcPr>
            <w:tcW w:w="7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Net carrying amount of the liability component</w:t>
            </w:r>
          </w:p>
        </w:tc>
        <w:tc>
          <w:tcPr>
            <w:tcW w:w="38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219</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8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215</w:t>
            </w:r>
          </w:p>
        </w:tc>
      </w:tr>
      <w:tr>
        <w:trPr>
          <w:trHeight w:val="153"/>
        </w:trPr>
        <w:tc>
          <w:tcPr>
            <w:tcW w:w="70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0" w:type="dxa"/>
            <w:vAlign w:val="bottom"/>
          </w:tcPr>
          <w:p>
            <w:pPr>
              <w:spacing w:after="0"/>
              <w:rPr>
                <w:sz w:val="13"/>
                <w:szCs w:val="13"/>
                <w:color w:val="auto"/>
              </w:rPr>
            </w:pPr>
          </w:p>
        </w:tc>
      </w:tr>
      <w:tr>
        <w:trPr>
          <w:trHeight w:val="153"/>
        </w:trPr>
        <w:tc>
          <w:tcPr>
            <w:tcW w:w="7000" w:type="dxa"/>
            <w:vAlign w:val="bottom"/>
            <w:shd w:val="clear" w:color="auto" w:fill="CCEEFF"/>
          </w:tcPr>
          <w:p>
            <w:pPr>
              <w:spacing w:after="0"/>
              <w:rPr>
                <w:sz w:val="20"/>
                <w:szCs w:val="20"/>
                <w:color w:val="auto"/>
              </w:rPr>
            </w:pPr>
            <w:r>
              <w:rPr>
                <w:rFonts w:ascii="Arial" w:cs="Arial" w:eastAsia="Arial" w:hAnsi="Arial"/>
                <w:sz w:val="12"/>
                <w:szCs w:val="12"/>
                <w:color w:val="auto"/>
              </w:rPr>
              <w:t>Carrying amount of equity component, net of issuance costs</w:t>
            </w:r>
          </w:p>
        </w:tc>
        <w:tc>
          <w:tcPr>
            <w:tcW w:w="3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8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33</w:t>
            </w:r>
          </w:p>
        </w:tc>
      </w:tr>
    </w:tbl>
    <w:p>
      <w:pPr>
        <w:spacing w:after="0" w:line="13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shows interest expense information related to the 2022 Convertible Notes.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88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30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1"/>
                <w:szCs w:val="11"/>
                <w:b w:val="1"/>
                <w:bCs w:val="1"/>
                <w:color w:val="auto"/>
              </w:rPr>
              <w:t>Three Months Ended</w:t>
            </w:r>
          </w:p>
        </w:tc>
        <w:tc>
          <w:tcPr>
            <w:tcW w:w="14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2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1"/>
                <w:szCs w:val="11"/>
                <w:b w:val="1"/>
                <w:bCs w:val="1"/>
                <w:color w:val="auto"/>
              </w:rPr>
              <w:t>Six Months Ended</w:t>
            </w:r>
          </w:p>
        </w:tc>
        <w:tc>
          <w:tcPr>
            <w:tcW w:w="1500" w:type="dxa"/>
            <w:vAlign w:val="bottom"/>
            <w:tcBorders>
              <w:bottom w:val="single" w:sz="8" w:color="auto"/>
            </w:tcBorders>
          </w:tcPr>
          <w:p>
            <w:pPr>
              <w:spacing w:after="0"/>
              <w:rPr>
                <w:sz w:val="12"/>
                <w:szCs w:val="12"/>
                <w:color w:val="auto"/>
              </w:rPr>
            </w:pPr>
          </w:p>
        </w:tc>
      </w:tr>
      <w:tr>
        <w:trPr>
          <w:trHeight w:val="133"/>
        </w:trPr>
        <w:tc>
          <w:tcPr>
            <w:tcW w:w="2880" w:type="dxa"/>
            <w:vAlign w:val="bottom"/>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400" w:type="dxa"/>
            <w:vAlign w:val="bottom"/>
          </w:tcPr>
          <w:p>
            <w:pPr>
              <w:spacing w:after="0"/>
              <w:rPr>
                <w:sz w:val="11"/>
                <w:szCs w:val="11"/>
                <w:color w:val="auto"/>
              </w:rPr>
            </w:pPr>
          </w:p>
        </w:tc>
        <w:tc>
          <w:tcPr>
            <w:tcW w:w="1740" w:type="dxa"/>
            <w:vAlign w:val="bottom"/>
            <w:gridSpan w:val="2"/>
          </w:tcPr>
          <w:p>
            <w:pPr>
              <w:ind w:left="320"/>
              <w:spacing w:after="0"/>
              <w:rPr>
                <w:sz w:val="20"/>
                <w:szCs w:val="20"/>
                <w:color w:val="auto"/>
              </w:rPr>
            </w:pPr>
            <w:r>
              <w:rPr>
                <w:rFonts w:ascii="Arial" w:cs="Arial" w:eastAsia="Arial" w:hAnsi="Arial"/>
                <w:sz w:val="11"/>
                <w:szCs w:val="11"/>
                <w:b w:val="1"/>
                <w:bCs w:val="1"/>
                <w:color w:val="auto"/>
              </w:rPr>
              <w:t>June 30, 2021</w:t>
            </w:r>
          </w:p>
        </w:tc>
        <w:tc>
          <w:tcPr>
            <w:tcW w:w="560" w:type="dxa"/>
            <w:vAlign w:val="bottom"/>
          </w:tcPr>
          <w:p>
            <w:pPr>
              <w:spacing w:after="0"/>
              <w:rPr>
                <w:sz w:val="11"/>
                <w:szCs w:val="11"/>
                <w:color w:val="auto"/>
              </w:rPr>
            </w:pPr>
          </w:p>
        </w:tc>
        <w:tc>
          <w:tcPr>
            <w:tcW w:w="1460" w:type="dxa"/>
            <w:vAlign w:val="bottom"/>
          </w:tcPr>
          <w:p>
            <w:pPr>
              <w:jc w:val="right"/>
              <w:ind w:right="642"/>
              <w:spacing w:after="0"/>
              <w:rPr>
                <w:sz w:val="20"/>
                <w:szCs w:val="20"/>
                <w:color w:val="auto"/>
              </w:rPr>
            </w:pPr>
            <w:r>
              <w:rPr>
                <w:rFonts w:ascii="Arial" w:cs="Arial" w:eastAsia="Arial" w:hAnsi="Arial"/>
                <w:sz w:val="11"/>
                <w:szCs w:val="11"/>
                <w:b w:val="1"/>
                <w:bCs w:val="1"/>
                <w:color w:val="auto"/>
              </w:rPr>
              <w:t>June 30, 2020</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320"/>
              <w:spacing w:after="0"/>
              <w:rPr>
                <w:sz w:val="20"/>
                <w:szCs w:val="20"/>
                <w:color w:val="auto"/>
              </w:rPr>
            </w:pPr>
            <w:r>
              <w:rPr>
                <w:rFonts w:ascii="Arial" w:cs="Arial" w:eastAsia="Arial" w:hAnsi="Arial"/>
                <w:sz w:val="11"/>
                <w:szCs w:val="11"/>
                <w:b w:val="1"/>
                <w:bCs w:val="1"/>
                <w:color w:val="auto"/>
              </w:rPr>
              <w:t>June 30, 2021</w:t>
            </w:r>
          </w:p>
        </w:tc>
        <w:tc>
          <w:tcPr>
            <w:tcW w:w="540" w:type="dxa"/>
            <w:vAlign w:val="bottom"/>
          </w:tcPr>
          <w:p>
            <w:pPr>
              <w:spacing w:after="0"/>
              <w:rPr>
                <w:sz w:val="11"/>
                <w:szCs w:val="11"/>
                <w:color w:val="auto"/>
              </w:rPr>
            </w:pPr>
          </w:p>
        </w:tc>
        <w:tc>
          <w:tcPr>
            <w:tcW w:w="1500" w:type="dxa"/>
            <w:vAlign w:val="bottom"/>
          </w:tcPr>
          <w:p>
            <w:pPr>
              <w:jc w:val="right"/>
              <w:ind w:right="642"/>
              <w:spacing w:after="0"/>
              <w:rPr>
                <w:sz w:val="20"/>
                <w:szCs w:val="20"/>
                <w:color w:val="auto"/>
              </w:rPr>
            </w:pPr>
            <w:r>
              <w:rPr>
                <w:rFonts w:ascii="Arial" w:cs="Arial" w:eastAsia="Arial" w:hAnsi="Arial"/>
                <w:sz w:val="11"/>
                <w:szCs w:val="11"/>
                <w:b w:val="1"/>
                <w:bCs w:val="1"/>
                <w:color w:val="auto"/>
              </w:rPr>
              <w:t>June 30, 2020</w:t>
            </w:r>
          </w:p>
        </w:tc>
      </w:tr>
      <w:tr>
        <w:trPr>
          <w:trHeight w:val="144"/>
        </w:trPr>
        <w:tc>
          <w:tcPr>
            <w:tcW w:w="2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Contractual interest expense</w:t>
            </w:r>
          </w:p>
        </w:tc>
        <w:tc>
          <w:tcPr>
            <w:tcW w:w="400" w:type="dxa"/>
            <w:vAlign w:val="bottom"/>
            <w:tcBorders>
              <w:top w:val="single" w:sz="8" w:color="auto"/>
            </w:tcBorders>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ind w:right="452"/>
              <w:spacing w:after="0"/>
              <w:rPr>
                <w:sz w:val="20"/>
                <w:szCs w:val="20"/>
                <w:color w:val="auto"/>
              </w:rPr>
            </w:pPr>
            <w:r>
              <w:rPr>
                <w:rFonts w:ascii="Arial" w:cs="Arial" w:eastAsia="Arial" w:hAnsi="Arial"/>
                <w:sz w:val="10"/>
                <w:szCs w:val="10"/>
                <w:color w:val="auto"/>
                <w:w w:val="7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6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w:t>
            </w:r>
          </w:p>
        </w:tc>
        <w:tc>
          <w:tcPr>
            <w:tcW w:w="8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ind w:right="400"/>
              <w:spacing w:after="0"/>
              <w:rPr>
                <w:sz w:val="20"/>
                <w:szCs w:val="20"/>
                <w:color w:val="auto"/>
              </w:rPr>
            </w:pPr>
            <w:r>
              <w:rPr>
                <w:rFonts w:ascii="Arial" w:cs="Arial" w:eastAsia="Arial" w:hAnsi="Arial"/>
                <w:sz w:val="12"/>
                <w:szCs w:val="12"/>
                <w:color w:val="auto"/>
                <w:w w:val="89"/>
              </w:rPr>
              <w:t>$</w:t>
            </w:r>
          </w:p>
        </w:tc>
        <w:tc>
          <w:tcPr>
            <w:tcW w:w="15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w:t>
            </w:r>
          </w:p>
        </w:tc>
      </w:tr>
      <w:tr>
        <w:trPr>
          <w:trHeight w:val="153"/>
        </w:trPr>
        <w:tc>
          <w:tcPr>
            <w:tcW w:w="28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Amortization of debt discount</w:t>
            </w:r>
          </w:p>
        </w:tc>
        <w:tc>
          <w:tcPr>
            <w:tcW w:w="40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w:t>
            </w:r>
          </w:p>
        </w:tc>
        <w:tc>
          <w:tcPr>
            <w:tcW w:w="10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4</w:t>
            </w:r>
          </w:p>
        </w:tc>
        <w:tc>
          <w:tcPr>
            <w:tcW w:w="8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4</w:t>
            </w:r>
          </w:p>
        </w:tc>
      </w:tr>
      <w:tr>
        <w:trPr>
          <w:trHeight w:val="158"/>
        </w:trPr>
        <w:tc>
          <w:tcPr>
            <w:tcW w:w="288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ind w:right="452"/>
              <w:spacing w:after="0"/>
              <w:rPr>
                <w:sz w:val="20"/>
                <w:szCs w:val="20"/>
                <w:color w:val="auto"/>
              </w:rPr>
            </w:pPr>
            <w:r>
              <w:rPr>
                <w:rFonts w:ascii="Arial" w:cs="Arial" w:eastAsia="Arial" w:hAnsi="Arial"/>
                <w:sz w:val="10"/>
                <w:szCs w:val="10"/>
                <w:color w:val="auto"/>
                <w:w w:val="71"/>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0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6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6</w:t>
            </w: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ind w:right="400"/>
              <w:spacing w:after="0"/>
              <w:rPr>
                <w:sz w:val="20"/>
                <w:szCs w:val="20"/>
                <w:color w:val="auto"/>
              </w:rPr>
            </w:pPr>
            <w:r>
              <w:rPr>
                <w:rFonts w:ascii="Arial" w:cs="Arial" w:eastAsia="Arial" w:hAnsi="Arial"/>
                <w:sz w:val="12"/>
                <w:szCs w:val="12"/>
                <w:color w:val="auto"/>
                <w:w w:val="89"/>
              </w:rPr>
              <w:t>$</w:t>
            </w:r>
          </w:p>
        </w:tc>
        <w:tc>
          <w:tcPr>
            <w:tcW w:w="15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6</w:t>
            </w:r>
          </w:p>
        </w:tc>
      </w:tr>
    </w:tbl>
    <w:p>
      <w:pPr>
        <w:spacing w:after="0" w:line="153"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2022 Convertible Note Hedges and Warrants</w:t>
      </w:r>
    </w:p>
    <w:p>
      <w:pPr>
        <w:spacing w:after="0" w:line="78" w:lineRule="exact"/>
        <w:rPr>
          <w:sz w:val="20"/>
          <w:szCs w:val="20"/>
          <w:color w:val="auto"/>
        </w:rPr>
      </w:pPr>
    </w:p>
    <w:p>
      <w:pPr>
        <w:ind w:right="180" w:firstLine="432"/>
        <w:spacing w:after="0" w:line="298" w:lineRule="auto"/>
        <w:rPr>
          <w:sz w:val="20"/>
          <w:szCs w:val="20"/>
          <w:color w:val="auto"/>
        </w:rPr>
      </w:pPr>
      <w:r>
        <w:rPr>
          <w:rFonts w:ascii="Arial" w:cs="Arial" w:eastAsia="Arial" w:hAnsi="Arial"/>
          <w:sz w:val="11"/>
          <w:szCs w:val="11"/>
          <w:color w:val="auto"/>
        </w:rPr>
        <w:t>In connection with the offering of the 2022 Convertible Notes, we concurrently entered into the following privately-negotiated separate transactions: convertible note hedge transactions with respect to our common stock (“2022 Convertible Note Hedges”), covering a total of approximately 1.5 million shares of our common stock, and warrant transactions (“2022 Warrants”), whereby we sold to the counterparties to the 2022 Convertible Note Hedges warrants to acquire approximately 1.5 million shares of our common stock. As of June 30, 2021, the strike prices of the 2022 Convertible Note Hedges and the</w:t>
      </w:r>
    </w:p>
    <w:p>
      <w:pPr>
        <w:spacing w:after="0" w:line="96" w:lineRule="exact"/>
        <w:rPr>
          <w:sz w:val="20"/>
          <w:szCs w:val="20"/>
          <w:color w:val="auto"/>
        </w:rPr>
      </w:pPr>
    </w:p>
    <w:p>
      <w:pPr>
        <w:jc w:val="center"/>
        <w:ind w:left="420"/>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191135</wp:posOffset>
            </wp:positionV>
            <wp:extent cx="7203440"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35" w:name="page36"/>
    <w:bookmarkEnd w:id="35"/>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2"/>
          <w:szCs w:val="12"/>
          <w:color w:val="auto"/>
        </w:rPr>
        <w:t>2022 Warrants were subject to adjustment to approximately $148.91 and $177.55, respectively, and no 2022 Convertible Note Hedges or 2022 Warrants have been exercised.</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2026 Convertible Notes</w:t>
      </w:r>
    </w:p>
    <w:p>
      <w:pPr>
        <w:spacing w:after="0" w:line="78" w:lineRule="exact"/>
        <w:rPr>
          <w:sz w:val="20"/>
          <w:szCs w:val="20"/>
          <w:color w:val="auto"/>
        </w:rPr>
      </w:pPr>
    </w:p>
    <w:p>
      <w:pPr>
        <w:ind w:right="100" w:firstLine="432"/>
        <w:spacing w:after="0" w:line="259" w:lineRule="auto"/>
        <w:rPr>
          <w:sz w:val="20"/>
          <w:szCs w:val="20"/>
          <w:color w:val="auto"/>
        </w:rPr>
      </w:pPr>
      <w:r>
        <w:rPr>
          <w:rFonts w:ascii="Arial" w:cs="Arial" w:eastAsia="Arial" w:hAnsi="Arial"/>
          <w:sz w:val="12"/>
          <w:szCs w:val="12"/>
          <w:color w:val="auto"/>
        </w:rPr>
        <w:t>During the first quarter of 2021, we issued $575 million aggregate principal amount of 0.00% Convertible Senior Notes due 2026 (the “2026 Convertible Notes”). The 2026 Convertible Notes are governed by an indenture dated February 2, 2021 (the Indenture) among the Company, Marriott Ownership Resorts, Inc. and the other guarantors party thereto (the “Guarantors”) and The Bank of New York Mellon Trust Company, N.A., as trustee (the “Trustee”). We received net proceeds from the offering of approximately $530 million after adjusting for debt issuance costs, including the discount to the initial purchasers, the cost of the 2026 Convertible Note Hedges, and proceeds from the 2026 Warrants (both as defined below).</w:t>
      </w:r>
    </w:p>
    <w:p>
      <w:pPr>
        <w:spacing w:after="0" w:line="52" w:lineRule="exact"/>
        <w:rPr>
          <w:sz w:val="20"/>
          <w:szCs w:val="20"/>
          <w:color w:val="auto"/>
        </w:rPr>
      </w:pPr>
    </w:p>
    <w:p>
      <w:pPr>
        <w:ind w:firstLine="432"/>
        <w:spacing w:after="0" w:line="255" w:lineRule="auto"/>
        <w:rPr>
          <w:sz w:val="20"/>
          <w:szCs w:val="20"/>
          <w:color w:val="auto"/>
        </w:rPr>
      </w:pPr>
      <w:r>
        <w:rPr>
          <w:rFonts w:ascii="Arial" w:cs="Arial" w:eastAsia="Arial" w:hAnsi="Arial"/>
          <w:sz w:val="12"/>
          <w:szCs w:val="12"/>
          <w:color w:val="auto"/>
        </w:rPr>
        <w:t>The 2026 Convertible Notes will not bear regular interest and will mature on January 15, 2026, unless earlier repurchased or converted in accordance with their terms prior to that date. On or after October 15, 2025, and prior to the close of business on the second scheduled trading day immediately preceding the stated maturity date of the 2026 Convertible Notes, holders may convert their 2026 Convertible Notes at their option. The conversion rate is subject to adjustment for certain events as described in the indenture governing the notes, and was subject to adjustment as of June 30, 2021 to 5.8476 shares of common stock per $1,000 principal amount of 2026 Convertible Notes (equivalent to a conversion price of $171.01 per share of our common stock). Upon conversion, we will pay or deliver, as the case may be, cash, shares of our common stock, or a combination of cash and shares of our common stock, at our election. It is our intent to settle conversions of the 2026 Convertible Notes through combination settlement, which contemplates repayment in cash of the principal amount and repayment in shares of our common stock of any excess of the conversion value over the principal amount.</w:t>
      </w:r>
    </w:p>
    <w:p>
      <w:pPr>
        <w:spacing w:after="0" w:line="5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Holders may convert their 2026 Convertible Notes prior to October 15, 2025 only under the following circumstances:</w:t>
      </w:r>
    </w:p>
    <w:p>
      <w:pPr>
        <w:spacing w:after="0" w:line="78" w:lineRule="exact"/>
        <w:rPr>
          <w:sz w:val="20"/>
          <w:szCs w:val="20"/>
          <w:color w:val="auto"/>
        </w:rPr>
      </w:pPr>
    </w:p>
    <w:p>
      <w:pPr>
        <w:ind w:left="640" w:right="80" w:hanging="216"/>
        <w:spacing w:after="0" w:line="263" w:lineRule="auto"/>
        <w:tabs>
          <w:tab w:leader="none" w:pos="637" w:val="left"/>
        </w:tabs>
        <w:numPr>
          <w:ilvl w:val="0"/>
          <w:numId w:val="25"/>
        </w:numPr>
        <w:rPr>
          <w:rFonts w:ascii="Arial" w:cs="Arial" w:eastAsia="Arial" w:hAnsi="Arial"/>
          <w:sz w:val="12"/>
          <w:szCs w:val="12"/>
          <w:color w:val="auto"/>
        </w:rPr>
      </w:pPr>
      <w:r>
        <w:rPr>
          <w:rFonts w:ascii="Arial" w:cs="Arial" w:eastAsia="Arial" w:hAnsi="Arial"/>
          <w:sz w:val="12"/>
          <w:szCs w:val="12"/>
          <w:color w:val="auto"/>
        </w:rPr>
        <w:t>during any calendar quarter commencing after the calendar quarter ending on March 31, 2021 (and only during such calendar quarter), if the last reported sale price of our common stock for at least 20 trading days (whether or not consecutive) during the period of 30 consecutive trading days ending on the last trading day of the immediately preceding calendar quarter is greater than or equal to 130 percent of the conversion price on each applicable trading day;</w:t>
      </w:r>
    </w:p>
    <w:p>
      <w:pPr>
        <w:spacing w:after="0" w:line="50" w:lineRule="exact"/>
        <w:rPr>
          <w:rFonts w:ascii="Arial" w:cs="Arial" w:eastAsia="Arial" w:hAnsi="Arial"/>
          <w:sz w:val="12"/>
          <w:szCs w:val="12"/>
          <w:color w:val="auto"/>
        </w:rPr>
      </w:pPr>
    </w:p>
    <w:p>
      <w:pPr>
        <w:ind w:left="640" w:right="100" w:hanging="216"/>
        <w:spacing w:after="0" w:line="276" w:lineRule="auto"/>
        <w:tabs>
          <w:tab w:leader="none" w:pos="637" w:val="left"/>
        </w:tabs>
        <w:numPr>
          <w:ilvl w:val="0"/>
          <w:numId w:val="25"/>
        </w:numPr>
        <w:rPr>
          <w:rFonts w:ascii="Arial" w:cs="Arial" w:eastAsia="Arial" w:hAnsi="Arial"/>
          <w:sz w:val="12"/>
          <w:szCs w:val="12"/>
          <w:color w:val="auto"/>
        </w:rPr>
      </w:pPr>
      <w:r>
        <w:rPr>
          <w:rFonts w:ascii="Arial" w:cs="Arial" w:eastAsia="Arial" w:hAnsi="Arial"/>
          <w:sz w:val="12"/>
          <w:szCs w:val="12"/>
          <w:color w:val="auto"/>
        </w:rPr>
        <w:t>during the five business day period after any five consecutive trading day period in which the trading price per $1,000 principal amount of 2026 Convertible Notes for each trading day of the measurement period was less than 98 percent of the product of the last reported sale price of the common stock and the conversion rate on each such trading day; or</w:t>
      </w:r>
    </w:p>
    <w:p>
      <w:pPr>
        <w:spacing w:after="0" w:line="42" w:lineRule="exact"/>
        <w:rPr>
          <w:rFonts w:ascii="Arial" w:cs="Arial" w:eastAsia="Arial" w:hAnsi="Arial"/>
          <w:sz w:val="12"/>
          <w:szCs w:val="12"/>
          <w:color w:val="auto"/>
        </w:rPr>
      </w:pPr>
    </w:p>
    <w:p>
      <w:pPr>
        <w:ind w:left="640" w:hanging="216"/>
        <w:spacing w:after="0"/>
        <w:tabs>
          <w:tab w:leader="none" w:pos="640" w:val="left"/>
        </w:tabs>
        <w:numPr>
          <w:ilvl w:val="0"/>
          <w:numId w:val="25"/>
        </w:numPr>
        <w:rPr>
          <w:rFonts w:ascii="Arial" w:cs="Arial" w:eastAsia="Arial" w:hAnsi="Arial"/>
          <w:sz w:val="12"/>
          <w:szCs w:val="12"/>
          <w:color w:val="auto"/>
        </w:rPr>
      </w:pPr>
      <w:r>
        <w:rPr>
          <w:rFonts w:ascii="Arial" w:cs="Arial" w:eastAsia="Arial" w:hAnsi="Arial"/>
          <w:sz w:val="12"/>
          <w:szCs w:val="12"/>
          <w:color w:val="auto"/>
        </w:rPr>
        <w:t>upon the occurrence of specified corporate events as described in the Indenture.</w:t>
      </w:r>
    </w:p>
    <w:p>
      <w:pPr>
        <w:spacing w:after="0" w:line="78" w:lineRule="exact"/>
        <w:rPr>
          <w:sz w:val="20"/>
          <w:szCs w:val="20"/>
          <w:color w:val="auto"/>
        </w:rPr>
      </w:pPr>
    </w:p>
    <w:p>
      <w:pPr>
        <w:ind w:right="100" w:firstLine="432"/>
        <w:spacing w:after="0" w:line="259" w:lineRule="auto"/>
        <w:rPr>
          <w:sz w:val="20"/>
          <w:szCs w:val="20"/>
          <w:color w:val="auto"/>
        </w:rPr>
      </w:pPr>
      <w:r>
        <w:rPr>
          <w:rFonts w:ascii="Arial" w:cs="Arial" w:eastAsia="Arial" w:hAnsi="Arial"/>
          <w:sz w:val="12"/>
          <w:szCs w:val="12"/>
          <w:color w:val="auto"/>
        </w:rPr>
        <w:t>We may not redeem the 2026 Convertible Notes prior to their maturity date, and no sinking fund is provided for them. If we undergo a fundamental change, as described in the Indenture, subject to certain conditions, holders may require us to repurchase for cash all or any portion of their 2026 Convertible Notes. The repurchase price as a result of a fundamental change is equal to 100 percent of the principal amount of the 2026 Convertible Notes to be repurchased, plus accrued and unpaid special interest, if any, to, but excluding, the repurchase date. If certain fundamental changes referred to in the Indenture as make-whole fundamental changes occur, the conversion rate applicable to the 2026 Convertible Notes may increase.</w:t>
      </w:r>
    </w:p>
    <w:p>
      <w:pPr>
        <w:spacing w:after="0" w:line="52" w:lineRule="exact"/>
        <w:rPr>
          <w:sz w:val="20"/>
          <w:szCs w:val="20"/>
          <w:color w:val="auto"/>
        </w:rPr>
      </w:pPr>
    </w:p>
    <w:p>
      <w:pPr>
        <w:ind w:right="20" w:firstLine="432"/>
        <w:spacing w:after="0" w:line="313" w:lineRule="auto"/>
        <w:rPr>
          <w:sz w:val="20"/>
          <w:szCs w:val="20"/>
          <w:color w:val="auto"/>
        </w:rPr>
      </w:pPr>
      <w:r>
        <w:rPr>
          <w:rFonts w:ascii="Arial" w:cs="Arial" w:eastAsia="Arial" w:hAnsi="Arial"/>
          <w:sz w:val="10"/>
          <w:szCs w:val="10"/>
          <w:color w:val="auto"/>
        </w:rPr>
        <w:t>The 2026 Convertible Notes are unconditionally guaranteed, on a joint and several basis, by the Guarantors on a senior, unsecured basis. The 2026 Convertible Notes are our general senior unsecured obligations and rank equally in right of payment with all of our existing and future senior indebtedness, and senior in right of payment to all of our future subordinated debt. The 2026 Convertible Notes will be effectively subordinated to any of our existing and future secured debt to the extent of the value of the assets securing such debt, including the guarantees of borrowings outstanding under the Corporate Credit Facility and our 2025 Notes. The 2026 Convertible Notes will be structurally subordinated to any existing and future indebtedness and any other liabilities and obligations of any of our subsidiaries that are not guarantors of the 2026 Convertible Notes. The guarantees will be the Guarantors’ general senior unsecured obligations and will rank equally in right of payment with all of the Guarantors’ existing and future senior indebtedness, and senior in right of payment to all of the Guarantors’ future subordinated debt. The guarantees will be effectively subordinated to any of the Guarantors’ existing and future secured debt to the extent of the value of the assets securing such debt, including any borrowings outstanding under the Corporate Credit Facility and the 2025 Notes. The guarantees will be structurally subordinated to any existing and future indebtedness and any other liabilities and obligations of any of our subsidiaries that are not guarantors of the 2026 Convertible Notes.</w:t>
      </w:r>
    </w:p>
    <w:p>
      <w:pPr>
        <w:spacing w:after="0" w:line="93" w:lineRule="exact"/>
        <w:rPr>
          <w:sz w:val="20"/>
          <w:szCs w:val="20"/>
          <w:color w:val="auto"/>
        </w:rPr>
      </w:pPr>
    </w:p>
    <w:p>
      <w:pPr>
        <w:jc w:val="center"/>
        <w:ind w:left="420"/>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191135</wp:posOffset>
            </wp:positionV>
            <wp:extent cx="7203440"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275" w:right="319" w:bottom="1440" w:gutter="0" w:footer="0" w:header="0"/>
        </w:sectPr>
      </w:pPr>
    </w:p>
    <w:bookmarkStart w:id="36" w:name="page37"/>
    <w:bookmarkEnd w:id="36"/>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47" w:lineRule="exact"/>
        <w:rPr>
          <w:sz w:val="20"/>
          <w:szCs w:val="20"/>
          <w:color w:val="auto"/>
        </w:rPr>
      </w:pPr>
    </w:p>
    <w:p>
      <w:pPr>
        <w:jc w:val="both"/>
        <w:ind w:right="20" w:firstLine="432"/>
        <w:spacing w:after="0" w:line="259" w:lineRule="auto"/>
        <w:rPr>
          <w:sz w:val="20"/>
          <w:szCs w:val="20"/>
          <w:color w:val="auto"/>
        </w:rPr>
      </w:pPr>
      <w:r>
        <w:rPr>
          <w:rFonts w:ascii="Arial" w:cs="Arial" w:eastAsia="Arial" w:hAnsi="Arial"/>
          <w:sz w:val="12"/>
          <w:szCs w:val="12"/>
          <w:color w:val="auto"/>
        </w:rPr>
        <w:t>There are no financial or operating covenants related to the 2026 Convertible Notes. The indenture governing these notes contains customary events of default with respect to the 2026 Convertible Notes and provides that upon the occurrence and continuation of certain events of default, the Trustee or the holders of at least 25 percent in aggregate principal amount of the 2026 Convertible Notes then outstanding may declare all principal of and accrued and any unpaid interest on the 2026 Convertible Notes then outstanding to be immediately due and payable. In case of certain events of bankruptcy or insolvency involving the Company, all of the principal of and accrued and unpaid interest on the 2026 Convertible Notes will automatically become immediately due and payable.</w:t>
      </w:r>
    </w:p>
    <w:p>
      <w:pPr>
        <w:spacing w:after="0" w:line="52" w:lineRule="exact"/>
        <w:rPr>
          <w:sz w:val="20"/>
          <w:szCs w:val="20"/>
          <w:color w:val="auto"/>
        </w:rPr>
      </w:pPr>
    </w:p>
    <w:p>
      <w:pPr>
        <w:ind w:right="100" w:firstLine="432"/>
        <w:spacing w:after="0" w:line="326" w:lineRule="auto"/>
        <w:rPr>
          <w:sz w:val="20"/>
          <w:szCs w:val="20"/>
          <w:color w:val="auto"/>
        </w:rPr>
      </w:pPr>
      <w:r>
        <w:rPr>
          <w:rFonts w:ascii="Arial" w:cs="Arial" w:eastAsia="Arial" w:hAnsi="Arial"/>
          <w:sz w:val="10"/>
          <w:szCs w:val="10"/>
          <w:color w:val="auto"/>
        </w:rPr>
        <w:t>In accounting for the issuance of the 2026 Convertible Notes, we separated the 2026 Convertible Notes into liability and equity components and allocated $449 million to the liability component and $126 million to the equity component. The resulting debt discount is amortized as interest expense. As of June 30, 2021, the effective interest rate was 4.96% and the remaining debt discount amortization period was 4.5 years. We had debt issuance costs, including initial purchasers’ discount to underwriters, of $15 million related to the 2026 Convertible Notes, which were allocated to the liability and equity components based on their relative values. Issuance costs attributable to the liability component are amortized to interest expense over the term of the 2026 Convertible Notes, and issuance costs attributable to the equity component are included along with the equity component in shareholders’ equity.</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shows the net carrying value of the 2026 Convertible Notes.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020" w:type="dxa"/>
            <w:vAlign w:val="bottom"/>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360" w:type="dxa"/>
            <w:vAlign w:val="bottom"/>
          </w:tcPr>
          <w:p>
            <w:pPr>
              <w:spacing w:after="0"/>
              <w:rPr>
                <w:sz w:val="12"/>
                <w:szCs w:val="12"/>
                <w:color w:val="auto"/>
              </w:rPr>
            </w:pPr>
          </w:p>
        </w:tc>
        <w:tc>
          <w:tcPr>
            <w:tcW w:w="1800" w:type="dxa"/>
            <w:vAlign w:val="bottom"/>
            <w:gridSpan w:val="2"/>
          </w:tcPr>
          <w:p>
            <w:pPr>
              <w:ind w:left="300"/>
              <w:spacing w:after="0"/>
              <w:rPr>
                <w:sz w:val="20"/>
                <w:szCs w:val="20"/>
                <w:color w:val="auto"/>
              </w:rPr>
            </w:pPr>
            <w:r>
              <w:rPr>
                <w:rFonts w:ascii="Arial" w:cs="Arial" w:eastAsia="Arial" w:hAnsi="Arial"/>
                <w:sz w:val="11"/>
                <w:szCs w:val="11"/>
                <w:b w:val="1"/>
                <w:bCs w:val="1"/>
                <w:color w:val="auto"/>
              </w:rPr>
              <w:t>At June 30, 2021</w:t>
            </w:r>
          </w:p>
        </w:tc>
        <w:tc>
          <w:tcPr>
            <w:tcW w:w="320" w:type="dxa"/>
            <w:vAlign w:val="bottom"/>
          </w:tcPr>
          <w:p>
            <w:pPr>
              <w:spacing w:after="0"/>
              <w:rPr>
                <w:sz w:val="12"/>
                <w:szCs w:val="12"/>
                <w:color w:val="auto"/>
              </w:rPr>
            </w:pPr>
          </w:p>
        </w:tc>
        <w:tc>
          <w:tcPr>
            <w:tcW w:w="1800" w:type="dxa"/>
            <w:vAlign w:val="bottom"/>
          </w:tcPr>
          <w:p>
            <w:pPr>
              <w:ind w:left="240"/>
              <w:spacing w:after="0"/>
              <w:rPr>
                <w:sz w:val="20"/>
                <w:szCs w:val="20"/>
                <w:color w:val="auto"/>
              </w:rPr>
            </w:pPr>
            <w:r>
              <w:rPr>
                <w:rFonts w:ascii="Arial" w:cs="Arial" w:eastAsia="Arial" w:hAnsi="Arial"/>
                <w:sz w:val="11"/>
                <w:szCs w:val="11"/>
                <w:b w:val="1"/>
                <w:bCs w:val="1"/>
                <w:color w:val="auto"/>
              </w:rPr>
              <w:t>At December 31, 2020</w:t>
            </w:r>
          </w:p>
        </w:tc>
      </w:tr>
      <w:tr>
        <w:trPr>
          <w:trHeight w:val="135"/>
        </w:trPr>
        <w:tc>
          <w:tcPr>
            <w:tcW w:w="7020" w:type="dxa"/>
            <w:vAlign w:val="bottom"/>
            <w:tcBorders>
              <w:top w:val="single" w:sz="8" w:color="CCEEFF"/>
            </w:tcBorders>
            <w:shd w:val="clear" w:color="auto" w:fill="CCEEFF"/>
          </w:tcPr>
          <w:p>
            <w:pPr>
              <w:spacing w:after="0" w:line="135" w:lineRule="exact"/>
              <w:rPr>
                <w:sz w:val="20"/>
                <w:szCs w:val="20"/>
                <w:color w:val="auto"/>
              </w:rPr>
            </w:pPr>
            <w:r>
              <w:rPr>
                <w:rFonts w:ascii="Arial" w:cs="Arial" w:eastAsia="Arial" w:hAnsi="Arial"/>
                <w:sz w:val="12"/>
                <w:szCs w:val="12"/>
                <w:color w:val="auto"/>
              </w:rPr>
              <w:t>Liability component</w:t>
            </w:r>
          </w:p>
        </w:tc>
        <w:tc>
          <w:tcPr>
            <w:tcW w:w="360" w:type="dxa"/>
            <w:vAlign w:val="bottom"/>
            <w:tcBorders>
              <w:top w:val="single" w:sz="8" w:color="auto"/>
            </w:tcBorders>
            <w:shd w:val="clear" w:color="auto" w:fill="CCEEFF"/>
          </w:tcPr>
          <w:p>
            <w:pPr>
              <w:spacing w:after="0"/>
              <w:rPr>
                <w:sz w:val="11"/>
                <w:szCs w:val="11"/>
                <w:color w:val="auto"/>
              </w:rPr>
            </w:pPr>
          </w:p>
        </w:tc>
        <w:tc>
          <w:tcPr>
            <w:tcW w:w="17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800" w:type="dxa"/>
            <w:vAlign w:val="bottom"/>
            <w:tcBorders>
              <w:top w:val="single" w:sz="8" w:color="auto"/>
            </w:tcBorders>
            <w:shd w:val="clear" w:color="auto" w:fill="CCEEFF"/>
          </w:tcPr>
          <w:p>
            <w:pPr>
              <w:spacing w:after="0"/>
              <w:rPr>
                <w:sz w:val="11"/>
                <w:szCs w:val="11"/>
                <w:color w:val="auto"/>
              </w:rPr>
            </w:pPr>
          </w:p>
        </w:tc>
      </w:tr>
      <w:tr>
        <w:trPr>
          <w:trHeight w:val="153"/>
        </w:trPr>
        <w:tc>
          <w:tcPr>
            <w:tcW w:w="7020" w:type="dxa"/>
            <w:vAlign w:val="bottom"/>
          </w:tcPr>
          <w:p>
            <w:pPr>
              <w:ind w:left="140"/>
              <w:spacing w:after="0"/>
              <w:rPr>
                <w:sz w:val="20"/>
                <w:szCs w:val="20"/>
                <w:color w:val="auto"/>
              </w:rPr>
            </w:pPr>
            <w:r>
              <w:rPr>
                <w:rFonts w:ascii="Arial" w:cs="Arial" w:eastAsia="Arial" w:hAnsi="Arial"/>
                <w:sz w:val="12"/>
                <w:szCs w:val="12"/>
                <w:color w:val="auto"/>
              </w:rPr>
              <w:t>Principal amount</w:t>
            </w: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740" w:type="dxa"/>
            <w:vAlign w:val="bottom"/>
          </w:tcPr>
          <w:p>
            <w:pPr>
              <w:jc w:val="right"/>
              <w:spacing w:after="0"/>
              <w:rPr>
                <w:sz w:val="20"/>
                <w:szCs w:val="20"/>
                <w:color w:val="auto"/>
              </w:rPr>
            </w:pPr>
            <w:r>
              <w:rPr>
                <w:rFonts w:ascii="Arial" w:cs="Arial" w:eastAsia="Arial" w:hAnsi="Arial"/>
                <w:sz w:val="12"/>
                <w:szCs w:val="12"/>
                <w:color w:val="auto"/>
              </w:rPr>
              <w:t>575</w:t>
            </w:r>
          </w:p>
        </w:tc>
        <w:tc>
          <w:tcPr>
            <w:tcW w:w="60" w:type="dxa"/>
            <w:vAlign w:val="bottom"/>
          </w:tcPr>
          <w:p>
            <w:pPr>
              <w:spacing w:after="0"/>
              <w:rPr>
                <w:sz w:val="13"/>
                <w:szCs w:val="13"/>
                <w:color w:val="auto"/>
              </w:rPr>
            </w:pP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800" w:type="dxa"/>
            <w:vAlign w:val="bottom"/>
          </w:tcPr>
          <w:p>
            <w:pPr>
              <w:ind w:left="1620"/>
              <w:spacing w:after="0"/>
              <w:rPr>
                <w:sz w:val="20"/>
                <w:szCs w:val="20"/>
                <w:color w:val="auto"/>
              </w:rPr>
            </w:pPr>
            <w:r>
              <w:rPr>
                <w:rFonts w:ascii="Arial" w:cs="Arial" w:eastAsia="Arial" w:hAnsi="Arial"/>
                <w:sz w:val="12"/>
                <w:szCs w:val="12"/>
                <w:color w:val="auto"/>
              </w:rPr>
              <w:t>—</w:t>
            </w:r>
          </w:p>
        </w:tc>
      </w:tr>
      <w:tr>
        <w:trPr>
          <w:trHeight w:val="153"/>
        </w:trPr>
        <w:tc>
          <w:tcPr>
            <w:tcW w:w="70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Unamortized debt discount</w:t>
            </w:r>
          </w:p>
        </w:tc>
        <w:tc>
          <w:tcPr>
            <w:tcW w:w="360" w:type="dxa"/>
            <w:vAlign w:val="bottom"/>
            <w:shd w:val="clear" w:color="auto" w:fill="CCEEFF"/>
          </w:tcPr>
          <w:p>
            <w:pPr>
              <w:spacing w:after="0"/>
              <w:rPr>
                <w:sz w:val="13"/>
                <w:szCs w:val="13"/>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(116)</w:t>
            </w: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800" w:type="dxa"/>
            <w:vAlign w:val="bottom"/>
            <w:shd w:val="clear" w:color="auto" w:fill="CCEEFF"/>
          </w:tcPr>
          <w:p>
            <w:pPr>
              <w:ind w:left="1620"/>
              <w:spacing w:after="0"/>
              <w:rPr>
                <w:sz w:val="20"/>
                <w:szCs w:val="20"/>
                <w:color w:val="auto"/>
              </w:rPr>
            </w:pPr>
            <w:r>
              <w:rPr>
                <w:rFonts w:ascii="Arial" w:cs="Arial" w:eastAsia="Arial" w:hAnsi="Arial"/>
                <w:sz w:val="12"/>
                <w:szCs w:val="12"/>
                <w:color w:val="auto"/>
              </w:rPr>
              <w:t>—</w:t>
            </w:r>
          </w:p>
        </w:tc>
      </w:tr>
      <w:tr>
        <w:trPr>
          <w:trHeight w:val="153"/>
        </w:trPr>
        <w:tc>
          <w:tcPr>
            <w:tcW w:w="702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Unamortized debt issuance costs</w:t>
            </w:r>
          </w:p>
        </w:tc>
        <w:tc>
          <w:tcPr>
            <w:tcW w:w="36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w:t>
            </w:r>
          </w:p>
        </w:tc>
        <w:tc>
          <w:tcPr>
            <w:tcW w:w="6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tcPr>
          <w:p>
            <w:pPr>
              <w:ind w:left="1620"/>
              <w:spacing w:after="0"/>
              <w:rPr>
                <w:sz w:val="20"/>
                <w:szCs w:val="20"/>
                <w:color w:val="auto"/>
              </w:rPr>
            </w:pPr>
            <w:r>
              <w:rPr>
                <w:rFonts w:ascii="Arial" w:cs="Arial" w:eastAsia="Arial" w:hAnsi="Arial"/>
                <w:sz w:val="12"/>
                <w:szCs w:val="12"/>
                <w:color w:val="auto"/>
              </w:rPr>
              <w:t>—</w:t>
            </w:r>
          </w:p>
        </w:tc>
      </w:tr>
      <w:tr>
        <w:trPr>
          <w:trHeight w:val="158"/>
        </w:trPr>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Net carrying amount of the liability component</w:t>
            </w: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448</w:t>
            </w:r>
          </w:p>
        </w:tc>
        <w:tc>
          <w:tcPr>
            <w:tcW w:w="6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800" w:type="dxa"/>
            <w:vAlign w:val="bottom"/>
            <w:tcBorders>
              <w:bottom w:val="single" w:sz="8" w:color="auto"/>
            </w:tcBorders>
            <w:shd w:val="clear" w:color="auto" w:fill="CCEEFF"/>
          </w:tcPr>
          <w:p>
            <w:pPr>
              <w:ind w:left="1620"/>
              <w:spacing w:after="0"/>
              <w:rPr>
                <w:sz w:val="20"/>
                <w:szCs w:val="20"/>
                <w:color w:val="auto"/>
              </w:rPr>
            </w:pPr>
            <w:r>
              <w:rPr>
                <w:rFonts w:ascii="Arial" w:cs="Arial" w:eastAsia="Arial" w:hAnsi="Arial"/>
                <w:sz w:val="12"/>
                <w:szCs w:val="12"/>
                <w:color w:val="auto"/>
              </w:rPr>
              <w:t>—</w:t>
            </w:r>
          </w:p>
        </w:tc>
      </w:tr>
      <w:tr>
        <w:trPr>
          <w:trHeight w:val="153"/>
        </w:trPr>
        <w:tc>
          <w:tcPr>
            <w:tcW w:w="7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0" w:type="dxa"/>
            <w:vAlign w:val="bottom"/>
          </w:tcPr>
          <w:p>
            <w:pPr>
              <w:spacing w:after="0"/>
              <w:rPr>
                <w:sz w:val="13"/>
                <w:szCs w:val="13"/>
                <w:color w:val="auto"/>
              </w:rPr>
            </w:pPr>
          </w:p>
        </w:tc>
      </w:tr>
      <w:tr>
        <w:trPr>
          <w:trHeight w:val="153"/>
        </w:trPr>
        <w:tc>
          <w:tcPr>
            <w:tcW w:w="7020" w:type="dxa"/>
            <w:vAlign w:val="bottom"/>
            <w:shd w:val="clear" w:color="auto" w:fill="CCEEFF"/>
          </w:tcPr>
          <w:p>
            <w:pPr>
              <w:spacing w:after="0"/>
              <w:rPr>
                <w:sz w:val="20"/>
                <w:szCs w:val="20"/>
                <w:color w:val="auto"/>
              </w:rPr>
            </w:pPr>
            <w:r>
              <w:rPr>
                <w:rFonts w:ascii="Arial" w:cs="Arial" w:eastAsia="Arial" w:hAnsi="Arial"/>
                <w:sz w:val="12"/>
                <w:szCs w:val="12"/>
                <w:color w:val="auto"/>
              </w:rPr>
              <w:t>Carrying amount of equity component, net of issuance costs</w:t>
            </w: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w:t>
            </w: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800" w:type="dxa"/>
            <w:vAlign w:val="bottom"/>
            <w:shd w:val="clear" w:color="auto" w:fill="CCEEFF"/>
          </w:tcPr>
          <w:p>
            <w:pPr>
              <w:ind w:left="1620"/>
              <w:spacing w:after="0"/>
              <w:rPr>
                <w:sz w:val="20"/>
                <w:szCs w:val="20"/>
                <w:color w:val="auto"/>
              </w:rPr>
            </w:pPr>
            <w:r>
              <w:rPr>
                <w:rFonts w:ascii="Arial" w:cs="Arial" w:eastAsia="Arial" w:hAnsi="Arial"/>
                <w:sz w:val="12"/>
                <w:szCs w:val="12"/>
                <w:color w:val="auto"/>
              </w:rPr>
              <w:t>—</w:t>
            </w:r>
          </w:p>
        </w:tc>
      </w:tr>
    </w:tbl>
    <w:p>
      <w:pPr>
        <w:spacing w:after="0" w:line="15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shows interest expense information related to the 2026 Convertible Notes.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88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30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1"/>
                <w:szCs w:val="11"/>
                <w:b w:val="1"/>
                <w:bCs w:val="1"/>
                <w:color w:val="auto"/>
              </w:rPr>
              <w:t>Three Months Ended</w:t>
            </w:r>
          </w:p>
        </w:tc>
        <w:tc>
          <w:tcPr>
            <w:tcW w:w="14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2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1"/>
                <w:szCs w:val="11"/>
                <w:b w:val="1"/>
                <w:bCs w:val="1"/>
                <w:color w:val="auto"/>
              </w:rPr>
              <w:t>Six Months Ended</w:t>
            </w:r>
          </w:p>
        </w:tc>
        <w:tc>
          <w:tcPr>
            <w:tcW w:w="1500" w:type="dxa"/>
            <w:vAlign w:val="bottom"/>
            <w:tcBorders>
              <w:bottom w:val="single" w:sz="8" w:color="auto"/>
            </w:tcBorders>
          </w:tcPr>
          <w:p>
            <w:pPr>
              <w:spacing w:after="0"/>
              <w:rPr>
                <w:sz w:val="12"/>
                <w:szCs w:val="12"/>
                <w:color w:val="auto"/>
              </w:rPr>
            </w:pPr>
          </w:p>
        </w:tc>
      </w:tr>
      <w:tr>
        <w:trPr>
          <w:trHeight w:val="133"/>
        </w:trPr>
        <w:tc>
          <w:tcPr>
            <w:tcW w:w="288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40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tcPr>
          <w:p>
            <w:pPr>
              <w:jc w:val="right"/>
              <w:ind w:right="642"/>
              <w:spacing w:after="0"/>
              <w:rPr>
                <w:sz w:val="20"/>
                <w:szCs w:val="20"/>
                <w:color w:val="auto"/>
              </w:rPr>
            </w:pPr>
            <w:r>
              <w:rPr>
                <w:rFonts w:ascii="Arial" w:cs="Arial" w:eastAsia="Arial" w:hAnsi="Arial"/>
                <w:sz w:val="11"/>
                <w:szCs w:val="11"/>
                <w:b w:val="1"/>
                <w:bCs w:val="1"/>
                <w:color w:val="auto"/>
              </w:rPr>
              <w:t>June 30, 2021</w:t>
            </w:r>
          </w:p>
        </w:tc>
        <w:tc>
          <w:tcPr>
            <w:tcW w:w="100" w:type="dxa"/>
            <w:vAlign w:val="bottom"/>
            <w:tcBorders>
              <w:bottom w:val="single" w:sz="8" w:color="CCEEFF"/>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ind w:left="140"/>
              <w:spacing w:after="0"/>
              <w:rPr>
                <w:sz w:val="20"/>
                <w:szCs w:val="20"/>
                <w:color w:val="auto"/>
              </w:rPr>
            </w:pPr>
            <w:r>
              <w:rPr>
                <w:rFonts w:ascii="Arial" w:cs="Arial" w:eastAsia="Arial" w:hAnsi="Arial"/>
                <w:sz w:val="11"/>
                <w:szCs w:val="11"/>
                <w:b w:val="1"/>
                <w:bCs w:val="1"/>
                <w:color w:val="auto"/>
              </w:rPr>
              <w:t>June 30, 2020</w:t>
            </w:r>
          </w:p>
        </w:tc>
        <w:tc>
          <w:tcPr>
            <w:tcW w:w="10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tcPr>
          <w:p>
            <w:pPr>
              <w:jc w:val="right"/>
              <w:ind w:right="662"/>
              <w:spacing w:after="0"/>
              <w:rPr>
                <w:sz w:val="20"/>
                <w:szCs w:val="20"/>
                <w:color w:val="auto"/>
              </w:rPr>
            </w:pPr>
            <w:r>
              <w:rPr>
                <w:rFonts w:ascii="Arial" w:cs="Arial" w:eastAsia="Arial" w:hAnsi="Arial"/>
                <w:sz w:val="11"/>
                <w:szCs w:val="11"/>
                <w:b w:val="1"/>
                <w:bCs w:val="1"/>
                <w:color w:val="auto"/>
              </w:rPr>
              <w:t>June 30, 2021</w:t>
            </w:r>
          </w:p>
        </w:tc>
        <w:tc>
          <w:tcPr>
            <w:tcW w:w="8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ind w:left="160"/>
              <w:spacing w:after="0"/>
              <w:rPr>
                <w:sz w:val="20"/>
                <w:szCs w:val="20"/>
                <w:color w:val="auto"/>
              </w:rPr>
            </w:pPr>
            <w:r>
              <w:rPr>
                <w:rFonts w:ascii="Arial" w:cs="Arial" w:eastAsia="Arial" w:hAnsi="Arial"/>
                <w:sz w:val="11"/>
                <w:szCs w:val="11"/>
                <w:b w:val="1"/>
                <w:bCs w:val="1"/>
                <w:color w:val="auto"/>
              </w:rPr>
              <w:t>June 30, 2020</w:t>
            </w:r>
          </w:p>
        </w:tc>
      </w:tr>
      <w:tr>
        <w:trPr>
          <w:trHeight w:val="144"/>
        </w:trPr>
        <w:tc>
          <w:tcPr>
            <w:tcW w:w="2880" w:type="dxa"/>
            <w:vAlign w:val="bottom"/>
            <w:shd w:val="clear" w:color="auto" w:fill="CCEEFF"/>
          </w:tcPr>
          <w:p>
            <w:pPr>
              <w:spacing w:after="0"/>
              <w:rPr>
                <w:sz w:val="20"/>
                <w:szCs w:val="20"/>
                <w:color w:val="auto"/>
              </w:rPr>
            </w:pPr>
            <w:r>
              <w:rPr>
                <w:rFonts w:ascii="Arial" w:cs="Arial" w:eastAsia="Arial" w:hAnsi="Arial"/>
                <w:sz w:val="12"/>
                <w:szCs w:val="12"/>
                <w:color w:val="auto"/>
              </w:rPr>
              <w:t>Amortization of debt discount</w:t>
            </w:r>
          </w:p>
        </w:tc>
        <w:tc>
          <w:tcPr>
            <w:tcW w:w="40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452"/>
              <w:spacing w:after="0"/>
              <w:rPr>
                <w:sz w:val="20"/>
                <w:szCs w:val="20"/>
                <w:color w:val="auto"/>
              </w:rPr>
            </w:pPr>
            <w:r>
              <w:rPr>
                <w:rFonts w:ascii="Arial" w:cs="Arial" w:eastAsia="Arial" w:hAnsi="Arial"/>
                <w:sz w:val="10"/>
                <w:szCs w:val="10"/>
                <w:color w:val="auto"/>
                <w:w w:val="71"/>
              </w:rPr>
              <w:t>$</w:t>
            </w:r>
          </w:p>
        </w:tc>
        <w:tc>
          <w:tcPr>
            <w:tcW w:w="1560" w:type="dxa"/>
            <w:vAlign w:val="bottom"/>
            <w:gridSpan w:val="2"/>
            <w:shd w:val="clear" w:color="auto" w:fill="CCEEFF"/>
          </w:tcPr>
          <w:p>
            <w:pPr>
              <w:ind w:left="130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6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10</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400"/>
              <w:spacing w:after="0"/>
              <w:rPr>
                <w:sz w:val="20"/>
                <w:szCs w:val="20"/>
                <w:color w:val="auto"/>
              </w:rPr>
            </w:pPr>
            <w:r>
              <w:rPr>
                <w:rFonts w:ascii="Arial" w:cs="Arial" w:eastAsia="Arial" w:hAnsi="Arial"/>
                <w:sz w:val="12"/>
                <w:szCs w:val="12"/>
                <w:color w:val="auto"/>
                <w:w w:val="89"/>
              </w:rPr>
              <w:t>$</w:t>
            </w:r>
          </w:p>
        </w:tc>
        <w:tc>
          <w:tcPr>
            <w:tcW w:w="1500" w:type="dxa"/>
            <w:vAlign w:val="bottom"/>
            <w:shd w:val="clear" w:color="auto" w:fill="CCEEFF"/>
          </w:tcPr>
          <w:p>
            <w:pPr>
              <w:ind w:left="1320"/>
              <w:spacing w:after="0"/>
              <w:rPr>
                <w:sz w:val="20"/>
                <w:szCs w:val="20"/>
                <w:color w:val="auto"/>
              </w:rPr>
            </w:pPr>
            <w:r>
              <w:rPr>
                <w:rFonts w:ascii="Arial" w:cs="Arial" w:eastAsia="Arial" w:hAnsi="Arial"/>
                <w:sz w:val="12"/>
                <w:szCs w:val="12"/>
                <w:color w:val="auto"/>
              </w:rPr>
              <w:t>—</w:t>
            </w:r>
          </w:p>
        </w:tc>
      </w:tr>
      <w:tr>
        <w:trPr>
          <w:trHeight w:val="153"/>
        </w:trPr>
        <w:tc>
          <w:tcPr>
            <w:tcW w:w="28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Amortization of debt issuance costs</w:t>
            </w:r>
          </w:p>
        </w:tc>
        <w:tc>
          <w:tcPr>
            <w:tcW w:w="40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w:t>
            </w:r>
          </w:p>
        </w:tc>
        <w:tc>
          <w:tcPr>
            <w:tcW w:w="10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ind w:left="130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w:t>
            </w:r>
          </w:p>
        </w:tc>
        <w:tc>
          <w:tcPr>
            <w:tcW w:w="8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ind w:left="1320"/>
              <w:spacing w:after="0"/>
              <w:rPr>
                <w:sz w:val="20"/>
                <w:szCs w:val="20"/>
                <w:color w:val="auto"/>
              </w:rPr>
            </w:pPr>
            <w:r>
              <w:rPr>
                <w:rFonts w:ascii="Arial" w:cs="Arial" w:eastAsia="Arial" w:hAnsi="Arial"/>
                <w:sz w:val="12"/>
                <w:szCs w:val="12"/>
                <w:color w:val="auto"/>
              </w:rPr>
              <w:t>—</w:t>
            </w:r>
          </w:p>
        </w:tc>
      </w:tr>
      <w:tr>
        <w:trPr>
          <w:trHeight w:val="158"/>
        </w:trPr>
        <w:tc>
          <w:tcPr>
            <w:tcW w:w="288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ind w:right="452"/>
              <w:spacing w:after="0"/>
              <w:rPr>
                <w:sz w:val="20"/>
                <w:szCs w:val="20"/>
                <w:color w:val="auto"/>
              </w:rPr>
            </w:pPr>
            <w:r>
              <w:rPr>
                <w:rFonts w:ascii="Arial" w:cs="Arial" w:eastAsia="Arial" w:hAnsi="Arial"/>
                <w:sz w:val="10"/>
                <w:szCs w:val="10"/>
                <w:color w:val="auto"/>
                <w:w w:val="71"/>
              </w:rPr>
              <w:t>$</w:t>
            </w:r>
          </w:p>
        </w:tc>
        <w:tc>
          <w:tcPr>
            <w:tcW w:w="1460" w:type="dxa"/>
            <w:vAlign w:val="bottom"/>
            <w:tcBorders>
              <w:bottom w:val="single" w:sz="8" w:color="auto"/>
            </w:tcBorders>
            <w:shd w:val="clear" w:color="auto" w:fill="CCEEFF"/>
          </w:tcPr>
          <w:p>
            <w:pPr>
              <w:ind w:left="130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6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11</w:t>
            </w: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ind w:right="400"/>
              <w:spacing w:after="0"/>
              <w:rPr>
                <w:sz w:val="20"/>
                <w:szCs w:val="20"/>
                <w:color w:val="auto"/>
              </w:rPr>
            </w:pPr>
            <w:r>
              <w:rPr>
                <w:rFonts w:ascii="Arial" w:cs="Arial" w:eastAsia="Arial" w:hAnsi="Arial"/>
                <w:sz w:val="12"/>
                <w:szCs w:val="12"/>
                <w:color w:val="auto"/>
                <w:w w:val="89"/>
              </w:rPr>
              <w:t>$</w:t>
            </w:r>
          </w:p>
        </w:tc>
        <w:tc>
          <w:tcPr>
            <w:tcW w:w="1500" w:type="dxa"/>
            <w:vAlign w:val="bottom"/>
            <w:tcBorders>
              <w:bottom w:val="single" w:sz="8" w:color="auto"/>
            </w:tcBorders>
            <w:shd w:val="clear" w:color="auto" w:fill="CCEEFF"/>
          </w:tcPr>
          <w:p>
            <w:pPr>
              <w:ind w:left="1320"/>
              <w:spacing w:after="0"/>
              <w:rPr>
                <w:sz w:val="20"/>
                <w:szCs w:val="20"/>
                <w:color w:val="auto"/>
              </w:rPr>
            </w:pPr>
            <w:r>
              <w:rPr>
                <w:rFonts w:ascii="Arial" w:cs="Arial" w:eastAsia="Arial" w:hAnsi="Arial"/>
                <w:sz w:val="12"/>
                <w:szCs w:val="12"/>
                <w:color w:val="auto"/>
              </w:rPr>
              <w:t>—</w:t>
            </w:r>
          </w:p>
        </w:tc>
      </w:tr>
    </w:tbl>
    <w:p>
      <w:pPr>
        <w:spacing w:after="0" w:line="162"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2026 Convertible Note Hedges and Warrants</w:t>
      </w:r>
    </w:p>
    <w:p>
      <w:pPr>
        <w:spacing w:after="0" w:line="78" w:lineRule="exact"/>
        <w:rPr>
          <w:sz w:val="20"/>
          <w:szCs w:val="20"/>
          <w:color w:val="auto"/>
        </w:rPr>
      </w:pPr>
    </w:p>
    <w:p>
      <w:pPr>
        <w:jc w:val="both"/>
        <w:ind w:right="20" w:firstLine="432"/>
        <w:spacing w:after="0" w:line="306" w:lineRule="auto"/>
        <w:rPr>
          <w:sz w:val="20"/>
          <w:szCs w:val="20"/>
          <w:color w:val="auto"/>
        </w:rPr>
      </w:pPr>
      <w:r>
        <w:rPr>
          <w:rFonts w:ascii="Arial" w:cs="Arial" w:eastAsia="Arial" w:hAnsi="Arial"/>
          <w:sz w:val="10"/>
          <w:szCs w:val="10"/>
          <w:color w:val="auto"/>
        </w:rPr>
        <w:t>In connection with the offering of the 2026 Convertible Notes, we entered into privately-negotiated convertible note hedge transactions with respect to our common stock with certain counterparties (the “2026 Convertible Note Hedges”), covering a total of 3.4 million shares of our common stock at a cost of $100 million. The 2026 Convertible Note Hedges are subject to anti-dilution provisions substantially similar to those of the 2026 Convertible Notes, have a strike price that initially corresponds to the initial conversion price of the 2026 Convertible Notes, are exercisable by us upon any conversion under the 2026 Convertible Notes, and expire when the 2026 Convertible Notes mature.</w:t>
      </w:r>
    </w:p>
    <w:p>
      <w:pPr>
        <w:spacing w:after="0" w:line="1" w:lineRule="exact"/>
        <w:rPr>
          <w:sz w:val="20"/>
          <w:szCs w:val="20"/>
          <w:color w:val="auto"/>
        </w:rPr>
      </w:pPr>
    </w:p>
    <w:p>
      <w:pPr>
        <w:jc w:val="both"/>
        <w:ind w:right="40"/>
        <w:spacing w:after="0" w:line="260" w:lineRule="auto"/>
        <w:rPr>
          <w:sz w:val="20"/>
          <w:szCs w:val="20"/>
          <w:color w:val="auto"/>
        </w:rPr>
      </w:pPr>
      <w:r>
        <w:rPr>
          <w:rFonts w:ascii="Arial" w:cs="Arial" w:eastAsia="Arial" w:hAnsi="Arial"/>
          <w:sz w:val="12"/>
          <w:szCs w:val="12"/>
          <w:color w:val="auto"/>
        </w:rPr>
        <w:t>The cost of the 2026 Convertible Note Hedges is expected to be tax deductible as an original issue discount over the life of the 2026 Convertible Notes, as the 2026 Convertible Notes and the 2026 Convertible Note Hedges represent an integrated debt instrument for tax purposes. The cost of the 2026 Convertible Note Hedges was recorded as a reduction of Additional paid-in capital on our Balance Sheet.</w:t>
      </w:r>
    </w:p>
    <w:p>
      <w:pPr>
        <w:spacing w:after="0" w:line="52" w:lineRule="exact"/>
        <w:rPr>
          <w:sz w:val="20"/>
          <w:szCs w:val="20"/>
          <w:color w:val="auto"/>
        </w:rPr>
      </w:pPr>
    </w:p>
    <w:p>
      <w:pPr>
        <w:jc w:val="both"/>
        <w:ind w:right="180" w:firstLine="432"/>
        <w:spacing w:after="0" w:line="298" w:lineRule="auto"/>
        <w:rPr>
          <w:sz w:val="20"/>
          <w:szCs w:val="20"/>
          <w:color w:val="auto"/>
        </w:rPr>
      </w:pPr>
      <w:r>
        <w:rPr>
          <w:rFonts w:ascii="Arial" w:cs="Arial" w:eastAsia="Arial" w:hAnsi="Arial"/>
          <w:sz w:val="11"/>
          <w:szCs w:val="11"/>
          <w:color w:val="auto"/>
        </w:rPr>
        <w:t>Concurrently with the entry into the 2026 Convertible Note Hedges, we separately entered into privately-negotiated warrant transactions (the “2026 Warrants”), whereby we sold to the counterparties to the 2026 Convertible Note Hedges warrants to acquire, collectively, subject to anti-dilution adjustments, approximately 3.4 million shares of our common stock at an initial strike price of $213.76 per share. We received aggregate proceeds of $70 million from the sale of the 2026 Warrants to the counterparties. The proceeds from the issuance of the 2026 Warrants were recorded as an increase to Additional paid-in capital on our Balance Sheet.</w:t>
      </w:r>
    </w:p>
    <w:p>
      <w:pPr>
        <w:spacing w:after="0" w:line="33" w:lineRule="exact"/>
        <w:rPr>
          <w:sz w:val="20"/>
          <w:szCs w:val="20"/>
          <w:color w:val="auto"/>
        </w:rPr>
      </w:pPr>
    </w:p>
    <w:p>
      <w:pPr>
        <w:ind w:right="100" w:firstLine="432"/>
        <w:spacing w:after="0" w:line="263" w:lineRule="auto"/>
        <w:rPr>
          <w:sz w:val="20"/>
          <w:szCs w:val="20"/>
          <w:color w:val="auto"/>
        </w:rPr>
      </w:pPr>
      <w:r>
        <w:rPr>
          <w:rFonts w:ascii="Arial" w:cs="Arial" w:eastAsia="Arial" w:hAnsi="Arial"/>
          <w:sz w:val="12"/>
          <w:szCs w:val="12"/>
          <w:color w:val="auto"/>
        </w:rPr>
        <w:t>Taken together, the 2026 Convertible Note Hedges and the 2026 Warrants are generally expected to reduce the potential dilution to our common stock (or, in the event the conversion of the 2026 Convertible Notes is settled in cash, to reduce our cash payment obligation) in the event that at the time of conversion our stock price exceeds the conversion price under the 2026 Convertible Notes and to effectively increase the overall conversion price to the Company from $171.01 per</w:t>
      </w:r>
    </w:p>
    <w:p>
      <w:pPr>
        <w:spacing w:after="0" w:line="113" w:lineRule="exact"/>
        <w:rPr>
          <w:sz w:val="20"/>
          <w:szCs w:val="20"/>
          <w:color w:val="auto"/>
        </w:rPr>
      </w:pPr>
    </w:p>
    <w:p>
      <w:pPr>
        <w:jc w:val="center"/>
        <w:ind w:left="420"/>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191135</wp:posOffset>
            </wp:positionV>
            <wp:extent cx="7203440"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37" w:name="page38"/>
    <w:bookmarkEnd w:id="37"/>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2"/>
          <w:szCs w:val="12"/>
          <w:color w:val="auto"/>
        </w:rPr>
        <w:t>share to $213.76 per share. The 2026 Warrants will expire in ratable portions on a series of expiration dates commencing on April 15, 2026.</w:t>
      </w:r>
    </w:p>
    <w:p>
      <w:pPr>
        <w:spacing w:after="0" w:line="78" w:lineRule="exact"/>
        <w:rPr>
          <w:sz w:val="20"/>
          <w:szCs w:val="20"/>
          <w:color w:val="auto"/>
        </w:rPr>
      </w:pPr>
    </w:p>
    <w:p>
      <w:pPr>
        <w:ind w:right="20" w:firstLine="432"/>
        <w:spacing w:after="0" w:line="276" w:lineRule="auto"/>
        <w:rPr>
          <w:sz w:val="20"/>
          <w:szCs w:val="20"/>
          <w:color w:val="auto"/>
        </w:rPr>
      </w:pPr>
      <w:r>
        <w:rPr>
          <w:rFonts w:ascii="Arial" w:cs="Arial" w:eastAsia="Arial" w:hAnsi="Arial"/>
          <w:sz w:val="12"/>
          <w:szCs w:val="12"/>
          <w:color w:val="auto"/>
        </w:rPr>
        <w:t>The 2026 Convertible Notes, the 2026 Convertible Note Hedges, and the 2026 Warrants are transactions that are separate from each other. Holders of any such instrument have no rights with respect to the other instruments. As of June 30, 2021, no 2026 Convertible Notes or 2026 Warrants have been exercised.</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Security and Guarantees</w:t>
      </w:r>
    </w:p>
    <w:p>
      <w:pPr>
        <w:spacing w:after="0" w:line="78" w:lineRule="exact"/>
        <w:rPr>
          <w:sz w:val="20"/>
          <w:szCs w:val="20"/>
          <w:color w:val="auto"/>
        </w:rPr>
      </w:pPr>
    </w:p>
    <w:p>
      <w:pPr>
        <w:ind w:right="60" w:firstLine="432"/>
        <w:spacing w:after="0" w:line="289" w:lineRule="auto"/>
        <w:rPr>
          <w:sz w:val="20"/>
          <w:szCs w:val="20"/>
          <w:color w:val="auto"/>
        </w:rPr>
      </w:pPr>
      <w:r>
        <w:rPr>
          <w:rFonts w:ascii="Arial" w:cs="Arial" w:eastAsia="Arial" w:hAnsi="Arial"/>
          <w:sz w:val="11"/>
          <w:szCs w:val="11"/>
          <w:color w:val="auto"/>
        </w:rPr>
        <w:t>Amounts borrowed under the Corporate Credit Facility and the 2025 Notes, as well as obligations with respect to letters of credit issued pursuant to the Corporate Credit Facility, are secured by a perfected first priority security interest in substantially all of the assets of the borrowers under, and guarantors of, that facility (which include MVWC and certain of our direct and indirect, existing and future, domestic subsidiaries, excluding certain bankruptcy remote special purpose subsidiaries), in each case including inventory, subject to certain exceptions. In addition, the Corporate Credit Facility, the 2026 Convertible Notes, the 2025 Notes, the 2026 Notes, the 2028 Notes, and the 2029 Notes are guaranteed by MVWC and certain of our direct and indirect, existing and future, domestic subsidiaries, excluding bankruptcy remote special purpose subsidiaries.</w:t>
      </w:r>
    </w:p>
    <w:p>
      <w:pPr>
        <w:spacing w:after="0" w:line="161" w:lineRule="exact"/>
        <w:rPr>
          <w:sz w:val="20"/>
          <w:szCs w:val="20"/>
          <w:color w:val="auto"/>
        </w:rPr>
      </w:pPr>
    </w:p>
    <w:p>
      <w:pPr>
        <w:ind w:left="320" w:hanging="316"/>
        <w:spacing w:after="0"/>
        <w:tabs>
          <w:tab w:leader="none" w:pos="320" w:val="left"/>
        </w:tabs>
        <w:numPr>
          <w:ilvl w:val="0"/>
          <w:numId w:val="26"/>
        </w:numPr>
        <w:rPr>
          <w:rFonts w:ascii="Arial" w:cs="Arial" w:eastAsia="Arial" w:hAnsi="Arial"/>
          <w:sz w:val="12"/>
          <w:szCs w:val="12"/>
          <w:b w:val="1"/>
          <w:bCs w:val="1"/>
          <w:color w:val="auto"/>
        </w:rPr>
      </w:pPr>
      <w:r>
        <w:rPr>
          <w:rFonts w:ascii="Arial" w:cs="Arial" w:eastAsia="Arial" w:hAnsi="Arial"/>
          <w:sz w:val="12"/>
          <w:szCs w:val="12"/>
          <w:b w:val="1"/>
          <w:bCs w:val="1"/>
          <w:color w:val="auto"/>
        </w:rPr>
        <w:t>SHAREHOLDERS’ EQUITY</w:t>
      </w:r>
    </w:p>
    <w:p>
      <w:pPr>
        <w:spacing w:after="0" w:line="145" w:lineRule="exact"/>
        <w:rPr>
          <w:sz w:val="20"/>
          <w:szCs w:val="20"/>
          <w:color w:val="auto"/>
        </w:rPr>
      </w:pPr>
    </w:p>
    <w:p>
      <w:pPr>
        <w:ind w:right="160" w:firstLine="432"/>
        <w:spacing w:after="0" w:line="259" w:lineRule="auto"/>
        <w:rPr>
          <w:sz w:val="20"/>
          <w:szCs w:val="20"/>
          <w:color w:val="auto"/>
        </w:rPr>
      </w:pPr>
      <w:r>
        <w:rPr>
          <w:rFonts w:ascii="Arial" w:cs="Arial" w:eastAsia="Arial" w:hAnsi="Arial"/>
          <w:sz w:val="12"/>
          <w:szCs w:val="12"/>
          <w:color w:val="auto"/>
        </w:rPr>
        <w:t>Marriott Vacations Worldwide has 100,000,000 authorized shares of common stock, par value of $0.01 per share. At June 30, 2021, there were 75,457,876 shares of Marriott Vacations Worldwide common stock issued, of which 42,706,710 shares were outstanding and 32,751,166 shares were held as treasury stock. At December 31, 2020, there were 75,279,061 shares of Marriott Vacations Worldwide common stock issued, of which 41,094,248 shares were outstanding and 34,184,813 shares were held as treasury stock. Marriott Vacations Worldwide has 2,000,000 authorized shares of preferred stock, par value of $0.01 per share, none of which were issued or outstanding as of June 30, 2021 or December 31, 2020.</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Dividends</w:t>
      </w:r>
    </w:p>
    <w:p>
      <w:pPr>
        <w:spacing w:after="0" w:line="78" w:lineRule="exact"/>
        <w:rPr>
          <w:sz w:val="20"/>
          <w:szCs w:val="20"/>
          <w:color w:val="auto"/>
        </w:rPr>
      </w:pPr>
    </w:p>
    <w:p>
      <w:pPr>
        <w:ind w:right="240" w:firstLine="432"/>
        <w:spacing w:after="0" w:line="276" w:lineRule="auto"/>
        <w:rPr>
          <w:sz w:val="20"/>
          <w:szCs w:val="20"/>
          <w:color w:val="auto"/>
        </w:rPr>
      </w:pPr>
      <w:r>
        <w:rPr>
          <w:rFonts w:ascii="Arial" w:cs="Arial" w:eastAsia="Arial" w:hAnsi="Arial"/>
          <w:sz w:val="12"/>
          <w:szCs w:val="12"/>
          <w:color w:val="auto"/>
        </w:rPr>
        <w:t>Due to the impact of the COVID-19 pandemic, we temporarily suspended cash dividends. Any future dividend payments will be subject to both the restrictions imposed under the Waiver and other agreements covering our debt, and Board approval. There can be no assurance that we will pay dividends in the future.</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Noncontrolling Interests - Property Owners’ Associations</w:t>
      </w:r>
    </w:p>
    <w:p>
      <w:pPr>
        <w:spacing w:after="0" w:line="78" w:lineRule="exact"/>
        <w:rPr>
          <w:sz w:val="20"/>
          <w:szCs w:val="20"/>
          <w:color w:val="auto"/>
        </w:rPr>
      </w:pPr>
    </w:p>
    <w:p>
      <w:pPr>
        <w:ind w:right="120" w:firstLine="432"/>
        <w:spacing w:after="0" w:line="276" w:lineRule="auto"/>
        <w:rPr>
          <w:sz w:val="20"/>
          <w:szCs w:val="20"/>
          <w:color w:val="auto"/>
        </w:rPr>
      </w:pPr>
      <w:r>
        <w:rPr>
          <w:rFonts w:ascii="Arial" w:cs="Arial" w:eastAsia="Arial" w:hAnsi="Arial"/>
          <w:sz w:val="12"/>
          <w:szCs w:val="12"/>
          <w:color w:val="auto"/>
        </w:rPr>
        <w:t>We consolidate certain property owners’ associations. Noncontrolling interests represent the portion of the property owners’ associations related to individual or third-party vacation ownership interest owners. Noncontrolling interests of $30 million and $31 million, as of June 30, 2021 and December 31, 2020, respectively, are included on our Balance Sheets as a component of equity.</w:t>
      </w:r>
    </w:p>
    <w:p>
      <w:pPr>
        <w:spacing w:after="0" w:line="165" w:lineRule="exact"/>
        <w:rPr>
          <w:sz w:val="20"/>
          <w:szCs w:val="20"/>
          <w:color w:val="auto"/>
        </w:rPr>
      </w:pPr>
    </w:p>
    <w:p>
      <w:pPr>
        <w:ind w:left="320" w:hanging="316"/>
        <w:spacing w:after="0"/>
        <w:tabs>
          <w:tab w:leader="none" w:pos="320" w:val="left"/>
        </w:tabs>
        <w:numPr>
          <w:ilvl w:val="0"/>
          <w:numId w:val="27"/>
        </w:numPr>
        <w:rPr>
          <w:rFonts w:ascii="Arial" w:cs="Arial" w:eastAsia="Arial" w:hAnsi="Arial"/>
          <w:sz w:val="12"/>
          <w:szCs w:val="12"/>
          <w:b w:val="1"/>
          <w:bCs w:val="1"/>
          <w:color w:val="auto"/>
        </w:rPr>
      </w:pPr>
      <w:r>
        <w:rPr>
          <w:rFonts w:ascii="Arial" w:cs="Arial" w:eastAsia="Arial" w:hAnsi="Arial"/>
          <w:sz w:val="12"/>
          <w:szCs w:val="12"/>
          <w:b w:val="1"/>
          <w:bCs w:val="1"/>
          <w:color w:val="auto"/>
        </w:rPr>
        <w:t>SHARE-BASED COMPENSATION</w:t>
      </w:r>
    </w:p>
    <w:p>
      <w:pPr>
        <w:spacing w:after="0" w:line="136" w:lineRule="exact"/>
        <w:rPr>
          <w:sz w:val="20"/>
          <w:szCs w:val="20"/>
          <w:color w:val="auto"/>
        </w:rPr>
      </w:pPr>
    </w:p>
    <w:p>
      <w:pPr>
        <w:ind w:left="420"/>
        <w:spacing w:after="0"/>
        <w:rPr>
          <w:sz w:val="20"/>
          <w:szCs w:val="20"/>
          <w:color w:val="auto"/>
        </w:rPr>
      </w:pPr>
      <w:r>
        <w:rPr>
          <w:rFonts w:ascii="Arial" w:cs="Arial" w:eastAsia="Arial" w:hAnsi="Arial"/>
          <w:sz w:val="11"/>
          <w:szCs w:val="11"/>
          <w:color w:val="auto"/>
        </w:rPr>
        <w:t>We maintain the Marriott Vacations Worldwide Corporation 2020 Equity Incentive Plan (the “MVW Equity Plan”) for the benefit of our officers, directors, and employees. Under the MVW Equity Plan, we are authorized to</w:t>
      </w:r>
    </w:p>
    <w:p>
      <w:pPr>
        <w:spacing w:after="0" w:line="26" w:lineRule="exact"/>
        <w:rPr>
          <w:sz w:val="20"/>
          <w:szCs w:val="20"/>
          <w:color w:val="auto"/>
        </w:rPr>
      </w:pPr>
    </w:p>
    <w:p>
      <w:pPr>
        <w:spacing w:after="0"/>
        <w:rPr>
          <w:sz w:val="20"/>
          <w:szCs w:val="20"/>
          <w:color w:val="auto"/>
        </w:rPr>
      </w:pPr>
      <w:r>
        <w:rPr>
          <w:rFonts w:ascii="Arial" w:cs="Arial" w:eastAsia="Arial" w:hAnsi="Arial"/>
          <w:sz w:val="11"/>
          <w:szCs w:val="11"/>
          <w:color w:val="auto"/>
        </w:rPr>
        <w:t>award: (1) restricted stock units (“RSUs”) of our common stock, (2) stock appreciation rights (“SARs”) relating to our common stock, and (3) stock options to purchase our common stock. A total of 1.8 million shares are authorized for</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issuance pursuant to grants under the MVW Equity Plan. As of June 30, 2021, approximately 1.5 million shares were available for grants under the MVW Equity Plan.</w:t>
      </w:r>
    </w:p>
    <w:p>
      <w:pPr>
        <w:spacing w:after="0" w:line="3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details our share-based compensation expense related to award grants to our officers, directors, and employees: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2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1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Three Months Ended</w:t>
            </w:r>
          </w:p>
        </w:tc>
        <w:tc>
          <w:tcPr>
            <w:tcW w:w="14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1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1"/>
                <w:szCs w:val="11"/>
                <w:b w:val="1"/>
                <w:bCs w:val="1"/>
                <w:color w:val="auto"/>
              </w:rPr>
              <w:t>Six Months Ended</w:t>
            </w:r>
          </w:p>
        </w:tc>
        <w:tc>
          <w:tcPr>
            <w:tcW w:w="1420" w:type="dxa"/>
            <w:vAlign w:val="bottom"/>
            <w:tcBorders>
              <w:bottom w:val="single" w:sz="8" w:color="auto"/>
            </w:tcBorders>
          </w:tcPr>
          <w:p>
            <w:pPr>
              <w:spacing w:after="0"/>
              <w:rPr>
                <w:sz w:val="12"/>
                <w:szCs w:val="12"/>
                <w:color w:val="auto"/>
              </w:rPr>
            </w:pPr>
          </w:p>
        </w:tc>
      </w:tr>
      <w:tr>
        <w:trPr>
          <w:trHeight w:val="133"/>
        </w:trPr>
        <w:tc>
          <w:tcPr>
            <w:tcW w:w="3280" w:type="dxa"/>
            <w:vAlign w:val="bottom"/>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360" w:type="dxa"/>
            <w:vAlign w:val="bottom"/>
          </w:tcPr>
          <w:p>
            <w:pPr>
              <w:spacing w:after="0"/>
              <w:rPr>
                <w:sz w:val="11"/>
                <w:szCs w:val="11"/>
                <w:color w:val="auto"/>
              </w:rPr>
            </w:pPr>
          </w:p>
        </w:tc>
        <w:tc>
          <w:tcPr>
            <w:tcW w:w="1680" w:type="dxa"/>
            <w:vAlign w:val="bottom"/>
            <w:gridSpan w:val="2"/>
          </w:tcPr>
          <w:p>
            <w:pPr>
              <w:ind w:left="300"/>
              <w:spacing w:after="0"/>
              <w:rPr>
                <w:sz w:val="20"/>
                <w:szCs w:val="20"/>
                <w:color w:val="auto"/>
              </w:rPr>
            </w:pPr>
            <w:r>
              <w:rPr>
                <w:rFonts w:ascii="Arial" w:cs="Arial" w:eastAsia="Arial" w:hAnsi="Arial"/>
                <w:sz w:val="11"/>
                <w:szCs w:val="11"/>
                <w:b w:val="1"/>
                <w:bCs w:val="1"/>
                <w:color w:val="auto"/>
              </w:rPr>
              <w:t>June 30, 2021</w:t>
            </w:r>
          </w:p>
        </w:tc>
        <w:tc>
          <w:tcPr>
            <w:tcW w:w="460" w:type="dxa"/>
            <w:vAlign w:val="bottom"/>
          </w:tcPr>
          <w:p>
            <w:pPr>
              <w:spacing w:after="0"/>
              <w:rPr>
                <w:sz w:val="11"/>
                <w:szCs w:val="11"/>
                <w:color w:val="auto"/>
              </w:rPr>
            </w:pPr>
          </w:p>
        </w:tc>
        <w:tc>
          <w:tcPr>
            <w:tcW w:w="1460" w:type="dxa"/>
            <w:vAlign w:val="bottom"/>
          </w:tcPr>
          <w:p>
            <w:pPr>
              <w:jc w:val="right"/>
              <w:ind w:right="581"/>
              <w:spacing w:after="0"/>
              <w:rPr>
                <w:sz w:val="20"/>
                <w:szCs w:val="20"/>
                <w:color w:val="auto"/>
              </w:rPr>
            </w:pPr>
            <w:r>
              <w:rPr>
                <w:rFonts w:ascii="Arial" w:cs="Arial" w:eastAsia="Arial" w:hAnsi="Arial"/>
                <w:sz w:val="11"/>
                <w:szCs w:val="11"/>
                <w:b w:val="1"/>
                <w:bCs w:val="1"/>
                <w:color w:val="auto"/>
              </w:rPr>
              <w:t>June 30, 2020</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60" w:type="dxa"/>
            <w:vAlign w:val="bottom"/>
            <w:gridSpan w:val="2"/>
          </w:tcPr>
          <w:p>
            <w:pPr>
              <w:ind w:left="300"/>
              <w:spacing w:after="0"/>
              <w:rPr>
                <w:sz w:val="20"/>
                <w:szCs w:val="20"/>
                <w:color w:val="auto"/>
              </w:rPr>
            </w:pPr>
            <w:r>
              <w:rPr>
                <w:rFonts w:ascii="Arial" w:cs="Arial" w:eastAsia="Arial" w:hAnsi="Arial"/>
                <w:sz w:val="11"/>
                <w:szCs w:val="11"/>
                <w:b w:val="1"/>
                <w:bCs w:val="1"/>
                <w:color w:val="auto"/>
              </w:rPr>
              <w:t>June 30, 2021</w:t>
            </w:r>
          </w:p>
        </w:tc>
        <w:tc>
          <w:tcPr>
            <w:tcW w:w="520" w:type="dxa"/>
            <w:vAlign w:val="bottom"/>
          </w:tcPr>
          <w:p>
            <w:pPr>
              <w:spacing w:after="0"/>
              <w:rPr>
                <w:sz w:val="11"/>
                <w:szCs w:val="11"/>
                <w:color w:val="auto"/>
              </w:rPr>
            </w:pPr>
          </w:p>
        </w:tc>
        <w:tc>
          <w:tcPr>
            <w:tcW w:w="1420" w:type="dxa"/>
            <w:vAlign w:val="bottom"/>
          </w:tcPr>
          <w:p>
            <w:pPr>
              <w:jc w:val="right"/>
              <w:ind w:right="601"/>
              <w:spacing w:after="0"/>
              <w:rPr>
                <w:sz w:val="20"/>
                <w:szCs w:val="20"/>
                <w:color w:val="auto"/>
              </w:rPr>
            </w:pPr>
            <w:r>
              <w:rPr>
                <w:rFonts w:ascii="Arial" w:cs="Arial" w:eastAsia="Arial" w:hAnsi="Arial"/>
                <w:sz w:val="11"/>
                <w:szCs w:val="11"/>
                <w:b w:val="1"/>
                <w:bCs w:val="1"/>
                <w:color w:val="auto"/>
              </w:rPr>
              <w:t>June 30, 2020</w:t>
            </w:r>
          </w:p>
        </w:tc>
      </w:tr>
      <w:tr>
        <w:trPr>
          <w:trHeight w:val="144"/>
        </w:trPr>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Service-based RSUs</w:t>
            </w:r>
          </w:p>
        </w:tc>
        <w:tc>
          <w:tcPr>
            <w:tcW w:w="360" w:type="dxa"/>
            <w:vAlign w:val="bottom"/>
            <w:tcBorders>
              <w:top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w:t>
            </w:r>
          </w:p>
        </w:tc>
        <w:tc>
          <w:tcPr>
            <w:tcW w:w="10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ind w:right="352"/>
              <w:spacing w:after="0"/>
              <w:rPr>
                <w:sz w:val="20"/>
                <w:szCs w:val="20"/>
                <w:color w:val="auto"/>
              </w:rPr>
            </w:pPr>
            <w:r>
              <w:rPr>
                <w:rFonts w:ascii="Arial" w:cs="Arial" w:eastAsia="Arial" w:hAnsi="Arial"/>
                <w:sz w:val="10"/>
                <w:szCs w:val="10"/>
                <w:color w:val="auto"/>
                <w:w w:val="7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10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ind w:right="252"/>
              <w:spacing w:after="0"/>
              <w:rPr>
                <w:sz w:val="20"/>
                <w:szCs w:val="20"/>
                <w:color w:val="auto"/>
              </w:rPr>
            </w:pPr>
            <w:r>
              <w:rPr>
                <w:rFonts w:ascii="Arial" w:cs="Arial" w:eastAsia="Arial" w:hAnsi="Arial"/>
                <w:sz w:val="10"/>
                <w:szCs w:val="10"/>
                <w:color w:val="auto"/>
                <w:w w:val="71"/>
              </w:rPr>
              <w:t>$</w:t>
            </w:r>
          </w:p>
        </w:tc>
        <w:tc>
          <w:tcPr>
            <w:tcW w:w="15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15</w:t>
            </w:r>
          </w:p>
        </w:tc>
        <w:tc>
          <w:tcPr>
            <w:tcW w:w="8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ind w:right="380"/>
              <w:spacing w:after="0"/>
              <w:rPr>
                <w:sz w:val="20"/>
                <w:szCs w:val="20"/>
                <w:color w:val="auto"/>
              </w:rPr>
            </w:pPr>
            <w:r>
              <w:rPr>
                <w:rFonts w:ascii="Arial" w:cs="Arial" w:eastAsia="Arial" w:hAnsi="Arial"/>
                <w:sz w:val="12"/>
                <w:szCs w:val="12"/>
                <w:color w:val="auto"/>
                <w:w w:val="89"/>
              </w:rPr>
              <w:t>$</w:t>
            </w:r>
          </w:p>
        </w:tc>
        <w:tc>
          <w:tcPr>
            <w:tcW w:w="14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11</w:t>
            </w:r>
          </w:p>
        </w:tc>
      </w:tr>
      <w:tr>
        <w:trPr>
          <w:trHeight w:val="153"/>
        </w:trPr>
        <w:tc>
          <w:tcPr>
            <w:tcW w:w="3280" w:type="dxa"/>
            <w:vAlign w:val="bottom"/>
          </w:tcPr>
          <w:p>
            <w:pPr>
              <w:spacing w:after="0"/>
              <w:rPr>
                <w:sz w:val="20"/>
                <w:szCs w:val="20"/>
                <w:color w:val="auto"/>
              </w:rPr>
            </w:pPr>
            <w:r>
              <w:rPr>
                <w:rFonts w:ascii="Arial" w:cs="Arial" w:eastAsia="Arial" w:hAnsi="Arial"/>
                <w:sz w:val="12"/>
                <w:szCs w:val="12"/>
                <w:color w:val="auto"/>
              </w:rPr>
              <w:t>Performance-based RSUs</w:t>
            </w:r>
          </w:p>
        </w:tc>
        <w:tc>
          <w:tcPr>
            <w:tcW w:w="36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80" w:type="dxa"/>
            <w:vAlign w:val="bottom"/>
          </w:tcPr>
          <w:p>
            <w:pPr>
              <w:jc w:val="right"/>
              <w:ind w:right="2"/>
              <w:spacing w:after="0"/>
              <w:rPr>
                <w:sz w:val="20"/>
                <w:szCs w:val="20"/>
                <w:color w:val="auto"/>
              </w:rPr>
            </w:pPr>
            <w:r>
              <w:rPr>
                <w:rFonts w:ascii="Arial" w:cs="Arial" w:eastAsia="Arial" w:hAnsi="Arial"/>
                <w:sz w:val="12"/>
                <w:szCs w:val="12"/>
                <w:color w:val="auto"/>
              </w:rPr>
              <w:t>3</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(1)</w:t>
            </w:r>
          </w:p>
        </w:tc>
      </w:tr>
      <w:tr>
        <w:trPr>
          <w:trHeight w:val="153"/>
        </w:trPr>
        <w:tc>
          <w:tcPr>
            <w:tcW w:w="3280" w:type="dxa"/>
            <w:vAlign w:val="bottom"/>
            <w:shd w:val="clear" w:color="auto" w:fill="CCEEFF"/>
          </w:tcPr>
          <w:p>
            <w:pPr>
              <w:spacing w:after="0"/>
              <w:rPr>
                <w:sz w:val="20"/>
                <w:szCs w:val="20"/>
                <w:color w:val="auto"/>
              </w:rPr>
            </w:pPr>
            <w:r>
              <w:rPr>
                <w:rFonts w:ascii="Arial" w:cs="Arial" w:eastAsia="Arial" w:hAnsi="Arial"/>
                <w:sz w:val="12"/>
                <w:szCs w:val="12"/>
                <w:color w:val="auto"/>
              </w:rPr>
              <w:t>ILG Acquisition Converted RSUs</w:t>
            </w:r>
          </w:p>
        </w:tc>
        <w:tc>
          <w:tcPr>
            <w:tcW w:w="360" w:type="dxa"/>
            <w:vAlign w:val="bottom"/>
            <w:shd w:val="clear" w:color="auto" w:fill="CCEEFF"/>
          </w:tcPr>
          <w:p>
            <w:pPr>
              <w:spacing w:after="0"/>
              <w:rPr>
                <w:sz w:val="13"/>
                <w:szCs w:val="13"/>
                <w:color w:val="auto"/>
              </w:rPr>
            </w:pP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3"/>
                <w:szCs w:val="13"/>
                <w:color w:val="auto"/>
              </w:rPr>
            </w:pP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spacing w:after="0"/>
              <w:rPr>
                <w:sz w:val="13"/>
                <w:szCs w:val="13"/>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w:t>
            </w:r>
          </w:p>
        </w:tc>
      </w:tr>
      <w:tr>
        <w:trPr>
          <w:trHeight w:val="142"/>
        </w:trPr>
        <w:tc>
          <w:tcPr>
            <w:tcW w:w="328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11</w:t>
            </w:r>
          </w:p>
        </w:tc>
        <w:tc>
          <w:tcPr>
            <w:tcW w:w="10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8</w:t>
            </w:r>
          </w:p>
        </w:tc>
        <w:tc>
          <w:tcPr>
            <w:tcW w:w="1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rPr>
              <w:t>18</w:t>
            </w:r>
          </w:p>
        </w:tc>
        <w:tc>
          <w:tcPr>
            <w:tcW w:w="8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11</w:t>
            </w:r>
          </w:p>
        </w:tc>
      </w:tr>
      <w:tr>
        <w:trPr>
          <w:trHeight w:val="153"/>
        </w:trPr>
        <w:tc>
          <w:tcPr>
            <w:tcW w:w="3280" w:type="dxa"/>
            <w:vAlign w:val="bottom"/>
            <w:shd w:val="clear" w:color="auto" w:fill="CCEEFF"/>
          </w:tcPr>
          <w:p>
            <w:pPr>
              <w:spacing w:after="0"/>
              <w:rPr>
                <w:sz w:val="20"/>
                <w:szCs w:val="20"/>
                <w:color w:val="auto"/>
              </w:rPr>
            </w:pPr>
            <w:r>
              <w:rPr>
                <w:rFonts w:ascii="Arial" w:cs="Arial" w:eastAsia="Arial" w:hAnsi="Arial"/>
                <w:sz w:val="12"/>
                <w:szCs w:val="12"/>
                <w:color w:val="auto"/>
              </w:rPr>
              <w:t>SARs</w:t>
            </w:r>
          </w:p>
        </w:tc>
        <w:tc>
          <w:tcPr>
            <w:tcW w:w="360" w:type="dxa"/>
            <w:vAlign w:val="bottom"/>
            <w:tcBorders>
              <w:bottom w:val="single" w:sz="8" w:color="auto"/>
            </w:tcBorders>
            <w:shd w:val="clear" w:color="auto" w:fill="CCEEFF"/>
          </w:tcPr>
          <w:p>
            <w:pPr>
              <w:spacing w:after="0"/>
              <w:rPr>
                <w:sz w:val="13"/>
                <w:szCs w:val="13"/>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5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4</w:t>
            </w:r>
          </w:p>
        </w:tc>
        <w:tc>
          <w:tcPr>
            <w:tcW w:w="8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w:t>
            </w:r>
          </w:p>
        </w:tc>
      </w:tr>
      <w:tr>
        <w:trPr>
          <w:trHeight w:val="142"/>
        </w:trPr>
        <w:tc>
          <w:tcPr>
            <w:tcW w:w="3280" w:type="dxa"/>
            <w:vAlign w:val="bottom"/>
          </w:tcPr>
          <w:p>
            <w:pPr>
              <w:spacing w:after="0"/>
              <w:rPr>
                <w:sz w:val="12"/>
                <w:szCs w:val="12"/>
                <w:color w:val="auto"/>
              </w:rPr>
            </w:pPr>
          </w:p>
        </w:tc>
        <w:tc>
          <w:tcPr>
            <w:tcW w:w="3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12"/>
                <w:szCs w:val="12"/>
                <w:color w:val="auto"/>
              </w:rPr>
            </w:pPr>
          </w:p>
        </w:tc>
        <w:tc>
          <w:tcPr>
            <w:tcW w:w="46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w w:val="7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w:t>
            </w:r>
          </w:p>
        </w:tc>
        <w:tc>
          <w:tcPr>
            <w:tcW w:w="100" w:type="dxa"/>
            <w:vAlign w:val="bottom"/>
          </w:tcPr>
          <w:p>
            <w:pPr>
              <w:spacing w:after="0"/>
              <w:rPr>
                <w:sz w:val="12"/>
                <w:szCs w:val="12"/>
                <w:color w:val="auto"/>
              </w:rPr>
            </w:pPr>
          </w:p>
        </w:tc>
        <w:tc>
          <w:tcPr>
            <w:tcW w:w="36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color w:val="auto"/>
                <w:w w:val="71"/>
              </w:rPr>
              <w:t>$</w:t>
            </w:r>
          </w:p>
        </w:tc>
        <w:tc>
          <w:tcPr>
            <w:tcW w:w="15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22</w:t>
            </w:r>
          </w:p>
        </w:tc>
        <w:tc>
          <w:tcPr>
            <w:tcW w:w="80" w:type="dxa"/>
            <w:vAlign w:val="bottom"/>
          </w:tcPr>
          <w:p>
            <w:pPr>
              <w:spacing w:after="0"/>
              <w:rPr>
                <w:sz w:val="12"/>
                <w:szCs w:val="12"/>
                <w:color w:val="auto"/>
              </w:rPr>
            </w:pPr>
          </w:p>
        </w:tc>
        <w:tc>
          <w:tcPr>
            <w:tcW w:w="52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color w:val="auto"/>
                <w:w w:val="89"/>
              </w:rPr>
              <w:t>$</w:t>
            </w:r>
          </w:p>
        </w:tc>
        <w:tc>
          <w:tcPr>
            <w:tcW w:w="14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13</w:t>
            </w:r>
          </w:p>
        </w:tc>
      </w:tr>
      <w:tr>
        <w:trPr>
          <w:trHeight w:val="20"/>
        </w:trPr>
        <w:tc>
          <w:tcPr>
            <w:tcW w:w="3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318"/>
        </w:trPr>
        <w:tc>
          <w:tcPr>
            <w:tcW w:w="3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jc w:val="right"/>
              <w:ind w:right="1261"/>
              <w:spacing w:after="0"/>
              <w:rPr>
                <w:sz w:val="20"/>
                <w:szCs w:val="20"/>
                <w:color w:val="auto"/>
              </w:rPr>
            </w:pPr>
            <w:r>
              <w:rPr>
                <w:rFonts w:ascii="Arial" w:cs="Arial" w:eastAsia="Arial" w:hAnsi="Arial"/>
                <w:sz w:val="12"/>
                <w:szCs w:val="12"/>
                <w:color w:val="auto"/>
                <w:w w:val="89"/>
              </w:rPr>
              <w:t>36</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06"/>
        </w:trPr>
        <w:tc>
          <w:tcPr>
            <w:tcW w:w="3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38" w:name="page39"/>
    <w:bookmarkEnd w:id="38"/>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5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details our deferred compensation costs related to unvested awards: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000" w:type="dxa"/>
            <w:vAlign w:val="bottom"/>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380" w:type="dxa"/>
            <w:vAlign w:val="bottom"/>
          </w:tcPr>
          <w:p>
            <w:pPr>
              <w:spacing w:after="0"/>
              <w:rPr>
                <w:sz w:val="12"/>
                <w:szCs w:val="12"/>
                <w:color w:val="auto"/>
              </w:rPr>
            </w:pPr>
          </w:p>
        </w:tc>
        <w:tc>
          <w:tcPr>
            <w:tcW w:w="1800" w:type="dxa"/>
            <w:vAlign w:val="bottom"/>
            <w:gridSpan w:val="2"/>
          </w:tcPr>
          <w:p>
            <w:pPr>
              <w:ind w:left="280"/>
              <w:spacing w:after="0"/>
              <w:rPr>
                <w:sz w:val="20"/>
                <w:szCs w:val="20"/>
                <w:color w:val="auto"/>
              </w:rPr>
            </w:pPr>
            <w:r>
              <w:rPr>
                <w:rFonts w:ascii="Arial" w:cs="Arial" w:eastAsia="Arial" w:hAnsi="Arial"/>
                <w:sz w:val="11"/>
                <w:szCs w:val="11"/>
                <w:b w:val="1"/>
                <w:bCs w:val="1"/>
                <w:color w:val="auto"/>
              </w:rPr>
              <w:t>At June 30, 2021</w:t>
            </w:r>
          </w:p>
        </w:tc>
        <w:tc>
          <w:tcPr>
            <w:tcW w:w="320" w:type="dxa"/>
            <w:vAlign w:val="bottom"/>
          </w:tcPr>
          <w:p>
            <w:pPr>
              <w:spacing w:after="0"/>
              <w:rPr>
                <w:sz w:val="12"/>
                <w:szCs w:val="12"/>
                <w:color w:val="auto"/>
              </w:rPr>
            </w:pPr>
          </w:p>
        </w:tc>
        <w:tc>
          <w:tcPr>
            <w:tcW w:w="1800" w:type="dxa"/>
            <w:vAlign w:val="bottom"/>
          </w:tcPr>
          <w:p>
            <w:pPr>
              <w:jc w:val="right"/>
              <w:ind w:right="501"/>
              <w:spacing w:after="0"/>
              <w:rPr>
                <w:sz w:val="20"/>
                <w:szCs w:val="20"/>
                <w:color w:val="auto"/>
              </w:rPr>
            </w:pPr>
            <w:r>
              <w:rPr>
                <w:rFonts w:ascii="Arial" w:cs="Arial" w:eastAsia="Arial" w:hAnsi="Arial"/>
                <w:sz w:val="11"/>
                <w:szCs w:val="11"/>
                <w:b w:val="1"/>
                <w:bCs w:val="1"/>
                <w:color w:val="auto"/>
              </w:rPr>
              <w:t>At December 31, 2020</w:t>
            </w:r>
          </w:p>
        </w:tc>
      </w:tr>
      <w:tr>
        <w:trPr>
          <w:trHeight w:val="144"/>
        </w:trPr>
        <w:tc>
          <w:tcPr>
            <w:tcW w:w="7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Service-based RSUs</w:t>
            </w:r>
          </w:p>
        </w:tc>
        <w:tc>
          <w:tcPr>
            <w:tcW w:w="380" w:type="dxa"/>
            <w:vAlign w:val="bottom"/>
            <w:tcBorders>
              <w:top w:val="single" w:sz="8" w:color="auto"/>
            </w:tcBorders>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w:t>
            </w:r>
          </w:p>
        </w:tc>
        <w:tc>
          <w:tcPr>
            <w:tcW w:w="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8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27</w:t>
            </w:r>
          </w:p>
        </w:tc>
      </w:tr>
      <w:tr>
        <w:trPr>
          <w:trHeight w:val="153"/>
        </w:trPr>
        <w:tc>
          <w:tcPr>
            <w:tcW w:w="70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Performance-based RSUs</w:t>
            </w:r>
          </w:p>
        </w:tc>
        <w:tc>
          <w:tcPr>
            <w:tcW w:w="38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6</w:t>
            </w:r>
          </w:p>
        </w:tc>
      </w:tr>
      <w:tr>
        <w:trPr>
          <w:trHeight w:val="142"/>
        </w:trPr>
        <w:tc>
          <w:tcPr>
            <w:tcW w:w="70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33</w:t>
            </w:r>
          </w:p>
        </w:tc>
      </w:tr>
      <w:tr>
        <w:trPr>
          <w:trHeight w:val="153"/>
        </w:trPr>
        <w:tc>
          <w:tcPr>
            <w:tcW w:w="70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SARs</w:t>
            </w:r>
          </w:p>
        </w:tc>
        <w:tc>
          <w:tcPr>
            <w:tcW w:w="38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w:t>
            </w:r>
          </w:p>
        </w:tc>
      </w:tr>
      <w:tr>
        <w:trPr>
          <w:trHeight w:val="158"/>
        </w:trPr>
        <w:tc>
          <w:tcPr>
            <w:tcW w:w="700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49</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8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34</w:t>
            </w: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Restricted Stock Units</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0"/>
          <w:szCs w:val="10"/>
          <w:color w:val="auto"/>
        </w:rPr>
        <w:t>We granted 170,550 service-based RSUs, which are subject to time-based vesting conditions, with a weighted average grant-date fair value of $169.31, to our employees and non-employee directors during the first half of 2021.</w:t>
      </w:r>
    </w:p>
    <w:p>
      <w:pPr>
        <w:spacing w:after="0" w:line="17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Stock Appreciation Rights</w:t>
      </w:r>
    </w:p>
    <w:p>
      <w:pPr>
        <w:spacing w:after="0" w:line="78" w:lineRule="exact"/>
        <w:rPr>
          <w:sz w:val="20"/>
          <w:szCs w:val="20"/>
          <w:color w:val="auto"/>
        </w:rPr>
      </w:pPr>
    </w:p>
    <w:p>
      <w:pPr>
        <w:ind w:right="80" w:firstLine="432"/>
        <w:spacing w:after="0" w:line="289" w:lineRule="auto"/>
        <w:rPr>
          <w:sz w:val="20"/>
          <w:szCs w:val="20"/>
          <w:color w:val="auto"/>
        </w:rPr>
      </w:pPr>
      <w:r>
        <w:rPr>
          <w:rFonts w:ascii="Arial" w:cs="Arial" w:eastAsia="Arial" w:hAnsi="Arial"/>
          <w:sz w:val="11"/>
          <w:szCs w:val="11"/>
          <w:color w:val="auto"/>
        </w:rPr>
        <w:t>We granted 127,857 SARs, with a weighted average grant-date fair value of $70.66 and a weighted average exercise price of $173.88, to members of management during the first half of 2021. We use the Black-Scholes model to estimate the fair value of the SARs granted. The expected stock price volatility was calculated based on the average of the historical and implied volatility of our stock price. The average expected life was calculated using the simplified method, as we have insufficient historical information to provide a basis for estimating average expected life. The risk-free interest rate was calculated based on U.S. Treasury zero-coupon issues with a remaining term equal to the expected life assumed at the date of grant. The dividend yield assumption listed below is based on the expectation of future payouts.</w:t>
      </w:r>
    </w:p>
    <w:p>
      <w:pPr>
        <w:spacing w:after="0" w:line="39" w:lineRule="exact"/>
        <w:rPr>
          <w:sz w:val="20"/>
          <w:szCs w:val="20"/>
          <w:color w:val="auto"/>
        </w:rPr>
      </w:pPr>
    </w:p>
    <w:tbl>
      <w:tblPr>
        <w:tblLayout w:type="fixed"/>
        <w:tblInd w:w="420" w:type="dxa"/>
        <w:tblCellMar>
          <w:top w:w="0" w:type="dxa"/>
          <w:left w:w="0" w:type="dxa"/>
          <w:bottom w:w="0" w:type="dxa"/>
          <w:right w:w="0" w:type="dxa"/>
        </w:tblCellMar>
      </w:tblPr>
      <w:tr>
        <w:trPr>
          <w:trHeight w:val="153"/>
        </w:trPr>
        <w:tc>
          <w:tcPr>
            <w:tcW w:w="6280" w:type="dxa"/>
            <w:vAlign w:val="bottom"/>
            <w:gridSpan w:val="2"/>
          </w:tcPr>
          <w:p>
            <w:pPr>
              <w:spacing w:after="0"/>
              <w:rPr>
                <w:sz w:val="20"/>
                <w:szCs w:val="20"/>
                <w:color w:val="auto"/>
              </w:rPr>
            </w:pPr>
            <w:r>
              <w:rPr>
                <w:rFonts w:ascii="Arial" w:cs="Arial" w:eastAsia="Arial" w:hAnsi="Arial"/>
                <w:sz w:val="12"/>
                <w:szCs w:val="12"/>
                <w:color w:val="auto"/>
              </w:rPr>
              <w:t>The following table outlines the assumptions used to estimate the fair value of grants during the first half of 2021:</w:t>
            </w:r>
          </w:p>
        </w:tc>
        <w:tc>
          <w:tcPr>
            <w:tcW w:w="2000" w:type="dxa"/>
            <w:vAlign w:val="bottom"/>
          </w:tcPr>
          <w:p>
            <w:pPr>
              <w:spacing w:after="0"/>
              <w:rPr>
                <w:sz w:val="13"/>
                <w:szCs w:val="13"/>
                <w:color w:val="auto"/>
              </w:rPr>
            </w:pPr>
          </w:p>
        </w:tc>
      </w:tr>
      <w:tr>
        <w:trPr>
          <w:trHeight w:val="90"/>
        </w:trPr>
        <w:tc>
          <w:tcPr>
            <w:tcW w:w="2180" w:type="dxa"/>
            <w:vAlign w:val="bottom"/>
          </w:tcPr>
          <w:p>
            <w:pPr>
              <w:spacing w:after="0"/>
              <w:rPr>
                <w:sz w:val="7"/>
                <w:szCs w:val="7"/>
                <w:color w:val="auto"/>
              </w:rPr>
            </w:pPr>
          </w:p>
        </w:tc>
        <w:tc>
          <w:tcPr>
            <w:tcW w:w="4100" w:type="dxa"/>
            <w:vAlign w:val="bottom"/>
          </w:tcPr>
          <w:p>
            <w:pPr>
              <w:spacing w:after="0"/>
              <w:rPr>
                <w:sz w:val="7"/>
                <w:szCs w:val="7"/>
                <w:color w:val="auto"/>
              </w:rPr>
            </w:pPr>
          </w:p>
        </w:tc>
        <w:tc>
          <w:tcPr>
            <w:tcW w:w="2000" w:type="dxa"/>
            <w:vAlign w:val="bottom"/>
          </w:tcPr>
          <w:p>
            <w:pPr>
              <w:spacing w:after="0"/>
              <w:rPr>
                <w:sz w:val="7"/>
                <w:szCs w:val="7"/>
                <w:color w:val="auto"/>
              </w:rPr>
            </w:pPr>
          </w:p>
        </w:tc>
      </w:tr>
      <w:tr>
        <w:trPr>
          <w:trHeight w:val="153"/>
        </w:trPr>
        <w:tc>
          <w:tcPr>
            <w:tcW w:w="2180" w:type="dxa"/>
            <w:vAlign w:val="bottom"/>
          </w:tcPr>
          <w:p>
            <w:pPr>
              <w:spacing w:after="0"/>
              <w:rPr>
                <w:sz w:val="13"/>
                <w:szCs w:val="13"/>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2"/>
                <w:szCs w:val="12"/>
                <w:color w:val="auto"/>
              </w:rPr>
              <w:t>Expected volatility</w:t>
            </w:r>
          </w:p>
        </w:tc>
        <w:tc>
          <w:tcPr>
            <w:tcW w:w="20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48.35%</w:t>
            </w:r>
          </w:p>
        </w:tc>
      </w:tr>
      <w:tr>
        <w:trPr>
          <w:trHeight w:val="153"/>
        </w:trPr>
        <w:tc>
          <w:tcPr>
            <w:tcW w:w="2180" w:type="dxa"/>
            <w:vAlign w:val="bottom"/>
          </w:tcPr>
          <w:p>
            <w:pPr>
              <w:spacing w:after="0"/>
              <w:rPr>
                <w:sz w:val="13"/>
                <w:szCs w:val="13"/>
                <w:color w:val="auto"/>
              </w:rPr>
            </w:pPr>
          </w:p>
        </w:tc>
        <w:tc>
          <w:tcPr>
            <w:tcW w:w="4100" w:type="dxa"/>
            <w:vAlign w:val="bottom"/>
          </w:tcPr>
          <w:p>
            <w:pPr>
              <w:spacing w:after="0"/>
              <w:rPr>
                <w:sz w:val="20"/>
                <w:szCs w:val="20"/>
                <w:color w:val="auto"/>
              </w:rPr>
            </w:pPr>
            <w:r>
              <w:rPr>
                <w:rFonts w:ascii="Arial" w:cs="Arial" w:eastAsia="Arial" w:hAnsi="Arial"/>
                <w:sz w:val="12"/>
                <w:szCs w:val="12"/>
                <w:color w:val="auto"/>
              </w:rPr>
              <w:t>Dividend yield</w:t>
            </w:r>
          </w:p>
        </w:tc>
        <w:tc>
          <w:tcPr>
            <w:tcW w:w="2000" w:type="dxa"/>
            <w:vAlign w:val="bottom"/>
          </w:tcPr>
          <w:p>
            <w:pPr>
              <w:jc w:val="center"/>
              <w:spacing w:after="0"/>
              <w:rPr>
                <w:sz w:val="20"/>
                <w:szCs w:val="20"/>
                <w:color w:val="auto"/>
              </w:rPr>
            </w:pPr>
            <w:r>
              <w:rPr>
                <w:rFonts w:ascii="Arial" w:cs="Arial" w:eastAsia="Arial" w:hAnsi="Arial"/>
                <w:sz w:val="12"/>
                <w:szCs w:val="12"/>
                <w:color w:val="auto"/>
                <w:w w:val="88"/>
              </w:rPr>
              <w:t>1.48%</w:t>
            </w:r>
          </w:p>
        </w:tc>
      </w:tr>
      <w:tr>
        <w:trPr>
          <w:trHeight w:val="153"/>
        </w:trPr>
        <w:tc>
          <w:tcPr>
            <w:tcW w:w="2180" w:type="dxa"/>
            <w:vAlign w:val="bottom"/>
          </w:tcPr>
          <w:p>
            <w:pPr>
              <w:spacing w:after="0"/>
              <w:rPr>
                <w:sz w:val="13"/>
                <w:szCs w:val="13"/>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2"/>
                <w:szCs w:val="12"/>
                <w:color w:val="auto"/>
              </w:rPr>
              <w:t>Risk-free rate</w:t>
            </w:r>
          </w:p>
        </w:tc>
        <w:tc>
          <w:tcPr>
            <w:tcW w:w="20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0.97%</w:t>
            </w:r>
          </w:p>
        </w:tc>
      </w:tr>
      <w:tr>
        <w:trPr>
          <w:trHeight w:val="153"/>
        </w:trPr>
        <w:tc>
          <w:tcPr>
            <w:tcW w:w="2180" w:type="dxa"/>
            <w:vAlign w:val="bottom"/>
          </w:tcPr>
          <w:p>
            <w:pPr>
              <w:spacing w:after="0"/>
              <w:rPr>
                <w:sz w:val="13"/>
                <w:szCs w:val="13"/>
                <w:color w:val="auto"/>
              </w:rPr>
            </w:pPr>
          </w:p>
        </w:tc>
        <w:tc>
          <w:tcPr>
            <w:tcW w:w="4100" w:type="dxa"/>
            <w:vAlign w:val="bottom"/>
          </w:tcPr>
          <w:p>
            <w:pPr>
              <w:spacing w:after="0"/>
              <w:rPr>
                <w:sz w:val="20"/>
                <w:szCs w:val="20"/>
                <w:color w:val="auto"/>
              </w:rPr>
            </w:pPr>
            <w:r>
              <w:rPr>
                <w:rFonts w:ascii="Arial" w:cs="Arial" w:eastAsia="Arial" w:hAnsi="Arial"/>
                <w:sz w:val="12"/>
                <w:szCs w:val="12"/>
                <w:color w:val="auto"/>
              </w:rPr>
              <w:t>Expected term (in years)</w:t>
            </w:r>
          </w:p>
        </w:tc>
        <w:tc>
          <w:tcPr>
            <w:tcW w:w="2000" w:type="dxa"/>
            <w:vAlign w:val="bottom"/>
          </w:tcPr>
          <w:p>
            <w:pPr>
              <w:jc w:val="center"/>
              <w:spacing w:after="0"/>
              <w:rPr>
                <w:sz w:val="20"/>
                <w:szCs w:val="20"/>
                <w:color w:val="auto"/>
              </w:rPr>
            </w:pPr>
            <w:r>
              <w:rPr>
                <w:rFonts w:ascii="Arial" w:cs="Arial" w:eastAsia="Arial" w:hAnsi="Arial"/>
                <w:sz w:val="12"/>
                <w:szCs w:val="12"/>
                <w:color w:val="auto"/>
                <w:w w:val="93"/>
              </w:rPr>
              <w:t>6.25</w:t>
            </w:r>
          </w:p>
        </w:tc>
      </w:tr>
    </w:tbl>
    <w:p>
      <w:pPr>
        <w:spacing w:after="0" w:line="248" w:lineRule="exact"/>
        <w:rPr>
          <w:sz w:val="20"/>
          <w:szCs w:val="20"/>
          <w:color w:val="auto"/>
        </w:rPr>
      </w:pPr>
    </w:p>
    <w:p>
      <w:pPr>
        <w:ind w:left="320" w:hanging="316"/>
        <w:spacing w:after="0"/>
        <w:tabs>
          <w:tab w:leader="none" w:pos="320" w:val="left"/>
        </w:tabs>
        <w:numPr>
          <w:ilvl w:val="0"/>
          <w:numId w:val="28"/>
        </w:numPr>
        <w:rPr>
          <w:rFonts w:ascii="Arial" w:cs="Arial" w:eastAsia="Arial" w:hAnsi="Arial"/>
          <w:sz w:val="12"/>
          <w:szCs w:val="12"/>
          <w:b w:val="1"/>
          <w:bCs w:val="1"/>
          <w:color w:val="auto"/>
        </w:rPr>
      </w:pPr>
      <w:r>
        <w:rPr>
          <w:rFonts w:ascii="Arial" w:cs="Arial" w:eastAsia="Arial" w:hAnsi="Arial"/>
          <w:sz w:val="12"/>
          <w:szCs w:val="12"/>
          <w:b w:val="1"/>
          <w:bCs w:val="1"/>
          <w:color w:val="auto"/>
        </w:rPr>
        <w:t>VARIABLE INTEREST ENTITIES</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Variable Interest Entities Related to Our Vacation Ownership Notes Receivable Securitizations</w:t>
      </w:r>
    </w:p>
    <w:p>
      <w:pPr>
        <w:spacing w:after="0" w:line="78" w:lineRule="exact"/>
        <w:rPr>
          <w:sz w:val="20"/>
          <w:szCs w:val="20"/>
          <w:color w:val="auto"/>
        </w:rPr>
      </w:pPr>
    </w:p>
    <w:p>
      <w:pPr>
        <w:ind w:right="300" w:firstLine="432"/>
        <w:spacing w:after="0" w:line="256" w:lineRule="auto"/>
        <w:rPr>
          <w:sz w:val="20"/>
          <w:szCs w:val="20"/>
          <w:color w:val="auto"/>
        </w:rPr>
      </w:pPr>
      <w:r>
        <w:rPr>
          <w:rFonts w:ascii="Arial" w:cs="Arial" w:eastAsia="Arial" w:hAnsi="Arial"/>
          <w:sz w:val="12"/>
          <w:szCs w:val="12"/>
          <w:color w:val="auto"/>
        </w:rPr>
        <w:t>We periodically securitize, without recourse, through bankruptcy remote special purpose entities, notes receivable originated in connection with the sale of vacation ownership products. These vacation ownership notes receivable securitizations provide funding for us and transfer the economic risks and substantially all the benefits of the consumer loans we originate to third parties. In a vacation ownership notes receivable securitization, various classes of debt securities issued by a special purpose entity are generally collateralized by a single tranche of transferred assets, which consist of vacation ownership notes receivable. With each vacation ownership notes receivable securitization, we may retain a portion of the securities, subordinated tranches, interest-only strips, subordinated interests in accrued interest and fees on the securitized vacation ownership notes receivable or, in some cases, overcollateralization and cash reserve accounts.</w:t>
      </w:r>
    </w:p>
    <w:p>
      <w:pPr>
        <w:spacing w:after="0" w:line="56" w:lineRule="exact"/>
        <w:rPr>
          <w:sz w:val="20"/>
          <w:szCs w:val="20"/>
          <w:color w:val="auto"/>
        </w:rPr>
      </w:pPr>
    </w:p>
    <w:p>
      <w:pPr>
        <w:ind w:right="100" w:firstLine="432"/>
        <w:spacing w:after="0" w:line="298" w:lineRule="auto"/>
        <w:rPr>
          <w:sz w:val="20"/>
          <w:szCs w:val="20"/>
          <w:color w:val="auto"/>
        </w:rPr>
      </w:pPr>
      <w:r>
        <w:rPr>
          <w:rFonts w:ascii="Arial" w:cs="Arial" w:eastAsia="Arial" w:hAnsi="Arial"/>
          <w:sz w:val="11"/>
          <w:szCs w:val="11"/>
          <w:color w:val="auto"/>
        </w:rPr>
        <w:t>We created these bankruptcy remote special purpose entities to serve as a mechanism for holding assets and related liabilities, and the entities have no equity investment at risk, making them VIEs. We continue to service the vacation ownership notes receivable, transfer all proceeds collected to these special purpose entities, and retain rights to receive benefits that are potentially significant to the entities. Accordingly, we concluded that we are the entities’ primary beneficiary and, therefore, consolidate them. There is no noncontrolling interest balance related to these entities and the creditors of these entities do not have general recourse to us.</w:t>
      </w:r>
    </w:p>
    <w:p>
      <w:pPr>
        <w:spacing w:after="0" w:line="96" w:lineRule="exact"/>
        <w:rPr>
          <w:sz w:val="20"/>
          <w:szCs w:val="20"/>
          <w:color w:val="auto"/>
        </w:rPr>
      </w:pPr>
    </w:p>
    <w:p>
      <w:pPr>
        <w:jc w:val="center"/>
        <w:ind w:left="420"/>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191135</wp:posOffset>
            </wp:positionV>
            <wp:extent cx="7203440"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39" w:name="page40"/>
    <w:bookmarkEnd w:id="39"/>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4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shows consolidated assets, which are collateral for the obligations of these VIEs, and consolidated liabilities included on our Balance Sheet at June 30, 2021:</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20" w:type="dxa"/>
            <w:vAlign w:val="bottom"/>
          </w:tcPr>
          <w:p>
            <w:pPr>
              <w:jc w:val="center"/>
              <w:ind w:left="346"/>
              <w:spacing w:after="0"/>
              <w:rPr>
                <w:sz w:val="20"/>
                <w:szCs w:val="20"/>
                <w:color w:val="auto"/>
              </w:rPr>
            </w:pPr>
            <w:r>
              <w:rPr>
                <w:rFonts w:ascii="Arial" w:cs="Arial" w:eastAsia="Arial" w:hAnsi="Arial"/>
                <w:sz w:val="11"/>
                <w:szCs w:val="11"/>
                <w:b w:val="1"/>
                <w:bCs w:val="1"/>
                <w:color w:val="auto"/>
                <w:w w:val="88"/>
              </w:rPr>
              <w:t>Vacation Ownership</w:t>
            </w: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60" w:type="dxa"/>
            <w:vAlign w:val="bottom"/>
            <w:vMerge w:val="restart"/>
          </w:tcPr>
          <w:p>
            <w:pPr>
              <w:jc w:val="right"/>
              <w:ind w:right="286"/>
              <w:spacing w:after="0"/>
              <w:rPr>
                <w:sz w:val="20"/>
                <w:szCs w:val="20"/>
                <w:color w:val="auto"/>
              </w:rPr>
            </w:pPr>
            <w:r>
              <w:rPr>
                <w:rFonts w:ascii="Arial" w:cs="Arial" w:eastAsia="Arial" w:hAnsi="Arial"/>
                <w:sz w:val="11"/>
                <w:szCs w:val="11"/>
                <w:b w:val="1"/>
                <w:bCs w:val="1"/>
                <w:color w:val="auto"/>
              </w:rPr>
              <w:t>Warehouse</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9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20" w:type="dxa"/>
            <w:vAlign w:val="bottom"/>
          </w:tcPr>
          <w:p>
            <w:pPr>
              <w:jc w:val="center"/>
              <w:ind w:left="346"/>
              <w:spacing w:after="0" w:line="108" w:lineRule="exact"/>
              <w:rPr>
                <w:sz w:val="20"/>
                <w:szCs w:val="20"/>
                <w:color w:val="auto"/>
              </w:rPr>
            </w:pPr>
            <w:r>
              <w:rPr>
                <w:rFonts w:ascii="Arial" w:cs="Arial" w:eastAsia="Arial" w:hAnsi="Arial"/>
                <w:sz w:val="11"/>
                <w:szCs w:val="11"/>
                <w:b w:val="1"/>
                <w:bCs w:val="1"/>
                <w:color w:val="auto"/>
                <w:w w:val="85"/>
              </w:rPr>
              <w:t>Notes Receivable</w:t>
            </w: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56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60" w:type="dxa"/>
            <w:vAlign w:val="bottom"/>
            <w:gridSpan w:val="2"/>
            <w:vMerge w:val="restart"/>
          </w:tcPr>
          <w:p>
            <w:pPr>
              <w:jc w:val="right"/>
              <w:ind w:right="108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2"/>
        </w:trPr>
        <w:tc>
          <w:tcPr>
            <w:tcW w:w="4900" w:type="dxa"/>
            <w:vAlign w:val="bottom"/>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20" w:type="dxa"/>
            <w:vAlign w:val="bottom"/>
          </w:tcPr>
          <w:p>
            <w:pPr>
              <w:spacing w:after="0"/>
              <w:rPr>
                <w:sz w:val="12"/>
                <w:szCs w:val="12"/>
                <w:color w:val="auto"/>
              </w:rPr>
            </w:pPr>
          </w:p>
        </w:tc>
        <w:tc>
          <w:tcPr>
            <w:tcW w:w="1620" w:type="dxa"/>
            <w:vAlign w:val="bottom"/>
          </w:tcPr>
          <w:p>
            <w:pPr>
              <w:jc w:val="center"/>
              <w:ind w:left="366"/>
              <w:spacing w:after="0"/>
              <w:rPr>
                <w:sz w:val="20"/>
                <w:szCs w:val="20"/>
                <w:color w:val="auto"/>
              </w:rPr>
            </w:pPr>
            <w:r>
              <w:rPr>
                <w:rFonts w:ascii="Arial" w:cs="Arial" w:eastAsia="Arial" w:hAnsi="Arial"/>
                <w:sz w:val="11"/>
                <w:szCs w:val="11"/>
                <w:b w:val="1"/>
                <w:bCs w:val="1"/>
                <w:color w:val="auto"/>
                <w:w w:val="86"/>
              </w:rPr>
              <w:t>Securitizations</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tcPr>
          <w:p>
            <w:pPr>
              <w:jc w:val="right"/>
              <w:ind w:right="206"/>
              <w:spacing w:after="0"/>
              <w:rPr>
                <w:sz w:val="20"/>
                <w:szCs w:val="20"/>
                <w:color w:val="auto"/>
              </w:rPr>
            </w:pPr>
            <w:r>
              <w:rPr>
                <w:rFonts w:ascii="Arial" w:cs="Arial" w:eastAsia="Arial" w:hAnsi="Arial"/>
                <w:sz w:val="11"/>
                <w:szCs w:val="11"/>
                <w:b w:val="1"/>
                <w:bCs w:val="1"/>
                <w:color w:val="auto"/>
              </w:rPr>
              <w:t>Credit Facility</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900" w:type="dxa"/>
            <w:vAlign w:val="bottom"/>
            <w:tcBorders>
              <w:top w:val="single" w:sz="8" w:color="CCEEFF"/>
            </w:tcBorders>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Consolidated Assets</w:t>
            </w:r>
          </w:p>
        </w:tc>
        <w:tc>
          <w:tcPr>
            <w:tcW w:w="20" w:type="dxa"/>
            <w:vAlign w:val="bottom"/>
            <w:tcBorders>
              <w:top w:val="single" w:sz="8" w:color="auto"/>
            </w:tcBorders>
            <w:shd w:val="clear" w:color="auto" w:fill="CCEEFF"/>
          </w:tcPr>
          <w:p>
            <w:pPr>
              <w:spacing w:after="0"/>
              <w:rPr>
                <w:sz w:val="11"/>
                <w:szCs w:val="11"/>
                <w:color w:val="auto"/>
              </w:rPr>
            </w:pPr>
          </w:p>
        </w:tc>
        <w:tc>
          <w:tcPr>
            <w:tcW w:w="162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56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440" w:type="dxa"/>
            <w:vAlign w:val="bottom"/>
            <w:tcBorders>
              <w:top w:val="single" w:sz="8" w:color="auto"/>
            </w:tcBorders>
            <w:shd w:val="clear" w:color="auto" w:fill="CCEEFF"/>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900" w:type="dxa"/>
            <w:vAlign w:val="bottom"/>
          </w:tcPr>
          <w:p>
            <w:pPr>
              <w:ind w:left="140"/>
              <w:spacing w:after="0"/>
              <w:rPr>
                <w:sz w:val="20"/>
                <w:szCs w:val="20"/>
                <w:color w:val="auto"/>
              </w:rPr>
            </w:pPr>
            <w:r>
              <w:rPr>
                <w:rFonts w:ascii="Arial" w:cs="Arial" w:eastAsia="Arial" w:hAnsi="Arial"/>
                <w:sz w:val="12"/>
                <w:szCs w:val="12"/>
                <w:color w:val="auto"/>
              </w:rPr>
              <w:t>Vacation ownership notes receivable, net of reserves</w:t>
            </w:r>
          </w:p>
        </w:tc>
        <w:tc>
          <w:tcPr>
            <w:tcW w:w="1640" w:type="dxa"/>
            <w:vAlign w:val="bottom"/>
            <w:gridSpan w:val="2"/>
          </w:tcPr>
          <w:p>
            <w:pPr>
              <w:jc w:val="right"/>
              <w:ind w:right="1526"/>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1,645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gridSpan w:val="2"/>
          </w:tcPr>
          <w:p>
            <w:pPr>
              <w:jc w:val="right"/>
              <w:ind w:right="1466"/>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gridSpan w:val="2"/>
          </w:tcPr>
          <w:p>
            <w:pPr>
              <w:jc w:val="right"/>
              <w:ind w:right="20"/>
              <w:spacing w:after="0"/>
              <w:rPr>
                <w:sz w:val="20"/>
                <w:szCs w:val="20"/>
                <w:color w:val="auto"/>
              </w:rPr>
            </w:pPr>
            <w:r>
              <w:rPr>
                <w:rFonts w:ascii="Arial" w:cs="Arial" w:eastAsia="Arial" w:hAnsi="Arial"/>
                <w:sz w:val="12"/>
                <w:szCs w:val="12"/>
                <w:color w:val="auto"/>
                <w:w w:val="89"/>
              </w:rPr>
              <w:t>$</w:t>
            </w:r>
          </w:p>
        </w:tc>
        <w:tc>
          <w:tcPr>
            <w:tcW w:w="4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1,645</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9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Interest receivable</w:t>
            </w:r>
          </w:p>
        </w:tc>
        <w:tc>
          <w:tcPr>
            <w:tcW w:w="2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90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Restricted cash</w:t>
            </w:r>
          </w:p>
        </w:tc>
        <w:tc>
          <w:tcPr>
            <w:tcW w:w="2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70</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70</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900" w:type="dxa"/>
            <w:vAlign w:val="bottom"/>
            <w:shd w:val="clear" w:color="auto" w:fill="CCEEFF"/>
          </w:tcPr>
          <w:p>
            <w:pPr>
              <w:ind w:left="300"/>
              <w:spacing w:after="0"/>
              <w:rPr>
                <w:sz w:val="20"/>
                <w:szCs w:val="20"/>
                <w:color w:val="auto"/>
              </w:rPr>
            </w:pPr>
            <w:r>
              <w:rPr>
                <w:rFonts w:ascii="Arial" w:cs="Arial" w:eastAsia="Arial" w:hAnsi="Arial"/>
                <w:sz w:val="12"/>
                <w:szCs w:val="12"/>
                <w:color w:val="auto"/>
              </w:rPr>
              <w:t>Total</w:t>
            </w:r>
          </w:p>
        </w:tc>
        <w:tc>
          <w:tcPr>
            <w:tcW w:w="1640" w:type="dxa"/>
            <w:vAlign w:val="bottom"/>
            <w:gridSpan w:val="2"/>
            <w:shd w:val="clear" w:color="auto" w:fill="CCEEFF"/>
          </w:tcPr>
          <w:p>
            <w:pPr>
              <w:jc w:val="right"/>
              <w:ind w:right="1526"/>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1,726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jc w:val="right"/>
              <w:ind w:right="1466"/>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4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1,726</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900" w:type="dxa"/>
            <w:vAlign w:val="bottom"/>
            <w:tcBorders>
              <w:top w:val="single" w:sz="8" w:color="CCEEFF"/>
            </w:tcBorders>
          </w:tcPr>
          <w:p>
            <w:pPr>
              <w:spacing w:after="0" w:line="131" w:lineRule="exact"/>
              <w:rPr>
                <w:sz w:val="20"/>
                <w:szCs w:val="20"/>
                <w:color w:val="auto"/>
              </w:rPr>
            </w:pPr>
            <w:r>
              <w:rPr>
                <w:rFonts w:ascii="Arial" w:cs="Arial" w:eastAsia="Arial" w:hAnsi="Arial"/>
                <w:sz w:val="12"/>
                <w:szCs w:val="12"/>
                <w:b w:val="1"/>
                <w:bCs w:val="1"/>
                <w:color w:val="auto"/>
              </w:rPr>
              <w:t>Consolidated Liabilities</w:t>
            </w:r>
          </w:p>
        </w:tc>
        <w:tc>
          <w:tcPr>
            <w:tcW w:w="20" w:type="dxa"/>
            <w:vAlign w:val="bottom"/>
            <w:tcBorders>
              <w:top w:val="single" w:sz="8" w:color="auto"/>
            </w:tcBorders>
          </w:tcPr>
          <w:p>
            <w:pPr>
              <w:spacing w:after="0"/>
              <w:rPr>
                <w:sz w:val="11"/>
                <w:szCs w:val="11"/>
                <w:color w:val="auto"/>
              </w:rPr>
            </w:pPr>
          </w:p>
        </w:tc>
        <w:tc>
          <w:tcPr>
            <w:tcW w:w="16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5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9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Interest payable</w:t>
            </w:r>
          </w:p>
        </w:tc>
        <w:tc>
          <w:tcPr>
            <w:tcW w:w="1640" w:type="dxa"/>
            <w:vAlign w:val="bottom"/>
            <w:gridSpan w:val="2"/>
            <w:shd w:val="clear" w:color="auto" w:fill="CCEEFF"/>
          </w:tcPr>
          <w:p>
            <w:pPr>
              <w:jc w:val="right"/>
              <w:ind w:right="1526"/>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80" w:type="dxa"/>
            <w:vAlign w:val="bottom"/>
            <w:gridSpan w:val="2"/>
            <w:shd w:val="clear" w:color="auto" w:fill="CCEEFF"/>
          </w:tcPr>
          <w:p>
            <w:pPr>
              <w:jc w:val="right"/>
              <w:ind w:right="1466"/>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42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90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Securitized Debt</w:t>
            </w:r>
          </w:p>
        </w:tc>
        <w:tc>
          <w:tcPr>
            <w:tcW w:w="2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1,794</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1,794</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9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2"/>
                <w:szCs w:val="12"/>
                <w:color w:val="auto"/>
              </w:rPr>
              <w:t>Total</w:t>
            </w:r>
          </w:p>
        </w:tc>
        <w:tc>
          <w:tcPr>
            <w:tcW w:w="1640" w:type="dxa"/>
            <w:vAlign w:val="bottom"/>
            <w:tcBorders>
              <w:bottom w:val="single" w:sz="8" w:color="auto"/>
            </w:tcBorders>
            <w:gridSpan w:val="2"/>
            <w:shd w:val="clear" w:color="auto" w:fill="CCEEFF"/>
          </w:tcPr>
          <w:p>
            <w:pPr>
              <w:jc w:val="right"/>
              <w:ind w:right="1526"/>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1,796</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580" w:type="dxa"/>
            <w:vAlign w:val="bottom"/>
            <w:tcBorders>
              <w:bottom w:val="single" w:sz="8" w:color="auto"/>
            </w:tcBorders>
            <w:gridSpan w:val="2"/>
            <w:shd w:val="clear" w:color="auto" w:fill="CCEEFF"/>
          </w:tcPr>
          <w:p>
            <w:pPr>
              <w:jc w:val="right"/>
              <w:ind w:right="1466"/>
              <w:spacing w:after="0"/>
              <w:rPr>
                <w:sz w:val="20"/>
                <w:szCs w:val="20"/>
                <w:color w:val="auto"/>
              </w:rPr>
            </w:pPr>
            <w:r>
              <w:rPr>
                <w:rFonts w:ascii="Arial" w:cs="Arial" w:eastAsia="Arial" w:hAnsi="Arial"/>
                <w:sz w:val="10"/>
                <w:szCs w:val="10"/>
                <w:color w:val="auto"/>
                <w:w w:val="71"/>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42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1,796</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8640" w:type="dxa"/>
            <w:vAlign w:val="bottom"/>
            <w:gridSpan w:val="8"/>
          </w:tcPr>
          <w:p>
            <w:pPr>
              <w:ind w:left="420"/>
              <w:spacing w:after="0"/>
              <w:rPr>
                <w:sz w:val="20"/>
                <w:szCs w:val="20"/>
                <w:color w:val="auto"/>
              </w:rPr>
            </w:pPr>
            <w:r>
              <w:rPr>
                <w:rFonts w:ascii="Arial" w:cs="Arial" w:eastAsia="Arial" w:hAnsi="Arial"/>
                <w:sz w:val="12"/>
                <w:szCs w:val="12"/>
                <w:color w:val="auto"/>
              </w:rPr>
              <w:t>The following table shows the interest income and expense recognized as a result of our involvement with these VIEs during the second quarter of 2021:</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4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20" w:type="dxa"/>
            <w:vAlign w:val="bottom"/>
          </w:tcPr>
          <w:p>
            <w:pPr>
              <w:jc w:val="center"/>
              <w:ind w:left="386"/>
              <w:spacing w:after="0"/>
              <w:rPr>
                <w:sz w:val="20"/>
                <w:szCs w:val="20"/>
                <w:color w:val="auto"/>
              </w:rPr>
            </w:pPr>
            <w:r>
              <w:rPr>
                <w:rFonts w:ascii="Arial" w:cs="Arial" w:eastAsia="Arial" w:hAnsi="Arial"/>
                <w:sz w:val="11"/>
                <w:szCs w:val="11"/>
                <w:b w:val="1"/>
                <w:bCs w:val="1"/>
                <w:color w:val="auto"/>
                <w:w w:val="88"/>
              </w:rPr>
              <w:t>Vacation Ownership</w:t>
            </w: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60" w:type="dxa"/>
            <w:vAlign w:val="bottom"/>
            <w:vMerge w:val="restart"/>
          </w:tcPr>
          <w:p>
            <w:pPr>
              <w:jc w:val="right"/>
              <w:ind w:right="226"/>
              <w:spacing w:after="0"/>
              <w:rPr>
                <w:sz w:val="20"/>
                <w:szCs w:val="20"/>
                <w:color w:val="auto"/>
              </w:rPr>
            </w:pPr>
            <w:r>
              <w:rPr>
                <w:rFonts w:ascii="Arial" w:cs="Arial" w:eastAsia="Arial" w:hAnsi="Arial"/>
                <w:sz w:val="11"/>
                <w:szCs w:val="11"/>
                <w:b w:val="1"/>
                <w:bCs w:val="1"/>
                <w:color w:val="auto"/>
              </w:rPr>
              <w:t>Warehouse</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9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20" w:type="dxa"/>
            <w:vAlign w:val="bottom"/>
          </w:tcPr>
          <w:p>
            <w:pPr>
              <w:jc w:val="center"/>
              <w:ind w:left="366"/>
              <w:spacing w:after="0" w:line="108" w:lineRule="exact"/>
              <w:rPr>
                <w:sz w:val="20"/>
                <w:szCs w:val="20"/>
                <w:color w:val="auto"/>
              </w:rPr>
            </w:pPr>
            <w:r>
              <w:rPr>
                <w:rFonts w:ascii="Arial" w:cs="Arial" w:eastAsia="Arial" w:hAnsi="Arial"/>
                <w:sz w:val="11"/>
                <w:szCs w:val="11"/>
                <w:b w:val="1"/>
                <w:bCs w:val="1"/>
                <w:color w:val="auto"/>
                <w:w w:val="87"/>
              </w:rPr>
              <w:t>Notes Receivable</w:t>
            </w: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56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60" w:type="dxa"/>
            <w:vAlign w:val="bottom"/>
            <w:gridSpan w:val="2"/>
            <w:vMerge w:val="restart"/>
          </w:tcPr>
          <w:p>
            <w:pPr>
              <w:jc w:val="right"/>
              <w:ind w:right="92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2"/>
        </w:trPr>
        <w:tc>
          <w:tcPr>
            <w:tcW w:w="490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20" w:type="dxa"/>
            <w:vAlign w:val="bottom"/>
            <w:tcBorders>
              <w:bottom w:val="single" w:sz="8" w:color="CCEEFF"/>
            </w:tcBorders>
          </w:tcPr>
          <w:p>
            <w:pPr>
              <w:spacing w:after="0"/>
              <w:rPr>
                <w:sz w:val="12"/>
                <w:szCs w:val="12"/>
                <w:color w:val="auto"/>
              </w:rPr>
            </w:pPr>
          </w:p>
        </w:tc>
        <w:tc>
          <w:tcPr>
            <w:tcW w:w="1620" w:type="dxa"/>
            <w:vAlign w:val="bottom"/>
            <w:tcBorders>
              <w:bottom w:val="single" w:sz="8" w:color="auto"/>
            </w:tcBorders>
          </w:tcPr>
          <w:p>
            <w:pPr>
              <w:jc w:val="center"/>
              <w:ind w:left="366"/>
              <w:spacing w:after="0"/>
              <w:rPr>
                <w:sz w:val="20"/>
                <w:szCs w:val="20"/>
                <w:color w:val="auto"/>
              </w:rPr>
            </w:pPr>
            <w:r>
              <w:rPr>
                <w:rFonts w:ascii="Arial" w:cs="Arial" w:eastAsia="Arial" w:hAnsi="Arial"/>
                <w:sz w:val="11"/>
                <w:szCs w:val="11"/>
                <w:b w:val="1"/>
                <w:bCs w:val="1"/>
                <w:color w:val="auto"/>
                <w:w w:val="86"/>
              </w:rPr>
              <w:t>Securitizations</w:t>
            </w:r>
          </w:p>
        </w:tc>
        <w:tc>
          <w:tcPr>
            <w:tcW w:w="4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56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auto"/>
              </w:rPr>
              <w:t>Credit Facility</w:t>
            </w:r>
          </w:p>
        </w:tc>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9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Interest income</w:t>
            </w:r>
          </w:p>
        </w:tc>
        <w:tc>
          <w:tcPr>
            <w:tcW w:w="1640" w:type="dxa"/>
            <w:vAlign w:val="bottom"/>
            <w:gridSpan w:val="2"/>
            <w:shd w:val="clear" w:color="auto" w:fill="CCEEFF"/>
          </w:tcPr>
          <w:p>
            <w:pPr>
              <w:jc w:val="right"/>
              <w:ind w:right="1506"/>
              <w:spacing w:after="0"/>
              <w:rPr>
                <w:sz w:val="20"/>
                <w:szCs w:val="20"/>
                <w:color w:val="auto"/>
              </w:rPr>
            </w:pPr>
            <w:r>
              <w:rPr>
                <w:rFonts w:ascii="Arial" w:cs="Arial" w:eastAsia="Arial" w:hAnsi="Arial"/>
                <w:sz w:val="12"/>
                <w:szCs w:val="12"/>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1446"/>
              <w:spacing w:after="0"/>
              <w:rPr>
                <w:sz w:val="20"/>
                <w:szCs w:val="20"/>
                <w:color w:val="auto"/>
              </w:rPr>
            </w:pPr>
            <w:r>
              <w:rPr>
                <w:rFonts w:ascii="Arial" w:cs="Arial" w:eastAsia="Arial" w:hAnsi="Arial"/>
                <w:sz w:val="12"/>
                <w:szCs w:val="12"/>
                <w:color w:val="auto"/>
                <w:w w:val="89"/>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20" w:type="dxa"/>
            <w:vAlign w:val="bottom"/>
            <w:gridSpan w:val="3"/>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16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57</w:t>
            </w:r>
          </w:p>
        </w:tc>
        <w:tc>
          <w:tcPr>
            <w:tcW w:w="0" w:type="dxa"/>
            <w:vAlign w:val="bottom"/>
          </w:tcPr>
          <w:p>
            <w:pPr>
              <w:spacing w:after="0"/>
              <w:rPr>
                <w:sz w:val="1"/>
                <w:szCs w:val="1"/>
                <w:color w:val="auto"/>
              </w:rPr>
            </w:pPr>
          </w:p>
        </w:tc>
      </w:tr>
      <w:tr>
        <w:trPr>
          <w:trHeight w:val="153"/>
        </w:trPr>
        <w:tc>
          <w:tcPr>
            <w:tcW w:w="4900" w:type="dxa"/>
            <w:vAlign w:val="bottom"/>
          </w:tcPr>
          <w:p>
            <w:pPr>
              <w:spacing w:after="0"/>
              <w:rPr>
                <w:sz w:val="20"/>
                <w:szCs w:val="20"/>
                <w:color w:val="auto"/>
              </w:rPr>
            </w:pPr>
            <w:r>
              <w:rPr>
                <w:rFonts w:ascii="Arial" w:cs="Arial" w:eastAsia="Arial" w:hAnsi="Arial"/>
                <w:sz w:val="12"/>
                <w:szCs w:val="12"/>
                <w:color w:val="auto"/>
              </w:rPr>
              <w:t>Interest expense to investors</w:t>
            </w:r>
          </w:p>
        </w:tc>
        <w:tc>
          <w:tcPr>
            <w:tcW w:w="1640" w:type="dxa"/>
            <w:vAlign w:val="bottom"/>
            <w:gridSpan w:val="2"/>
          </w:tcPr>
          <w:p>
            <w:pPr>
              <w:jc w:val="right"/>
              <w:ind w:right="1506"/>
              <w:spacing w:after="0"/>
              <w:rPr>
                <w:sz w:val="20"/>
                <w:szCs w:val="20"/>
                <w:color w:val="auto"/>
              </w:rPr>
            </w:pPr>
            <w:r>
              <w:rPr>
                <w:rFonts w:ascii="Arial" w:cs="Arial" w:eastAsia="Arial" w:hAnsi="Arial"/>
                <w:sz w:val="12"/>
                <w:szCs w:val="12"/>
                <w:color w:val="auto"/>
                <w:w w:val="89"/>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11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gridSpan w:val="2"/>
          </w:tcPr>
          <w:p>
            <w:pPr>
              <w:jc w:val="right"/>
              <w:ind w:right="1446"/>
              <w:spacing w:after="0"/>
              <w:rPr>
                <w:sz w:val="20"/>
                <w:szCs w:val="20"/>
                <w:color w:val="auto"/>
              </w:rPr>
            </w:pPr>
            <w:r>
              <w:rPr>
                <w:rFonts w:ascii="Arial" w:cs="Arial" w:eastAsia="Arial" w:hAnsi="Arial"/>
                <w:sz w:val="12"/>
                <w:szCs w:val="12"/>
                <w:color w:val="auto"/>
                <w:w w:val="89"/>
              </w:rPr>
              <w:t>$</w:t>
            </w: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rPr>
              <w:t>1</w:t>
            </w:r>
          </w:p>
        </w:tc>
        <w:tc>
          <w:tcPr>
            <w:tcW w:w="520" w:type="dxa"/>
            <w:vAlign w:val="bottom"/>
            <w:gridSpan w:val="3"/>
          </w:tcPr>
          <w:p>
            <w:pPr>
              <w:jc w:val="right"/>
              <w:ind w:right="340"/>
              <w:spacing w:after="0"/>
              <w:rPr>
                <w:sz w:val="20"/>
                <w:szCs w:val="20"/>
                <w:color w:val="auto"/>
              </w:rPr>
            </w:pPr>
            <w:r>
              <w:rPr>
                <w:rFonts w:ascii="Arial" w:cs="Arial" w:eastAsia="Arial" w:hAnsi="Arial"/>
                <w:sz w:val="12"/>
                <w:szCs w:val="12"/>
                <w:color w:val="auto"/>
              </w:rPr>
              <w:t>$</w:t>
            </w:r>
          </w:p>
        </w:tc>
        <w:tc>
          <w:tcPr>
            <w:tcW w:w="1660" w:type="dxa"/>
            <w:vAlign w:val="bottom"/>
            <w:gridSpan w:val="2"/>
          </w:tcPr>
          <w:p>
            <w:pPr>
              <w:jc w:val="right"/>
              <w:ind w:right="60"/>
              <w:spacing w:after="0"/>
              <w:rPr>
                <w:sz w:val="20"/>
                <w:szCs w:val="20"/>
                <w:color w:val="auto"/>
              </w:rPr>
            </w:pPr>
            <w:r>
              <w:rPr>
                <w:rFonts w:ascii="Arial" w:cs="Arial" w:eastAsia="Arial" w:hAnsi="Arial"/>
                <w:sz w:val="12"/>
                <w:szCs w:val="12"/>
                <w:color w:val="auto"/>
              </w:rPr>
              <w:t>12</w:t>
            </w:r>
          </w:p>
        </w:tc>
        <w:tc>
          <w:tcPr>
            <w:tcW w:w="0" w:type="dxa"/>
            <w:vAlign w:val="bottom"/>
          </w:tcPr>
          <w:p>
            <w:pPr>
              <w:spacing w:after="0"/>
              <w:rPr>
                <w:sz w:val="1"/>
                <w:szCs w:val="1"/>
                <w:color w:val="auto"/>
              </w:rPr>
            </w:pPr>
          </w:p>
        </w:tc>
      </w:tr>
      <w:tr>
        <w:trPr>
          <w:trHeight w:val="153"/>
        </w:trPr>
        <w:tc>
          <w:tcPr>
            <w:tcW w:w="4900" w:type="dxa"/>
            <w:vAlign w:val="bottom"/>
            <w:shd w:val="clear" w:color="auto" w:fill="CCEEFF"/>
          </w:tcPr>
          <w:p>
            <w:pPr>
              <w:spacing w:after="0"/>
              <w:rPr>
                <w:sz w:val="20"/>
                <w:szCs w:val="20"/>
                <w:color w:val="auto"/>
              </w:rPr>
            </w:pPr>
            <w:r>
              <w:rPr>
                <w:rFonts w:ascii="Arial" w:cs="Arial" w:eastAsia="Arial" w:hAnsi="Arial"/>
                <w:sz w:val="12"/>
                <w:szCs w:val="12"/>
                <w:color w:val="auto"/>
              </w:rPr>
              <w:t>Debt issuance cost amortization</w:t>
            </w:r>
          </w:p>
        </w:tc>
        <w:tc>
          <w:tcPr>
            <w:tcW w:w="1640" w:type="dxa"/>
            <w:vAlign w:val="bottom"/>
            <w:gridSpan w:val="2"/>
            <w:shd w:val="clear" w:color="auto" w:fill="CCEEFF"/>
          </w:tcPr>
          <w:p>
            <w:pPr>
              <w:jc w:val="right"/>
              <w:ind w:right="1506"/>
              <w:spacing w:after="0"/>
              <w:rPr>
                <w:sz w:val="20"/>
                <w:szCs w:val="20"/>
                <w:color w:val="auto"/>
              </w:rPr>
            </w:pPr>
            <w:r>
              <w:rPr>
                <w:rFonts w:ascii="Arial" w:cs="Arial" w:eastAsia="Arial" w:hAnsi="Arial"/>
                <w:sz w:val="12"/>
                <w:szCs w:val="12"/>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80" w:type="dxa"/>
            <w:vAlign w:val="bottom"/>
            <w:gridSpan w:val="2"/>
            <w:shd w:val="clear" w:color="auto" w:fill="CCEEFF"/>
          </w:tcPr>
          <w:p>
            <w:pPr>
              <w:jc w:val="right"/>
              <w:ind w:right="1446"/>
              <w:spacing w:after="0"/>
              <w:rPr>
                <w:sz w:val="20"/>
                <w:szCs w:val="20"/>
                <w:color w:val="auto"/>
              </w:rPr>
            </w:pPr>
            <w:r>
              <w:rPr>
                <w:rFonts w:ascii="Arial" w:cs="Arial" w:eastAsia="Arial" w:hAnsi="Arial"/>
                <w:sz w:val="12"/>
                <w:szCs w:val="12"/>
                <w:color w:val="auto"/>
                <w:w w:val="89"/>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20" w:type="dxa"/>
            <w:vAlign w:val="bottom"/>
            <w:gridSpan w:val="3"/>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16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53"/>
        </w:trPr>
        <w:tc>
          <w:tcPr>
            <w:tcW w:w="4900" w:type="dxa"/>
            <w:vAlign w:val="bottom"/>
          </w:tcPr>
          <w:p>
            <w:pPr>
              <w:spacing w:after="0"/>
              <w:rPr>
                <w:sz w:val="20"/>
                <w:szCs w:val="20"/>
                <w:color w:val="auto"/>
              </w:rPr>
            </w:pPr>
            <w:r>
              <w:rPr>
                <w:rFonts w:ascii="Arial" w:cs="Arial" w:eastAsia="Arial" w:hAnsi="Arial"/>
                <w:sz w:val="12"/>
                <w:szCs w:val="12"/>
                <w:color w:val="auto"/>
              </w:rPr>
              <w:t>Administrative expenses</w:t>
            </w:r>
          </w:p>
        </w:tc>
        <w:tc>
          <w:tcPr>
            <w:tcW w:w="1640" w:type="dxa"/>
            <w:vAlign w:val="bottom"/>
            <w:gridSpan w:val="2"/>
          </w:tcPr>
          <w:p>
            <w:pPr>
              <w:jc w:val="right"/>
              <w:ind w:right="1506"/>
              <w:spacing w:after="0"/>
              <w:rPr>
                <w:sz w:val="20"/>
                <w:szCs w:val="20"/>
                <w:color w:val="auto"/>
              </w:rPr>
            </w:pPr>
            <w:r>
              <w:rPr>
                <w:rFonts w:ascii="Arial" w:cs="Arial" w:eastAsia="Arial" w:hAnsi="Arial"/>
                <w:sz w:val="12"/>
                <w:szCs w:val="12"/>
                <w:color w:val="auto"/>
                <w:w w:val="89"/>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gridSpan w:val="2"/>
          </w:tcPr>
          <w:p>
            <w:pPr>
              <w:jc w:val="right"/>
              <w:ind w:right="1446"/>
              <w:spacing w:after="0"/>
              <w:rPr>
                <w:sz w:val="20"/>
                <w:szCs w:val="20"/>
                <w:color w:val="auto"/>
              </w:rPr>
            </w:pPr>
            <w:r>
              <w:rPr>
                <w:rFonts w:ascii="Arial" w:cs="Arial" w:eastAsia="Arial" w:hAnsi="Arial"/>
                <w:sz w:val="12"/>
                <w:szCs w:val="12"/>
                <w:color w:val="auto"/>
                <w:w w:val="89"/>
              </w:rPr>
              <w:t>$</w:t>
            </w: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20" w:type="dxa"/>
            <w:vAlign w:val="bottom"/>
            <w:gridSpan w:val="3"/>
          </w:tcPr>
          <w:p>
            <w:pPr>
              <w:jc w:val="right"/>
              <w:ind w:right="340"/>
              <w:spacing w:after="0"/>
              <w:rPr>
                <w:sz w:val="20"/>
                <w:szCs w:val="20"/>
                <w:color w:val="auto"/>
              </w:rPr>
            </w:pPr>
            <w:r>
              <w:rPr>
                <w:rFonts w:ascii="Arial" w:cs="Arial" w:eastAsia="Arial" w:hAnsi="Arial"/>
                <w:sz w:val="12"/>
                <w:szCs w:val="12"/>
                <w:color w:val="auto"/>
              </w:rPr>
              <w:t>$</w:t>
            </w:r>
          </w:p>
        </w:tc>
        <w:tc>
          <w:tcPr>
            <w:tcW w:w="1660" w:type="dxa"/>
            <w:vAlign w:val="bottom"/>
            <w:gridSpan w:val="2"/>
          </w:tcPr>
          <w:p>
            <w:pPr>
              <w:jc w:val="right"/>
              <w:ind w:right="60"/>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shows the interest income and expense recognized as a result of our involvement with these VIEs during the first half of 2021:</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9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4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88"/>
              </w:rPr>
              <w:t>Vacation Ownership</w:t>
            </w:r>
          </w:p>
        </w:tc>
        <w:tc>
          <w:tcPr>
            <w:tcW w:w="400" w:type="dxa"/>
            <w:vAlign w:val="bottom"/>
          </w:tcPr>
          <w:p>
            <w:pPr>
              <w:spacing w:after="0"/>
              <w:rPr>
                <w:sz w:val="10"/>
                <w:szCs w:val="10"/>
                <w:color w:val="auto"/>
              </w:rPr>
            </w:pPr>
          </w:p>
        </w:tc>
        <w:tc>
          <w:tcPr>
            <w:tcW w:w="1760" w:type="dxa"/>
            <w:vAlign w:val="bottom"/>
            <w:gridSpan w:val="2"/>
            <w:vMerge w:val="restart"/>
          </w:tcPr>
          <w:p>
            <w:pPr>
              <w:ind w:left="380"/>
              <w:spacing w:after="0"/>
              <w:rPr>
                <w:sz w:val="20"/>
                <w:szCs w:val="20"/>
                <w:color w:val="auto"/>
              </w:rPr>
            </w:pPr>
            <w:r>
              <w:rPr>
                <w:rFonts w:ascii="Arial" w:cs="Arial" w:eastAsia="Arial" w:hAnsi="Arial"/>
                <w:sz w:val="11"/>
                <w:szCs w:val="11"/>
                <w:b w:val="1"/>
                <w:bCs w:val="1"/>
                <w:color w:val="auto"/>
              </w:rPr>
              <w:t>Warehouse</w:t>
            </w:r>
          </w:p>
        </w:tc>
        <w:tc>
          <w:tcPr>
            <w:tcW w:w="5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9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40" w:type="dxa"/>
            <w:vAlign w:val="bottom"/>
            <w:gridSpan w:val="2"/>
          </w:tcPr>
          <w:p>
            <w:pPr>
              <w:jc w:val="center"/>
              <w:ind w:right="400"/>
              <w:spacing w:after="0" w:line="108" w:lineRule="exact"/>
              <w:rPr>
                <w:sz w:val="20"/>
                <w:szCs w:val="20"/>
                <w:color w:val="auto"/>
              </w:rPr>
            </w:pPr>
            <w:r>
              <w:rPr>
                <w:rFonts w:ascii="Arial" w:cs="Arial" w:eastAsia="Arial" w:hAnsi="Arial"/>
                <w:sz w:val="11"/>
                <w:szCs w:val="11"/>
                <w:b w:val="1"/>
                <w:bCs w:val="1"/>
                <w:color w:val="auto"/>
                <w:w w:val="87"/>
              </w:rPr>
              <w:t>Notes Receivable</w:t>
            </w:r>
          </w:p>
        </w:tc>
        <w:tc>
          <w:tcPr>
            <w:tcW w:w="400" w:type="dxa"/>
            <w:vAlign w:val="bottom"/>
          </w:tcPr>
          <w:p>
            <w:pPr>
              <w:spacing w:after="0"/>
              <w:rPr>
                <w:sz w:val="9"/>
                <w:szCs w:val="9"/>
                <w:color w:val="auto"/>
              </w:rPr>
            </w:pPr>
          </w:p>
        </w:tc>
        <w:tc>
          <w:tcPr>
            <w:tcW w:w="1760" w:type="dxa"/>
            <w:vAlign w:val="bottom"/>
            <w:gridSpan w:val="2"/>
            <w:vMerge w:val="continue"/>
          </w:tcPr>
          <w:p>
            <w:pPr>
              <w:spacing w:after="0"/>
              <w:rPr>
                <w:sz w:val="9"/>
                <w:szCs w:val="9"/>
                <w:color w:val="auto"/>
              </w:rPr>
            </w:pPr>
          </w:p>
        </w:tc>
        <w:tc>
          <w:tcPr>
            <w:tcW w:w="500" w:type="dxa"/>
            <w:vAlign w:val="bottom"/>
          </w:tcPr>
          <w:p>
            <w:pPr>
              <w:spacing w:after="0"/>
              <w:rPr>
                <w:sz w:val="9"/>
                <w:szCs w:val="9"/>
                <w:color w:val="auto"/>
              </w:rPr>
            </w:pPr>
          </w:p>
        </w:tc>
        <w:tc>
          <w:tcPr>
            <w:tcW w:w="1580" w:type="dxa"/>
            <w:vAlign w:val="bottom"/>
            <w:vMerge w:val="restart"/>
          </w:tcPr>
          <w:p>
            <w:pPr>
              <w:jc w:val="right"/>
              <w:ind w:right="861"/>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2"/>
        </w:trPr>
        <w:tc>
          <w:tcPr>
            <w:tcW w:w="490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32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tcPr>
          <w:p>
            <w:pPr>
              <w:jc w:val="center"/>
              <w:ind w:right="262"/>
              <w:spacing w:after="0"/>
              <w:rPr>
                <w:sz w:val="20"/>
                <w:szCs w:val="20"/>
                <w:color w:val="auto"/>
              </w:rPr>
            </w:pPr>
            <w:r>
              <w:rPr>
                <w:rFonts w:ascii="Arial" w:cs="Arial" w:eastAsia="Arial" w:hAnsi="Arial"/>
                <w:sz w:val="11"/>
                <w:szCs w:val="11"/>
                <w:b w:val="1"/>
                <w:bCs w:val="1"/>
                <w:color w:val="auto"/>
                <w:w w:val="86"/>
              </w:rPr>
              <w:t>Securitizations</w:t>
            </w:r>
          </w:p>
        </w:tc>
        <w:tc>
          <w:tcPr>
            <w:tcW w:w="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ind w:right="642"/>
              <w:spacing w:after="0"/>
              <w:rPr>
                <w:sz w:val="20"/>
                <w:szCs w:val="20"/>
                <w:color w:val="auto"/>
              </w:rPr>
            </w:pPr>
            <w:r>
              <w:rPr>
                <w:rFonts w:ascii="Arial" w:cs="Arial" w:eastAsia="Arial" w:hAnsi="Arial"/>
                <w:sz w:val="11"/>
                <w:szCs w:val="11"/>
                <w:b w:val="1"/>
                <w:bCs w:val="1"/>
                <w:color w:val="auto"/>
              </w:rPr>
              <w:t>Credit Facility</w:t>
            </w:r>
          </w:p>
        </w:tc>
        <w:tc>
          <w:tcPr>
            <w:tcW w:w="8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9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Interest income</w:t>
            </w: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7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105</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ind w:right="360"/>
              <w:spacing w:after="0"/>
              <w:rPr>
                <w:sz w:val="20"/>
                <w:szCs w:val="20"/>
                <w:color w:val="auto"/>
              </w:rPr>
            </w:pPr>
            <w:r>
              <w:rPr>
                <w:rFonts w:ascii="Arial" w:cs="Arial" w:eastAsia="Arial" w:hAnsi="Arial"/>
                <w:sz w:val="12"/>
                <w:szCs w:val="12"/>
                <w:color w:val="auto"/>
                <w:w w:val="89"/>
              </w:rPr>
              <w:t>$</w:t>
            </w:r>
          </w:p>
        </w:tc>
        <w:tc>
          <w:tcPr>
            <w:tcW w:w="15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105</w:t>
            </w:r>
          </w:p>
        </w:tc>
        <w:tc>
          <w:tcPr>
            <w:tcW w:w="0" w:type="dxa"/>
            <w:vAlign w:val="bottom"/>
          </w:tcPr>
          <w:p>
            <w:pPr>
              <w:spacing w:after="0"/>
              <w:rPr>
                <w:sz w:val="1"/>
                <w:szCs w:val="1"/>
                <w:color w:val="auto"/>
              </w:rPr>
            </w:pPr>
          </w:p>
        </w:tc>
      </w:tr>
      <w:tr>
        <w:trPr>
          <w:trHeight w:val="153"/>
        </w:trPr>
        <w:tc>
          <w:tcPr>
            <w:tcW w:w="4900" w:type="dxa"/>
            <w:vAlign w:val="bottom"/>
          </w:tcPr>
          <w:p>
            <w:pPr>
              <w:spacing w:after="0"/>
              <w:rPr>
                <w:sz w:val="20"/>
                <w:szCs w:val="20"/>
                <w:color w:val="auto"/>
              </w:rPr>
            </w:pPr>
            <w:r>
              <w:rPr>
                <w:rFonts w:ascii="Arial" w:cs="Arial" w:eastAsia="Arial" w:hAnsi="Arial"/>
                <w:sz w:val="12"/>
                <w:szCs w:val="12"/>
                <w:color w:val="auto"/>
              </w:rPr>
              <w:t>Interest expense to investors</w:t>
            </w: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760" w:type="dxa"/>
            <w:vAlign w:val="bottom"/>
          </w:tcPr>
          <w:p>
            <w:pPr>
              <w:jc w:val="right"/>
              <w:ind w:right="2"/>
              <w:spacing w:after="0"/>
              <w:rPr>
                <w:sz w:val="20"/>
                <w:szCs w:val="20"/>
                <w:color w:val="auto"/>
              </w:rPr>
            </w:pPr>
            <w:r>
              <w:rPr>
                <w:rFonts w:ascii="Arial" w:cs="Arial" w:eastAsia="Arial" w:hAnsi="Arial"/>
                <w:sz w:val="12"/>
                <w:szCs w:val="12"/>
                <w:color w:val="auto"/>
              </w:rPr>
              <w:t>22</w:t>
            </w:r>
          </w:p>
        </w:tc>
        <w:tc>
          <w:tcPr>
            <w:tcW w:w="80" w:type="dxa"/>
            <w:vAlign w:val="bottom"/>
          </w:tcPr>
          <w:p>
            <w:pPr>
              <w:spacing w:after="0"/>
              <w:rPr>
                <w:sz w:val="13"/>
                <w:szCs w:val="13"/>
                <w:color w:val="auto"/>
              </w:rPr>
            </w:pPr>
          </w:p>
        </w:tc>
        <w:tc>
          <w:tcPr>
            <w:tcW w:w="400" w:type="dxa"/>
            <w:vAlign w:val="bottom"/>
          </w:tcPr>
          <w:p>
            <w:pPr>
              <w:jc w:val="right"/>
              <w:ind w:right="260"/>
              <w:spacing w:after="0"/>
              <w:rPr>
                <w:sz w:val="20"/>
                <w:szCs w:val="20"/>
                <w:color w:val="auto"/>
              </w:rPr>
            </w:pPr>
            <w:r>
              <w:rPr>
                <w:rFonts w:ascii="Arial" w:cs="Arial" w:eastAsia="Arial" w:hAnsi="Arial"/>
                <w:sz w:val="12"/>
                <w:szCs w:val="12"/>
                <w:color w:val="auto"/>
                <w:w w:val="89"/>
              </w:rPr>
              <w:t>$</w:t>
            </w:r>
          </w:p>
        </w:tc>
        <w:tc>
          <w:tcPr>
            <w:tcW w:w="1680" w:type="dxa"/>
            <w:vAlign w:val="bottom"/>
          </w:tcPr>
          <w:p>
            <w:pPr>
              <w:jc w:val="right"/>
              <w:ind w:right="2"/>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3"/>
                <w:szCs w:val="13"/>
                <w:color w:val="auto"/>
              </w:rPr>
            </w:pPr>
          </w:p>
        </w:tc>
        <w:tc>
          <w:tcPr>
            <w:tcW w:w="500" w:type="dxa"/>
            <w:vAlign w:val="bottom"/>
          </w:tcPr>
          <w:p>
            <w:pPr>
              <w:jc w:val="right"/>
              <w:ind w:right="360"/>
              <w:spacing w:after="0"/>
              <w:rPr>
                <w:sz w:val="20"/>
                <w:szCs w:val="20"/>
                <w:color w:val="auto"/>
              </w:rPr>
            </w:pPr>
            <w:r>
              <w:rPr>
                <w:rFonts w:ascii="Arial" w:cs="Arial" w:eastAsia="Arial" w:hAnsi="Arial"/>
                <w:sz w:val="12"/>
                <w:szCs w:val="12"/>
                <w:color w:val="auto"/>
                <w:w w:val="89"/>
              </w:rPr>
              <w:t>$</w:t>
            </w:r>
          </w:p>
        </w:tc>
        <w:tc>
          <w:tcPr>
            <w:tcW w:w="1580" w:type="dxa"/>
            <w:vAlign w:val="bottom"/>
          </w:tcPr>
          <w:p>
            <w:pPr>
              <w:jc w:val="right"/>
              <w:ind w:right="1"/>
              <w:spacing w:after="0"/>
              <w:rPr>
                <w:sz w:val="20"/>
                <w:szCs w:val="20"/>
                <w:color w:val="auto"/>
              </w:rPr>
            </w:pPr>
            <w:r>
              <w:rPr>
                <w:rFonts w:ascii="Arial" w:cs="Arial" w:eastAsia="Arial" w:hAnsi="Arial"/>
                <w:sz w:val="12"/>
                <w:szCs w:val="12"/>
                <w:color w:val="auto"/>
              </w:rPr>
              <w:t>23</w:t>
            </w:r>
          </w:p>
        </w:tc>
        <w:tc>
          <w:tcPr>
            <w:tcW w:w="0" w:type="dxa"/>
            <w:vAlign w:val="bottom"/>
          </w:tcPr>
          <w:p>
            <w:pPr>
              <w:spacing w:after="0"/>
              <w:rPr>
                <w:sz w:val="1"/>
                <w:szCs w:val="1"/>
                <w:color w:val="auto"/>
              </w:rPr>
            </w:pPr>
          </w:p>
        </w:tc>
      </w:tr>
      <w:tr>
        <w:trPr>
          <w:trHeight w:val="153"/>
        </w:trPr>
        <w:tc>
          <w:tcPr>
            <w:tcW w:w="4900" w:type="dxa"/>
            <w:vAlign w:val="bottom"/>
            <w:shd w:val="clear" w:color="auto" w:fill="CCEEFF"/>
          </w:tcPr>
          <w:p>
            <w:pPr>
              <w:spacing w:after="0"/>
              <w:rPr>
                <w:sz w:val="20"/>
                <w:szCs w:val="20"/>
                <w:color w:val="auto"/>
              </w:rPr>
            </w:pPr>
            <w:r>
              <w:rPr>
                <w:rFonts w:ascii="Arial" w:cs="Arial" w:eastAsia="Arial" w:hAnsi="Arial"/>
                <w:sz w:val="12"/>
                <w:szCs w:val="12"/>
                <w:color w:val="auto"/>
              </w:rPr>
              <w:t>Debt issuance cost amortization</w:t>
            </w: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7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16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360"/>
              <w:spacing w:after="0"/>
              <w:rPr>
                <w:sz w:val="20"/>
                <w:szCs w:val="20"/>
                <w:color w:val="auto"/>
              </w:rPr>
            </w:pPr>
            <w:r>
              <w:rPr>
                <w:rFonts w:ascii="Arial" w:cs="Arial" w:eastAsia="Arial" w:hAnsi="Arial"/>
                <w:sz w:val="12"/>
                <w:szCs w:val="12"/>
                <w:color w:val="auto"/>
                <w:w w:val="89"/>
              </w:rPr>
              <w:t>$</w:t>
            </w:r>
          </w:p>
        </w:tc>
        <w:tc>
          <w:tcPr>
            <w:tcW w:w="15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53"/>
        </w:trPr>
        <w:tc>
          <w:tcPr>
            <w:tcW w:w="4900" w:type="dxa"/>
            <w:vAlign w:val="bottom"/>
          </w:tcPr>
          <w:p>
            <w:pPr>
              <w:spacing w:after="0"/>
              <w:rPr>
                <w:sz w:val="20"/>
                <w:szCs w:val="20"/>
                <w:color w:val="auto"/>
              </w:rPr>
            </w:pPr>
            <w:r>
              <w:rPr>
                <w:rFonts w:ascii="Arial" w:cs="Arial" w:eastAsia="Arial" w:hAnsi="Arial"/>
                <w:sz w:val="12"/>
                <w:szCs w:val="12"/>
                <w:color w:val="auto"/>
              </w:rPr>
              <w:t>Administrative expenses</w:t>
            </w: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760" w:type="dxa"/>
            <w:vAlign w:val="bottom"/>
          </w:tcPr>
          <w:p>
            <w:pPr>
              <w:jc w:val="right"/>
              <w:ind w:right="2"/>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3"/>
                <w:szCs w:val="13"/>
                <w:color w:val="auto"/>
              </w:rPr>
            </w:pPr>
          </w:p>
        </w:tc>
        <w:tc>
          <w:tcPr>
            <w:tcW w:w="400" w:type="dxa"/>
            <w:vAlign w:val="bottom"/>
          </w:tcPr>
          <w:p>
            <w:pPr>
              <w:jc w:val="right"/>
              <w:ind w:right="260"/>
              <w:spacing w:after="0"/>
              <w:rPr>
                <w:sz w:val="20"/>
                <w:szCs w:val="20"/>
                <w:color w:val="auto"/>
              </w:rPr>
            </w:pPr>
            <w:r>
              <w:rPr>
                <w:rFonts w:ascii="Arial" w:cs="Arial" w:eastAsia="Arial" w:hAnsi="Arial"/>
                <w:sz w:val="12"/>
                <w:szCs w:val="12"/>
                <w:color w:val="auto"/>
                <w:w w:val="89"/>
              </w:rPr>
              <w:t>$</w:t>
            </w:r>
          </w:p>
        </w:tc>
        <w:tc>
          <w:tcPr>
            <w:tcW w:w="1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500" w:type="dxa"/>
            <w:vAlign w:val="bottom"/>
          </w:tcPr>
          <w:p>
            <w:pPr>
              <w:jc w:val="right"/>
              <w:ind w:right="360"/>
              <w:spacing w:after="0"/>
              <w:rPr>
                <w:sz w:val="20"/>
                <w:szCs w:val="20"/>
                <w:color w:val="auto"/>
              </w:rPr>
            </w:pPr>
            <w:r>
              <w:rPr>
                <w:rFonts w:ascii="Arial" w:cs="Arial" w:eastAsia="Arial" w:hAnsi="Arial"/>
                <w:sz w:val="12"/>
                <w:szCs w:val="12"/>
                <w:color w:val="auto"/>
                <w:w w:val="89"/>
              </w:rPr>
              <w:t>$</w:t>
            </w:r>
          </w:p>
        </w:tc>
        <w:tc>
          <w:tcPr>
            <w:tcW w:w="1580" w:type="dxa"/>
            <w:vAlign w:val="bottom"/>
          </w:tcPr>
          <w:p>
            <w:pPr>
              <w:jc w:val="right"/>
              <w:ind w:right="1"/>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342"/>
        </w:trPr>
        <w:tc>
          <w:tcPr>
            <w:tcW w:w="4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tcPr>
          <w:p>
            <w:pPr>
              <w:jc w:val="right"/>
              <w:ind w:right="1002"/>
              <w:spacing w:after="0"/>
              <w:rPr>
                <w:sz w:val="20"/>
                <w:szCs w:val="20"/>
                <w:color w:val="auto"/>
              </w:rPr>
            </w:pPr>
            <w:r>
              <w:rPr>
                <w:rFonts w:ascii="Arial" w:cs="Arial" w:eastAsia="Arial" w:hAnsi="Arial"/>
                <w:sz w:val="12"/>
                <w:szCs w:val="12"/>
                <w:color w:val="auto"/>
              </w:rPr>
              <w:t>38</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49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40" w:name="page41"/>
    <w:bookmarkEnd w:id="40"/>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8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shows cash flows between us and the vacation ownership notes receivable securitization VIEs: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06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3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1"/>
                <w:szCs w:val="11"/>
                <w:b w:val="1"/>
                <w:bCs w:val="1"/>
                <w:color w:val="auto"/>
              </w:rPr>
              <w:t>Six Months Ended</w:t>
            </w:r>
          </w:p>
        </w:tc>
        <w:tc>
          <w:tcPr>
            <w:tcW w:w="1520" w:type="dxa"/>
            <w:vAlign w:val="bottom"/>
            <w:tcBorders>
              <w:bottom w:val="single" w:sz="8" w:color="auto"/>
            </w:tcBorders>
          </w:tcPr>
          <w:p>
            <w:pPr>
              <w:spacing w:after="0"/>
              <w:rPr>
                <w:sz w:val="12"/>
                <w:szCs w:val="12"/>
                <w:color w:val="auto"/>
              </w:rPr>
            </w:pPr>
          </w:p>
        </w:tc>
      </w:tr>
      <w:tr>
        <w:trPr>
          <w:trHeight w:val="133"/>
        </w:trPr>
        <w:tc>
          <w:tcPr>
            <w:tcW w:w="7060" w:type="dxa"/>
            <w:vAlign w:val="bottom"/>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400" w:type="dxa"/>
            <w:vAlign w:val="bottom"/>
          </w:tcPr>
          <w:p>
            <w:pPr>
              <w:spacing w:after="0"/>
              <w:rPr>
                <w:sz w:val="11"/>
                <w:szCs w:val="11"/>
                <w:color w:val="auto"/>
              </w:rPr>
            </w:pPr>
          </w:p>
        </w:tc>
        <w:tc>
          <w:tcPr>
            <w:tcW w:w="1760" w:type="dxa"/>
            <w:vAlign w:val="bottom"/>
            <w:gridSpan w:val="2"/>
          </w:tcPr>
          <w:p>
            <w:pPr>
              <w:ind w:left="320"/>
              <w:spacing w:after="0"/>
              <w:rPr>
                <w:sz w:val="20"/>
                <w:szCs w:val="20"/>
                <w:color w:val="auto"/>
              </w:rPr>
            </w:pPr>
            <w:r>
              <w:rPr>
                <w:rFonts w:ascii="Arial" w:cs="Arial" w:eastAsia="Arial" w:hAnsi="Arial"/>
                <w:sz w:val="11"/>
                <w:szCs w:val="11"/>
                <w:b w:val="1"/>
                <w:bCs w:val="1"/>
                <w:color w:val="auto"/>
              </w:rPr>
              <w:t>June 30, 2021</w:t>
            </w:r>
          </w:p>
        </w:tc>
        <w:tc>
          <w:tcPr>
            <w:tcW w:w="560" w:type="dxa"/>
            <w:vAlign w:val="bottom"/>
          </w:tcPr>
          <w:p>
            <w:pPr>
              <w:spacing w:after="0"/>
              <w:rPr>
                <w:sz w:val="11"/>
                <w:szCs w:val="11"/>
                <w:color w:val="auto"/>
              </w:rPr>
            </w:pPr>
          </w:p>
        </w:tc>
        <w:tc>
          <w:tcPr>
            <w:tcW w:w="1520" w:type="dxa"/>
            <w:vAlign w:val="bottom"/>
          </w:tcPr>
          <w:p>
            <w:pPr>
              <w:jc w:val="right"/>
              <w:ind w:right="660"/>
              <w:spacing w:after="0"/>
              <w:rPr>
                <w:sz w:val="20"/>
                <w:szCs w:val="20"/>
                <w:color w:val="auto"/>
              </w:rPr>
            </w:pPr>
            <w:r>
              <w:rPr>
                <w:rFonts w:ascii="Arial" w:cs="Arial" w:eastAsia="Arial" w:hAnsi="Arial"/>
                <w:sz w:val="11"/>
                <w:szCs w:val="11"/>
                <w:b w:val="1"/>
                <w:bCs w:val="1"/>
                <w:color w:val="auto"/>
              </w:rPr>
              <w:t>June 30, 2020</w:t>
            </w:r>
          </w:p>
        </w:tc>
      </w:tr>
      <w:tr>
        <w:trPr>
          <w:trHeight w:val="135"/>
        </w:trPr>
        <w:tc>
          <w:tcPr>
            <w:tcW w:w="7060" w:type="dxa"/>
            <w:vAlign w:val="bottom"/>
            <w:tcBorders>
              <w:top w:val="single" w:sz="8" w:color="CCEEFF"/>
            </w:tcBorders>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Cash Inflows</w:t>
            </w:r>
          </w:p>
        </w:tc>
        <w:tc>
          <w:tcPr>
            <w:tcW w:w="400" w:type="dxa"/>
            <w:vAlign w:val="bottom"/>
            <w:tcBorders>
              <w:top w:val="single" w:sz="8" w:color="auto"/>
            </w:tcBorders>
            <w:shd w:val="clear" w:color="auto" w:fill="CCEEFF"/>
          </w:tcPr>
          <w:p>
            <w:pPr>
              <w:spacing w:after="0"/>
              <w:rPr>
                <w:sz w:val="11"/>
                <w:szCs w:val="11"/>
                <w:color w:val="auto"/>
              </w:rPr>
            </w:pPr>
          </w:p>
        </w:tc>
        <w:tc>
          <w:tcPr>
            <w:tcW w:w="16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520" w:type="dxa"/>
            <w:vAlign w:val="bottom"/>
            <w:tcBorders>
              <w:top w:val="single" w:sz="8" w:color="auto"/>
            </w:tcBorders>
            <w:shd w:val="clear" w:color="auto" w:fill="CCEEFF"/>
          </w:tcPr>
          <w:p>
            <w:pPr>
              <w:spacing w:after="0"/>
              <w:rPr>
                <w:sz w:val="11"/>
                <w:szCs w:val="11"/>
                <w:color w:val="auto"/>
              </w:rPr>
            </w:pPr>
          </w:p>
        </w:tc>
      </w:tr>
      <w:tr>
        <w:trPr>
          <w:trHeight w:val="153"/>
        </w:trPr>
        <w:tc>
          <w:tcPr>
            <w:tcW w:w="7060" w:type="dxa"/>
            <w:vAlign w:val="bottom"/>
          </w:tcPr>
          <w:p>
            <w:pPr>
              <w:ind w:left="140"/>
              <w:spacing w:after="0"/>
              <w:rPr>
                <w:sz w:val="20"/>
                <w:szCs w:val="20"/>
                <w:color w:val="auto"/>
              </w:rPr>
            </w:pPr>
            <w:r>
              <w:rPr>
                <w:rFonts w:ascii="Arial" w:cs="Arial" w:eastAsia="Arial" w:hAnsi="Arial"/>
                <w:sz w:val="12"/>
                <w:szCs w:val="12"/>
                <w:color w:val="auto"/>
              </w:rPr>
              <w:t>Net proceeds from vacation ownership notes receivable securitizations</w:t>
            </w:r>
          </w:p>
        </w:tc>
        <w:tc>
          <w:tcPr>
            <w:tcW w:w="400" w:type="dxa"/>
            <w:vAlign w:val="bottom"/>
          </w:tcPr>
          <w:p>
            <w:pPr>
              <w:jc w:val="right"/>
              <w:ind w:right="260"/>
              <w:spacing w:after="0"/>
              <w:rPr>
                <w:sz w:val="20"/>
                <w:szCs w:val="20"/>
                <w:color w:val="auto"/>
              </w:rPr>
            </w:pPr>
            <w:r>
              <w:rPr>
                <w:rFonts w:ascii="Arial" w:cs="Arial" w:eastAsia="Arial" w:hAnsi="Arial"/>
                <w:sz w:val="12"/>
                <w:szCs w:val="12"/>
                <w:color w:val="auto"/>
                <w:w w:val="89"/>
              </w:rPr>
              <w:t>$</w:t>
            </w:r>
          </w:p>
        </w:tc>
        <w:tc>
          <w:tcPr>
            <w:tcW w:w="1680" w:type="dxa"/>
            <w:vAlign w:val="bottom"/>
          </w:tcPr>
          <w:p>
            <w:pPr>
              <w:jc w:val="right"/>
              <w:ind w:right="1"/>
              <w:spacing w:after="0"/>
              <w:rPr>
                <w:sz w:val="20"/>
                <w:szCs w:val="20"/>
                <w:color w:val="auto"/>
              </w:rPr>
            </w:pPr>
            <w:r>
              <w:rPr>
                <w:rFonts w:ascii="Arial" w:cs="Arial" w:eastAsia="Arial" w:hAnsi="Arial"/>
                <w:sz w:val="12"/>
                <w:szCs w:val="12"/>
                <w:color w:val="auto"/>
              </w:rPr>
              <w:t>421</w:t>
            </w:r>
          </w:p>
        </w:tc>
        <w:tc>
          <w:tcPr>
            <w:tcW w:w="80" w:type="dxa"/>
            <w:vAlign w:val="bottom"/>
          </w:tcPr>
          <w:p>
            <w:pPr>
              <w:spacing w:after="0"/>
              <w:rPr>
                <w:sz w:val="13"/>
                <w:szCs w:val="13"/>
                <w:color w:val="auto"/>
              </w:rPr>
            </w:pPr>
          </w:p>
        </w:tc>
        <w:tc>
          <w:tcPr>
            <w:tcW w:w="560" w:type="dxa"/>
            <w:vAlign w:val="bottom"/>
          </w:tcPr>
          <w:p>
            <w:pPr>
              <w:jc w:val="right"/>
              <w:ind w:right="420"/>
              <w:spacing w:after="0"/>
              <w:rPr>
                <w:sz w:val="20"/>
                <w:szCs w:val="20"/>
                <w:color w:val="auto"/>
              </w:rPr>
            </w:pPr>
            <w:r>
              <w:rPr>
                <w:rFonts w:ascii="Arial" w:cs="Arial" w:eastAsia="Arial" w:hAnsi="Arial"/>
                <w:sz w:val="12"/>
                <w:szCs w:val="12"/>
                <w:color w:val="auto"/>
                <w:w w:val="89"/>
              </w:rPr>
              <w:t>$</w:t>
            </w:r>
          </w:p>
        </w:tc>
        <w:tc>
          <w:tcPr>
            <w:tcW w:w="15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70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Principal receipts</w:t>
            </w:r>
          </w:p>
        </w:tc>
        <w:tc>
          <w:tcPr>
            <w:tcW w:w="400" w:type="dxa"/>
            <w:vAlign w:val="bottom"/>
            <w:shd w:val="clear" w:color="auto" w:fill="CCEEFF"/>
          </w:tcPr>
          <w:p>
            <w:pPr>
              <w:spacing w:after="0"/>
              <w:rPr>
                <w:sz w:val="13"/>
                <w:szCs w:val="13"/>
                <w:color w:val="auto"/>
              </w:rPr>
            </w:pPr>
          </w:p>
        </w:tc>
        <w:tc>
          <w:tcPr>
            <w:tcW w:w="16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286</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232</w:t>
            </w:r>
          </w:p>
        </w:tc>
      </w:tr>
      <w:tr>
        <w:trPr>
          <w:trHeight w:val="153"/>
        </w:trPr>
        <w:tc>
          <w:tcPr>
            <w:tcW w:w="7060" w:type="dxa"/>
            <w:vAlign w:val="bottom"/>
          </w:tcPr>
          <w:p>
            <w:pPr>
              <w:ind w:left="140"/>
              <w:spacing w:after="0"/>
              <w:rPr>
                <w:sz w:val="20"/>
                <w:szCs w:val="20"/>
                <w:color w:val="auto"/>
              </w:rPr>
            </w:pPr>
            <w:r>
              <w:rPr>
                <w:rFonts w:ascii="Arial" w:cs="Arial" w:eastAsia="Arial" w:hAnsi="Arial"/>
                <w:sz w:val="12"/>
                <w:szCs w:val="12"/>
                <w:color w:val="auto"/>
              </w:rPr>
              <w:t>Interest receipts</w:t>
            </w:r>
          </w:p>
        </w:tc>
        <w:tc>
          <w:tcPr>
            <w:tcW w:w="400" w:type="dxa"/>
            <w:vAlign w:val="bottom"/>
          </w:tcPr>
          <w:p>
            <w:pPr>
              <w:spacing w:after="0"/>
              <w:rPr>
                <w:sz w:val="13"/>
                <w:szCs w:val="13"/>
                <w:color w:val="auto"/>
              </w:rPr>
            </w:pPr>
          </w:p>
        </w:tc>
        <w:tc>
          <w:tcPr>
            <w:tcW w:w="1680" w:type="dxa"/>
            <w:vAlign w:val="bottom"/>
          </w:tcPr>
          <w:p>
            <w:pPr>
              <w:jc w:val="right"/>
              <w:ind w:right="1"/>
              <w:spacing w:after="0"/>
              <w:rPr>
                <w:sz w:val="20"/>
                <w:szCs w:val="20"/>
                <w:color w:val="auto"/>
              </w:rPr>
            </w:pPr>
            <w:r>
              <w:rPr>
                <w:rFonts w:ascii="Arial" w:cs="Arial" w:eastAsia="Arial" w:hAnsi="Arial"/>
                <w:sz w:val="12"/>
                <w:szCs w:val="12"/>
                <w:color w:val="auto"/>
              </w:rPr>
              <w:t>108</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107</w:t>
            </w:r>
          </w:p>
        </w:tc>
      </w:tr>
      <w:tr>
        <w:trPr>
          <w:trHeight w:val="153"/>
        </w:trPr>
        <w:tc>
          <w:tcPr>
            <w:tcW w:w="70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Reserve release</w:t>
            </w:r>
          </w:p>
        </w:tc>
        <w:tc>
          <w:tcPr>
            <w:tcW w:w="400" w:type="dxa"/>
            <w:vAlign w:val="bottom"/>
            <w:tcBorders>
              <w:bottom w:val="single" w:sz="8" w:color="auto"/>
            </w:tcBorders>
            <w:shd w:val="clear" w:color="auto" w:fill="CCEEFF"/>
          </w:tcPr>
          <w:p>
            <w:pPr>
              <w:spacing w:after="0"/>
              <w:rPr>
                <w:sz w:val="13"/>
                <w:szCs w:val="13"/>
                <w:color w:val="auto"/>
              </w:rPr>
            </w:pPr>
          </w:p>
        </w:tc>
        <w:tc>
          <w:tcPr>
            <w:tcW w:w="16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108</w:t>
            </w:r>
          </w:p>
        </w:tc>
        <w:tc>
          <w:tcPr>
            <w:tcW w:w="80" w:type="dxa"/>
            <w:vAlign w:val="bottom"/>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spacing w:after="0"/>
              <w:rPr>
                <w:sz w:val="13"/>
                <w:szCs w:val="1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2"/>
        </w:trPr>
        <w:tc>
          <w:tcPr>
            <w:tcW w:w="7060" w:type="dxa"/>
            <w:vAlign w:val="bottom"/>
            <w:tcBorders>
              <w:bottom w:val="single" w:sz="8" w:color="CCEEFF"/>
            </w:tcBorders>
          </w:tcPr>
          <w:p>
            <w:pPr>
              <w:ind w:left="300"/>
              <w:spacing w:after="0" w:line="133" w:lineRule="exact"/>
              <w:rPr>
                <w:sz w:val="20"/>
                <w:szCs w:val="20"/>
                <w:color w:val="auto"/>
              </w:rPr>
            </w:pPr>
            <w:r>
              <w:rPr>
                <w:rFonts w:ascii="Arial" w:cs="Arial" w:eastAsia="Arial" w:hAnsi="Arial"/>
                <w:sz w:val="12"/>
                <w:szCs w:val="12"/>
                <w:color w:val="auto"/>
              </w:rPr>
              <w:t>Total</w:t>
            </w:r>
          </w:p>
        </w:tc>
        <w:tc>
          <w:tcPr>
            <w:tcW w:w="4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923</w:t>
            </w:r>
          </w:p>
        </w:tc>
        <w:tc>
          <w:tcPr>
            <w:tcW w:w="8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339</w:t>
            </w:r>
          </w:p>
        </w:tc>
      </w:tr>
      <w:tr>
        <w:trPr>
          <w:trHeight w:val="133"/>
        </w:trPr>
        <w:tc>
          <w:tcPr>
            <w:tcW w:w="7060" w:type="dxa"/>
            <w:vAlign w:val="bottom"/>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Cash Outflows</w:t>
            </w:r>
          </w:p>
        </w:tc>
        <w:tc>
          <w:tcPr>
            <w:tcW w:w="40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r>
      <w:tr>
        <w:trPr>
          <w:trHeight w:val="153"/>
        </w:trPr>
        <w:tc>
          <w:tcPr>
            <w:tcW w:w="7060" w:type="dxa"/>
            <w:vAlign w:val="bottom"/>
          </w:tcPr>
          <w:p>
            <w:pPr>
              <w:ind w:left="140"/>
              <w:spacing w:after="0"/>
              <w:rPr>
                <w:sz w:val="20"/>
                <w:szCs w:val="20"/>
                <w:color w:val="auto"/>
              </w:rPr>
            </w:pPr>
            <w:r>
              <w:rPr>
                <w:rFonts w:ascii="Arial" w:cs="Arial" w:eastAsia="Arial" w:hAnsi="Arial"/>
                <w:sz w:val="12"/>
                <w:szCs w:val="12"/>
                <w:color w:val="auto"/>
              </w:rPr>
              <w:t>Principal to investors</w:t>
            </w:r>
          </w:p>
        </w:tc>
        <w:tc>
          <w:tcPr>
            <w:tcW w:w="4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(290)</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(238)</w:t>
            </w:r>
          </w:p>
        </w:tc>
      </w:tr>
      <w:tr>
        <w:trPr>
          <w:trHeight w:val="153"/>
        </w:trPr>
        <w:tc>
          <w:tcPr>
            <w:tcW w:w="70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Voluntary repurchases of defaulted vacation ownership notes receivable</w:t>
            </w:r>
          </w:p>
        </w:tc>
        <w:tc>
          <w:tcPr>
            <w:tcW w:w="400" w:type="dxa"/>
            <w:vAlign w:val="bottom"/>
            <w:shd w:val="clear" w:color="auto" w:fill="CCEEFF"/>
          </w:tcPr>
          <w:p>
            <w:pPr>
              <w:spacing w:after="0"/>
              <w:rPr>
                <w:sz w:val="13"/>
                <w:szCs w:val="13"/>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w:t>
            </w:r>
          </w:p>
        </w:tc>
      </w:tr>
      <w:tr>
        <w:trPr>
          <w:trHeight w:val="153"/>
        </w:trPr>
        <w:tc>
          <w:tcPr>
            <w:tcW w:w="7060" w:type="dxa"/>
            <w:vAlign w:val="bottom"/>
          </w:tcPr>
          <w:p>
            <w:pPr>
              <w:ind w:left="140"/>
              <w:spacing w:after="0"/>
              <w:rPr>
                <w:sz w:val="20"/>
                <w:szCs w:val="20"/>
                <w:color w:val="auto"/>
              </w:rPr>
            </w:pPr>
            <w:r>
              <w:rPr>
                <w:rFonts w:ascii="Arial" w:cs="Arial" w:eastAsia="Arial" w:hAnsi="Arial"/>
                <w:sz w:val="12"/>
                <w:szCs w:val="12"/>
                <w:color w:val="auto"/>
              </w:rPr>
              <w:t>Voluntary clean-up call</w:t>
            </w:r>
          </w:p>
        </w:tc>
        <w:tc>
          <w:tcPr>
            <w:tcW w:w="4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(72)</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70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Interest to investors</w:t>
            </w:r>
          </w:p>
        </w:tc>
        <w:tc>
          <w:tcPr>
            <w:tcW w:w="400" w:type="dxa"/>
            <w:vAlign w:val="bottom"/>
            <w:shd w:val="clear" w:color="auto" w:fill="CCEEFF"/>
          </w:tcPr>
          <w:p>
            <w:pPr>
              <w:spacing w:after="0"/>
              <w:rPr>
                <w:sz w:val="13"/>
                <w:szCs w:val="13"/>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w:t>
            </w:r>
          </w:p>
        </w:tc>
      </w:tr>
      <w:tr>
        <w:trPr>
          <w:trHeight w:val="153"/>
        </w:trPr>
        <w:tc>
          <w:tcPr>
            <w:tcW w:w="706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Funding of restricted cash</w:t>
            </w:r>
          </w:p>
        </w:tc>
        <w:tc>
          <w:tcPr>
            <w:tcW w:w="4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(109)</w:t>
            </w:r>
          </w:p>
        </w:tc>
        <w:tc>
          <w:tcPr>
            <w:tcW w:w="8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42"/>
        </w:trPr>
        <w:tc>
          <w:tcPr>
            <w:tcW w:w="7060" w:type="dxa"/>
            <w:vAlign w:val="bottom"/>
            <w:shd w:val="clear" w:color="auto" w:fill="CCEEFF"/>
          </w:tcPr>
          <w:p>
            <w:pPr>
              <w:ind w:left="300"/>
              <w:spacing w:after="0" w:line="133" w:lineRule="exact"/>
              <w:rPr>
                <w:sz w:val="20"/>
                <w:szCs w:val="20"/>
                <w:color w:val="auto"/>
              </w:rPr>
            </w:pPr>
            <w:r>
              <w:rPr>
                <w:rFonts w:ascii="Arial" w:cs="Arial" w:eastAsia="Arial" w:hAnsi="Arial"/>
                <w:sz w:val="12"/>
                <w:szCs w:val="12"/>
                <w:color w:val="auto"/>
              </w:rPr>
              <w:t>Total</w:t>
            </w:r>
          </w:p>
        </w:tc>
        <w:tc>
          <w:tcPr>
            <w:tcW w:w="400" w:type="dxa"/>
            <w:vAlign w:val="bottom"/>
            <w:tcBorders>
              <w:bottom w:val="single" w:sz="8" w:color="auto"/>
            </w:tcBorders>
            <w:shd w:val="clear" w:color="auto" w:fill="CCEEFF"/>
          </w:tcPr>
          <w:p>
            <w:pPr>
              <w:spacing w:after="0"/>
              <w:rPr>
                <w:sz w:val="12"/>
                <w:szCs w:val="12"/>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(551)</w:t>
            </w:r>
          </w:p>
        </w:tc>
        <w:tc>
          <w:tcPr>
            <w:tcW w:w="80" w:type="dxa"/>
            <w:vAlign w:val="bottom"/>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(298)</w:t>
            </w:r>
          </w:p>
        </w:tc>
      </w:tr>
      <w:tr>
        <w:trPr>
          <w:trHeight w:val="142"/>
        </w:trPr>
        <w:tc>
          <w:tcPr>
            <w:tcW w:w="7060" w:type="dxa"/>
            <w:vAlign w:val="bottom"/>
          </w:tcPr>
          <w:p>
            <w:pPr>
              <w:spacing w:after="0" w:line="137" w:lineRule="exact"/>
              <w:rPr>
                <w:sz w:val="20"/>
                <w:szCs w:val="20"/>
                <w:color w:val="auto"/>
              </w:rPr>
            </w:pPr>
            <w:r>
              <w:rPr>
                <w:rFonts w:ascii="Arial" w:cs="Arial" w:eastAsia="Arial" w:hAnsi="Arial"/>
                <w:sz w:val="12"/>
                <w:szCs w:val="12"/>
                <w:b w:val="1"/>
                <w:bCs w:val="1"/>
                <w:color w:val="auto"/>
              </w:rPr>
              <w:t>Net Cash Flows</w:t>
            </w:r>
          </w:p>
        </w:tc>
        <w:tc>
          <w:tcPr>
            <w:tcW w:w="40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color w:val="auto"/>
                <w:w w:val="89"/>
              </w:rPr>
              <w:t>$</w:t>
            </w:r>
          </w:p>
        </w:tc>
        <w:tc>
          <w:tcPr>
            <w:tcW w:w="16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372</w:t>
            </w:r>
          </w:p>
        </w:tc>
        <w:tc>
          <w:tcPr>
            <w:tcW w:w="80" w:type="dxa"/>
            <w:vAlign w:val="bottom"/>
          </w:tcPr>
          <w:p>
            <w:pPr>
              <w:spacing w:after="0"/>
              <w:rPr>
                <w:sz w:val="12"/>
                <w:szCs w:val="12"/>
                <w:color w:val="auto"/>
              </w:rPr>
            </w:pPr>
          </w:p>
        </w:tc>
        <w:tc>
          <w:tcPr>
            <w:tcW w:w="56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w:t>
            </w:r>
          </w:p>
        </w:tc>
      </w:tr>
      <w:tr>
        <w:trPr>
          <w:trHeight w:val="20"/>
        </w:trPr>
        <w:tc>
          <w:tcPr>
            <w:tcW w:w="70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ind w:right="220" w:firstLine="432"/>
        <w:spacing w:after="0" w:line="263" w:lineRule="auto"/>
        <w:rPr>
          <w:sz w:val="20"/>
          <w:szCs w:val="20"/>
          <w:color w:val="auto"/>
        </w:rPr>
      </w:pPr>
      <w:r>
        <w:rPr>
          <w:rFonts w:ascii="Arial" w:cs="Arial" w:eastAsia="Arial" w:hAnsi="Arial"/>
          <w:sz w:val="12"/>
          <w:szCs w:val="12"/>
          <w:color w:val="auto"/>
        </w:rPr>
        <w:t>Under the terms of our vacation ownership notes receivable securitizations, we have the right to substitute loans for, or repurchase, defaulted loans at our option, subject to certain limitations. Our maximum exposure to potential loss relating to the special purpose entities that purchase, sell and own these vacation ownership notes receivable is the overcollateralization amount (the difference between the loan collateral balance and the balance of the outstanding vacation ownership notes receivable), plus cash reserves and any residual interest in future cash flows from collateral.</w:t>
      </w:r>
    </w:p>
    <w:p>
      <w:pPr>
        <w:spacing w:after="0" w:line="8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shows cash flows between us and the Warehouse Credit Facility VIE: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06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320" w:type="dxa"/>
            <w:vAlign w:val="bottom"/>
            <w:tcBorders>
              <w:bottom w:val="single" w:sz="8" w:color="auto"/>
            </w:tcBorders>
            <w:gridSpan w:val="3"/>
          </w:tcPr>
          <w:p>
            <w:pPr>
              <w:ind w:left="1300"/>
              <w:spacing w:after="0"/>
              <w:rPr>
                <w:sz w:val="20"/>
                <w:szCs w:val="20"/>
                <w:color w:val="auto"/>
              </w:rPr>
            </w:pPr>
            <w:r>
              <w:rPr>
                <w:rFonts w:ascii="Arial" w:cs="Arial" w:eastAsia="Arial" w:hAnsi="Arial"/>
                <w:sz w:val="11"/>
                <w:szCs w:val="11"/>
                <w:b w:val="1"/>
                <w:bCs w:val="1"/>
                <w:color w:val="auto"/>
              </w:rPr>
              <w:t>Six Months Ended</w:t>
            </w:r>
          </w:p>
        </w:tc>
        <w:tc>
          <w:tcPr>
            <w:tcW w:w="1520" w:type="dxa"/>
            <w:vAlign w:val="bottom"/>
            <w:tcBorders>
              <w:bottom w:val="single" w:sz="8" w:color="auto"/>
            </w:tcBorders>
          </w:tcPr>
          <w:p>
            <w:pPr>
              <w:spacing w:after="0"/>
              <w:rPr>
                <w:sz w:val="12"/>
                <w:szCs w:val="12"/>
                <w:color w:val="auto"/>
              </w:rPr>
            </w:pPr>
          </w:p>
        </w:tc>
      </w:tr>
      <w:tr>
        <w:trPr>
          <w:trHeight w:val="133"/>
        </w:trPr>
        <w:tc>
          <w:tcPr>
            <w:tcW w:w="7060" w:type="dxa"/>
            <w:vAlign w:val="bottom"/>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400" w:type="dxa"/>
            <w:vAlign w:val="bottom"/>
          </w:tcPr>
          <w:p>
            <w:pPr>
              <w:spacing w:after="0"/>
              <w:rPr>
                <w:sz w:val="11"/>
                <w:szCs w:val="11"/>
                <w:color w:val="auto"/>
              </w:rPr>
            </w:pPr>
          </w:p>
        </w:tc>
        <w:tc>
          <w:tcPr>
            <w:tcW w:w="1760" w:type="dxa"/>
            <w:vAlign w:val="bottom"/>
            <w:gridSpan w:val="2"/>
          </w:tcPr>
          <w:p>
            <w:pPr>
              <w:ind w:left="320"/>
              <w:spacing w:after="0"/>
              <w:rPr>
                <w:sz w:val="20"/>
                <w:szCs w:val="20"/>
                <w:color w:val="auto"/>
              </w:rPr>
            </w:pPr>
            <w:r>
              <w:rPr>
                <w:rFonts w:ascii="Arial" w:cs="Arial" w:eastAsia="Arial" w:hAnsi="Arial"/>
                <w:sz w:val="11"/>
                <w:szCs w:val="11"/>
                <w:b w:val="1"/>
                <w:bCs w:val="1"/>
                <w:color w:val="auto"/>
              </w:rPr>
              <w:t>June 30, 2021</w:t>
            </w:r>
          </w:p>
        </w:tc>
        <w:tc>
          <w:tcPr>
            <w:tcW w:w="560" w:type="dxa"/>
            <w:vAlign w:val="bottom"/>
          </w:tcPr>
          <w:p>
            <w:pPr>
              <w:spacing w:after="0"/>
              <w:rPr>
                <w:sz w:val="11"/>
                <w:szCs w:val="11"/>
                <w:color w:val="auto"/>
              </w:rPr>
            </w:pPr>
          </w:p>
        </w:tc>
        <w:tc>
          <w:tcPr>
            <w:tcW w:w="1520" w:type="dxa"/>
            <w:vAlign w:val="bottom"/>
          </w:tcPr>
          <w:p>
            <w:pPr>
              <w:jc w:val="right"/>
              <w:ind w:right="661"/>
              <w:spacing w:after="0"/>
              <w:rPr>
                <w:sz w:val="20"/>
                <w:szCs w:val="20"/>
                <w:color w:val="auto"/>
              </w:rPr>
            </w:pPr>
            <w:r>
              <w:rPr>
                <w:rFonts w:ascii="Arial" w:cs="Arial" w:eastAsia="Arial" w:hAnsi="Arial"/>
                <w:sz w:val="11"/>
                <w:szCs w:val="11"/>
                <w:b w:val="1"/>
                <w:bCs w:val="1"/>
                <w:color w:val="auto"/>
              </w:rPr>
              <w:t>June 30, 2020</w:t>
            </w:r>
          </w:p>
        </w:tc>
      </w:tr>
      <w:tr>
        <w:trPr>
          <w:trHeight w:val="135"/>
        </w:trPr>
        <w:tc>
          <w:tcPr>
            <w:tcW w:w="7060" w:type="dxa"/>
            <w:vAlign w:val="bottom"/>
            <w:tcBorders>
              <w:top w:val="single" w:sz="8" w:color="CCEEFF"/>
            </w:tcBorders>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Cash Inflows</w:t>
            </w:r>
          </w:p>
        </w:tc>
        <w:tc>
          <w:tcPr>
            <w:tcW w:w="400" w:type="dxa"/>
            <w:vAlign w:val="bottom"/>
            <w:tcBorders>
              <w:top w:val="single" w:sz="8" w:color="auto"/>
            </w:tcBorders>
            <w:shd w:val="clear" w:color="auto" w:fill="CCEEFF"/>
          </w:tcPr>
          <w:p>
            <w:pPr>
              <w:spacing w:after="0"/>
              <w:rPr>
                <w:sz w:val="11"/>
                <w:szCs w:val="11"/>
                <w:color w:val="auto"/>
              </w:rPr>
            </w:pPr>
          </w:p>
        </w:tc>
        <w:tc>
          <w:tcPr>
            <w:tcW w:w="16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520" w:type="dxa"/>
            <w:vAlign w:val="bottom"/>
            <w:tcBorders>
              <w:top w:val="single" w:sz="8" w:color="auto"/>
            </w:tcBorders>
            <w:shd w:val="clear" w:color="auto" w:fill="CCEEFF"/>
          </w:tcPr>
          <w:p>
            <w:pPr>
              <w:spacing w:after="0"/>
              <w:rPr>
                <w:sz w:val="11"/>
                <w:szCs w:val="11"/>
                <w:color w:val="auto"/>
              </w:rPr>
            </w:pPr>
          </w:p>
        </w:tc>
      </w:tr>
      <w:tr>
        <w:trPr>
          <w:trHeight w:val="153"/>
        </w:trPr>
        <w:tc>
          <w:tcPr>
            <w:tcW w:w="7060" w:type="dxa"/>
            <w:vAlign w:val="bottom"/>
          </w:tcPr>
          <w:p>
            <w:pPr>
              <w:ind w:left="140"/>
              <w:spacing w:after="0"/>
              <w:rPr>
                <w:sz w:val="20"/>
                <w:szCs w:val="20"/>
                <w:color w:val="auto"/>
              </w:rPr>
            </w:pPr>
            <w:r>
              <w:rPr>
                <w:rFonts w:ascii="Arial" w:cs="Arial" w:eastAsia="Arial" w:hAnsi="Arial"/>
                <w:sz w:val="12"/>
                <w:szCs w:val="12"/>
                <w:color w:val="auto"/>
              </w:rPr>
              <w:t>Proceeds from vacation ownership notes receivable securitizations</w:t>
            </w:r>
          </w:p>
        </w:tc>
        <w:tc>
          <w:tcPr>
            <w:tcW w:w="400" w:type="dxa"/>
            <w:vAlign w:val="bottom"/>
          </w:tcPr>
          <w:p>
            <w:pPr>
              <w:jc w:val="right"/>
              <w:ind w:right="260"/>
              <w:spacing w:after="0"/>
              <w:rPr>
                <w:sz w:val="20"/>
                <w:szCs w:val="20"/>
                <w:color w:val="auto"/>
              </w:rPr>
            </w:pPr>
            <w:r>
              <w:rPr>
                <w:rFonts w:ascii="Arial" w:cs="Arial" w:eastAsia="Arial" w:hAnsi="Arial"/>
                <w:sz w:val="12"/>
                <w:szCs w:val="12"/>
                <w:color w:val="auto"/>
                <w:w w:val="89"/>
              </w:rPr>
              <w:t>$</w:t>
            </w:r>
          </w:p>
        </w:tc>
        <w:tc>
          <w:tcPr>
            <w:tcW w:w="1760" w:type="dxa"/>
            <w:vAlign w:val="bottom"/>
            <w:gridSpan w:val="2"/>
          </w:tcPr>
          <w:p>
            <w:pPr>
              <w:ind w:left="1500"/>
              <w:spacing w:after="0"/>
              <w:rPr>
                <w:sz w:val="20"/>
                <w:szCs w:val="20"/>
                <w:color w:val="auto"/>
              </w:rPr>
            </w:pPr>
            <w:r>
              <w:rPr>
                <w:rFonts w:ascii="Arial" w:cs="Arial" w:eastAsia="Arial" w:hAnsi="Arial"/>
                <w:sz w:val="12"/>
                <w:szCs w:val="12"/>
                <w:color w:val="auto"/>
              </w:rPr>
              <w:t>—</w:t>
            </w:r>
          </w:p>
        </w:tc>
        <w:tc>
          <w:tcPr>
            <w:tcW w:w="560" w:type="dxa"/>
            <w:vAlign w:val="bottom"/>
          </w:tcPr>
          <w:p>
            <w:pPr>
              <w:jc w:val="right"/>
              <w:ind w:right="420"/>
              <w:spacing w:after="0"/>
              <w:rPr>
                <w:sz w:val="20"/>
                <w:szCs w:val="20"/>
                <w:color w:val="auto"/>
              </w:rPr>
            </w:pPr>
            <w:r>
              <w:rPr>
                <w:rFonts w:ascii="Arial" w:cs="Arial" w:eastAsia="Arial" w:hAnsi="Arial"/>
                <w:sz w:val="12"/>
                <w:szCs w:val="12"/>
                <w:color w:val="auto"/>
                <w:w w:val="89"/>
              </w:rPr>
              <w:t>$</w:t>
            </w:r>
          </w:p>
        </w:tc>
        <w:tc>
          <w:tcPr>
            <w:tcW w:w="1520" w:type="dxa"/>
            <w:vAlign w:val="bottom"/>
          </w:tcPr>
          <w:p>
            <w:pPr>
              <w:jc w:val="right"/>
              <w:ind w:right="1"/>
              <w:spacing w:after="0"/>
              <w:rPr>
                <w:sz w:val="20"/>
                <w:szCs w:val="20"/>
                <w:color w:val="auto"/>
              </w:rPr>
            </w:pPr>
            <w:r>
              <w:rPr>
                <w:rFonts w:ascii="Arial" w:cs="Arial" w:eastAsia="Arial" w:hAnsi="Arial"/>
                <w:sz w:val="12"/>
                <w:szCs w:val="12"/>
                <w:color w:val="auto"/>
              </w:rPr>
              <w:t>315</w:t>
            </w:r>
          </w:p>
        </w:tc>
      </w:tr>
      <w:tr>
        <w:trPr>
          <w:trHeight w:val="153"/>
        </w:trPr>
        <w:tc>
          <w:tcPr>
            <w:tcW w:w="70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Principal receipts</w:t>
            </w:r>
          </w:p>
        </w:tc>
        <w:tc>
          <w:tcPr>
            <w:tcW w:w="400" w:type="dxa"/>
            <w:vAlign w:val="bottom"/>
            <w:shd w:val="clear" w:color="auto" w:fill="CCEEFF"/>
          </w:tcPr>
          <w:p>
            <w:pPr>
              <w:spacing w:after="0"/>
              <w:rPr>
                <w:sz w:val="13"/>
                <w:szCs w:val="13"/>
                <w:color w:val="auto"/>
              </w:rPr>
            </w:pPr>
          </w:p>
        </w:tc>
        <w:tc>
          <w:tcPr>
            <w:tcW w:w="1760" w:type="dxa"/>
            <w:vAlign w:val="bottom"/>
            <w:gridSpan w:val="2"/>
            <w:shd w:val="clear" w:color="auto" w:fill="CCEEFF"/>
          </w:tcPr>
          <w:p>
            <w:pPr>
              <w:ind w:left="150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spacing w:after="0"/>
              <w:rPr>
                <w:sz w:val="13"/>
                <w:szCs w:val="13"/>
                <w:color w:val="auto"/>
              </w:rPr>
            </w:pPr>
          </w:p>
        </w:tc>
        <w:tc>
          <w:tcPr>
            <w:tcW w:w="15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32</w:t>
            </w:r>
          </w:p>
        </w:tc>
      </w:tr>
      <w:tr>
        <w:trPr>
          <w:trHeight w:val="153"/>
        </w:trPr>
        <w:tc>
          <w:tcPr>
            <w:tcW w:w="706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Interest receipts</w:t>
            </w:r>
          </w:p>
        </w:tc>
        <w:tc>
          <w:tcPr>
            <w:tcW w:w="4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ind w:left="150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14</w:t>
            </w:r>
          </w:p>
        </w:tc>
      </w:tr>
      <w:tr>
        <w:trPr>
          <w:trHeight w:val="142"/>
        </w:trPr>
        <w:tc>
          <w:tcPr>
            <w:tcW w:w="7060" w:type="dxa"/>
            <w:vAlign w:val="bottom"/>
            <w:shd w:val="clear" w:color="auto" w:fill="CCEEFF"/>
          </w:tcPr>
          <w:p>
            <w:pPr>
              <w:ind w:left="300"/>
              <w:spacing w:after="0"/>
              <w:rPr>
                <w:sz w:val="20"/>
                <w:szCs w:val="20"/>
                <w:color w:val="auto"/>
              </w:rPr>
            </w:pPr>
            <w:r>
              <w:rPr>
                <w:rFonts w:ascii="Arial" w:cs="Arial" w:eastAsia="Arial" w:hAnsi="Arial"/>
                <w:sz w:val="12"/>
                <w:szCs w:val="12"/>
                <w:color w:val="auto"/>
              </w:rPr>
              <w:t>Total</w:t>
            </w:r>
          </w:p>
        </w:tc>
        <w:tc>
          <w:tcPr>
            <w:tcW w:w="40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ind w:left="150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spacing w:after="0"/>
              <w:rPr>
                <w:sz w:val="12"/>
                <w:szCs w:val="12"/>
                <w:color w:val="auto"/>
              </w:rPr>
            </w:pPr>
          </w:p>
        </w:tc>
        <w:tc>
          <w:tcPr>
            <w:tcW w:w="15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361</w:t>
            </w:r>
          </w:p>
        </w:tc>
      </w:tr>
      <w:tr>
        <w:trPr>
          <w:trHeight w:val="133"/>
        </w:trPr>
        <w:tc>
          <w:tcPr>
            <w:tcW w:w="7060" w:type="dxa"/>
            <w:vAlign w:val="bottom"/>
          </w:tcPr>
          <w:p>
            <w:pPr>
              <w:spacing w:after="0" w:line="133" w:lineRule="exact"/>
              <w:rPr>
                <w:sz w:val="20"/>
                <w:szCs w:val="20"/>
                <w:color w:val="auto"/>
              </w:rPr>
            </w:pPr>
            <w:r>
              <w:rPr>
                <w:rFonts w:ascii="Arial" w:cs="Arial" w:eastAsia="Arial" w:hAnsi="Arial"/>
                <w:sz w:val="12"/>
                <w:szCs w:val="12"/>
                <w:b w:val="1"/>
                <w:bCs w:val="1"/>
                <w:color w:val="auto"/>
              </w:rPr>
              <w:t>Cash Outflows</w:t>
            </w:r>
          </w:p>
        </w:tc>
        <w:tc>
          <w:tcPr>
            <w:tcW w:w="400" w:type="dxa"/>
            <w:vAlign w:val="bottom"/>
            <w:tcBorders>
              <w:top w:val="single" w:sz="8" w:color="auto"/>
            </w:tcBorders>
          </w:tcPr>
          <w:p>
            <w:pPr>
              <w:spacing w:after="0"/>
              <w:rPr>
                <w:sz w:val="11"/>
                <w:szCs w:val="11"/>
                <w:color w:val="auto"/>
              </w:rPr>
            </w:pPr>
          </w:p>
        </w:tc>
        <w:tc>
          <w:tcPr>
            <w:tcW w:w="16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tcPr>
          <w:p>
            <w:pPr>
              <w:spacing w:after="0"/>
              <w:rPr>
                <w:sz w:val="11"/>
                <w:szCs w:val="11"/>
                <w:color w:val="auto"/>
              </w:rPr>
            </w:pPr>
          </w:p>
        </w:tc>
      </w:tr>
      <w:tr>
        <w:trPr>
          <w:trHeight w:val="153"/>
        </w:trPr>
        <w:tc>
          <w:tcPr>
            <w:tcW w:w="70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Principal to investors</w:t>
            </w:r>
          </w:p>
        </w:tc>
        <w:tc>
          <w:tcPr>
            <w:tcW w:w="400" w:type="dxa"/>
            <w:vAlign w:val="bottom"/>
            <w:shd w:val="clear" w:color="auto" w:fill="CCEEFF"/>
          </w:tcPr>
          <w:p>
            <w:pPr>
              <w:spacing w:after="0"/>
              <w:rPr>
                <w:sz w:val="13"/>
                <w:szCs w:val="13"/>
                <w:color w:val="auto"/>
              </w:rPr>
            </w:pPr>
          </w:p>
        </w:tc>
        <w:tc>
          <w:tcPr>
            <w:tcW w:w="1760" w:type="dxa"/>
            <w:vAlign w:val="bottom"/>
            <w:gridSpan w:val="2"/>
            <w:shd w:val="clear" w:color="auto" w:fill="CCEEFF"/>
          </w:tcPr>
          <w:p>
            <w:pPr>
              <w:ind w:left="150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spacing w:after="0"/>
              <w:rPr>
                <w:sz w:val="13"/>
                <w:szCs w:val="1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w:t>
            </w:r>
          </w:p>
        </w:tc>
      </w:tr>
      <w:tr>
        <w:trPr>
          <w:trHeight w:val="153"/>
        </w:trPr>
        <w:tc>
          <w:tcPr>
            <w:tcW w:w="7060" w:type="dxa"/>
            <w:vAlign w:val="bottom"/>
          </w:tcPr>
          <w:p>
            <w:pPr>
              <w:ind w:left="140"/>
              <w:spacing w:after="0"/>
              <w:rPr>
                <w:sz w:val="20"/>
                <w:szCs w:val="20"/>
                <w:color w:val="auto"/>
              </w:rPr>
            </w:pPr>
            <w:r>
              <w:rPr>
                <w:rFonts w:ascii="Arial" w:cs="Arial" w:eastAsia="Arial" w:hAnsi="Arial"/>
                <w:sz w:val="12"/>
                <w:szCs w:val="12"/>
                <w:color w:val="auto"/>
              </w:rPr>
              <w:t>Voluntary repurchases of defaulted vacation ownership notes receivable</w:t>
            </w:r>
          </w:p>
        </w:tc>
        <w:tc>
          <w:tcPr>
            <w:tcW w:w="400" w:type="dxa"/>
            <w:vAlign w:val="bottom"/>
          </w:tcPr>
          <w:p>
            <w:pPr>
              <w:spacing w:after="0"/>
              <w:rPr>
                <w:sz w:val="13"/>
                <w:szCs w:val="13"/>
                <w:color w:val="auto"/>
              </w:rPr>
            </w:pPr>
          </w:p>
        </w:tc>
        <w:tc>
          <w:tcPr>
            <w:tcW w:w="1760" w:type="dxa"/>
            <w:vAlign w:val="bottom"/>
            <w:gridSpan w:val="2"/>
          </w:tcPr>
          <w:p>
            <w:pPr>
              <w:ind w:left="1500"/>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(2)</w:t>
            </w:r>
          </w:p>
        </w:tc>
      </w:tr>
      <w:tr>
        <w:trPr>
          <w:trHeight w:val="153"/>
        </w:trPr>
        <w:tc>
          <w:tcPr>
            <w:tcW w:w="70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Interest to investors</w:t>
            </w:r>
          </w:p>
        </w:tc>
        <w:tc>
          <w:tcPr>
            <w:tcW w:w="400" w:type="dxa"/>
            <w:vAlign w:val="bottom"/>
            <w:shd w:val="clear" w:color="auto" w:fill="CCEEFF"/>
          </w:tcPr>
          <w:p>
            <w:pPr>
              <w:spacing w:after="0"/>
              <w:rPr>
                <w:sz w:val="13"/>
                <w:szCs w:val="13"/>
                <w:color w:val="auto"/>
              </w:rPr>
            </w:pPr>
          </w:p>
        </w:tc>
        <w:tc>
          <w:tcPr>
            <w:tcW w:w="1680" w:type="dxa"/>
            <w:vAlign w:val="bottom"/>
            <w:shd w:val="clear" w:color="auto" w:fill="CCEEFF"/>
          </w:tcPr>
          <w:p>
            <w:pPr>
              <w:ind w:left="1520"/>
              <w:spacing w:after="0"/>
              <w:rPr>
                <w:sz w:val="20"/>
                <w:szCs w:val="20"/>
                <w:color w:val="auto"/>
              </w:rPr>
            </w:pPr>
            <w:r>
              <w:rPr>
                <w:rFonts w:ascii="Arial" w:cs="Arial" w:eastAsia="Arial" w:hAnsi="Arial"/>
                <w:sz w:val="12"/>
                <w:szCs w:val="12"/>
                <w:color w:val="auto"/>
                <w:w w:val="95"/>
              </w:rPr>
              <w:t>(1)</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r>
      <w:tr>
        <w:trPr>
          <w:trHeight w:val="153"/>
        </w:trPr>
        <w:tc>
          <w:tcPr>
            <w:tcW w:w="7060" w:type="dxa"/>
            <w:vAlign w:val="bottom"/>
          </w:tcPr>
          <w:p>
            <w:pPr>
              <w:ind w:left="140"/>
              <w:spacing w:after="0"/>
              <w:rPr>
                <w:sz w:val="20"/>
                <w:szCs w:val="20"/>
                <w:color w:val="auto"/>
              </w:rPr>
            </w:pPr>
            <w:r>
              <w:rPr>
                <w:rFonts w:ascii="Arial" w:cs="Arial" w:eastAsia="Arial" w:hAnsi="Arial"/>
                <w:sz w:val="12"/>
                <w:szCs w:val="12"/>
                <w:color w:val="auto"/>
              </w:rPr>
              <w:t>Funding of restricted cash</w:t>
            </w:r>
          </w:p>
        </w:tc>
        <w:tc>
          <w:tcPr>
            <w:tcW w:w="400" w:type="dxa"/>
            <w:vAlign w:val="bottom"/>
          </w:tcPr>
          <w:p>
            <w:pPr>
              <w:spacing w:after="0"/>
              <w:rPr>
                <w:sz w:val="13"/>
                <w:szCs w:val="13"/>
                <w:color w:val="auto"/>
              </w:rPr>
            </w:pPr>
          </w:p>
        </w:tc>
        <w:tc>
          <w:tcPr>
            <w:tcW w:w="1760" w:type="dxa"/>
            <w:vAlign w:val="bottom"/>
            <w:gridSpan w:val="2"/>
          </w:tcPr>
          <w:p>
            <w:pPr>
              <w:ind w:left="1500"/>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(1)</w:t>
            </w:r>
          </w:p>
        </w:tc>
      </w:tr>
      <w:tr>
        <w:trPr>
          <w:trHeight w:val="142"/>
        </w:trPr>
        <w:tc>
          <w:tcPr>
            <w:tcW w:w="706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2"/>
                <w:szCs w:val="12"/>
                <w:color w:val="auto"/>
              </w:rPr>
              <w:t>Total</w:t>
            </w:r>
          </w:p>
        </w:tc>
        <w:tc>
          <w:tcPr>
            <w:tcW w:w="400" w:type="dxa"/>
            <w:vAlign w:val="bottom"/>
            <w:tcBorders>
              <w:top w:val="single" w:sz="8" w:color="auto"/>
              <w:bottom w:val="single" w:sz="8" w:color="auto"/>
            </w:tcBorders>
            <w:shd w:val="clear" w:color="auto" w:fill="CCEEFF"/>
          </w:tcPr>
          <w:p>
            <w:pPr>
              <w:spacing w:after="0"/>
              <w:rPr>
                <w:sz w:val="12"/>
                <w:szCs w:val="12"/>
                <w:color w:val="auto"/>
              </w:rPr>
            </w:pPr>
          </w:p>
        </w:tc>
        <w:tc>
          <w:tcPr>
            <w:tcW w:w="1680" w:type="dxa"/>
            <w:vAlign w:val="bottom"/>
            <w:tcBorders>
              <w:top w:val="single" w:sz="8" w:color="auto"/>
              <w:bottom w:val="single" w:sz="8" w:color="auto"/>
            </w:tcBorders>
            <w:shd w:val="clear" w:color="auto" w:fill="CCEEFF"/>
          </w:tcPr>
          <w:p>
            <w:pPr>
              <w:ind w:left="1520"/>
              <w:spacing w:after="0"/>
              <w:rPr>
                <w:sz w:val="20"/>
                <w:szCs w:val="20"/>
                <w:color w:val="auto"/>
              </w:rPr>
            </w:pPr>
            <w:r>
              <w:rPr>
                <w:rFonts w:ascii="Arial" w:cs="Arial" w:eastAsia="Arial" w:hAnsi="Arial"/>
                <w:sz w:val="12"/>
                <w:szCs w:val="12"/>
                <w:color w:val="auto"/>
                <w:w w:val="95"/>
              </w:rPr>
              <w:t>(1)</w:t>
            </w:r>
          </w:p>
        </w:tc>
        <w:tc>
          <w:tcPr>
            <w:tcW w:w="8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spacing w:after="0"/>
              <w:rPr>
                <w:sz w:val="12"/>
                <w:szCs w:val="12"/>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w:t>
            </w:r>
          </w:p>
        </w:tc>
      </w:tr>
      <w:tr>
        <w:trPr>
          <w:trHeight w:val="142"/>
        </w:trPr>
        <w:tc>
          <w:tcPr>
            <w:tcW w:w="7060" w:type="dxa"/>
            <w:vAlign w:val="bottom"/>
          </w:tcPr>
          <w:p>
            <w:pPr>
              <w:spacing w:after="0" w:line="137" w:lineRule="exact"/>
              <w:rPr>
                <w:sz w:val="20"/>
                <w:szCs w:val="20"/>
                <w:color w:val="auto"/>
              </w:rPr>
            </w:pPr>
            <w:r>
              <w:rPr>
                <w:rFonts w:ascii="Arial" w:cs="Arial" w:eastAsia="Arial" w:hAnsi="Arial"/>
                <w:sz w:val="12"/>
                <w:szCs w:val="12"/>
                <w:b w:val="1"/>
                <w:bCs w:val="1"/>
                <w:color w:val="auto"/>
              </w:rPr>
              <w:t>Net Cash Flows</w:t>
            </w:r>
          </w:p>
        </w:tc>
        <w:tc>
          <w:tcPr>
            <w:tcW w:w="40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color w:val="auto"/>
                <w:w w:val="89"/>
              </w:rPr>
              <w:t>$</w:t>
            </w:r>
          </w:p>
        </w:tc>
        <w:tc>
          <w:tcPr>
            <w:tcW w:w="1680" w:type="dxa"/>
            <w:vAlign w:val="bottom"/>
            <w:tcBorders>
              <w:bottom w:val="single" w:sz="8" w:color="auto"/>
            </w:tcBorders>
          </w:tcPr>
          <w:p>
            <w:pPr>
              <w:ind w:left="1520"/>
              <w:spacing w:after="0"/>
              <w:rPr>
                <w:sz w:val="20"/>
                <w:szCs w:val="20"/>
                <w:color w:val="auto"/>
              </w:rPr>
            </w:pPr>
            <w:r>
              <w:rPr>
                <w:rFonts w:ascii="Arial" w:cs="Arial" w:eastAsia="Arial" w:hAnsi="Arial"/>
                <w:sz w:val="12"/>
                <w:szCs w:val="12"/>
                <w:color w:val="auto"/>
                <w:w w:val="95"/>
              </w:rPr>
              <w:t>(1)</w:t>
            </w:r>
          </w:p>
        </w:tc>
        <w:tc>
          <w:tcPr>
            <w:tcW w:w="80" w:type="dxa"/>
            <w:vAlign w:val="bottom"/>
          </w:tcPr>
          <w:p>
            <w:pPr>
              <w:spacing w:after="0"/>
              <w:rPr>
                <w:sz w:val="12"/>
                <w:szCs w:val="12"/>
                <w:color w:val="auto"/>
              </w:rPr>
            </w:pPr>
          </w:p>
        </w:tc>
        <w:tc>
          <w:tcPr>
            <w:tcW w:w="56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color w:val="auto"/>
                <w:w w:val="89"/>
              </w:rPr>
              <w:t>$</w:t>
            </w:r>
          </w:p>
        </w:tc>
        <w:tc>
          <w:tcPr>
            <w:tcW w:w="15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328</w:t>
            </w:r>
          </w:p>
        </w:tc>
      </w:tr>
      <w:tr>
        <w:trPr>
          <w:trHeight w:val="20"/>
        </w:trPr>
        <w:tc>
          <w:tcPr>
            <w:tcW w:w="70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Other Variable Interest Entities</w:t>
      </w:r>
    </w:p>
    <w:p>
      <w:pPr>
        <w:spacing w:after="0" w:line="78" w:lineRule="exact"/>
        <w:rPr>
          <w:sz w:val="20"/>
          <w:szCs w:val="20"/>
          <w:color w:val="auto"/>
        </w:rPr>
      </w:pPr>
    </w:p>
    <w:p>
      <w:pPr>
        <w:ind w:right="20" w:firstLine="432"/>
        <w:spacing w:after="0" w:line="255" w:lineRule="auto"/>
        <w:rPr>
          <w:sz w:val="20"/>
          <w:szCs w:val="20"/>
          <w:color w:val="auto"/>
        </w:rPr>
      </w:pPr>
      <w:r>
        <w:rPr>
          <w:rFonts w:ascii="Arial" w:cs="Arial" w:eastAsia="Arial" w:hAnsi="Arial"/>
          <w:sz w:val="12"/>
          <w:szCs w:val="12"/>
          <w:color w:val="auto"/>
        </w:rPr>
        <w:t>We have a commitment to purchase an operating property located in San Francisco, California, that we currently manage as Marriott Vacation Club Pulse, San Francisco. We expect to acquire the operating property over time and as of June 30, 2021 are committed to make payments for the operating property as follows: $25 million in 2022 and $32 million in 2023. See Footnote 3 “Acquisitions and Dispositions” for information on the purchases that occurred during the first quarters of 2021 and 2020. We are required to purchase the property from the third-party developer unless the developer has sold the property to another party. The property is held by a VIE for which we are not the primary beneficiary as we cannot prevent the VIE from selling the property to another party at a higher price. Accordingly, we have not consolidated the VIE. As of June 30, 2021, our Balance Sheet reflected $2 million in Accounts Receivable, including a note receivable of less than $1 million, and $10 million in Other assets for a deposit related to the future acquisition of a portion of this property. We believe that our maximum exposure to loss as a result of our involvement with this VIE is approximately $12 million as of June 30, 2021.</w:t>
      </w:r>
    </w:p>
    <w:p>
      <w:pPr>
        <w:spacing w:after="0" w:line="119" w:lineRule="exact"/>
        <w:rPr>
          <w:sz w:val="20"/>
          <w:szCs w:val="20"/>
          <w:color w:val="auto"/>
        </w:rPr>
      </w:pPr>
    </w:p>
    <w:p>
      <w:pPr>
        <w:jc w:val="center"/>
        <w:ind w:left="420"/>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191135</wp:posOffset>
            </wp:positionV>
            <wp:extent cx="7203440"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41" w:name="page42"/>
    <w:bookmarkEnd w:id="41"/>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47" w:lineRule="exact"/>
        <w:rPr>
          <w:sz w:val="20"/>
          <w:szCs w:val="20"/>
          <w:color w:val="auto"/>
        </w:rPr>
      </w:pPr>
    </w:p>
    <w:p>
      <w:pPr>
        <w:ind w:right="40" w:firstLine="432"/>
        <w:spacing w:after="0" w:line="259" w:lineRule="auto"/>
        <w:rPr>
          <w:sz w:val="20"/>
          <w:szCs w:val="20"/>
          <w:color w:val="auto"/>
        </w:rPr>
      </w:pPr>
      <w:r>
        <w:rPr>
          <w:rFonts w:ascii="Arial" w:cs="Arial" w:eastAsia="Arial" w:hAnsi="Arial"/>
          <w:sz w:val="12"/>
          <w:szCs w:val="12"/>
          <w:color w:val="auto"/>
        </w:rPr>
        <w:t>We have a commitment to purchase a property located in Waikiki, Hawaii, which was assigned to a third party during 2020. If we are unable to negotiate a capital efficient inventory arrangement, we are committed to purchase the property, in its then current form, for $104 million in 2022, unless it has been sold to another party. The property is held by a VIE for which we are not the primary beneficiary as we do not control the operations of the VIE. Accordingly, we have not consolidated the VIE. As of June 30, 2021, our Balance Sheet reflected $1 million in Accounts Receivable, including a note receivable of less than $1 million. We believe that our maximum exposure to loss as a result of our involvement with this VIE is approximately $1 million as of June 30, 2021.</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Deferred Compensation Plan</w:t>
      </w:r>
    </w:p>
    <w:p>
      <w:pPr>
        <w:spacing w:after="0" w:line="78" w:lineRule="exact"/>
        <w:rPr>
          <w:sz w:val="20"/>
          <w:szCs w:val="20"/>
          <w:color w:val="auto"/>
        </w:rPr>
      </w:pPr>
    </w:p>
    <w:p>
      <w:pPr>
        <w:ind w:right="180" w:firstLine="432"/>
        <w:spacing w:after="0" w:line="263" w:lineRule="auto"/>
        <w:rPr>
          <w:sz w:val="20"/>
          <w:szCs w:val="20"/>
          <w:color w:val="auto"/>
        </w:rPr>
      </w:pPr>
      <w:r>
        <w:rPr>
          <w:rFonts w:ascii="Arial" w:cs="Arial" w:eastAsia="Arial" w:hAnsi="Arial"/>
          <w:sz w:val="12"/>
          <w:szCs w:val="12"/>
          <w:color w:val="auto"/>
        </w:rPr>
        <w:t>We consolidate the liabilities of the Marriott Vacations Worldwide Deferred Compensation Plan and the related assets, which consist of the COLI policies held in the rabbi trust. The rabbi trust is considered a VIE. We are considered the primary beneficiary of the rabbi trust because we direct the activities of the trust and are the beneficiary of the trust. At June 30, 2021, the value of the assets held in the rabbi trust was $67 million, which is included in the Other line within assets on our Balance Sheets.</w:t>
      </w:r>
    </w:p>
    <w:p>
      <w:pPr>
        <w:spacing w:after="0" w:line="172" w:lineRule="exact"/>
        <w:rPr>
          <w:sz w:val="20"/>
          <w:szCs w:val="20"/>
          <w:color w:val="auto"/>
        </w:rPr>
      </w:pPr>
    </w:p>
    <w:p>
      <w:pPr>
        <w:ind w:left="320" w:hanging="316"/>
        <w:spacing w:after="0"/>
        <w:tabs>
          <w:tab w:leader="none" w:pos="320" w:val="left"/>
        </w:tabs>
        <w:numPr>
          <w:ilvl w:val="0"/>
          <w:numId w:val="29"/>
        </w:numPr>
        <w:rPr>
          <w:rFonts w:ascii="Arial" w:cs="Arial" w:eastAsia="Arial" w:hAnsi="Arial"/>
          <w:sz w:val="12"/>
          <w:szCs w:val="12"/>
          <w:b w:val="1"/>
          <w:bCs w:val="1"/>
          <w:color w:val="auto"/>
        </w:rPr>
      </w:pPr>
      <w:r>
        <w:rPr>
          <w:rFonts w:ascii="Arial" w:cs="Arial" w:eastAsia="Arial" w:hAnsi="Arial"/>
          <w:sz w:val="12"/>
          <w:szCs w:val="12"/>
          <w:b w:val="1"/>
          <w:bCs w:val="1"/>
          <w:color w:val="auto"/>
        </w:rPr>
        <w:t>BUSINESS SEGMENTS</w:t>
      </w:r>
    </w:p>
    <w:p>
      <w:pPr>
        <w:spacing w:after="0" w:line="145" w:lineRule="exact"/>
        <w:rPr>
          <w:sz w:val="20"/>
          <w:szCs w:val="20"/>
          <w:color w:val="auto"/>
        </w:rPr>
      </w:pPr>
    </w:p>
    <w:p>
      <w:pPr>
        <w:ind w:right="120" w:firstLine="432"/>
        <w:spacing w:after="0" w:line="276" w:lineRule="auto"/>
        <w:rPr>
          <w:sz w:val="20"/>
          <w:szCs w:val="20"/>
          <w:color w:val="auto"/>
        </w:rPr>
      </w:pPr>
      <w:r>
        <w:rPr>
          <w:rFonts w:ascii="Arial" w:cs="Arial" w:eastAsia="Arial" w:hAnsi="Arial"/>
          <w:sz w:val="12"/>
          <w:szCs w:val="12"/>
          <w:color w:val="auto"/>
        </w:rPr>
        <w:t>We define our reportable segments based on the way in which the chief operating decision maker (“CODM”), currently our chief executive officer, manages the operations of the Company for purposes of allocating resources and assessing performance. We operate in two operating and reportable business segments:</w:t>
      </w:r>
    </w:p>
    <w:p>
      <w:pPr>
        <w:spacing w:after="0" w:line="43" w:lineRule="exact"/>
        <w:rPr>
          <w:sz w:val="20"/>
          <w:szCs w:val="20"/>
          <w:color w:val="auto"/>
        </w:rPr>
      </w:pPr>
    </w:p>
    <w:p>
      <w:pPr>
        <w:ind w:left="640" w:hanging="216"/>
        <w:spacing w:after="0" w:line="283" w:lineRule="auto"/>
        <w:tabs>
          <w:tab w:leader="none" w:pos="637" w:val="left"/>
        </w:tabs>
        <w:numPr>
          <w:ilvl w:val="0"/>
          <w:numId w:val="30"/>
        </w:numPr>
        <w:rPr>
          <w:rFonts w:ascii="Arial" w:cs="Arial" w:eastAsia="Arial" w:hAnsi="Arial"/>
          <w:sz w:val="11"/>
          <w:szCs w:val="11"/>
          <w:color w:val="auto"/>
        </w:rPr>
      </w:pPr>
      <w:r>
        <w:rPr>
          <w:rFonts w:ascii="Arial" w:cs="Arial" w:eastAsia="Arial" w:hAnsi="Arial"/>
          <w:sz w:val="11"/>
          <w:szCs w:val="11"/>
          <w:color w:val="auto"/>
        </w:rPr>
        <w:t>Vacation Ownership includes a diverse portfolio of resorts that includes seven vacation ownership brands licensed under exclusive, long-term relationships with Marriott International and Hyatt Hotels Corporation. We are the exclusive worldwide developer, marketer, seller and manager of vacation ownership and related products under the Marriott Vacation Club, Grand Residences by Marriott, Sheraton Vacation Club, Westin Vacation Club and Hyatt Residence Club brands, as well as under Marriott Vacation Club Pulse, an extension to the Marriott Vacation Club brand. We are also the exclusive worldwide developer, marketer and seller of vacation ownership and related products under The Ritz-Carlton Destination Club brand, we have the non-exclusive right to develop, market and sell whole ownership residential products under The Ritz-Carlton Residences brand and we have a license to use the St. Regis brand for specified fractional ownership resorts. In addition, as part of the Welk Acquisition, we acquired a short-term license to use the Welk brand in connection with the continued operations of that business. MVW intends to rebrand all Welk resorts as Hyatt-branded resorts once it has obtained all necessary approvals.</w:t>
      </w:r>
    </w:p>
    <w:p>
      <w:pPr>
        <w:spacing w:after="0" w:line="41" w:lineRule="exact"/>
        <w:rPr>
          <w:rFonts w:ascii="Arial" w:cs="Arial" w:eastAsia="Arial" w:hAnsi="Arial"/>
          <w:sz w:val="11"/>
          <w:szCs w:val="11"/>
          <w:color w:val="auto"/>
        </w:rPr>
      </w:pPr>
    </w:p>
    <w:p>
      <w:pPr>
        <w:ind w:left="640" w:right="80"/>
        <w:spacing w:after="0" w:line="276" w:lineRule="auto"/>
        <w:rPr>
          <w:rFonts w:ascii="Arial" w:cs="Arial" w:eastAsia="Arial" w:hAnsi="Arial"/>
          <w:sz w:val="11"/>
          <w:szCs w:val="11"/>
          <w:color w:val="auto"/>
        </w:rPr>
      </w:pPr>
      <w:r>
        <w:rPr>
          <w:rFonts w:ascii="Arial" w:cs="Arial" w:eastAsia="Arial" w:hAnsi="Arial"/>
          <w:sz w:val="12"/>
          <w:szCs w:val="12"/>
          <w:color w:val="auto"/>
        </w:rPr>
        <w:t>Our Vacation Ownership segment generates most of its revenues from four primary sources: selling vacation ownership products; managing vacation ownership resorts, clubs and owners’ associations; financing consumer purchases of vacation ownership products; and renting vacation ownership inventory.</w:t>
      </w:r>
    </w:p>
    <w:p>
      <w:pPr>
        <w:spacing w:after="0" w:line="42" w:lineRule="exact"/>
        <w:rPr>
          <w:rFonts w:ascii="Arial" w:cs="Arial" w:eastAsia="Arial" w:hAnsi="Arial"/>
          <w:sz w:val="11"/>
          <w:szCs w:val="11"/>
          <w:color w:val="auto"/>
        </w:rPr>
      </w:pPr>
    </w:p>
    <w:p>
      <w:pPr>
        <w:jc w:val="both"/>
        <w:ind w:left="640" w:right="260" w:hanging="216"/>
        <w:spacing w:after="0" w:line="263" w:lineRule="auto"/>
        <w:tabs>
          <w:tab w:leader="none" w:pos="637" w:val="left"/>
        </w:tabs>
        <w:numPr>
          <w:ilvl w:val="0"/>
          <w:numId w:val="30"/>
        </w:numPr>
        <w:rPr>
          <w:rFonts w:ascii="Arial" w:cs="Arial" w:eastAsia="Arial" w:hAnsi="Arial"/>
          <w:sz w:val="12"/>
          <w:szCs w:val="12"/>
          <w:color w:val="auto"/>
        </w:rPr>
      </w:pPr>
      <w:r>
        <w:rPr>
          <w:rFonts w:ascii="Arial" w:cs="Arial" w:eastAsia="Arial" w:hAnsi="Arial"/>
          <w:sz w:val="12"/>
          <w:szCs w:val="12"/>
          <w:color w:val="auto"/>
        </w:rPr>
        <w:t>Exchange &amp; Third-Party Management includes exchange networks and membership programs, as well as management of resorts and lodging properties. We provide these services through a variety of brands including Interval International, Trading Places International, Vacation Resorts International, and Aqua-Aston. Exchange &amp; Third-Party Management revenue generally is fee-based and derived from membership, exchange and rental transactions, property and association management, and other related products and services.</w:t>
      </w:r>
    </w:p>
    <w:p>
      <w:pPr>
        <w:spacing w:after="0" w:line="50" w:lineRule="exact"/>
        <w:rPr>
          <w:sz w:val="20"/>
          <w:szCs w:val="20"/>
          <w:color w:val="auto"/>
        </w:rPr>
      </w:pPr>
    </w:p>
    <w:p>
      <w:pPr>
        <w:jc w:val="both"/>
        <w:ind w:firstLine="432"/>
        <w:spacing w:after="0" w:line="326" w:lineRule="auto"/>
        <w:rPr>
          <w:sz w:val="20"/>
          <w:szCs w:val="20"/>
          <w:color w:val="auto"/>
        </w:rPr>
      </w:pPr>
      <w:r>
        <w:rPr>
          <w:rFonts w:ascii="Arial" w:cs="Arial" w:eastAsia="Arial" w:hAnsi="Arial"/>
          <w:sz w:val="10"/>
          <w:szCs w:val="10"/>
          <w:color w:val="auto"/>
        </w:rPr>
        <w:t>Our CODM evaluates the performance of our segments based primarily on the results of the segment without allocating corporate expenses or income taxes. We do not allocate corporate interest expense or indirect general and administrative expenses to our segments. We include interest income specific to segment activities within the appropriate segment. We allocate depreciation, other gains and losses, equity in earnings or losses from our joint ventures and noncontrolling interest to each of our segments as appropriate. Corporate and other represents that portion of our results that are not allocable to our segments, including those relating to property owners’ associations consolidated under the voting interest model, as our CODM does not use this information to make operating segment resource allocations. Prior year segment information has been reclassified to conform to the current reportable segment presentation.</w:t>
      </w:r>
    </w:p>
    <w:p>
      <w:pPr>
        <w:spacing w:after="0" w:line="23" w:lineRule="exact"/>
        <w:rPr>
          <w:sz w:val="20"/>
          <w:szCs w:val="20"/>
          <w:color w:val="auto"/>
        </w:rPr>
      </w:pPr>
    </w:p>
    <w:p>
      <w:pPr>
        <w:ind w:right="100" w:firstLine="432"/>
        <w:spacing w:after="0" w:line="259" w:lineRule="auto"/>
        <w:rPr>
          <w:sz w:val="20"/>
          <w:szCs w:val="20"/>
          <w:color w:val="auto"/>
        </w:rPr>
      </w:pPr>
      <w:r>
        <w:rPr>
          <w:rFonts w:ascii="Arial" w:cs="Arial" w:eastAsia="Arial" w:hAnsi="Arial"/>
          <w:sz w:val="12"/>
          <w:szCs w:val="12"/>
          <w:color w:val="auto"/>
        </w:rPr>
        <w:t>Our CODM uses Adjusted EBITDA to evaluate the profitability of our operating segments, and the components of net income attributable to common shareholders excluded from Adjusted EBITDA are not separately evaluated. Adjusted EBITDA is defined as net income or loss attributable to common shareholders, before interest expense (excluding consumer financing interest expense associated with term loan securitization transactions), income taxes, depreciation and amortization, excluding share-based compensation expense and adjusted for certain items that affect the comparability of our operating performance. Our reconciliation of the aggregate amount of Adjusted EBITDA for our reportable segments to consolidated net loss attributable to common shareholders is presented below.</w:t>
      </w:r>
    </w:p>
    <w:p>
      <w:pPr>
        <w:spacing w:after="0" w:line="115" w:lineRule="exact"/>
        <w:rPr>
          <w:sz w:val="20"/>
          <w:szCs w:val="20"/>
          <w:color w:val="auto"/>
        </w:rPr>
      </w:pPr>
    </w:p>
    <w:p>
      <w:pPr>
        <w:jc w:val="center"/>
        <w:ind w:left="420"/>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191135</wp:posOffset>
            </wp:positionV>
            <wp:extent cx="7203440"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42" w:name="page43"/>
    <w:bookmarkEnd w:id="42"/>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Revenues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78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1"/>
                <w:szCs w:val="11"/>
                <w:b w:val="1"/>
                <w:bCs w:val="1"/>
                <w:color w:val="auto"/>
              </w:rPr>
              <w:t>Three Months Ended</w:t>
            </w:r>
          </w:p>
        </w:tc>
        <w:tc>
          <w:tcPr>
            <w:tcW w:w="9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540" w:type="dxa"/>
            <w:vAlign w:val="bottom"/>
            <w:tcBorders>
              <w:bottom w:val="single" w:sz="8" w:color="auto"/>
            </w:tcBorders>
            <w:gridSpan w:val="7"/>
          </w:tcPr>
          <w:p>
            <w:pPr>
              <w:jc w:val="right"/>
              <w:ind w:right="1361"/>
              <w:spacing w:after="0"/>
              <w:rPr>
                <w:sz w:val="20"/>
                <w:szCs w:val="20"/>
                <w:color w:val="auto"/>
              </w:rPr>
            </w:pPr>
            <w:r>
              <w:rPr>
                <w:rFonts w:ascii="Arial" w:cs="Arial" w:eastAsia="Arial" w:hAnsi="Arial"/>
                <w:sz w:val="11"/>
                <w:szCs w:val="11"/>
                <w:b w:val="1"/>
                <w:bCs w:val="1"/>
                <w:color w:val="auto"/>
              </w:rPr>
              <w:t>Six Months Ended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780" w:type="dxa"/>
            <w:vAlign w:val="bottom"/>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600" w:type="dxa"/>
            <w:vAlign w:val="bottom"/>
          </w:tcPr>
          <w:p>
            <w:pPr>
              <w:spacing w:after="0"/>
              <w:rPr>
                <w:sz w:val="11"/>
                <w:szCs w:val="11"/>
                <w:color w:val="auto"/>
              </w:rPr>
            </w:pPr>
          </w:p>
        </w:tc>
        <w:tc>
          <w:tcPr>
            <w:tcW w:w="1300" w:type="dxa"/>
            <w:vAlign w:val="bottom"/>
            <w:gridSpan w:val="2"/>
          </w:tcPr>
          <w:p>
            <w:pPr>
              <w:spacing w:after="0"/>
              <w:rPr>
                <w:sz w:val="20"/>
                <w:szCs w:val="20"/>
                <w:color w:val="auto"/>
              </w:rPr>
            </w:pPr>
            <w:r>
              <w:rPr>
                <w:rFonts w:ascii="Arial" w:cs="Arial" w:eastAsia="Arial" w:hAnsi="Arial"/>
                <w:sz w:val="11"/>
                <w:szCs w:val="11"/>
                <w:b w:val="1"/>
                <w:bCs w:val="1"/>
                <w:color w:val="auto"/>
              </w:rPr>
              <w:t>June 30, 2021</w:t>
            </w:r>
          </w:p>
        </w:tc>
        <w:tc>
          <w:tcPr>
            <w:tcW w:w="520" w:type="dxa"/>
            <w:vAlign w:val="bottom"/>
          </w:tcPr>
          <w:p>
            <w:pPr>
              <w:spacing w:after="0"/>
              <w:rPr>
                <w:sz w:val="11"/>
                <w:szCs w:val="11"/>
                <w:color w:val="auto"/>
              </w:rPr>
            </w:pPr>
          </w:p>
        </w:tc>
        <w:tc>
          <w:tcPr>
            <w:tcW w:w="1280" w:type="dxa"/>
            <w:vAlign w:val="bottom"/>
            <w:gridSpan w:val="2"/>
          </w:tcPr>
          <w:p>
            <w:pPr>
              <w:jc w:val="right"/>
              <w:ind w:right="532"/>
              <w:spacing w:after="0"/>
              <w:rPr>
                <w:sz w:val="20"/>
                <w:szCs w:val="20"/>
                <w:color w:val="auto"/>
              </w:rPr>
            </w:pPr>
            <w:r>
              <w:rPr>
                <w:rFonts w:ascii="Arial" w:cs="Arial" w:eastAsia="Arial" w:hAnsi="Arial"/>
                <w:sz w:val="11"/>
                <w:szCs w:val="11"/>
                <w:b w:val="1"/>
                <w:bCs w:val="1"/>
                <w:color w:val="auto"/>
                <w:w w:val="94"/>
              </w:rPr>
              <w:t>June 30, 2020</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tcPr>
          <w:p>
            <w:pPr>
              <w:jc w:val="right"/>
              <w:ind w:right="302"/>
              <w:spacing w:after="0"/>
              <w:rPr>
                <w:sz w:val="20"/>
                <w:szCs w:val="20"/>
                <w:color w:val="auto"/>
              </w:rPr>
            </w:pPr>
            <w:r>
              <w:rPr>
                <w:rFonts w:ascii="Arial" w:cs="Arial" w:eastAsia="Arial" w:hAnsi="Arial"/>
                <w:sz w:val="11"/>
                <w:szCs w:val="11"/>
                <w:b w:val="1"/>
                <w:bCs w:val="1"/>
                <w:color w:val="auto"/>
              </w:rPr>
              <w:t>June 30, 2021</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0" w:type="dxa"/>
            <w:vAlign w:val="bottom"/>
          </w:tcPr>
          <w:p>
            <w:pPr>
              <w:jc w:val="right"/>
              <w:ind w:right="521"/>
              <w:spacing w:after="0"/>
              <w:rPr>
                <w:sz w:val="20"/>
                <w:szCs w:val="20"/>
                <w:color w:val="auto"/>
              </w:rPr>
            </w:pPr>
            <w:r>
              <w:rPr>
                <w:rFonts w:ascii="Arial" w:cs="Arial" w:eastAsia="Arial" w:hAnsi="Arial"/>
                <w:sz w:val="11"/>
                <w:szCs w:val="11"/>
                <w:b w:val="1"/>
                <w:bCs w:val="1"/>
                <w:color w:val="auto"/>
              </w:rPr>
              <w:t>June 30, 2020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780" w:type="dxa"/>
            <w:vAlign w:val="bottom"/>
            <w:tcBorders>
              <w:top w:val="single" w:sz="8" w:color="CCEEFF"/>
            </w:tcBorders>
            <w:shd w:val="clear" w:color="auto" w:fill="CCEEFF"/>
          </w:tcPr>
          <w:p>
            <w:pPr>
              <w:ind w:left="140"/>
              <w:spacing w:after="0" w:line="135" w:lineRule="exact"/>
              <w:rPr>
                <w:sz w:val="20"/>
                <w:szCs w:val="20"/>
                <w:color w:val="auto"/>
              </w:rPr>
            </w:pPr>
            <w:r>
              <w:rPr>
                <w:rFonts w:ascii="Arial" w:cs="Arial" w:eastAsia="Arial" w:hAnsi="Arial"/>
                <w:sz w:val="12"/>
                <w:szCs w:val="12"/>
                <w:color w:val="auto"/>
              </w:rPr>
              <w:t>Vacation Ownership</w:t>
            </w:r>
          </w:p>
        </w:tc>
        <w:tc>
          <w:tcPr>
            <w:tcW w:w="600" w:type="dxa"/>
            <w:vAlign w:val="bottom"/>
            <w:tcBorders>
              <w:top w:val="single" w:sz="8" w:color="auto"/>
            </w:tcBorders>
            <w:shd w:val="clear" w:color="auto" w:fill="CCEEFF"/>
          </w:tcPr>
          <w:p>
            <w:pPr>
              <w:jc w:val="right"/>
              <w:ind w:right="460"/>
              <w:spacing w:after="0"/>
              <w:rPr>
                <w:sz w:val="20"/>
                <w:szCs w:val="20"/>
                <w:color w:val="auto"/>
              </w:rPr>
            </w:pPr>
            <w:r>
              <w:rPr>
                <w:rFonts w:ascii="Arial" w:cs="Arial" w:eastAsia="Arial" w:hAnsi="Arial"/>
                <w:sz w:val="12"/>
                <w:szCs w:val="12"/>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883</w:t>
            </w:r>
          </w:p>
        </w:tc>
        <w:tc>
          <w:tcPr>
            <w:tcW w:w="10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ind w:right="380"/>
              <w:spacing w:after="0"/>
              <w:rPr>
                <w:sz w:val="20"/>
                <w:szCs w:val="20"/>
                <w:color w:val="auto"/>
              </w:rPr>
            </w:pPr>
            <w:r>
              <w:rPr>
                <w:rFonts w:ascii="Arial" w:cs="Arial" w:eastAsia="Arial" w:hAnsi="Arial"/>
                <w:sz w:val="12"/>
                <w:szCs w:val="12"/>
                <w:color w:val="auto"/>
                <w:w w:val="89"/>
              </w:rPr>
              <w:t>$</w:t>
            </w:r>
          </w:p>
        </w:tc>
        <w:tc>
          <w:tcPr>
            <w:tcW w:w="12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405</w:t>
            </w: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64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2"/>
                <w:szCs w:val="12"/>
                <w:color w:val="auto"/>
              </w:rPr>
              <w:t>1,544</w:t>
            </w: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1,313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78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Exchange &amp; Third-Party Management</w:t>
            </w:r>
          </w:p>
        </w:tc>
        <w:tc>
          <w:tcPr>
            <w:tcW w:w="6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86</w:t>
            </w:r>
          </w:p>
        </w:tc>
        <w:tc>
          <w:tcPr>
            <w:tcW w:w="1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58</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w w:val="79"/>
              </w:rPr>
              <w:t>172</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780" w:type="dxa"/>
            <w:vAlign w:val="bottom"/>
            <w:shd w:val="clear" w:color="auto" w:fill="CCEEFF"/>
          </w:tcPr>
          <w:p>
            <w:pPr>
              <w:ind w:left="140"/>
              <w:spacing w:after="0" w:line="133" w:lineRule="exact"/>
              <w:rPr>
                <w:sz w:val="20"/>
                <w:szCs w:val="20"/>
                <w:color w:val="auto"/>
              </w:rPr>
            </w:pPr>
            <w:r>
              <w:rPr>
                <w:rFonts w:ascii="Arial" w:cs="Arial" w:eastAsia="Arial" w:hAnsi="Arial"/>
                <w:sz w:val="12"/>
                <w:szCs w:val="12"/>
                <w:color w:val="auto"/>
              </w:rPr>
              <w:t>Total segment revenues</w:t>
            </w:r>
          </w:p>
        </w:tc>
        <w:tc>
          <w:tcPr>
            <w:tcW w:w="60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969</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463</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40" w:type="dxa"/>
            <w:vAlign w:val="bottom"/>
            <w:gridSpan w:val="4"/>
            <w:shd w:val="clear" w:color="auto" w:fill="CCEEFF"/>
          </w:tcPr>
          <w:p>
            <w:pPr>
              <w:jc w:val="right"/>
              <w:spacing w:after="0"/>
              <w:rPr>
                <w:sz w:val="20"/>
                <w:szCs w:val="20"/>
                <w:color w:val="auto"/>
              </w:rPr>
            </w:pPr>
            <w:r>
              <w:rPr>
                <w:rFonts w:ascii="Arial" w:cs="Arial" w:eastAsia="Arial" w:hAnsi="Arial"/>
                <w:sz w:val="12"/>
                <w:szCs w:val="12"/>
                <w:color w:val="auto"/>
              </w:rPr>
              <w:t>1,716</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7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Corporate and other</w:t>
            </w:r>
          </w:p>
        </w:tc>
        <w:tc>
          <w:tcPr>
            <w:tcW w:w="6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w:t>
            </w:r>
          </w:p>
        </w:tc>
        <w:tc>
          <w:tcPr>
            <w:tcW w:w="1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17</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rPr>
              <w:t>22</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7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460"/>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979</w:t>
            </w:r>
          </w:p>
        </w:tc>
        <w:tc>
          <w:tcPr>
            <w:tcW w:w="10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ind w:right="380"/>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480</w:t>
            </w: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6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2"/>
                <w:szCs w:val="12"/>
                <w:color w:val="auto"/>
              </w:rPr>
              <w:t>1,738</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1,490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380" w:type="dxa"/>
            <w:vAlign w:val="bottom"/>
            <w:gridSpan w:val="2"/>
          </w:tcPr>
          <w:p>
            <w:pPr>
              <w:spacing w:after="0"/>
              <w:rPr>
                <w:sz w:val="20"/>
                <w:szCs w:val="20"/>
                <w:color w:val="auto"/>
              </w:rPr>
            </w:pPr>
            <w:r>
              <w:rPr>
                <w:rFonts w:ascii="Arial" w:cs="Arial" w:eastAsia="Arial" w:hAnsi="Arial"/>
                <w:sz w:val="12"/>
                <w:szCs w:val="12"/>
                <w:b w:val="1"/>
                <w:bCs w:val="1"/>
                <w:i w:val="1"/>
                <w:iCs w:val="1"/>
                <w:color w:val="auto"/>
                <w:w w:val="87"/>
              </w:rPr>
              <w:t>Adjusted EBITDA and Reconciliation to Net Loss Attributable to Common Shareholders</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78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1"/>
                <w:szCs w:val="11"/>
                <w:b w:val="1"/>
                <w:bCs w:val="1"/>
                <w:color w:val="auto"/>
              </w:rPr>
              <w:t>Three Months Ended</w:t>
            </w:r>
          </w:p>
        </w:tc>
        <w:tc>
          <w:tcPr>
            <w:tcW w:w="9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540" w:type="dxa"/>
            <w:vAlign w:val="bottom"/>
            <w:tcBorders>
              <w:bottom w:val="single" w:sz="8" w:color="auto"/>
            </w:tcBorders>
            <w:gridSpan w:val="7"/>
          </w:tcPr>
          <w:p>
            <w:pPr>
              <w:jc w:val="right"/>
              <w:ind w:right="1361"/>
              <w:spacing w:after="0"/>
              <w:rPr>
                <w:sz w:val="20"/>
                <w:szCs w:val="20"/>
                <w:color w:val="auto"/>
              </w:rPr>
            </w:pPr>
            <w:r>
              <w:rPr>
                <w:rFonts w:ascii="Arial" w:cs="Arial" w:eastAsia="Arial" w:hAnsi="Arial"/>
                <w:sz w:val="11"/>
                <w:szCs w:val="11"/>
                <w:b w:val="1"/>
                <w:bCs w:val="1"/>
                <w:color w:val="auto"/>
              </w:rPr>
              <w:t>Six Months Ended</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3780" w:type="dxa"/>
            <w:vAlign w:val="bottom"/>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600" w:type="dxa"/>
            <w:vAlign w:val="bottom"/>
          </w:tcPr>
          <w:p>
            <w:pPr>
              <w:spacing w:after="0"/>
              <w:rPr>
                <w:sz w:val="11"/>
                <w:szCs w:val="11"/>
                <w:color w:val="auto"/>
              </w:rPr>
            </w:pPr>
          </w:p>
        </w:tc>
        <w:tc>
          <w:tcPr>
            <w:tcW w:w="1300" w:type="dxa"/>
            <w:vAlign w:val="bottom"/>
            <w:gridSpan w:val="2"/>
          </w:tcPr>
          <w:p>
            <w:pPr>
              <w:spacing w:after="0"/>
              <w:rPr>
                <w:sz w:val="20"/>
                <w:szCs w:val="20"/>
                <w:color w:val="auto"/>
              </w:rPr>
            </w:pPr>
            <w:r>
              <w:rPr>
                <w:rFonts w:ascii="Arial" w:cs="Arial" w:eastAsia="Arial" w:hAnsi="Arial"/>
                <w:sz w:val="11"/>
                <w:szCs w:val="11"/>
                <w:b w:val="1"/>
                <w:bCs w:val="1"/>
                <w:color w:val="auto"/>
              </w:rPr>
              <w:t>June 30, 2021</w:t>
            </w:r>
          </w:p>
        </w:tc>
        <w:tc>
          <w:tcPr>
            <w:tcW w:w="520" w:type="dxa"/>
            <w:vAlign w:val="bottom"/>
          </w:tcPr>
          <w:p>
            <w:pPr>
              <w:spacing w:after="0"/>
              <w:rPr>
                <w:sz w:val="11"/>
                <w:szCs w:val="11"/>
                <w:color w:val="auto"/>
              </w:rPr>
            </w:pPr>
          </w:p>
        </w:tc>
        <w:tc>
          <w:tcPr>
            <w:tcW w:w="1280" w:type="dxa"/>
            <w:vAlign w:val="bottom"/>
            <w:gridSpan w:val="2"/>
          </w:tcPr>
          <w:p>
            <w:pPr>
              <w:jc w:val="right"/>
              <w:ind w:right="532"/>
              <w:spacing w:after="0"/>
              <w:rPr>
                <w:sz w:val="20"/>
                <w:szCs w:val="20"/>
                <w:color w:val="auto"/>
              </w:rPr>
            </w:pPr>
            <w:r>
              <w:rPr>
                <w:rFonts w:ascii="Arial" w:cs="Arial" w:eastAsia="Arial" w:hAnsi="Arial"/>
                <w:sz w:val="11"/>
                <w:szCs w:val="11"/>
                <w:b w:val="1"/>
                <w:bCs w:val="1"/>
                <w:color w:val="auto"/>
                <w:w w:val="94"/>
              </w:rPr>
              <w:t>June 30, 2020</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tcPr>
          <w:p>
            <w:pPr>
              <w:jc w:val="right"/>
              <w:ind w:right="302"/>
              <w:spacing w:after="0"/>
              <w:rPr>
                <w:sz w:val="20"/>
                <w:szCs w:val="20"/>
                <w:color w:val="auto"/>
              </w:rPr>
            </w:pPr>
            <w:r>
              <w:rPr>
                <w:rFonts w:ascii="Arial" w:cs="Arial" w:eastAsia="Arial" w:hAnsi="Arial"/>
                <w:sz w:val="11"/>
                <w:szCs w:val="11"/>
                <w:b w:val="1"/>
                <w:bCs w:val="1"/>
                <w:color w:val="auto"/>
              </w:rPr>
              <w:t>June 30, 2021</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0" w:type="dxa"/>
            <w:vAlign w:val="bottom"/>
          </w:tcPr>
          <w:p>
            <w:pPr>
              <w:jc w:val="right"/>
              <w:ind w:right="521"/>
              <w:spacing w:after="0"/>
              <w:rPr>
                <w:sz w:val="20"/>
                <w:szCs w:val="20"/>
                <w:color w:val="auto"/>
              </w:rPr>
            </w:pPr>
            <w:r>
              <w:rPr>
                <w:rFonts w:ascii="Arial" w:cs="Arial" w:eastAsia="Arial" w:hAnsi="Arial"/>
                <w:sz w:val="11"/>
                <w:szCs w:val="11"/>
                <w:b w:val="1"/>
                <w:bCs w:val="1"/>
                <w:color w:val="auto"/>
              </w:rPr>
              <w:t>June 30, 2020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Adjusted EBITDA Vacation Ownership</w:t>
            </w:r>
          </w:p>
        </w:tc>
        <w:tc>
          <w:tcPr>
            <w:tcW w:w="600" w:type="dxa"/>
            <w:vAlign w:val="bottom"/>
            <w:tcBorders>
              <w:top w:val="single" w:sz="8" w:color="auto"/>
            </w:tcBorders>
            <w:shd w:val="clear" w:color="auto" w:fill="CCEEFF"/>
          </w:tcPr>
          <w:p>
            <w:pPr>
              <w:jc w:val="right"/>
              <w:ind w:right="460"/>
              <w:spacing w:after="0"/>
              <w:rPr>
                <w:sz w:val="20"/>
                <w:szCs w:val="20"/>
                <w:color w:val="auto"/>
              </w:rPr>
            </w:pPr>
            <w:r>
              <w:rPr>
                <w:rFonts w:ascii="Arial" w:cs="Arial" w:eastAsia="Arial" w:hAnsi="Arial"/>
                <w:sz w:val="12"/>
                <w:szCs w:val="12"/>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182</w:t>
            </w:r>
          </w:p>
        </w:tc>
        <w:tc>
          <w:tcPr>
            <w:tcW w:w="10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ind w:right="380"/>
              <w:spacing w:after="0"/>
              <w:rPr>
                <w:sz w:val="20"/>
                <w:szCs w:val="20"/>
                <w:color w:val="auto"/>
              </w:rPr>
            </w:pPr>
            <w:r>
              <w:rPr>
                <w:rFonts w:ascii="Arial" w:cs="Arial" w:eastAsia="Arial" w:hAnsi="Arial"/>
                <w:sz w:val="12"/>
                <w:szCs w:val="12"/>
                <w:color w:val="auto"/>
                <w:w w:val="89"/>
              </w:rPr>
              <w:t>$</w:t>
            </w:r>
          </w:p>
        </w:tc>
        <w:tc>
          <w:tcPr>
            <w:tcW w:w="12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(19)</w:t>
            </w: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4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2"/>
                <w:szCs w:val="12"/>
                <w:color w:val="auto"/>
                <w:w w:val="79"/>
              </w:rPr>
              <w:t>250</w:t>
            </w: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780" w:type="dxa"/>
            <w:vAlign w:val="bottom"/>
          </w:tcPr>
          <w:p>
            <w:pPr>
              <w:spacing w:after="0"/>
              <w:rPr>
                <w:sz w:val="20"/>
                <w:szCs w:val="20"/>
                <w:color w:val="auto"/>
              </w:rPr>
            </w:pPr>
            <w:r>
              <w:rPr>
                <w:rFonts w:ascii="Arial" w:cs="Arial" w:eastAsia="Arial" w:hAnsi="Arial"/>
                <w:sz w:val="12"/>
                <w:szCs w:val="12"/>
                <w:color w:val="auto"/>
              </w:rPr>
              <w:t>Adjusted EBITDA Exchange &amp; Third-Party Management</w:t>
            </w:r>
          </w:p>
        </w:tc>
        <w:tc>
          <w:tcPr>
            <w:tcW w:w="6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37</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80" w:type="dxa"/>
            <w:vAlign w:val="bottom"/>
            <w:gridSpan w:val="2"/>
          </w:tcPr>
          <w:p>
            <w:pPr>
              <w:jc w:val="right"/>
              <w:spacing w:after="0"/>
              <w:rPr>
                <w:sz w:val="20"/>
                <w:szCs w:val="20"/>
                <w:color w:val="auto"/>
              </w:rPr>
            </w:pPr>
            <w:r>
              <w:rPr>
                <w:rFonts w:ascii="Arial" w:cs="Arial" w:eastAsia="Arial" w:hAnsi="Arial"/>
                <w:sz w:val="12"/>
                <w:szCs w:val="12"/>
                <w:color w:val="auto"/>
              </w:rPr>
              <w:t>19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20" w:type="dxa"/>
            <w:vAlign w:val="bottom"/>
            <w:gridSpan w:val="3"/>
          </w:tcPr>
          <w:p>
            <w:pPr>
              <w:jc w:val="right"/>
              <w:spacing w:after="0"/>
              <w:rPr>
                <w:sz w:val="20"/>
                <w:szCs w:val="20"/>
                <w:color w:val="auto"/>
              </w:rPr>
            </w:pPr>
            <w:r>
              <w:rPr>
                <w:rFonts w:ascii="Arial" w:cs="Arial" w:eastAsia="Arial" w:hAnsi="Arial"/>
                <w:sz w:val="12"/>
                <w:szCs w:val="12"/>
                <w:color w:val="auto"/>
              </w:rPr>
              <w:t>78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2"/>
                <w:szCs w:val="12"/>
                <w:color w:val="auto"/>
              </w:rPr>
              <w:t>60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780" w:type="dxa"/>
            <w:vAlign w:val="bottom"/>
            <w:shd w:val="clear" w:color="auto" w:fill="CCEEFF"/>
          </w:tcPr>
          <w:p>
            <w:pPr>
              <w:spacing w:after="0"/>
              <w:rPr>
                <w:sz w:val="20"/>
                <w:szCs w:val="20"/>
                <w:color w:val="auto"/>
              </w:rPr>
            </w:pPr>
            <w:r>
              <w:rPr>
                <w:rFonts w:ascii="Arial" w:cs="Arial" w:eastAsia="Arial" w:hAnsi="Arial"/>
                <w:sz w:val="12"/>
                <w:szCs w:val="12"/>
                <w:color w:val="auto"/>
              </w:rPr>
              <w:t>Reconciling items:</w:t>
            </w:r>
          </w:p>
        </w:tc>
        <w:tc>
          <w:tcPr>
            <w:tcW w:w="6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780" w:type="dxa"/>
            <w:vAlign w:val="bottom"/>
          </w:tcPr>
          <w:p>
            <w:pPr>
              <w:ind w:left="140"/>
              <w:spacing w:after="0"/>
              <w:rPr>
                <w:sz w:val="20"/>
                <w:szCs w:val="20"/>
                <w:color w:val="auto"/>
              </w:rPr>
            </w:pPr>
            <w:r>
              <w:rPr>
                <w:rFonts w:ascii="Arial" w:cs="Arial" w:eastAsia="Arial" w:hAnsi="Arial"/>
                <w:sz w:val="12"/>
                <w:szCs w:val="12"/>
                <w:color w:val="auto"/>
              </w:rPr>
              <w:t>Corporate and other</w:t>
            </w:r>
          </w:p>
        </w:tc>
        <w:tc>
          <w:tcPr>
            <w:tcW w:w="6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(55)</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80" w:type="dxa"/>
            <w:vAlign w:val="bottom"/>
            <w:gridSpan w:val="2"/>
          </w:tcPr>
          <w:p>
            <w:pPr>
              <w:jc w:val="right"/>
              <w:spacing w:after="0"/>
              <w:rPr>
                <w:sz w:val="20"/>
                <w:szCs w:val="20"/>
                <w:color w:val="auto"/>
              </w:rPr>
            </w:pPr>
            <w:r>
              <w:rPr>
                <w:rFonts w:ascii="Arial" w:cs="Arial" w:eastAsia="Arial" w:hAnsi="Arial"/>
                <w:sz w:val="12"/>
                <w:szCs w:val="12"/>
                <w:color w:val="auto"/>
              </w:rPr>
              <w:t>(10)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20" w:type="dxa"/>
            <w:vAlign w:val="bottom"/>
            <w:gridSpan w:val="3"/>
          </w:tcPr>
          <w:p>
            <w:pPr>
              <w:jc w:val="right"/>
              <w:spacing w:after="0"/>
              <w:rPr>
                <w:sz w:val="20"/>
                <w:szCs w:val="20"/>
                <w:color w:val="auto"/>
              </w:rPr>
            </w:pPr>
            <w:r>
              <w:rPr>
                <w:rFonts w:ascii="Arial" w:cs="Arial" w:eastAsia="Arial" w:hAnsi="Arial"/>
                <w:sz w:val="12"/>
                <w:szCs w:val="12"/>
                <w:color w:val="auto"/>
                <w:w w:val="93"/>
              </w:rPr>
              <w:t>(95)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2"/>
                <w:szCs w:val="12"/>
                <w:color w:val="auto"/>
              </w:rPr>
              <w:t>(60)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7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Interest expense</w:t>
            </w:r>
          </w:p>
        </w:tc>
        <w:tc>
          <w:tcPr>
            <w:tcW w:w="60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(42)</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w w:val="93"/>
              </w:rPr>
              <w:t>(87)</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780" w:type="dxa"/>
            <w:vAlign w:val="bottom"/>
          </w:tcPr>
          <w:p>
            <w:pPr>
              <w:ind w:left="140"/>
              <w:spacing w:after="0"/>
              <w:rPr>
                <w:sz w:val="20"/>
                <w:szCs w:val="20"/>
                <w:color w:val="auto"/>
              </w:rPr>
            </w:pPr>
            <w:r>
              <w:rPr>
                <w:rFonts w:ascii="Arial" w:cs="Arial" w:eastAsia="Arial" w:hAnsi="Arial"/>
                <w:sz w:val="12"/>
                <w:szCs w:val="12"/>
                <w:color w:val="auto"/>
              </w:rPr>
              <w:t>Tax (provision) benefit</w:t>
            </w:r>
          </w:p>
        </w:tc>
        <w:tc>
          <w:tcPr>
            <w:tcW w:w="6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(27)</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80" w:type="dxa"/>
            <w:vAlign w:val="bottom"/>
            <w:gridSpan w:val="2"/>
          </w:tcPr>
          <w:p>
            <w:pPr>
              <w:jc w:val="right"/>
              <w:spacing w:after="0"/>
              <w:rPr>
                <w:sz w:val="20"/>
                <w:szCs w:val="20"/>
                <w:color w:val="auto"/>
              </w:rPr>
            </w:pPr>
            <w:r>
              <w:rPr>
                <w:rFonts w:ascii="Arial" w:cs="Arial" w:eastAsia="Arial" w:hAnsi="Arial"/>
                <w:sz w:val="12"/>
                <w:szCs w:val="12"/>
                <w:color w:val="auto"/>
              </w:rPr>
              <w:t>19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20" w:type="dxa"/>
            <w:vAlign w:val="bottom"/>
            <w:gridSpan w:val="3"/>
          </w:tcPr>
          <w:p>
            <w:pPr>
              <w:jc w:val="right"/>
              <w:spacing w:after="0"/>
              <w:rPr>
                <w:sz w:val="20"/>
                <w:szCs w:val="20"/>
                <w:color w:val="auto"/>
              </w:rPr>
            </w:pPr>
            <w:r>
              <w:rPr>
                <w:rFonts w:ascii="Arial" w:cs="Arial" w:eastAsia="Arial" w:hAnsi="Arial"/>
                <w:sz w:val="12"/>
                <w:szCs w:val="12"/>
                <w:color w:val="auto"/>
                <w:w w:val="93"/>
              </w:rPr>
              <w:t>(16)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2"/>
                <w:szCs w:val="12"/>
                <w:color w:val="auto"/>
              </w:rPr>
              <w:t>77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7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Depreciation and amortization</w:t>
            </w:r>
          </w:p>
        </w:tc>
        <w:tc>
          <w:tcPr>
            <w:tcW w:w="60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w w:val="93"/>
              </w:rPr>
              <w:t>(77)</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780" w:type="dxa"/>
            <w:vAlign w:val="bottom"/>
          </w:tcPr>
          <w:p>
            <w:pPr>
              <w:ind w:left="140"/>
              <w:spacing w:after="0"/>
              <w:rPr>
                <w:sz w:val="20"/>
                <w:szCs w:val="20"/>
                <w:color w:val="auto"/>
              </w:rPr>
            </w:pPr>
            <w:r>
              <w:rPr>
                <w:rFonts w:ascii="Arial" w:cs="Arial" w:eastAsia="Arial" w:hAnsi="Arial"/>
                <w:sz w:val="12"/>
                <w:szCs w:val="12"/>
                <w:color w:val="auto"/>
              </w:rPr>
              <w:t>Share-based compensation expense</w:t>
            </w:r>
          </w:p>
        </w:tc>
        <w:tc>
          <w:tcPr>
            <w:tcW w:w="6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80" w:type="dxa"/>
            <w:vAlign w:val="bottom"/>
            <w:gridSpan w:val="2"/>
          </w:tcPr>
          <w:p>
            <w:pPr>
              <w:jc w:val="right"/>
              <w:spacing w:after="0"/>
              <w:rPr>
                <w:sz w:val="20"/>
                <w:szCs w:val="20"/>
                <w:color w:val="auto"/>
              </w:rPr>
            </w:pPr>
            <w:r>
              <w:rPr>
                <w:rFonts w:ascii="Arial" w:cs="Arial" w:eastAsia="Arial" w:hAnsi="Arial"/>
                <w:sz w:val="12"/>
                <w:szCs w:val="12"/>
                <w:color w:val="auto"/>
              </w:rPr>
              <w:t>(9)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20" w:type="dxa"/>
            <w:vAlign w:val="bottom"/>
            <w:gridSpan w:val="3"/>
          </w:tcPr>
          <w:p>
            <w:pPr>
              <w:jc w:val="right"/>
              <w:spacing w:after="0"/>
              <w:rPr>
                <w:sz w:val="20"/>
                <w:szCs w:val="20"/>
                <w:color w:val="auto"/>
              </w:rPr>
            </w:pPr>
            <w:r>
              <w:rPr>
                <w:rFonts w:ascii="Arial" w:cs="Arial" w:eastAsia="Arial" w:hAnsi="Arial"/>
                <w:sz w:val="12"/>
                <w:szCs w:val="12"/>
                <w:color w:val="auto"/>
                <w:w w:val="93"/>
              </w:rPr>
              <w:t>(22)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2"/>
                <w:szCs w:val="12"/>
                <w:color w:val="auto"/>
              </w:rPr>
              <w:t>(13)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7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Certain items</w:t>
            </w:r>
          </w:p>
        </w:tc>
        <w:tc>
          <w:tcPr>
            <w:tcW w:w="60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(37)</w:t>
            </w:r>
          </w:p>
        </w:tc>
        <w:tc>
          <w:tcPr>
            <w:tcW w:w="10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2"/>
                <w:szCs w:val="12"/>
                <w:color w:val="auto"/>
                <w:w w:val="93"/>
              </w:rPr>
              <w:t>(53)</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780" w:type="dxa"/>
            <w:vAlign w:val="bottom"/>
          </w:tcPr>
          <w:p>
            <w:pPr>
              <w:spacing w:after="0"/>
              <w:rPr>
                <w:sz w:val="20"/>
                <w:szCs w:val="20"/>
                <w:color w:val="auto"/>
              </w:rPr>
            </w:pPr>
            <w:r>
              <w:rPr>
                <w:rFonts w:ascii="Arial" w:cs="Arial" w:eastAsia="Arial" w:hAnsi="Arial"/>
                <w:sz w:val="12"/>
                <w:szCs w:val="12"/>
                <w:color w:val="auto"/>
              </w:rPr>
              <w:t>Net income (loss) attributable to common shareholders</w:t>
            </w:r>
          </w:p>
        </w:tc>
        <w:tc>
          <w:tcPr>
            <w:tcW w:w="60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2"/>
                <w:szCs w:val="12"/>
                <w:color w:val="auto"/>
              </w:rPr>
            </w:pPr>
          </w:p>
        </w:tc>
        <w:tc>
          <w:tcPr>
            <w:tcW w:w="52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(70)</w:t>
            </w:r>
          </w:p>
        </w:tc>
        <w:tc>
          <w:tcPr>
            <w:tcW w:w="80" w:type="dxa"/>
            <w:vAlign w:val="bottom"/>
          </w:tcPr>
          <w:p>
            <w:pPr>
              <w:spacing w:after="0"/>
              <w:rPr>
                <w:sz w:val="12"/>
                <w:szCs w:val="12"/>
                <w:color w:val="auto"/>
              </w:rPr>
            </w:pPr>
          </w:p>
        </w:tc>
        <w:tc>
          <w:tcPr>
            <w:tcW w:w="1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w w:val="89"/>
              </w:rPr>
              <w:t>$</w:t>
            </w:r>
          </w:p>
        </w:tc>
        <w:tc>
          <w:tcPr>
            <w:tcW w:w="14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w w:val="93"/>
              </w:rPr>
              <w:t>(22)</w:t>
            </w:r>
          </w:p>
        </w:tc>
        <w:tc>
          <w:tcPr>
            <w:tcW w:w="100" w:type="dxa"/>
            <w:vAlign w:val="bottom"/>
          </w:tcPr>
          <w:p>
            <w:pPr>
              <w:spacing w:after="0"/>
              <w:rPr>
                <w:sz w:val="12"/>
                <w:szCs w:val="12"/>
                <w:color w:val="auto"/>
              </w:rPr>
            </w:pPr>
          </w:p>
        </w:tc>
        <w:tc>
          <w:tcPr>
            <w:tcW w:w="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2"/>
                <w:szCs w:val="12"/>
                <w:b w:val="1"/>
                <w:bCs w:val="1"/>
                <w:i w:val="1"/>
                <w:iCs w:val="1"/>
                <w:color w:val="auto"/>
              </w:rPr>
              <w:t>Assets</w:t>
            </w:r>
          </w:p>
        </w:tc>
        <w:tc>
          <w:tcPr>
            <w:tcW w:w="6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378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378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600" w:type="dxa"/>
            <w:vAlign w:val="bottom"/>
            <w:tcBorders>
              <w:bottom w:val="single" w:sz="8" w:color="CCEEFF"/>
            </w:tcBorders>
          </w:tcPr>
          <w:p>
            <w:pPr>
              <w:spacing w:after="0"/>
              <w:rPr>
                <w:sz w:val="13"/>
                <w:szCs w:val="13"/>
                <w:color w:val="auto"/>
              </w:rPr>
            </w:pPr>
          </w:p>
        </w:tc>
        <w:tc>
          <w:tcPr>
            <w:tcW w:w="12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520" w:type="dxa"/>
            <w:vAlign w:val="bottom"/>
            <w:tcBorders>
              <w:bottom w:val="single" w:sz="8" w:color="CCEEFF"/>
            </w:tcBorders>
          </w:tcPr>
          <w:p>
            <w:pPr>
              <w:spacing w:after="0"/>
              <w:rPr>
                <w:sz w:val="13"/>
                <w:szCs w:val="13"/>
                <w:color w:val="auto"/>
              </w:rPr>
            </w:pPr>
          </w:p>
        </w:tc>
        <w:tc>
          <w:tcPr>
            <w:tcW w:w="9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522"/>
              <w:spacing w:after="0"/>
              <w:rPr>
                <w:sz w:val="20"/>
                <w:szCs w:val="20"/>
                <w:color w:val="auto"/>
              </w:rPr>
            </w:pPr>
            <w:r>
              <w:rPr>
                <w:rFonts w:ascii="Arial" w:cs="Arial" w:eastAsia="Arial" w:hAnsi="Arial"/>
                <w:sz w:val="11"/>
                <w:szCs w:val="11"/>
                <w:b w:val="1"/>
                <w:bCs w:val="1"/>
                <w:color w:val="auto"/>
                <w:w w:val="95"/>
              </w:rPr>
              <w:t>At June 30, 2021</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ind w:right="401"/>
              <w:spacing w:after="0"/>
              <w:rPr>
                <w:sz w:val="20"/>
                <w:szCs w:val="20"/>
                <w:color w:val="auto"/>
              </w:rPr>
            </w:pPr>
            <w:r>
              <w:rPr>
                <w:rFonts w:ascii="Arial" w:cs="Arial" w:eastAsia="Arial" w:hAnsi="Arial"/>
                <w:sz w:val="11"/>
                <w:szCs w:val="11"/>
                <w:b w:val="1"/>
                <w:bCs w:val="1"/>
                <w:color w:val="auto"/>
                <w:w w:val="98"/>
              </w:rPr>
              <w:t>At December 31, 2020</w:t>
            </w:r>
          </w:p>
        </w:tc>
        <w:tc>
          <w:tcPr>
            <w:tcW w:w="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7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Vacation Ownership</w:t>
            </w:r>
          </w:p>
        </w:tc>
        <w:tc>
          <w:tcPr>
            <w:tcW w:w="6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92"/>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7,805</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6,859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7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Exchange &amp; Third-Party Management</w:t>
            </w:r>
          </w:p>
        </w:tc>
        <w:tc>
          <w:tcPr>
            <w:tcW w:w="600" w:type="dxa"/>
            <w:vAlign w:val="bottom"/>
            <w:tcBorders>
              <w:bottom w:val="single" w:sz="8" w:color="CCEEFF"/>
            </w:tcBorders>
          </w:tcPr>
          <w:p>
            <w:pPr>
              <w:spacing w:after="0"/>
              <w:rPr>
                <w:sz w:val="13"/>
                <w:szCs w:val="13"/>
                <w:color w:val="auto"/>
              </w:rPr>
            </w:pPr>
          </w:p>
        </w:tc>
        <w:tc>
          <w:tcPr>
            <w:tcW w:w="12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520" w:type="dxa"/>
            <w:vAlign w:val="bottom"/>
            <w:tcBorders>
              <w:bottom w:val="single" w:sz="8" w:color="CCEEFF"/>
            </w:tcBorders>
          </w:tcPr>
          <w:p>
            <w:pPr>
              <w:spacing w:after="0"/>
              <w:rPr>
                <w:sz w:val="13"/>
                <w:szCs w:val="13"/>
                <w:color w:val="auto"/>
              </w:rPr>
            </w:pPr>
          </w:p>
        </w:tc>
        <w:tc>
          <w:tcPr>
            <w:tcW w:w="9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922</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951</w:t>
            </w:r>
          </w:p>
        </w:tc>
        <w:tc>
          <w:tcPr>
            <w:tcW w:w="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780" w:type="dxa"/>
            <w:vAlign w:val="bottom"/>
            <w:shd w:val="clear" w:color="auto" w:fill="CCEEFF"/>
          </w:tcPr>
          <w:p>
            <w:pPr>
              <w:ind w:left="140"/>
              <w:spacing w:after="0" w:line="133" w:lineRule="exact"/>
              <w:rPr>
                <w:sz w:val="20"/>
                <w:szCs w:val="20"/>
                <w:color w:val="auto"/>
              </w:rPr>
            </w:pPr>
            <w:r>
              <w:rPr>
                <w:rFonts w:ascii="Arial" w:cs="Arial" w:eastAsia="Arial" w:hAnsi="Arial"/>
                <w:sz w:val="12"/>
                <w:szCs w:val="12"/>
                <w:color w:val="auto"/>
              </w:rPr>
              <w:t>Total segment assets</w:t>
            </w:r>
          </w:p>
        </w:tc>
        <w:tc>
          <w:tcPr>
            <w:tcW w:w="6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8,727</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7,810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7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Corporate and other</w:t>
            </w:r>
          </w:p>
        </w:tc>
        <w:tc>
          <w:tcPr>
            <w:tcW w:w="600" w:type="dxa"/>
            <w:vAlign w:val="bottom"/>
            <w:tcBorders>
              <w:bottom w:val="single" w:sz="8" w:color="CCEEFF"/>
            </w:tcBorders>
          </w:tcPr>
          <w:p>
            <w:pPr>
              <w:spacing w:after="0"/>
              <w:rPr>
                <w:sz w:val="13"/>
                <w:szCs w:val="13"/>
                <w:color w:val="auto"/>
              </w:rPr>
            </w:pPr>
          </w:p>
        </w:tc>
        <w:tc>
          <w:tcPr>
            <w:tcW w:w="12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520" w:type="dxa"/>
            <w:vAlign w:val="bottom"/>
            <w:tcBorders>
              <w:bottom w:val="single" w:sz="8" w:color="CCEEFF"/>
            </w:tcBorders>
          </w:tcPr>
          <w:p>
            <w:pPr>
              <w:spacing w:after="0"/>
              <w:rPr>
                <w:sz w:val="13"/>
                <w:szCs w:val="13"/>
                <w:color w:val="auto"/>
              </w:rPr>
            </w:pPr>
          </w:p>
        </w:tc>
        <w:tc>
          <w:tcPr>
            <w:tcW w:w="9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1,687</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1,088</w:t>
            </w:r>
          </w:p>
        </w:tc>
        <w:tc>
          <w:tcPr>
            <w:tcW w:w="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7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8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10,414</w:t>
            </w:r>
          </w:p>
        </w:tc>
        <w:tc>
          <w:tcPr>
            <w:tcW w:w="4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8,898</w:t>
            </w:r>
          </w:p>
        </w:tc>
        <w:tc>
          <w:tcPr>
            <w:tcW w:w="4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ind w:right="180" w:firstLine="432"/>
        <w:spacing w:after="0" w:line="276" w:lineRule="auto"/>
        <w:rPr>
          <w:sz w:val="20"/>
          <w:szCs w:val="20"/>
          <w:color w:val="auto"/>
        </w:rPr>
      </w:pPr>
      <w:r>
        <w:rPr>
          <w:rFonts w:ascii="Arial" w:cs="Arial" w:eastAsia="Arial" w:hAnsi="Arial"/>
          <w:sz w:val="12"/>
          <w:szCs w:val="12"/>
          <w:color w:val="auto"/>
        </w:rPr>
        <w:t>We conduct business globally, and our operations outside the United States represented approximately 10 percent and 7 percent of our revenues, excluding cost reimbursements, for the three months ended June 30, 2021 and June 30, 2020, respectively, and 9 percent and 11 percent of our revenues, excluding cost reimbursements, for the six months ended June 30, 2021 and June 30, 2020, respectively.</w:t>
      </w:r>
    </w:p>
    <w:p>
      <w:pPr>
        <w:spacing w:after="0" w:line="106" w:lineRule="exact"/>
        <w:rPr>
          <w:sz w:val="20"/>
          <w:szCs w:val="20"/>
          <w:color w:val="auto"/>
        </w:rPr>
      </w:pPr>
    </w:p>
    <w:p>
      <w:pPr>
        <w:jc w:val="center"/>
        <w:ind w:left="420"/>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191135</wp:posOffset>
            </wp:positionV>
            <wp:extent cx="7203440"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43" w:name="page44"/>
    <w:bookmarkEnd w:id="43"/>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5"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b w:val="1"/>
          <w:bCs w:val="1"/>
          <w:color w:val="auto"/>
        </w:rPr>
        <w:t>Item 2.</w:t>
      </w:r>
      <w:r>
        <w:rPr>
          <w:sz w:val="20"/>
          <w:szCs w:val="20"/>
          <w:color w:val="auto"/>
        </w:rPr>
        <w:tab/>
      </w:r>
      <w:r>
        <w:rPr>
          <w:rFonts w:ascii="Arial" w:cs="Arial" w:eastAsia="Arial" w:hAnsi="Arial"/>
          <w:sz w:val="10"/>
          <w:szCs w:val="10"/>
          <w:b w:val="1"/>
          <w:bCs w:val="1"/>
          <w:color w:val="auto"/>
        </w:rPr>
        <w:t>Management’s Discussion and Analysis of Financial Condition and Results of Operations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Forward-Looking Statements</w:t>
      </w:r>
    </w:p>
    <w:p>
      <w:pPr>
        <w:spacing w:after="0" w:line="82" w:lineRule="exact"/>
        <w:rPr>
          <w:sz w:val="20"/>
          <w:szCs w:val="20"/>
          <w:color w:val="auto"/>
        </w:rPr>
      </w:pPr>
    </w:p>
    <w:p>
      <w:pPr>
        <w:ind w:firstLine="432"/>
        <w:spacing w:after="0" w:line="266" w:lineRule="auto"/>
        <w:rPr>
          <w:sz w:val="20"/>
          <w:szCs w:val="20"/>
          <w:color w:val="auto"/>
        </w:rPr>
      </w:pPr>
      <w:r>
        <w:rPr>
          <w:rFonts w:ascii="Arial" w:cs="Arial" w:eastAsia="Arial" w:hAnsi="Arial"/>
          <w:sz w:val="11"/>
          <w:szCs w:val="11"/>
          <w:color w:val="auto"/>
        </w:rPr>
        <w:t>We make forward-looking statements in this Management’s Discussion and Analysis of Financial Condition and Results of Operations, and elsewhere in this Quarterly Report on Form 10-Q, based on our management’s beliefs and assumptions and on information currently available to our management. Forward-looking statements include, among other things, the information concerning: our possible or assumed future results of operations; business strategies, such as our plans to continue to increase focus on sales to first-time buyers; financing plans; competitive position; potential growth opportunities; potential operating performance improvements, including expectations that contract sales and rental occupancies will continue to improve throughout 2021 and that interest income will begin to increase in the remainder of 2021; the effects of competition; and the ongoing effect of the COVID-19 pandemic and actions we or others may take in response to the COVID-19 pandemic. Forward-looking statements include all statements that are not historical facts and can be identified by the use of forward-looking terminology such as the words “believe,” “expect,” “plan,” “intend,” “anticipate,” “estimate,” “predict,” “potential,” “continue,” “may,” “might,” “should,” “could” or the negative of these terms or similar expressions.</w:t>
      </w:r>
    </w:p>
    <w:p>
      <w:pPr>
        <w:spacing w:after="0" w:line="41" w:lineRule="exact"/>
        <w:rPr>
          <w:sz w:val="20"/>
          <w:szCs w:val="20"/>
          <w:color w:val="auto"/>
        </w:rPr>
      </w:pPr>
    </w:p>
    <w:p>
      <w:pPr>
        <w:ind w:right="20" w:firstLine="432"/>
        <w:spacing w:after="0" w:line="262" w:lineRule="auto"/>
        <w:rPr>
          <w:sz w:val="20"/>
          <w:szCs w:val="20"/>
          <w:color w:val="auto"/>
        </w:rPr>
      </w:pPr>
      <w:r>
        <w:rPr>
          <w:rFonts w:ascii="Arial" w:cs="Arial" w:eastAsia="Arial" w:hAnsi="Arial"/>
          <w:sz w:val="11"/>
          <w:szCs w:val="11"/>
          <w:color w:val="auto"/>
        </w:rPr>
        <w:t>We caution you that these statements are not guarantees of future performance and are subject to numerous and evolving risks and uncertainties that we may not be able to predict or assess, such as: the effects of the COVID-19 pandemic, including reduced demand for vacation ownership and exchange products and services, volatility in the international and national economy and credit markets, worker absenteeism, quarantines or other government-imposed travel or health-related restrictions; the length and severity of the COVID-19 pandemic, including its short and longer-term impact on the demand for travel and on consumer confidence; the impact of the availability and distribution of effective vaccines on the demand for travel and consumer confidence; the effectiveness of available vaccines against variants of the virus, including the Delta variant; the pace of recovery following the COVID-19 pandemic or as effective treatments or vaccines become widely available; competitive conditions; the availability of capital to finance growth; the effects of steps we have taken and may continue to take to reduce operating costs and/or enhance health and cleanliness protocols at our resorts due to the COVID-19 pandemic; political or social strife, and other matters referred to under the heading “Risk Factors” contained herein and also in our most recent Annual Report on Form 10-K, and which may be discussed in our periodic filings with the U.S. Securities and Exchange Commission (the “SEC”), any of which could cause actual results to differ materially from those expressed or implied herein. There may be other risks and uncertainties that we cannot predict at this time or that we currently do not expect will have a material adverse effect on our financial position, results of operations or cash flows. We do not undertake any obligation to publicly update or revise any forward-looking statement, whether as a result of new information, future events, or otherwise.</w:t>
      </w:r>
    </w:p>
    <w:p>
      <w:pPr>
        <w:spacing w:after="0" w:line="44" w:lineRule="exact"/>
        <w:rPr>
          <w:sz w:val="20"/>
          <w:szCs w:val="20"/>
          <w:color w:val="auto"/>
        </w:rPr>
      </w:pPr>
    </w:p>
    <w:p>
      <w:pPr>
        <w:ind w:right="100" w:firstLine="432"/>
        <w:spacing w:after="0" w:line="241" w:lineRule="auto"/>
        <w:rPr>
          <w:sz w:val="20"/>
          <w:szCs w:val="20"/>
          <w:color w:val="auto"/>
        </w:rPr>
      </w:pPr>
      <w:r>
        <w:rPr>
          <w:rFonts w:ascii="Arial" w:cs="Arial" w:eastAsia="Arial" w:hAnsi="Arial"/>
          <w:sz w:val="12"/>
          <w:szCs w:val="12"/>
          <w:color w:val="auto"/>
        </w:rPr>
        <w:t>Our Financial Statements (as defined below), which we discuss below, reflect our historical financial condition, results of operations and cash flows. The financial information discussed below and included in this Quarterly Report on Form 10-Q may not necessarily reflect what our financial condition, results of operations or cash flows may be in the future. In order to make this report easier to read, we refer to (i) our Interim Consolidated Financial Statements as our “Financial Statements,” (ii) our Interim Consolidated Statements of Income as our “Income Statements,” (iii) our Interim Consolidated Balance Sheets as our “Balance Sheets” and (iv) our Interim Consolidated Statements of Cash Flows as our “Cash Flows.” In addition, references throughout to numbered “Footnotes” refer to the numbered Notes to our Financial Statements that we include in the Financial Statements of this Quarterly Report on Form 10-Q.</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Business Overview</w:t>
      </w:r>
    </w:p>
    <w:p>
      <w:pPr>
        <w:spacing w:after="0" w:line="82" w:lineRule="exact"/>
        <w:rPr>
          <w:sz w:val="20"/>
          <w:szCs w:val="20"/>
          <w:color w:val="auto"/>
        </w:rPr>
      </w:pPr>
    </w:p>
    <w:p>
      <w:pPr>
        <w:ind w:right="180" w:firstLine="432"/>
        <w:spacing w:after="0" w:line="276" w:lineRule="auto"/>
        <w:rPr>
          <w:sz w:val="20"/>
          <w:szCs w:val="20"/>
          <w:color w:val="auto"/>
        </w:rPr>
      </w:pPr>
      <w:r>
        <w:rPr>
          <w:rFonts w:ascii="Arial" w:cs="Arial" w:eastAsia="Arial" w:hAnsi="Arial"/>
          <w:sz w:val="12"/>
          <w:szCs w:val="12"/>
          <w:color w:val="auto"/>
        </w:rPr>
        <w:t>We are a leading global vacation company that offers vacation ownership, exchange, rental, and resort and property management, along with related businesses, products and services. Our business operates in two reportable segments: Vacation Ownership and Exchange &amp; Third-Party Management.</w:t>
      </w:r>
    </w:p>
    <w:p>
      <w:pPr>
        <w:spacing w:after="0" w:line="43" w:lineRule="exact"/>
        <w:rPr>
          <w:sz w:val="20"/>
          <w:szCs w:val="20"/>
          <w:color w:val="auto"/>
        </w:rPr>
      </w:pPr>
    </w:p>
    <w:p>
      <w:pPr>
        <w:ind w:right="40" w:firstLine="432"/>
        <w:spacing w:after="0" w:line="283" w:lineRule="auto"/>
        <w:rPr>
          <w:sz w:val="20"/>
          <w:szCs w:val="20"/>
          <w:color w:val="auto"/>
        </w:rPr>
      </w:pPr>
      <w:r>
        <w:rPr>
          <w:rFonts w:ascii="Arial" w:cs="Arial" w:eastAsia="Arial" w:hAnsi="Arial"/>
          <w:sz w:val="11"/>
          <w:szCs w:val="11"/>
          <w:color w:val="auto"/>
        </w:rPr>
        <w:t>Our Vacation Ownership segment includes seven vacation ownership brands licensed under exclusive, long-term relationships with Marriott International and Hyatt Hotels Corporation. We are the exclusive worldwide developer, marketer, seller and manager of vacation ownership and related products under the Marriott Vacation Club, Grand Residences by Marriott, Sheraton Vacation Club, Westin Vacation Club, and Hyatt Residence Club brands, as well as under Marriott Vacation Club Pulse, an extension to the Marriott Vacation Club brand. We are also the exclusive worldwide developer, marketer and seller of vacation ownership and related products under The Ritz-Carlton Destination Club brand, we have the non-exclusive right to develop, market and sell whole ownership residential products under The Ritz-Carlton Residences brand and we have a license to use the St. Regis brand for specified fractional ownership resorts. In addition, as part of our acquisition of Welk Hospitality Group, Inc. (“Welk”) through a series of transactions (the “Welk Acquisition”), we acquired a short-term license to use the Welk brand in connection with the continued operations of that business. We intend to rebrand all Welk resorts as Hyatt-branded resorts once we obtain all necessary approvals.</w:t>
      </w:r>
    </w:p>
    <w:p>
      <w:pPr>
        <w:spacing w:after="0" w:line="104" w:lineRule="exact"/>
        <w:rPr>
          <w:sz w:val="20"/>
          <w:szCs w:val="20"/>
          <w:color w:val="auto"/>
        </w:rPr>
      </w:pPr>
    </w:p>
    <w:p>
      <w:pPr>
        <w:jc w:val="center"/>
        <w:ind w:left="420"/>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191135</wp:posOffset>
            </wp:positionV>
            <wp:extent cx="7203440"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44" w:name="page45"/>
    <w:bookmarkEnd w:id="44"/>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47" w:lineRule="exact"/>
        <w:rPr>
          <w:sz w:val="20"/>
          <w:szCs w:val="20"/>
          <w:color w:val="auto"/>
        </w:rPr>
      </w:pPr>
    </w:p>
    <w:p>
      <w:pPr>
        <w:jc w:val="both"/>
        <w:ind w:right="280" w:firstLine="432"/>
        <w:spacing w:after="0" w:line="276" w:lineRule="auto"/>
        <w:rPr>
          <w:sz w:val="20"/>
          <w:szCs w:val="20"/>
          <w:color w:val="auto"/>
        </w:rPr>
      </w:pPr>
      <w:r>
        <w:rPr>
          <w:rFonts w:ascii="Arial" w:cs="Arial" w:eastAsia="Arial" w:hAnsi="Arial"/>
          <w:sz w:val="12"/>
          <w:szCs w:val="12"/>
          <w:color w:val="auto"/>
        </w:rPr>
        <w:t>Our Vacation Ownership segment generates most of its revenues from four primary sources: selling vacation ownership products; managing vacation ownership resorts, clubs and owners’ associations; financing consumer purchases of vacation ownership products; and renting vacation ownership inventory.</w:t>
      </w:r>
    </w:p>
    <w:p>
      <w:pPr>
        <w:spacing w:after="0" w:line="43" w:lineRule="exact"/>
        <w:rPr>
          <w:sz w:val="20"/>
          <w:szCs w:val="20"/>
          <w:color w:val="auto"/>
        </w:rPr>
      </w:pPr>
    </w:p>
    <w:p>
      <w:pPr>
        <w:jc w:val="both"/>
        <w:ind w:right="300" w:firstLine="432"/>
        <w:spacing w:after="0" w:line="263" w:lineRule="auto"/>
        <w:rPr>
          <w:sz w:val="20"/>
          <w:szCs w:val="20"/>
          <w:color w:val="auto"/>
        </w:rPr>
      </w:pPr>
      <w:r>
        <w:rPr>
          <w:rFonts w:ascii="Arial" w:cs="Arial" w:eastAsia="Arial" w:hAnsi="Arial"/>
          <w:sz w:val="12"/>
          <w:szCs w:val="12"/>
          <w:color w:val="auto"/>
        </w:rPr>
        <w:t>Our Exchange &amp; Third-Party Management segment includes exchange networks and membership programs, as well as management of resorts and lodging properties. We provide these services through a variety of brands including Interval International, Trading Places International (“TPI”), Vacation Resorts International (“VRI”), and Aqua-Aston. Exchange &amp; Third-Party Management revenue generally is fee-based and derived from membership, exchange and rental transactions, property and association management, and other related products and services.</w:t>
      </w:r>
    </w:p>
    <w:p>
      <w:pPr>
        <w:spacing w:after="0" w:line="50" w:lineRule="exact"/>
        <w:rPr>
          <w:sz w:val="20"/>
          <w:szCs w:val="20"/>
          <w:color w:val="auto"/>
        </w:rPr>
      </w:pPr>
    </w:p>
    <w:p>
      <w:pPr>
        <w:ind w:right="180" w:firstLine="432"/>
        <w:spacing w:after="0" w:line="276" w:lineRule="auto"/>
        <w:rPr>
          <w:sz w:val="20"/>
          <w:szCs w:val="20"/>
          <w:color w:val="auto"/>
        </w:rPr>
      </w:pPr>
      <w:r>
        <w:rPr>
          <w:rFonts w:ascii="Arial" w:cs="Arial" w:eastAsia="Arial" w:hAnsi="Arial"/>
          <w:sz w:val="12"/>
          <w:szCs w:val="12"/>
          <w:color w:val="auto"/>
        </w:rPr>
        <w:t>Corporate and other represents that portion of our results that are not allocable to our segments, including those relating to property owners’ associations consolidated under the voting interest model (“Consolidated Property Owners’ Associations”).</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Acquisition of Welk</w:t>
      </w:r>
    </w:p>
    <w:p>
      <w:pPr>
        <w:spacing w:after="0" w:line="78" w:lineRule="exact"/>
        <w:rPr>
          <w:sz w:val="20"/>
          <w:szCs w:val="20"/>
          <w:color w:val="auto"/>
        </w:rPr>
      </w:pPr>
    </w:p>
    <w:p>
      <w:pPr>
        <w:ind w:right="200" w:firstLine="432"/>
        <w:spacing w:after="0" w:line="276" w:lineRule="auto"/>
        <w:rPr>
          <w:sz w:val="20"/>
          <w:szCs w:val="20"/>
          <w:color w:val="auto"/>
        </w:rPr>
      </w:pPr>
      <w:r>
        <w:rPr>
          <w:rFonts w:ascii="Arial" w:cs="Arial" w:eastAsia="Arial" w:hAnsi="Arial"/>
          <w:sz w:val="12"/>
          <w:szCs w:val="12"/>
          <w:color w:val="auto"/>
        </w:rPr>
        <w:t>On April 1, 2021, we completed the Welk Acquisition, after which Welk became our indirect wholly-owned subsidiary. The Financial Statements in this report include Welk’s results of operations for the three months ended June 30, 2021 and reflect the financial position of our combined company at June 30, 2021. We refer to Welk’s business and brands that we acquired as “Legacy-Welk.”</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COVID-19 Pandemic Update</w:t>
      </w:r>
    </w:p>
    <w:p>
      <w:pPr>
        <w:spacing w:after="0" w:line="78" w:lineRule="exact"/>
        <w:rPr>
          <w:sz w:val="20"/>
          <w:szCs w:val="20"/>
          <w:color w:val="auto"/>
        </w:rPr>
      </w:pPr>
    </w:p>
    <w:p>
      <w:pPr>
        <w:ind w:right="40" w:firstLine="432"/>
        <w:spacing w:after="0" w:line="259" w:lineRule="auto"/>
        <w:rPr>
          <w:sz w:val="20"/>
          <w:szCs w:val="20"/>
          <w:color w:val="auto"/>
        </w:rPr>
      </w:pPr>
      <w:r>
        <w:rPr>
          <w:rFonts w:ascii="Arial" w:cs="Arial" w:eastAsia="Arial" w:hAnsi="Arial"/>
          <w:sz w:val="12"/>
          <w:szCs w:val="12"/>
          <w:color w:val="auto"/>
        </w:rPr>
        <w:t>The COVID-19 pandemic has caused significant disruptions in international and U.S. economies and markets. At this time, our businesses continue to ramp up, with the majority of our sales centers, resorts, and other properties having reopened. While our contract sales and financial results remain below pre-pandemic levels, we have continued to experience significant sequential improvement each quarter as we progressed through 2020 and into 2021. We expect that sequential improvement to continue across our businesses as we move throughout 2021. We discuss the COVID-19 pandemic and its current and potential future implications in this report; however, the COVID-19 pandemic, and any recovery therefrom, is evolving and its potential impact on our business in the future remains uncertain.</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Significant Accounting Policies Used in Describing Results of Operations</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Sale of Vacation Ownership Products</w:t>
      </w:r>
    </w:p>
    <w:p>
      <w:pPr>
        <w:spacing w:after="0" w:line="78" w:lineRule="exact"/>
        <w:rPr>
          <w:sz w:val="20"/>
          <w:szCs w:val="20"/>
          <w:color w:val="auto"/>
        </w:rPr>
      </w:pPr>
    </w:p>
    <w:p>
      <w:pPr>
        <w:ind w:right="180" w:firstLine="432"/>
        <w:spacing w:after="0" w:line="289" w:lineRule="auto"/>
        <w:rPr>
          <w:sz w:val="20"/>
          <w:szCs w:val="20"/>
          <w:color w:val="auto"/>
        </w:rPr>
      </w:pPr>
      <w:r>
        <w:rPr>
          <w:rFonts w:ascii="Arial" w:cs="Arial" w:eastAsia="Arial" w:hAnsi="Arial"/>
          <w:sz w:val="11"/>
          <w:szCs w:val="11"/>
          <w:color w:val="auto"/>
        </w:rPr>
        <w:t>We recognize revenues from the sale of vacation ownership products (“VOIs”) when control of the vacation ownership product is transferred to the customer and the transaction price is deemed collectible. Based upon the different terms of the contracts with the customer and business practices, control of the vacation ownership product is transferred to the customer at closing for Legacy-MVW and Legacy-Welk transactions and upon expiration of the statutory rescission period for Legacy-ILG transactions. Sales of vacation ownership products may be made for cash or we may provide financing. In addition, we recognize settlement fees associated with the transfer of vacation ownership products and commission revenues from sales of vacation ownership products on behalf of third parties, which we refer to as “resales revenue.”</w:t>
      </w:r>
    </w:p>
    <w:p>
      <w:pPr>
        <w:spacing w:after="0" w:line="39" w:lineRule="exact"/>
        <w:rPr>
          <w:sz w:val="20"/>
          <w:szCs w:val="20"/>
          <w:color w:val="auto"/>
        </w:rPr>
      </w:pPr>
    </w:p>
    <w:p>
      <w:pPr>
        <w:ind w:right="80" w:firstLine="432"/>
        <w:spacing w:after="0" w:line="323" w:lineRule="auto"/>
        <w:rPr>
          <w:sz w:val="20"/>
          <w:szCs w:val="20"/>
          <w:color w:val="auto"/>
        </w:rPr>
      </w:pPr>
      <w:r>
        <w:rPr>
          <w:rFonts w:ascii="Arial" w:cs="Arial" w:eastAsia="Arial" w:hAnsi="Arial"/>
          <w:sz w:val="11"/>
          <w:szCs w:val="11"/>
          <w:color w:val="auto"/>
        </w:rPr>
        <w:t>We also provide sales incentives to certain purchasers. These sales incentives typically include Marriott Bonvoy points, World of Hyatt points or an alternative sales incentive that we refer to as “plus points.” These plus points are redeemable for stays at our resorts or for use in other third-party offerings, generally up to two years from the date of issuance. Typically, sales incentives are only awarded if the sale is closed.</w:t>
      </w:r>
    </w:p>
    <w:p>
      <w:pPr>
        <w:spacing w:after="0" w:line="20" w:lineRule="exact"/>
        <w:rPr>
          <w:sz w:val="20"/>
          <w:szCs w:val="20"/>
          <w:color w:val="auto"/>
        </w:rPr>
      </w:pPr>
    </w:p>
    <w:p>
      <w:pPr>
        <w:ind w:right="40" w:firstLine="432"/>
        <w:spacing w:after="0" w:line="276" w:lineRule="auto"/>
        <w:rPr>
          <w:sz w:val="20"/>
          <w:szCs w:val="20"/>
          <w:color w:val="auto"/>
        </w:rPr>
      </w:pPr>
      <w:r>
        <w:rPr>
          <w:rFonts w:ascii="Arial" w:cs="Arial" w:eastAsia="Arial" w:hAnsi="Arial"/>
          <w:sz w:val="12"/>
          <w:szCs w:val="12"/>
          <w:color w:val="auto"/>
        </w:rPr>
        <w:t>There may be timing differences between the date of the contract with the customer and when revenue is recognized. When comparing results year-over-year, this timing difference may generate significant variances, which we refer to as the impact of revenue reportability.</w:t>
      </w:r>
    </w:p>
    <w:p>
      <w:pPr>
        <w:spacing w:after="0" w:line="43" w:lineRule="exact"/>
        <w:rPr>
          <w:sz w:val="20"/>
          <w:szCs w:val="20"/>
          <w:color w:val="auto"/>
        </w:rPr>
      </w:pPr>
    </w:p>
    <w:p>
      <w:pPr>
        <w:ind w:right="260" w:firstLine="432"/>
        <w:spacing w:after="0" w:line="276" w:lineRule="auto"/>
        <w:rPr>
          <w:sz w:val="20"/>
          <w:szCs w:val="20"/>
          <w:color w:val="auto"/>
        </w:rPr>
      </w:pPr>
      <w:r>
        <w:rPr>
          <w:rFonts w:ascii="Arial" w:cs="Arial" w:eastAsia="Arial" w:hAnsi="Arial"/>
          <w:sz w:val="12"/>
          <w:szCs w:val="12"/>
          <w:color w:val="auto"/>
        </w:rPr>
        <w:t>Finally, as more fully described in “</w:t>
      </w:r>
      <w:r>
        <w:rPr>
          <w:rFonts w:ascii="Arial" w:cs="Arial" w:eastAsia="Arial" w:hAnsi="Arial"/>
          <w:sz w:val="12"/>
          <w:szCs w:val="12"/>
          <w:i w:val="1"/>
          <w:iCs w:val="1"/>
          <w:color w:val="auto"/>
        </w:rPr>
        <w:t>Financing</w:t>
      </w:r>
      <w:r>
        <w:rPr>
          <w:rFonts w:ascii="Arial" w:cs="Arial" w:eastAsia="Arial" w:hAnsi="Arial"/>
          <w:sz w:val="12"/>
          <w:szCs w:val="12"/>
          <w:color w:val="auto"/>
        </w:rPr>
        <w:t>” below, we record the difference between the vacation ownership note receivable and the consideration to which we expect to be entitled (also known as a vacation ownership notes receivable reserve or a sales reserve) as a reduction of revenues from the sale of vacation ownership products at the time we recognize revenues from a sale.</w:t>
      </w:r>
    </w:p>
    <w:p>
      <w:pPr>
        <w:spacing w:after="0" w:line="43" w:lineRule="exact"/>
        <w:rPr>
          <w:sz w:val="20"/>
          <w:szCs w:val="20"/>
          <w:color w:val="auto"/>
        </w:rPr>
      </w:pPr>
    </w:p>
    <w:p>
      <w:pPr>
        <w:ind w:firstLine="432"/>
        <w:spacing w:after="0" w:line="289" w:lineRule="auto"/>
        <w:rPr>
          <w:sz w:val="20"/>
          <w:szCs w:val="20"/>
          <w:color w:val="auto"/>
        </w:rPr>
      </w:pPr>
      <w:r>
        <w:rPr>
          <w:rFonts w:ascii="Arial" w:cs="Arial" w:eastAsia="Arial" w:hAnsi="Arial"/>
          <w:sz w:val="11"/>
          <w:szCs w:val="11"/>
          <w:color w:val="auto"/>
        </w:rPr>
        <w:t>We report, on a supplemental basis, contract sales for our Vacation Ownership segment. Contract sales consist of the total amount of vacation ownership product sales under contract signed during the period where we have generally received a down payment of at least ten percent of the contract price, reduced by actual rescissions during the period, inclusive of contracts associated with sales of vacation ownership products on behalf of third-parties, which we refer to as “resales contract sales.” In circumstances where a customer applies any or all of their existing ownership interests as part of the purchase price for additional interests, we include only the incremental value purchased as contract sales. Contract sales differ from revenues from the sale of vacation ownership products that we report on our income statements due to the</w:t>
      </w:r>
    </w:p>
    <w:p>
      <w:pPr>
        <w:spacing w:after="0" w:line="102" w:lineRule="exact"/>
        <w:rPr>
          <w:sz w:val="20"/>
          <w:szCs w:val="20"/>
          <w:color w:val="auto"/>
        </w:rPr>
      </w:pPr>
    </w:p>
    <w:p>
      <w:pPr>
        <w:jc w:val="center"/>
        <w:ind w:left="420"/>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191135</wp:posOffset>
            </wp:positionV>
            <wp:extent cx="7203440"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45" w:name="page46"/>
    <w:bookmarkEnd w:id="45"/>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2"/>
          <w:szCs w:val="12"/>
          <w:color w:val="auto"/>
        </w:rPr>
        <w:t>requirements for revenue recognition described above. We consider contract sales to be an important operating measure because it reflects the pace of sales in our business.</w:t>
      </w:r>
    </w:p>
    <w:p>
      <w:pPr>
        <w:spacing w:after="0" w:line="78" w:lineRule="exact"/>
        <w:rPr>
          <w:sz w:val="20"/>
          <w:szCs w:val="20"/>
          <w:color w:val="auto"/>
        </w:rPr>
      </w:pPr>
    </w:p>
    <w:p>
      <w:pPr>
        <w:ind w:firstLine="432"/>
        <w:spacing w:after="0" w:line="289" w:lineRule="auto"/>
        <w:rPr>
          <w:sz w:val="20"/>
          <w:szCs w:val="20"/>
          <w:color w:val="auto"/>
        </w:rPr>
      </w:pPr>
      <w:r>
        <w:rPr>
          <w:rFonts w:ascii="Arial" w:cs="Arial" w:eastAsia="Arial" w:hAnsi="Arial"/>
          <w:sz w:val="11"/>
          <w:szCs w:val="11"/>
          <w:color w:val="auto"/>
        </w:rPr>
        <w:t>Cost of vacation ownership products includes costs to develop and construct our projects (also known as real estate inventory costs), other non-capitalizable costs associated with the overall project development process and settlement expenses associated with the closing process. For each project, we expense real estate inventory costs in the same proportion as the revenue recognized. Consistent with the applicable accounting guidance, to the extent there is a change in the estimated sales revenues or inventory costs for the project in a period, a non-cash adjustment is recorded on our income statements to true-up costs in that period to those that would have been recorded historically if the revised estimates had been used. These true-ups, which we refer to as product cost true-up activity, can have a positive or negative impact on our income statements.</w:t>
      </w:r>
    </w:p>
    <w:p>
      <w:pPr>
        <w:spacing w:after="0" w:line="39" w:lineRule="exact"/>
        <w:rPr>
          <w:sz w:val="20"/>
          <w:szCs w:val="20"/>
          <w:color w:val="auto"/>
        </w:rPr>
      </w:pPr>
    </w:p>
    <w:p>
      <w:pPr>
        <w:ind w:right="80" w:firstLine="432"/>
        <w:spacing w:after="0" w:line="259" w:lineRule="auto"/>
        <w:rPr>
          <w:sz w:val="20"/>
          <w:szCs w:val="20"/>
          <w:color w:val="auto"/>
        </w:rPr>
      </w:pPr>
      <w:r>
        <w:rPr>
          <w:rFonts w:ascii="Arial" w:cs="Arial" w:eastAsia="Arial" w:hAnsi="Arial"/>
          <w:sz w:val="12"/>
          <w:szCs w:val="12"/>
          <w:color w:val="auto"/>
        </w:rPr>
        <w:t>We refer to revenues from the sale of vacation ownership products less the cost of vacation ownership products and marketing and sales costs as Development profit. Development profit margin is calculated by dividing Development profit by revenues from the Sale of vacation ownership products. We previously used the term Development margin to refer to revenues from the Sale of vacation ownership products less the Cost of vacation ownership products and marketing and sales costs. Beginning in the first quarter of 2021, we now refer to this financial measure as Development profit. While the calculation remains unchanged, we believe the revised term better depicts the financial results being presented.</w:t>
      </w:r>
    </w:p>
    <w:p>
      <w:pPr>
        <w:spacing w:after="0" w:line="88"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Management and Exchange</w:t>
      </w:r>
    </w:p>
    <w:p>
      <w:pPr>
        <w:spacing w:after="0" w:line="78" w:lineRule="exact"/>
        <w:rPr>
          <w:sz w:val="20"/>
          <w:szCs w:val="20"/>
          <w:color w:val="auto"/>
        </w:rPr>
      </w:pPr>
    </w:p>
    <w:p>
      <w:pPr>
        <w:ind w:right="140" w:firstLine="432"/>
        <w:spacing w:after="0" w:line="375" w:lineRule="auto"/>
        <w:rPr>
          <w:sz w:val="20"/>
          <w:szCs w:val="20"/>
          <w:color w:val="auto"/>
        </w:rPr>
      </w:pPr>
      <w:r>
        <w:rPr>
          <w:rFonts w:ascii="Arial" w:cs="Arial" w:eastAsia="Arial" w:hAnsi="Arial"/>
          <w:sz w:val="10"/>
          <w:szCs w:val="10"/>
          <w:color w:val="auto"/>
        </w:rPr>
        <w:t>Our management and exchange revenues include revenues generated from fees we earn for managing each of our vacation ownership resorts, providing property management, property owners’ association management and related services to third-party vacation ownership resorts and fees we earn for providing rental services and related hotel, condominium resort, and property owners’ association management services to vacation property owners.</w:t>
      </w:r>
    </w:p>
    <w:p>
      <w:pPr>
        <w:spacing w:after="0" w:line="1" w:lineRule="exact"/>
        <w:rPr>
          <w:sz w:val="20"/>
          <w:szCs w:val="20"/>
          <w:color w:val="auto"/>
        </w:rPr>
      </w:pPr>
    </w:p>
    <w:p>
      <w:pPr>
        <w:ind w:right="80" w:firstLine="432"/>
        <w:spacing w:after="0" w:line="276" w:lineRule="auto"/>
        <w:rPr>
          <w:sz w:val="20"/>
          <w:szCs w:val="20"/>
          <w:color w:val="auto"/>
        </w:rPr>
      </w:pPr>
      <w:r>
        <w:rPr>
          <w:rFonts w:ascii="Arial" w:cs="Arial" w:eastAsia="Arial" w:hAnsi="Arial"/>
          <w:sz w:val="12"/>
          <w:szCs w:val="12"/>
          <w:color w:val="auto"/>
        </w:rPr>
        <w:t>In addition, we earn revenue from ancillary offerings, including food and beverage outlets, golf courses and other retail and service outlets located at our Vacation Ownership resorts. We also receive annual membership fees, club dues and certain transaction-based fees from members, owners and other third parties.</w:t>
      </w:r>
    </w:p>
    <w:p>
      <w:pPr>
        <w:spacing w:after="0" w:line="43" w:lineRule="exact"/>
        <w:rPr>
          <w:sz w:val="20"/>
          <w:szCs w:val="20"/>
          <w:color w:val="auto"/>
        </w:rPr>
      </w:pPr>
    </w:p>
    <w:p>
      <w:pPr>
        <w:ind w:right="200" w:firstLine="432"/>
        <w:spacing w:after="0" w:line="276" w:lineRule="auto"/>
        <w:rPr>
          <w:sz w:val="20"/>
          <w:szCs w:val="20"/>
          <w:color w:val="auto"/>
        </w:rPr>
      </w:pPr>
      <w:r>
        <w:rPr>
          <w:rFonts w:ascii="Arial" w:cs="Arial" w:eastAsia="Arial" w:hAnsi="Arial"/>
          <w:sz w:val="12"/>
          <w:szCs w:val="12"/>
          <w:color w:val="auto"/>
        </w:rPr>
        <w:t>Management and exchange expenses include costs to operate food and beverage outlets and other ancillary operations and to provide overall customer support services, including reservations, and certain transaction-based expenses relating to external exchange service providers.</w:t>
      </w:r>
    </w:p>
    <w:p>
      <w:pPr>
        <w:spacing w:after="0" w:line="43" w:lineRule="exact"/>
        <w:rPr>
          <w:sz w:val="20"/>
          <w:szCs w:val="20"/>
          <w:color w:val="auto"/>
        </w:rPr>
      </w:pPr>
    </w:p>
    <w:p>
      <w:pPr>
        <w:ind w:left="420" w:right="3140"/>
        <w:spacing w:after="0" w:line="406" w:lineRule="auto"/>
        <w:rPr>
          <w:sz w:val="20"/>
          <w:szCs w:val="20"/>
          <w:color w:val="auto"/>
        </w:rPr>
      </w:pPr>
      <w:r>
        <w:rPr>
          <w:rFonts w:ascii="Arial" w:cs="Arial" w:eastAsia="Arial" w:hAnsi="Arial"/>
          <w:sz w:val="12"/>
          <w:szCs w:val="12"/>
          <w:color w:val="auto"/>
        </w:rPr>
        <w:t xml:space="preserve">In our Vacation Ownership segment and Consolidated Property Owners’ Associations, we refer to these activities as “Resort Management and Other Services.” </w:t>
      </w:r>
      <w:r>
        <w:rPr>
          <w:rFonts w:ascii="Arial" w:cs="Arial" w:eastAsia="Arial" w:hAnsi="Arial"/>
          <w:sz w:val="12"/>
          <w:szCs w:val="12"/>
          <w:i w:val="1"/>
          <w:iCs w:val="1"/>
          <w:color w:val="auto"/>
        </w:rPr>
        <w:t>Financing</w:t>
      </w:r>
    </w:p>
    <w:p>
      <w:pPr>
        <w:spacing w:after="0" w:line="1" w:lineRule="exact"/>
        <w:rPr>
          <w:sz w:val="20"/>
          <w:szCs w:val="20"/>
          <w:color w:val="auto"/>
        </w:rPr>
      </w:pPr>
    </w:p>
    <w:p>
      <w:pPr>
        <w:ind w:right="260" w:firstLine="432"/>
        <w:spacing w:after="0" w:line="273" w:lineRule="auto"/>
        <w:rPr>
          <w:sz w:val="20"/>
          <w:szCs w:val="20"/>
          <w:color w:val="auto"/>
        </w:rPr>
      </w:pPr>
      <w:r>
        <w:rPr>
          <w:rFonts w:ascii="Arial" w:cs="Arial" w:eastAsia="Arial" w:hAnsi="Arial"/>
          <w:sz w:val="12"/>
          <w:szCs w:val="12"/>
          <w:color w:val="auto"/>
        </w:rPr>
        <w:t>We offer financing to qualified customers for the purchase of most types of our vacation ownership products. The average FICO score of customers who were U.S. citizens or residents who financed a vacation ownership purchase was as follows:</w:t>
      </w:r>
    </w:p>
    <w:p>
      <w:pPr>
        <w:spacing w:after="0" w:line="1" w:lineRule="exact"/>
        <w:rPr>
          <w:sz w:val="20"/>
          <w:szCs w:val="20"/>
          <w:color w:val="auto"/>
        </w:rPr>
      </w:pPr>
    </w:p>
    <w:tbl>
      <w:tblPr>
        <w:tblLayout w:type="fixed"/>
        <w:tblInd w:w="420" w:type="dxa"/>
        <w:tblCellMar>
          <w:top w:w="0" w:type="dxa"/>
          <w:left w:w="0" w:type="dxa"/>
          <w:bottom w:w="0" w:type="dxa"/>
          <w:right w:w="0" w:type="dxa"/>
        </w:tblCellMar>
      </w:tblPr>
      <w:tr>
        <w:trPr>
          <w:trHeight w:val="142"/>
        </w:trPr>
        <w:tc>
          <w:tcPr>
            <w:tcW w:w="5580" w:type="dxa"/>
            <w:vAlign w:val="bottom"/>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gridSpan w:val="3"/>
          </w:tcPr>
          <w:p>
            <w:pPr>
              <w:ind w:left="60"/>
              <w:spacing w:after="0"/>
              <w:rPr>
                <w:sz w:val="20"/>
                <w:szCs w:val="20"/>
                <w:color w:val="auto"/>
              </w:rPr>
            </w:pPr>
            <w:r>
              <w:rPr>
                <w:rFonts w:ascii="Arial" w:cs="Arial" w:eastAsia="Arial" w:hAnsi="Arial"/>
                <w:sz w:val="11"/>
                <w:szCs w:val="11"/>
                <w:b w:val="1"/>
                <w:bCs w:val="1"/>
                <w:color w:val="auto"/>
              </w:rPr>
              <w:t>Six Months Ended</w:t>
            </w:r>
          </w:p>
        </w:tc>
      </w:tr>
      <w:tr>
        <w:trPr>
          <w:trHeight w:val="133"/>
        </w:trPr>
        <w:tc>
          <w:tcPr>
            <w:tcW w:w="5580" w:type="dxa"/>
            <w:vAlign w:val="bottom"/>
            <w:tcBorders>
              <w:bottom w:val="single" w:sz="8" w:color="CCEEFF"/>
            </w:tcBorders>
          </w:tcPr>
          <w:p>
            <w:pPr>
              <w:spacing w:after="0"/>
              <w:rPr>
                <w:sz w:val="11"/>
                <w:szCs w:val="11"/>
                <w:color w:val="auto"/>
              </w:rPr>
            </w:pPr>
          </w:p>
        </w:tc>
        <w:tc>
          <w:tcPr>
            <w:tcW w:w="1340" w:type="dxa"/>
            <w:vAlign w:val="bottom"/>
            <w:tcBorders>
              <w:bottom w:val="single" w:sz="8" w:color="auto"/>
            </w:tcBorders>
          </w:tcPr>
          <w:p>
            <w:pPr>
              <w:jc w:val="center"/>
              <w:ind w:left="583"/>
              <w:spacing w:after="0"/>
              <w:rPr>
                <w:sz w:val="20"/>
                <w:szCs w:val="20"/>
                <w:color w:val="auto"/>
              </w:rPr>
            </w:pPr>
            <w:r>
              <w:rPr>
                <w:rFonts w:ascii="Arial" w:cs="Arial" w:eastAsia="Arial" w:hAnsi="Arial"/>
                <w:sz w:val="11"/>
                <w:szCs w:val="11"/>
                <w:b w:val="1"/>
                <w:bCs w:val="1"/>
                <w:color w:val="auto"/>
                <w:w w:val="86"/>
              </w:rPr>
              <w:t>June 30, 2021</w:t>
            </w:r>
          </w:p>
        </w:tc>
        <w:tc>
          <w:tcPr>
            <w:tcW w:w="2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540" w:type="dxa"/>
            <w:vAlign w:val="bottom"/>
            <w:tcBorders>
              <w:bottom w:val="single" w:sz="8" w:color="auto"/>
            </w:tcBorders>
          </w:tcPr>
          <w:p>
            <w:pPr>
              <w:jc w:val="center"/>
              <w:ind w:left="366"/>
              <w:spacing w:after="0"/>
              <w:rPr>
                <w:sz w:val="20"/>
                <w:szCs w:val="20"/>
                <w:color w:val="auto"/>
              </w:rPr>
            </w:pPr>
            <w:r>
              <w:rPr>
                <w:rFonts w:ascii="Arial" w:cs="Arial" w:eastAsia="Arial" w:hAnsi="Arial"/>
                <w:sz w:val="11"/>
                <w:szCs w:val="11"/>
                <w:b w:val="1"/>
                <w:bCs w:val="1"/>
                <w:color w:val="auto"/>
                <w:w w:val="89"/>
              </w:rPr>
              <w:t>June 30, 2020</w:t>
            </w:r>
          </w:p>
        </w:tc>
      </w:tr>
      <w:tr>
        <w:trPr>
          <w:trHeight w:val="144"/>
        </w:trPr>
        <w:tc>
          <w:tcPr>
            <w:tcW w:w="5580" w:type="dxa"/>
            <w:vAlign w:val="bottom"/>
            <w:shd w:val="clear" w:color="auto" w:fill="CCEEFF"/>
          </w:tcPr>
          <w:p>
            <w:pPr>
              <w:ind w:left="440"/>
              <w:spacing w:after="0" w:line="135" w:lineRule="exact"/>
              <w:rPr>
                <w:sz w:val="20"/>
                <w:szCs w:val="20"/>
                <w:color w:val="auto"/>
              </w:rPr>
            </w:pPr>
            <w:r>
              <w:rPr>
                <w:rFonts w:ascii="Arial" w:cs="Arial" w:eastAsia="Arial" w:hAnsi="Arial"/>
                <w:sz w:val="12"/>
                <w:szCs w:val="12"/>
                <w:color w:val="auto"/>
              </w:rPr>
              <w:t>Average FICO score</w:t>
            </w:r>
          </w:p>
        </w:tc>
        <w:tc>
          <w:tcPr>
            <w:tcW w:w="1340" w:type="dxa"/>
            <w:vAlign w:val="bottom"/>
            <w:shd w:val="clear" w:color="auto" w:fill="CCEEFF"/>
          </w:tcPr>
          <w:p>
            <w:pPr>
              <w:jc w:val="right"/>
              <w:ind w:right="203"/>
              <w:spacing w:after="0"/>
              <w:rPr>
                <w:sz w:val="20"/>
                <w:szCs w:val="20"/>
                <w:color w:val="auto"/>
              </w:rPr>
            </w:pPr>
            <w:r>
              <w:rPr>
                <w:rFonts w:ascii="Arial" w:cs="Arial" w:eastAsia="Arial" w:hAnsi="Arial"/>
                <w:sz w:val="12"/>
                <w:szCs w:val="12"/>
                <w:color w:val="auto"/>
              </w:rPr>
              <w:t>733</w:t>
            </w:r>
          </w:p>
        </w:tc>
        <w:tc>
          <w:tcPr>
            <w:tcW w:w="1860" w:type="dxa"/>
            <w:vAlign w:val="bottom"/>
            <w:gridSpan w:val="3"/>
            <w:shd w:val="clear" w:color="auto" w:fill="CCEEFF"/>
          </w:tcPr>
          <w:p>
            <w:pPr>
              <w:jc w:val="right"/>
              <w:ind w:right="406"/>
              <w:spacing w:after="0"/>
              <w:rPr>
                <w:sz w:val="20"/>
                <w:szCs w:val="20"/>
                <w:color w:val="auto"/>
              </w:rPr>
            </w:pPr>
            <w:r>
              <w:rPr>
                <w:rFonts w:ascii="Arial" w:cs="Arial" w:eastAsia="Arial" w:hAnsi="Arial"/>
                <w:sz w:val="12"/>
                <w:szCs w:val="12"/>
                <w:color w:val="auto"/>
              </w:rPr>
              <w:t>737</w:t>
            </w:r>
          </w:p>
        </w:tc>
      </w:tr>
    </w:tbl>
    <w:p>
      <w:pPr>
        <w:spacing w:after="0" w:line="135" w:lineRule="exact"/>
        <w:rPr>
          <w:sz w:val="20"/>
          <w:szCs w:val="20"/>
          <w:color w:val="auto"/>
        </w:rPr>
      </w:pPr>
    </w:p>
    <w:p>
      <w:pPr>
        <w:ind w:right="80" w:firstLine="432"/>
        <w:spacing w:after="0" w:line="263" w:lineRule="auto"/>
        <w:rPr>
          <w:sz w:val="20"/>
          <w:szCs w:val="20"/>
          <w:color w:val="auto"/>
        </w:rPr>
      </w:pPr>
      <w:r>
        <w:rPr>
          <w:rFonts w:ascii="Arial" w:cs="Arial" w:eastAsia="Arial" w:hAnsi="Arial"/>
          <w:sz w:val="12"/>
          <w:szCs w:val="12"/>
          <w:color w:val="auto"/>
        </w:rPr>
        <w:t>The typical financing agreement provides for monthly payments of principal and interest with the principal balance of the loan fully amortizing over the term of the related vacation ownership note receivable, which is generally ten years. Included within our vacation ownership notes receivable are originated vacation ownership notes receivable and vacation ownership notes receivable acquired in connection with the ILG Acquisition and the Welk Acquisition.</w:t>
      </w:r>
    </w:p>
    <w:p>
      <w:pPr>
        <w:spacing w:after="0" w:line="113" w:lineRule="exact"/>
        <w:rPr>
          <w:sz w:val="20"/>
          <w:szCs w:val="20"/>
          <w:color w:val="auto"/>
        </w:rPr>
      </w:pPr>
    </w:p>
    <w:p>
      <w:pPr>
        <w:jc w:val="center"/>
        <w:ind w:left="420"/>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191135</wp:posOffset>
            </wp:positionV>
            <wp:extent cx="7203440"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20"/>
          </w:cols>
          <w:pgMar w:left="300" w:top="275" w:right="379" w:bottom="1440" w:gutter="0" w:footer="0" w:header="0"/>
        </w:sectPr>
      </w:pPr>
    </w:p>
    <w:bookmarkStart w:id="46" w:name="page47"/>
    <w:bookmarkEnd w:id="46"/>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47" w:lineRule="exact"/>
        <w:rPr>
          <w:sz w:val="20"/>
          <w:szCs w:val="20"/>
          <w:color w:val="auto"/>
        </w:rPr>
      </w:pPr>
    </w:p>
    <w:p>
      <w:pPr>
        <w:ind w:right="20" w:firstLine="432"/>
        <w:spacing w:after="0" w:line="280" w:lineRule="auto"/>
        <w:rPr>
          <w:sz w:val="20"/>
          <w:szCs w:val="20"/>
          <w:color w:val="auto"/>
        </w:rPr>
      </w:pPr>
      <w:r>
        <w:rPr>
          <w:rFonts w:ascii="Arial" w:cs="Arial" w:eastAsia="Arial" w:hAnsi="Arial"/>
          <w:sz w:val="11"/>
          <w:szCs w:val="11"/>
          <w:color w:val="auto"/>
        </w:rPr>
        <w:t>The interest income earned from the originated vacation ownership financing arrangements is earned on an accrual basis on the principal balance outstanding over the contractual life of the arrangement and is recorded as Financing revenues on our Income Statements. Financing revenues also include fees earned from servicing the existing vacation ownership notes receivable portfolio. Financing expenses include costs to support the financing, servicing and securitization processes and changes in expected credit losses related to acquired vacation ownership notes receivable. The amount of interest income earned in a period depends on the amount of outstanding vacation ownership notes receivable, which, for originated vacation ownership notes receivable, is impacted positively by the origination of new vacation ownership notes receivable and negatively by principal collections. We calculate financing propensity as contract sales volume of finance contracts originated in the period divided by contract sales volume of all contracts originated in the period. We do not include resales contract sales in the financing propensity calculation. Financing propensity was 52 percent in the second quarter of 2021 and 37 percent in the second quarter of 2020; the higher financing propensity in the second quarter of 2021 is due to a higher percentage of sales during this period to first-time-buyers, who tend to have a higher financing propensity. Going forward, we expect to continue to shift back to an increased focus on sales to first-time buyers, which should further increase propensity and increase interest income as new originations of vacation ownership notes receivable outpace the decline in principal of existing vacation ownership notes receivable.</w:t>
      </w:r>
    </w:p>
    <w:p>
      <w:pPr>
        <w:spacing w:after="0" w:line="43" w:lineRule="exact"/>
        <w:rPr>
          <w:sz w:val="20"/>
          <w:szCs w:val="20"/>
          <w:color w:val="auto"/>
        </w:rPr>
      </w:pPr>
    </w:p>
    <w:p>
      <w:pPr>
        <w:jc w:val="both"/>
        <w:ind w:right="260" w:firstLine="432"/>
        <w:spacing w:after="0" w:line="263" w:lineRule="auto"/>
        <w:rPr>
          <w:sz w:val="20"/>
          <w:szCs w:val="20"/>
          <w:color w:val="auto"/>
        </w:rPr>
      </w:pPr>
      <w:r>
        <w:rPr>
          <w:rFonts w:ascii="Arial" w:cs="Arial" w:eastAsia="Arial" w:hAnsi="Arial"/>
          <w:sz w:val="12"/>
          <w:szCs w:val="12"/>
          <w:color w:val="auto"/>
        </w:rPr>
        <w:t>In the event of a default, we generally have the right to foreclose on or revoke the underlying VOI. We return VOIs that we reacquire through foreclosure or revocation back to inventory. As discussed above, for originated vacation ownership notes receivable, we record a reserve at the time of sale and classify the reserve as a reduction to revenues from the sale of vacation ownership products on our Income Statements. Historical default rates, which represent defaults as a percentage of each year’s beginning gross vacation ownership notes receivable balance, were as follows:</w:t>
      </w:r>
    </w:p>
    <w:p>
      <w:pPr>
        <w:spacing w:after="0" w:line="5" w:lineRule="exact"/>
        <w:rPr>
          <w:sz w:val="20"/>
          <w:szCs w:val="20"/>
          <w:color w:val="auto"/>
        </w:rPr>
      </w:pPr>
    </w:p>
    <w:tbl>
      <w:tblPr>
        <w:tblLayout w:type="fixed"/>
        <w:tblInd w:w="420" w:type="dxa"/>
        <w:tblCellMar>
          <w:top w:w="0" w:type="dxa"/>
          <w:left w:w="0" w:type="dxa"/>
          <w:bottom w:w="0" w:type="dxa"/>
          <w:right w:w="0" w:type="dxa"/>
        </w:tblCellMar>
      </w:tblPr>
      <w:tr>
        <w:trPr>
          <w:trHeight w:val="142"/>
        </w:trPr>
        <w:tc>
          <w:tcPr>
            <w:tcW w:w="5580" w:type="dxa"/>
            <w:vAlign w:val="bottom"/>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gridSpan w:val="3"/>
          </w:tcPr>
          <w:p>
            <w:pPr>
              <w:ind w:left="60"/>
              <w:spacing w:after="0"/>
              <w:rPr>
                <w:sz w:val="20"/>
                <w:szCs w:val="20"/>
                <w:color w:val="auto"/>
              </w:rPr>
            </w:pPr>
            <w:r>
              <w:rPr>
                <w:rFonts w:ascii="Arial" w:cs="Arial" w:eastAsia="Arial" w:hAnsi="Arial"/>
                <w:sz w:val="11"/>
                <w:szCs w:val="11"/>
                <w:b w:val="1"/>
                <w:bCs w:val="1"/>
                <w:color w:val="auto"/>
              </w:rPr>
              <w:t>Six Months Ended</w:t>
            </w:r>
          </w:p>
        </w:tc>
      </w:tr>
      <w:tr>
        <w:trPr>
          <w:trHeight w:val="133"/>
        </w:trPr>
        <w:tc>
          <w:tcPr>
            <w:tcW w:w="5580" w:type="dxa"/>
            <w:vAlign w:val="bottom"/>
            <w:tcBorders>
              <w:bottom w:val="single" w:sz="8" w:color="CCEEFF"/>
            </w:tcBorders>
          </w:tcPr>
          <w:p>
            <w:pPr>
              <w:spacing w:after="0"/>
              <w:rPr>
                <w:sz w:val="11"/>
                <w:szCs w:val="11"/>
                <w:color w:val="auto"/>
              </w:rPr>
            </w:pPr>
          </w:p>
        </w:tc>
        <w:tc>
          <w:tcPr>
            <w:tcW w:w="1340" w:type="dxa"/>
            <w:vAlign w:val="bottom"/>
            <w:tcBorders>
              <w:bottom w:val="single" w:sz="8" w:color="auto"/>
            </w:tcBorders>
          </w:tcPr>
          <w:p>
            <w:pPr>
              <w:jc w:val="center"/>
              <w:ind w:left="583"/>
              <w:spacing w:after="0"/>
              <w:rPr>
                <w:sz w:val="20"/>
                <w:szCs w:val="20"/>
                <w:color w:val="auto"/>
              </w:rPr>
            </w:pPr>
            <w:r>
              <w:rPr>
                <w:rFonts w:ascii="Arial" w:cs="Arial" w:eastAsia="Arial" w:hAnsi="Arial"/>
                <w:sz w:val="11"/>
                <w:szCs w:val="11"/>
                <w:b w:val="1"/>
                <w:bCs w:val="1"/>
                <w:color w:val="auto"/>
                <w:w w:val="86"/>
              </w:rPr>
              <w:t>June 30, 2021</w:t>
            </w:r>
          </w:p>
        </w:tc>
        <w:tc>
          <w:tcPr>
            <w:tcW w:w="2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540" w:type="dxa"/>
            <w:vAlign w:val="bottom"/>
            <w:tcBorders>
              <w:bottom w:val="single" w:sz="8" w:color="auto"/>
            </w:tcBorders>
          </w:tcPr>
          <w:p>
            <w:pPr>
              <w:jc w:val="center"/>
              <w:ind w:left="366"/>
              <w:spacing w:after="0"/>
              <w:rPr>
                <w:sz w:val="20"/>
                <w:szCs w:val="20"/>
                <w:color w:val="auto"/>
              </w:rPr>
            </w:pPr>
            <w:r>
              <w:rPr>
                <w:rFonts w:ascii="Arial" w:cs="Arial" w:eastAsia="Arial" w:hAnsi="Arial"/>
                <w:sz w:val="11"/>
                <w:szCs w:val="11"/>
                <w:b w:val="1"/>
                <w:bCs w:val="1"/>
                <w:color w:val="auto"/>
                <w:w w:val="89"/>
              </w:rPr>
              <w:t>June 30, 2020</w:t>
            </w:r>
          </w:p>
        </w:tc>
      </w:tr>
      <w:tr>
        <w:trPr>
          <w:trHeight w:val="144"/>
        </w:trPr>
        <w:tc>
          <w:tcPr>
            <w:tcW w:w="5580" w:type="dxa"/>
            <w:vAlign w:val="bottom"/>
            <w:shd w:val="clear" w:color="auto" w:fill="CCEEFF"/>
          </w:tcPr>
          <w:p>
            <w:pPr>
              <w:ind w:left="440"/>
              <w:spacing w:after="0" w:line="135" w:lineRule="exact"/>
              <w:rPr>
                <w:sz w:val="20"/>
                <w:szCs w:val="20"/>
                <w:color w:val="auto"/>
              </w:rPr>
            </w:pPr>
            <w:r>
              <w:rPr>
                <w:rFonts w:ascii="Arial" w:cs="Arial" w:eastAsia="Arial" w:hAnsi="Arial"/>
                <w:sz w:val="12"/>
                <w:szCs w:val="12"/>
                <w:color w:val="auto"/>
              </w:rPr>
              <w:t>Historical default rates</w:t>
            </w:r>
          </w:p>
        </w:tc>
        <w:tc>
          <w:tcPr>
            <w:tcW w:w="1340" w:type="dxa"/>
            <w:vAlign w:val="bottom"/>
            <w:shd w:val="clear" w:color="auto" w:fill="CCEEFF"/>
          </w:tcPr>
          <w:p>
            <w:pPr>
              <w:jc w:val="right"/>
              <w:ind w:right="163"/>
              <w:spacing w:after="0"/>
              <w:rPr>
                <w:sz w:val="20"/>
                <w:szCs w:val="20"/>
                <w:color w:val="auto"/>
              </w:rPr>
            </w:pPr>
            <w:r>
              <w:rPr>
                <w:rFonts w:ascii="Arial" w:cs="Arial" w:eastAsia="Arial" w:hAnsi="Arial"/>
                <w:sz w:val="12"/>
                <w:szCs w:val="12"/>
                <w:color w:val="auto"/>
              </w:rPr>
              <w:t>2.4%</w:t>
            </w:r>
          </w:p>
        </w:tc>
        <w:tc>
          <w:tcPr>
            <w:tcW w:w="1860" w:type="dxa"/>
            <w:vAlign w:val="bottom"/>
            <w:gridSpan w:val="3"/>
            <w:shd w:val="clear" w:color="auto" w:fill="CCEEFF"/>
          </w:tcPr>
          <w:p>
            <w:pPr>
              <w:jc w:val="right"/>
              <w:ind w:right="386"/>
              <w:spacing w:after="0"/>
              <w:rPr>
                <w:sz w:val="20"/>
                <w:szCs w:val="20"/>
                <w:color w:val="auto"/>
              </w:rPr>
            </w:pPr>
            <w:r>
              <w:rPr>
                <w:rFonts w:ascii="Arial" w:cs="Arial" w:eastAsia="Arial" w:hAnsi="Arial"/>
                <w:sz w:val="12"/>
                <w:szCs w:val="12"/>
                <w:color w:val="auto"/>
              </w:rPr>
              <w:t>2.9%</w:t>
            </w:r>
          </w:p>
        </w:tc>
      </w:tr>
    </w:tbl>
    <w:p>
      <w:pPr>
        <w:spacing w:after="0" w:line="135" w:lineRule="exact"/>
        <w:rPr>
          <w:sz w:val="20"/>
          <w:szCs w:val="20"/>
          <w:color w:val="auto"/>
        </w:rPr>
      </w:pPr>
    </w:p>
    <w:p>
      <w:pPr>
        <w:ind w:right="80" w:firstLine="432"/>
        <w:spacing w:after="0" w:line="263" w:lineRule="auto"/>
        <w:rPr>
          <w:sz w:val="20"/>
          <w:szCs w:val="20"/>
          <w:color w:val="auto"/>
        </w:rPr>
      </w:pPr>
      <w:r>
        <w:rPr>
          <w:rFonts w:ascii="Arial" w:cs="Arial" w:eastAsia="Arial" w:hAnsi="Arial"/>
          <w:sz w:val="12"/>
          <w:szCs w:val="12"/>
          <w:color w:val="auto"/>
        </w:rPr>
        <w:t>Financing expenses include consumer financing interest expense, which represents interest expense associated with the securitization of our vacation ownership notes receivable. We distinguish consumer financing interest expense from all other interest expense because the debt associated with the consumer financing interest expense is secured by vacation ownership notes receivable that have been sold to bankruptcy remote special purpose entities and is generally non-recourse to us.</w:t>
      </w:r>
    </w:p>
    <w:p>
      <w:pPr>
        <w:spacing w:after="0" w:line="86"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Rental</w:t>
      </w:r>
    </w:p>
    <w:p>
      <w:pPr>
        <w:spacing w:after="0" w:line="78" w:lineRule="exact"/>
        <w:rPr>
          <w:sz w:val="20"/>
          <w:szCs w:val="20"/>
          <w:color w:val="auto"/>
        </w:rPr>
      </w:pPr>
    </w:p>
    <w:p>
      <w:pPr>
        <w:ind w:firstLine="432"/>
        <w:spacing w:after="0" w:line="281" w:lineRule="auto"/>
        <w:rPr>
          <w:sz w:val="20"/>
          <w:szCs w:val="20"/>
          <w:color w:val="auto"/>
        </w:rPr>
      </w:pPr>
      <w:r>
        <w:rPr>
          <w:rFonts w:ascii="Arial" w:cs="Arial" w:eastAsia="Arial" w:hAnsi="Arial"/>
          <w:sz w:val="11"/>
          <w:szCs w:val="11"/>
          <w:color w:val="auto"/>
        </w:rPr>
        <w:t>In our Vacation Ownership segment, we operate a rental business to provide owner flexibility and to help mitigate carrying costs associated with our inventory. We generate revenue from rentals of inventory that we hold for sale as interests in our vacation ownership programs, inventory that we control because our owners have elected alternative usage options permitted under our vacation ownership programs and rentals of owned-hotel properties. We also recognize rental revenue from the utilization of plus points under our points-based Marriott Vacation Club Destinations program when the points are redeemed for rental stays at one of our resorts or in other third-party offerings. We obtain rental inventory from unsold inventory and inventory we control because owners have elected alternative usage options offered through our vacation ownership programs. For rental revenues associated with vacation ownership products which we own and which are registered and held for sale, to the extent that the revenues from rental are less than costs, revenues are reported net in accordance with ASC Topic 978, “</w:t>
      </w:r>
      <w:r>
        <w:rPr>
          <w:rFonts w:ascii="Arial" w:cs="Arial" w:eastAsia="Arial" w:hAnsi="Arial"/>
          <w:sz w:val="11"/>
          <w:szCs w:val="11"/>
          <w:i w:val="1"/>
          <w:iCs w:val="1"/>
          <w:color w:val="auto"/>
        </w:rPr>
        <w:t>Real Estate - Time-Sharing Activities</w:t>
      </w:r>
      <w:r>
        <w:rPr>
          <w:rFonts w:ascii="Arial" w:cs="Arial" w:eastAsia="Arial" w:hAnsi="Arial"/>
          <w:sz w:val="11"/>
          <w:szCs w:val="11"/>
          <w:color w:val="auto"/>
        </w:rPr>
        <w:t>” (“ASC 978”). The rental activity associated with discounted vacation packages requiring a tour (“preview stays”) is not included in transient rental metrics, and because the majority of these preview stays are sourced directly or indirectly from unsold inventory, the associated revenues and expenses are reported net in Marketing and sales expense.</w:t>
      </w:r>
    </w:p>
    <w:p>
      <w:pPr>
        <w:spacing w:after="0" w:line="43" w:lineRule="exact"/>
        <w:rPr>
          <w:sz w:val="20"/>
          <w:szCs w:val="20"/>
          <w:color w:val="auto"/>
        </w:rPr>
      </w:pPr>
    </w:p>
    <w:p>
      <w:pPr>
        <w:ind w:right="140" w:firstLine="432"/>
        <w:spacing w:after="0" w:line="259" w:lineRule="auto"/>
        <w:rPr>
          <w:sz w:val="20"/>
          <w:szCs w:val="20"/>
          <w:color w:val="auto"/>
        </w:rPr>
      </w:pPr>
      <w:r>
        <w:rPr>
          <w:rFonts w:ascii="Arial" w:cs="Arial" w:eastAsia="Arial" w:hAnsi="Arial"/>
          <w:sz w:val="12"/>
          <w:szCs w:val="12"/>
          <w:color w:val="auto"/>
        </w:rPr>
        <w:t>In our Exchange &amp; Third-Party Management segment, we offer vacation rental opportunities at managed properties through VRI, TPI, and Aqua-Aston. We also offer vacation rental offers knows as Getaways to members of the Interval International Network and certain other membership programs. The offering of Getaways allows us to monetize excess availability of resort accommodations within the applicable exchange network, as well as provide additional vacation opportunities to members. Resort accommodations available as Getaways typically result from seasonal oversupply or underutilized space in the applicable exchange program, as well as resort accommodations specifically sourced for the Getaways program.</w:t>
      </w:r>
    </w:p>
    <w:p>
      <w:pPr>
        <w:spacing w:after="0" w:line="115" w:lineRule="exact"/>
        <w:rPr>
          <w:sz w:val="20"/>
          <w:szCs w:val="20"/>
          <w:color w:val="auto"/>
        </w:rPr>
      </w:pPr>
    </w:p>
    <w:p>
      <w:pPr>
        <w:jc w:val="center"/>
        <w:ind w:left="420"/>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191135</wp:posOffset>
            </wp:positionV>
            <wp:extent cx="7203440"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275" w:right="319" w:bottom="1440" w:gutter="0" w:footer="0" w:header="0"/>
        </w:sectPr>
      </w:pPr>
    </w:p>
    <w:bookmarkStart w:id="47" w:name="page48"/>
    <w:bookmarkEnd w:id="47"/>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4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Rental expenses include:</w:t>
      </w:r>
    </w:p>
    <w:p>
      <w:pPr>
        <w:spacing w:after="0" w:line="42" w:lineRule="exact"/>
        <w:rPr>
          <w:sz w:val="20"/>
          <w:szCs w:val="20"/>
          <w:color w:val="auto"/>
        </w:rPr>
      </w:pPr>
    </w:p>
    <w:p>
      <w:pPr>
        <w:ind w:left="860" w:hanging="220"/>
        <w:spacing w:after="0"/>
        <w:tabs>
          <w:tab w:leader="none" w:pos="860" w:val="left"/>
        </w:tabs>
        <w:numPr>
          <w:ilvl w:val="0"/>
          <w:numId w:val="31"/>
        </w:numPr>
        <w:rPr>
          <w:rFonts w:ascii="Arial" w:cs="Arial" w:eastAsia="Arial" w:hAnsi="Arial"/>
          <w:sz w:val="12"/>
          <w:szCs w:val="12"/>
          <w:color w:val="auto"/>
        </w:rPr>
      </w:pPr>
      <w:r>
        <w:rPr>
          <w:rFonts w:ascii="Arial" w:cs="Arial" w:eastAsia="Arial" w:hAnsi="Arial"/>
          <w:sz w:val="12"/>
          <w:szCs w:val="12"/>
          <w:color w:val="auto"/>
        </w:rPr>
        <w:t>Maintenance and other fees on unsold inventory;</w:t>
      </w:r>
    </w:p>
    <w:p>
      <w:pPr>
        <w:spacing w:after="0" w:line="42" w:lineRule="exact"/>
        <w:rPr>
          <w:rFonts w:ascii="Arial" w:cs="Arial" w:eastAsia="Arial" w:hAnsi="Arial"/>
          <w:sz w:val="12"/>
          <w:szCs w:val="12"/>
          <w:color w:val="auto"/>
        </w:rPr>
      </w:pPr>
    </w:p>
    <w:p>
      <w:pPr>
        <w:ind w:left="860" w:hanging="220"/>
        <w:spacing w:after="0"/>
        <w:tabs>
          <w:tab w:leader="none" w:pos="860" w:val="left"/>
        </w:tabs>
        <w:numPr>
          <w:ilvl w:val="0"/>
          <w:numId w:val="31"/>
        </w:numPr>
        <w:rPr>
          <w:rFonts w:ascii="Arial" w:cs="Arial" w:eastAsia="Arial" w:hAnsi="Arial"/>
          <w:sz w:val="11"/>
          <w:szCs w:val="11"/>
          <w:color w:val="auto"/>
        </w:rPr>
      </w:pPr>
      <w:r>
        <w:rPr>
          <w:rFonts w:ascii="Arial" w:cs="Arial" w:eastAsia="Arial" w:hAnsi="Arial"/>
          <w:sz w:val="11"/>
          <w:szCs w:val="11"/>
          <w:color w:val="auto"/>
        </w:rPr>
        <w:t>Costs to provide alternative usage options, including Marriott Bonvoy points, World of Hyatt points and offerings available as part of third-party offerings, for owners who elect to exchange their inventory;</w:t>
      </w:r>
    </w:p>
    <w:p>
      <w:pPr>
        <w:spacing w:after="0" w:line="53" w:lineRule="exact"/>
        <w:rPr>
          <w:rFonts w:ascii="Arial" w:cs="Arial" w:eastAsia="Arial" w:hAnsi="Arial"/>
          <w:sz w:val="11"/>
          <w:szCs w:val="11"/>
          <w:color w:val="auto"/>
        </w:rPr>
      </w:pPr>
    </w:p>
    <w:p>
      <w:pPr>
        <w:ind w:left="860" w:hanging="220"/>
        <w:spacing w:after="0"/>
        <w:tabs>
          <w:tab w:leader="none" w:pos="860" w:val="left"/>
        </w:tabs>
        <w:numPr>
          <w:ilvl w:val="0"/>
          <w:numId w:val="31"/>
        </w:numPr>
        <w:rPr>
          <w:rFonts w:ascii="Arial" w:cs="Arial" w:eastAsia="Arial" w:hAnsi="Arial"/>
          <w:sz w:val="12"/>
          <w:szCs w:val="12"/>
          <w:color w:val="auto"/>
        </w:rPr>
      </w:pPr>
      <w:r>
        <w:rPr>
          <w:rFonts w:ascii="Arial" w:cs="Arial" w:eastAsia="Arial" w:hAnsi="Arial"/>
          <w:sz w:val="12"/>
          <w:szCs w:val="12"/>
          <w:color w:val="auto"/>
        </w:rPr>
        <w:t>Marketing costs and direct operating and related expenses in connection with the rental business (such as housekeeping, credit card expenses and reservation services); and</w:t>
      </w:r>
    </w:p>
    <w:p>
      <w:pPr>
        <w:spacing w:after="0" w:line="42" w:lineRule="exact"/>
        <w:rPr>
          <w:rFonts w:ascii="Arial" w:cs="Arial" w:eastAsia="Arial" w:hAnsi="Arial"/>
          <w:sz w:val="12"/>
          <w:szCs w:val="12"/>
          <w:color w:val="auto"/>
        </w:rPr>
      </w:pPr>
    </w:p>
    <w:p>
      <w:pPr>
        <w:ind w:left="860" w:hanging="220"/>
        <w:spacing w:after="0"/>
        <w:tabs>
          <w:tab w:leader="none" w:pos="860" w:val="left"/>
        </w:tabs>
        <w:numPr>
          <w:ilvl w:val="0"/>
          <w:numId w:val="31"/>
        </w:numPr>
        <w:rPr>
          <w:rFonts w:ascii="Arial" w:cs="Arial" w:eastAsia="Arial" w:hAnsi="Arial"/>
          <w:sz w:val="12"/>
          <w:szCs w:val="12"/>
          <w:color w:val="auto"/>
        </w:rPr>
      </w:pPr>
      <w:r>
        <w:rPr>
          <w:rFonts w:ascii="Arial" w:cs="Arial" w:eastAsia="Arial" w:hAnsi="Arial"/>
          <w:sz w:val="12"/>
          <w:szCs w:val="12"/>
          <w:color w:val="auto"/>
        </w:rPr>
        <w:t>Costs to secure resort accommodations for use in Getaways.</w:t>
      </w:r>
    </w:p>
    <w:p>
      <w:pPr>
        <w:spacing w:after="0" w:line="78" w:lineRule="exact"/>
        <w:rPr>
          <w:sz w:val="20"/>
          <w:szCs w:val="20"/>
          <w:color w:val="auto"/>
        </w:rPr>
      </w:pPr>
    </w:p>
    <w:p>
      <w:pPr>
        <w:ind w:right="180" w:firstLine="432"/>
        <w:spacing w:after="0" w:line="283" w:lineRule="auto"/>
        <w:rPr>
          <w:sz w:val="20"/>
          <w:szCs w:val="20"/>
          <w:color w:val="auto"/>
        </w:rPr>
      </w:pPr>
      <w:r>
        <w:rPr>
          <w:rFonts w:ascii="Arial" w:cs="Arial" w:eastAsia="Arial" w:hAnsi="Arial"/>
          <w:sz w:val="11"/>
          <w:szCs w:val="11"/>
          <w:color w:val="auto"/>
        </w:rPr>
        <w:t>Rental metrics, including the average daily transient rate or the number of transient keys rented, may not be comparable between periods given fluctuation in available occupancy by location, unit size (such as two bedroom, one bedroom or studio unit), owner use and exchange behavior. In addition, rental metrics may not correlate with rental revenues due to the requirement to report certain rental revenues net of rental expenses in accordance with ASC 978 (as discussed above). Further, as our ability to rent certain luxury and other inventory is often limited on a site-by-site basis, rental operations may not generate adequate rental revenues to cover associated costs. Our Vacation Ownership segment units are either “full villas” or “lock-off” villas. Lock-off villas are units that can be separated into a master unit and a guest room. Full villas are “non-lock-off” villas because they cannot be separated. A “key” is the lowest increment for reporting occupancy statistics based upon the mix of non-lock-off and lock-off villas. Lock-off villas typically represent two keys and non-lock-off villas represent one key. The “transient keys” metric represents the blended mix of inventory available for rent and includes all of the combined inventory configurations available in our resort system.</w:t>
      </w:r>
    </w:p>
    <w:p>
      <w:pPr>
        <w:spacing w:after="0" w:line="41"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Cost Reimbursements</w:t>
      </w:r>
    </w:p>
    <w:p>
      <w:pPr>
        <w:spacing w:after="0" w:line="78" w:lineRule="exact"/>
        <w:rPr>
          <w:sz w:val="20"/>
          <w:szCs w:val="20"/>
          <w:color w:val="auto"/>
        </w:rPr>
      </w:pPr>
    </w:p>
    <w:p>
      <w:pPr>
        <w:ind w:right="360" w:firstLine="432"/>
        <w:spacing w:after="0" w:line="323" w:lineRule="auto"/>
        <w:rPr>
          <w:sz w:val="20"/>
          <w:szCs w:val="20"/>
          <w:color w:val="auto"/>
        </w:rPr>
      </w:pPr>
      <w:r>
        <w:rPr>
          <w:rFonts w:ascii="Arial" w:cs="Arial" w:eastAsia="Arial" w:hAnsi="Arial"/>
          <w:sz w:val="11"/>
          <w:szCs w:val="11"/>
          <w:color w:val="auto"/>
        </w:rPr>
        <w:t>Cost reimbursements include direct and indirect costs that are reimbursed to us by customers under management contracts. All costs, with the exception of taxes assessed by a governmental authority, reimbursed to us by customers are reported on a gross basis. We recognize cost reimbursements when we incur the related reimbursable costs. Cost reimbursements consist of actual expenses with no added margin.</w:t>
      </w:r>
    </w:p>
    <w:p>
      <w:pPr>
        <w:spacing w:after="0" w:line="20"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Interest Expense</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Interest expense consists of all interest expense other than consumer financing interest expense, which is included within Financing expense.</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Transaction and Integration Costs</w:t>
      </w:r>
    </w:p>
    <w:p>
      <w:pPr>
        <w:spacing w:after="0" w:line="78" w:lineRule="exact"/>
        <w:rPr>
          <w:sz w:val="20"/>
          <w:szCs w:val="20"/>
          <w:color w:val="auto"/>
        </w:rPr>
      </w:pPr>
    </w:p>
    <w:p>
      <w:pPr>
        <w:jc w:val="both"/>
        <w:ind w:right="160" w:firstLine="432"/>
        <w:spacing w:after="0" w:line="263" w:lineRule="auto"/>
        <w:rPr>
          <w:sz w:val="20"/>
          <w:szCs w:val="20"/>
          <w:color w:val="auto"/>
        </w:rPr>
      </w:pPr>
      <w:r>
        <w:rPr>
          <w:rFonts w:ascii="Arial" w:cs="Arial" w:eastAsia="Arial" w:hAnsi="Arial"/>
          <w:sz w:val="12"/>
          <w:szCs w:val="12"/>
          <w:color w:val="auto"/>
        </w:rPr>
        <w:t>Transaction and integration costs represent costs related to the acquisitions of ILG and Welk, primarily for financial advisory, legal, and other professional service fees, as well as certain tax related accruals. Transaction and integration costs also include charges for employee retention, severance and other termination related benefits, fees paid to change management consultants and technology-related costs related to the integration and transformation of ILG and Welk.</w:t>
      </w:r>
    </w:p>
    <w:p>
      <w:pPr>
        <w:spacing w:after="0" w:line="50"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Other Items</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We measure operating performance using the following key metrics:</w:t>
      </w:r>
    </w:p>
    <w:p>
      <w:pPr>
        <w:spacing w:after="0" w:line="78" w:lineRule="exact"/>
        <w:rPr>
          <w:sz w:val="20"/>
          <w:szCs w:val="20"/>
          <w:color w:val="auto"/>
        </w:rPr>
      </w:pPr>
    </w:p>
    <w:p>
      <w:pPr>
        <w:ind w:left="860" w:hanging="220"/>
        <w:spacing w:after="0"/>
        <w:tabs>
          <w:tab w:leader="none" w:pos="860" w:val="left"/>
        </w:tabs>
        <w:numPr>
          <w:ilvl w:val="0"/>
          <w:numId w:val="32"/>
        </w:numPr>
        <w:rPr>
          <w:rFonts w:ascii="Arial" w:cs="Arial" w:eastAsia="Arial" w:hAnsi="Arial"/>
          <w:sz w:val="12"/>
          <w:szCs w:val="12"/>
          <w:color w:val="auto"/>
        </w:rPr>
      </w:pPr>
      <w:r>
        <w:rPr>
          <w:rFonts w:ascii="Arial" w:cs="Arial" w:eastAsia="Arial" w:hAnsi="Arial"/>
          <w:sz w:val="12"/>
          <w:szCs w:val="12"/>
          <w:color w:val="auto"/>
        </w:rPr>
        <w:t>Contract sales from the sale of vacation ownership products;</w:t>
      </w:r>
    </w:p>
    <w:p>
      <w:pPr>
        <w:spacing w:after="0" w:line="78" w:lineRule="exact"/>
        <w:rPr>
          <w:rFonts w:ascii="Arial" w:cs="Arial" w:eastAsia="Arial" w:hAnsi="Arial"/>
          <w:sz w:val="12"/>
          <w:szCs w:val="12"/>
          <w:color w:val="auto"/>
        </w:rPr>
      </w:pPr>
    </w:p>
    <w:p>
      <w:pPr>
        <w:ind w:left="1280" w:hanging="208"/>
        <w:spacing w:after="0"/>
        <w:tabs>
          <w:tab w:leader="none" w:pos="1280" w:val="left"/>
        </w:tabs>
        <w:numPr>
          <w:ilvl w:val="1"/>
          <w:numId w:val="32"/>
        </w:numPr>
        <w:rPr>
          <w:rFonts w:ascii="Arial" w:cs="Arial" w:eastAsia="Arial" w:hAnsi="Arial"/>
          <w:sz w:val="12"/>
          <w:szCs w:val="12"/>
          <w:color w:val="auto"/>
        </w:rPr>
      </w:pPr>
      <w:r>
        <w:rPr>
          <w:rFonts w:ascii="Arial" w:cs="Arial" w:eastAsia="Arial" w:hAnsi="Arial"/>
          <w:sz w:val="12"/>
          <w:szCs w:val="12"/>
          <w:color w:val="auto"/>
        </w:rPr>
        <w:t>Total contract sales include contract sales from the sale of vacation ownership products including joint ventures, and</w:t>
      </w:r>
    </w:p>
    <w:p>
      <w:pPr>
        <w:spacing w:after="0" w:line="42" w:lineRule="exact"/>
        <w:rPr>
          <w:rFonts w:ascii="Arial" w:cs="Arial" w:eastAsia="Arial" w:hAnsi="Arial"/>
          <w:sz w:val="12"/>
          <w:szCs w:val="12"/>
          <w:color w:val="auto"/>
        </w:rPr>
      </w:pPr>
    </w:p>
    <w:p>
      <w:pPr>
        <w:ind w:left="1280" w:hanging="208"/>
        <w:spacing w:after="0"/>
        <w:tabs>
          <w:tab w:leader="none" w:pos="1280" w:val="left"/>
        </w:tabs>
        <w:numPr>
          <w:ilvl w:val="1"/>
          <w:numId w:val="32"/>
        </w:numPr>
        <w:rPr>
          <w:rFonts w:ascii="Arial" w:cs="Arial" w:eastAsia="Arial" w:hAnsi="Arial"/>
          <w:sz w:val="12"/>
          <w:szCs w:val="12"/>
          <w:color w:val="auto"/>
        </w:rPr>
      </w:pPr>
      <w:r>
        <w:rPr>
          <w:rFonts w:ascii="Arial" w:cs="Arial" w:eastAsia="Arial" w:hAnsi="Arial"/>
          <w:sz w:val="12"/>
          <w:szCs w:val="12"/>
          <w:color w:val="auto"/>
        </w:rPr>
        <w:t>Consolidated contract sales exclude contract sales from the sale of vacation ownership products for non-consolidated joint ventures</w:t>
      </w:r>
    </w:p>
    <w:p>
      <w:pPr>
        <w:spacing w:after="0" w:line="78" w:lineRule="exact"/>
        <w:rPr>
          <w:rFonts w:ascii="Arial" w:cs="Arial" w:eastAsia="Arial" w:hAnsi="Arial"/>
          <w:sz w:val="12"/>
          <w:szCs w:val="12"/>
          <w:color w:val="auto"/>
        </w:rPr>
      </w:pPr>
    </w:p>
    <w:p>
      <w:pPr>
        <w:ind w:left="860" w:hanging="220"/>
        <w:spacing w:after="0"/>
        <w:tabs>
          <w:tab w:leader="none" w:pos="860" w:val="left"/>
        </w:tabs>
        <w:numPr>
          <w:ilvl w:val="0"/>
          <w:numId w:val="32"/>
        </w:numPr>
        <w:rPr>
          <w:rFonts w:ascii="Arial" w:cs="Arial" w:eastAsia="Arial" w:hAnsi="Arial"/>
          <w:sz w:val="12"/>
          <w:szCs w:val="12"/>
          <w:color w:val="auto"/>
        </w:rPr>
      </w:pPr>
      <w:r>
        <w:rPr>
          <w:rFonts w:ascii="Arial" w:cs="Arial" w:eastAsia="Arial" w:hAnsi="Arial"/>
          <w:sz w:val="12"/>
          <w:szCs w:val="12"/>
          <w:color w:val="auto"/>
        </w:rPr>
        <w:t>Development profit margin;</w:t>
      </w:r>
    </w:p>
    <w:p>
      <w:pPr>
        <w:spacing w:after="0" w:line="78" w:lineRule="exact"/>
        <w:rPr>
          <w:rFonts w:ascii="Arial" w:cs="Arial" w:eastAsia="Arial" w:hAnsi="Arial"/>
          <w:sz w:val="12"/>
          <w:szCs w:val="12"/>
          <w:color w:val="auto"/>
        </w:rPr>
      </w:pPr>
    </w:p>
    <w:p>
      <w:pPr>
        <w:ind w:left="860" w:hanging="220"/>
        <w:spacing w:after="0" w:line="263" w:lineRule="auto"/>
        <w:tabs>
          <w:tab w:leader="none" w:pos="857" w:val="left"/>
        </w:tabs>
        <w:numPr>
          <w:ilvl w:val="0"/>
          <w:numId w:val="32"/>
        </w:numPr>
        <w:rPr>
          <w:rFonts w:ascii="Arial" w:cs="Arial" w:eastAsia="Arial" w:hAnsi="Arial"/>
          <w:sz w:val="12"/>
          <w:szCs w:val="12"/>
          <w:color w:val="auto"/>
        </w:rPr>
      </w:pPr>
      <w:r>
        <w:rPr>
          <w:rFonts w:ascii="Arial" w:cs="Arial" w:eastAsia="Arial" w:hAnsi="Arial"/>
          <w:sz w:val="12"/>
          <w:szCs w:val="12"/>
          <w:color w:val="auto"/>
        </w:rPr>
        <w:t>Volume per guest (“VPG”), which we calculate by dividing consolidated vacation ownership contract sales, excluding fractional sales, telesales, resales, joint venture sales and other sales that are not attributed to a tour at a sales location, by the number of tours at sales locations in a given period (which we refer to as “tour flow”). We believe that this operating metric is valuable in evaluating the effectiveness of the sales process as it combines the impact of average contract price with the number of touring guests who make a purchase;</w:t>
      </w:r>
    </w:p>
    <w:p>
      <w:pPr>
        <w:spacing w:after="0" w:line="50" w:lineRule="exact"/>
        <w:rPr>
          <w:rFonts w:ascii="Arial" w:cs="Arial" w:eastAsia="Arial" w:hAnsi="Arial"/>
          <w:sz w:val="12"/>
          <w:szCs w:val="12"/>
          <w:color w:val="auto"/>
        </w:rPr>
      </w:pPr>
    </w:p>
    <w:p>
      <w:pPr>
        <w:ind w:left="860" w:hanging="220"/>
        <w:spacing w:after="0"/>
        <w:tabs>
          <w:tab w:leader="none" w:pos="860" w:val="left"/>
        </w:tabs>
        <w:numPr>
          <w:ilvl w:val="0"/>
          <w:numId w:val="32"/>
        </w:numPr>
        <w:rPr>
          <w:rFonts w:ascii="Arial" w:cs="Arial" w:eastAsia="Arial" w:hAnsi="Arial"/>
          <w:sz w:val="12"/>
          <w:szCs w:val="12"/>
          <w:color w:val="auto"/>
        </w:rPr>
      </w:pPr>
      <w:r>
        <w:rPr>
          <w:rFonts w:ascii="Arial" w:cs="Arial" w:eastAsia="Arial" w:hAnsi="Arial"/>
          <w:sz w:val="12"/>
          <w:szCs w:val="12"/>
          <w:color w:val="auto"/>
        </w:rPr>
        <w:t>Total active members, which is the number of Interval International network active members at the end of the applicable period; and</w:t>
      </w:r>
    </w:p>
    <w:p>
      <w:pPr>
        <w:spacing w:after="0" w:line="78" w:lineRule="exact"/>
        <w:rPr>
          <w:rFonts w:ascii="Arial" w:cs="Arial" w:eastAsia="Arial" w:hAnsi="Arial"/>
          <w:sz w:val="12"/>
          <w:szCs w:val="12"/>
          <w:color w:val="auto"/>
        </w:rPr>
      </w:pPr>
    </w:p>
    <w:p>
      <w:pPr>
        <w:ind w:left="860" w:right="120" w:hanging="220"/>
        <w:spacing w:after="0" w:line="276" w:lineRule="auto"/>
        <w:tabs>
          <w:tab w:leader="none" w:pos="857" w:val="left"/>
        </w:tabs>
        <w:numPr>
          <w:ilvl w:val="0"/>
          <w:numId w:val="32"/>
        </w:numPr>
        <w:rPr>
          <w:rFonts w:ascii="Arial" w:cs="Arial" w:eastAsia="Arial" w:hAnsi="Arial"/>
          <w:sz w:val="12"/>
          <w:szCs w:val="12"/>
          <w:color w:val="auto"/>
        </w:rPr>
      </w:pPr>
      <w:r>
        <w:rPr>
          <w:rFonts w:ascii="Arial" w:cs="Arial" w:eastAsia="Arial" w:hAnsi="Arial"/>
          <w:sz w:val="12"/>
          <w:szCs w:val="12"/>
          <w:color w:val="auto"/>
        </w:rPr>
        <w:t>Average revenue per member, which we calculate by dividing membership fee revenue, transaction revenue and other member revenue for the Interval International network by the monthly weighted average number of Interval International network active members during the applicable period.</w:t>
      </w:r>
    </w:p>
    <w:p>
      <w:pPr>
        <w:spacing w:after="0" w:line="106" w:lineRule="exact"/>
        <w:rPr>
          <w:sz w:val="20"/>
          <w:szCs w:val="20"/>
          <w:color w:val="auto"/>
        </w:rPr>
      </w:pPr>
    </w:p>
    <w:p>
      <w:pPr>
        <w:jc w:val="center"/>
        <w:ind w:left="440"/>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191135</wp:posOffset>
            </wp:positionV>
            <wp:extent cx="7203440"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48" w:name="page49"/>
    <w:bookmarkEnd w:id="48"/>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Consolidated Results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8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Three Months Ended</w:t>
            </w:r>
          </w:p>
        </w:tc>
        <w:tc>
          <w:tcPr>
            <w:tcW w:w="11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Six Months Ended</w:t>
            </w:r>
          </w:p>
        </w:tc>
        <w:tc>
          <w:tcPr>
            <w:tcW w:w="1140" w:type="dxa"/>
            <w:vAlign w:val="bottom"/>
            <w:tcBorders>
              <w:bottom w:val="single" w:sz="8" w:color="auto"/>
            </w:tcBorders>
          </w:tcPr>
          <w:p>
            <w:pPr>
              <w:spacing w:after="0"/>
              <w:rPr>
                <w:sz w:val="12"/>
                <w:szCs w:val="12"/>
                <w:color w:val="auto"/>
              </w:rPr>
            </w:pPr>
          </w:p>
        </w:tc>
      </w:tr>
      <w:tr>
        <w:trPr>
          <w:trHeight w:val="133"/>
        </w:trPr>
        <w:tc>
          <w:tcPr>
            <w:tcW w:w="4840" w:type="dxa"/>
            <w:vAlign w:val="bottom"/>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260" w:type="dxa"/>
            <w:vAlign w:val="bottom"/>
          </w:tcPr>
          <w:p>
            <w:pPr>
              <w:spacing w:after="0"/>
              <w:rPr>
                <w:sz w:val="11"/>
                <w:szCs w:val="11"/>
                <w:color w:val="auto"/>
              </w:rPr>
            </w:pPr>
          </w:p>
        </w:tc>
        <w:tc>
          <w:tcPr>
            <w:tcW w:w="1380" w:type="dxa"/>
            <w:vAlign w:val="bottom"/>
            <w:gridSpan w:val="2"/>
          </w:tcPr>
          <w:p>
            <w:pPr>
              <w:ind w:left="200"/>
              <w:spacing w:after="0"/>
              <w:rPr>
                <w:sz w:val="20"/>
                <w:szCs w:val="20"/>
                <w:color w:val="auto"/>
              </w:rPr>
            </w:pPr>
            <w:r>
              <w:rPr>
                <w:rFonts w:ascii="Arial" w:cs="Arial" w:eastAsia="Arial" w:hAnsi="Arial"/>
                <w:sz w:val="11"/>
                <w:szCs w:val="11"/>
                <w:b w:val="1"/>
                <w:bCs w:val="1"/>
                <w:color w:val="auto"/>
              </w:rPr>
              <w:t>June 30, 2021</w:t>
            </w:r>
          </w:p>
        </w:tc>
        <w:tc>
          <w:tcPr>
            <w:tcW w:w="440" w:type="dxa"/>
            <w:vAlign w:val="bottom"/>
          </w:tcPr>
          <w:p>
            <w:pPr>
              <w:spacing w:after="0"/>
              <w:rPr>
                <w:sz w:val="11"/>
                <w:szCs w:val="11"/>
                <w:color w:val="auto"/>
              </w:rPr>
            </w:pPr>
          </w:p>
        </w:tc>
        <w:tc>
          <w:tcPr>
            <w:tcW w:w="1100" w:type="dxa"/>
            <w:vAlign w:val="bottom"/>
          </w:tcPr>
          <w:p>
            <w:pPr>
              <w:jc w:val="right"/>
              <w:ind w:right="400"/>
              <w:spacing w:after="0"/>
              <w:rPr>
                <w:sz w:val="20"/>
                <w:szCs w:val="20"/>
                <w:color w:val="auto"/>
              </w:rPr>
            </w:pPr>
            <w:r>
              <w:rPr>
                <w:rFonts w:ascii="Arial" w:cs="Arial" w:eastAsia="Arial" w:hAnsi="Arial"/>
                <w:sz w:val="11"/>
                <w:szCs w:val="11"/>
                <w:b w:val="1"/>
                <w:bCs w:val="1"/>
                <w:color w:val="auto"/>
                <w:w w:val="86"/>
              </w:rPr>
              <w:t>June 30, 2020</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86"/>
              </w:rPr>
              <w:t>June 30, 2021</w:t>
            </w:r>
          </w:p>
        </w:tc>
        <w:tc>
          <w:tcPr>
            <w:tcW w:w="420" w:type="dxa"/>
            <w:vAlign w:val="bottom"/>
          </w:tcPr>
          <w:p>
            <w:pPr>
              <w:spacing w:after="0"/>
              <w:rPr>
                <w:sz w:val="11"/>
                <w:szCs w:val="11"/>
                <w:color w:val="auto"/>
              </w:rPr>
            </w:pPr>
          </w:p>
        </w:tc>
        <w:tc>
          <w:tcPr>
            <w:tcW w:w="1140" w:type="dxa"/>
            <w:vAlign w:val="bottom"/>
          </w:tcPr>
          <w:p>
            <w:pPr>
              <w:jc w:val="center"/>
              <w:ind w:right="360"/>
              <w:spacing w:after="0"/>
              <w:rPr>
                <w:sz w:val="20"/>
                <w:szCs w:val="20"/>
                <w:color w:val="auto"/>
              </w:rPr>
            </w:pPr>
            <w:r>
              <w:rPr>
                <w:rFonts w:ascii="Arial" w:cs="Arial" w:eastAsia="Arial" w:hAnsi="Arial"/>
                <w:sz w:val="11"/>
                <w:szCs w:val="11"/>
                <w:b w:val="1"/>
                <w:bCs w:val="1"/>
                <w:color w:val="auto"/>
                <w:w w:val="89"/>
              </w:rPr>
              <w:t>June 30, 2020</w:t>
            </w:r>
          </w:p>
        </w:tc>
      </w:tr>
      <w:tr>
        <w:trPr>
          <w:trHeight w:val="135"/>
        </w:trPr>
        <w:tc>
          <w:tcPr>
            <w:tcW w:w="4840" w:type="dxa"/>
            <w:vAlign w:val="bottom"/>
            <w:tcBorders>
              <w:top w:val="single" w:sz="8" w:color="CCEEFF"/>
            </w:tcBorders>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REVENUES</w:t>
            </w:r>
          </w:p>
        </w:tc>
        <w:tc>
          <w:tcPr>
            <w:tcW w:w="260" w:type="dxa"/>
            <w:vAlign w:val="bottom"/>
            <w:tcBorders>
              <w:top w:val="single" w:sz="8" w:color="auto"/>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r>
      <w:tr>
        <w:trPr>
          <w:trHeight w:val="153"/>
        </w:trPr>
        <w:tc>
          <w:tcPr>
            <w:tcW w:w="4840" w:type="dxa"/>
            <w:vAlign w:val="bottom"/>
          </w:tcPr>
          <w:p>
            <w:pPr>
              <w:ind w:left="140"/>
              <w:spacing w:after="0"/>
              <w:rPr>
                <w:sz w:val="20"/>
                <w:szCs w:val="20"/>
                <w:color w:val="auto"/>
              </w:rPr>
            </w:pPr>
            <w:r>
              <w:rPr>
                <w:rFonts w:ascii="Arial" w:cs="Arial" w:eastAsia="Arial" w:hAnsi="Arial"/>
                <w:sz w:val="12"/>
                <w:szCs w:val="12"/>
                <w:color w:val="auto"/>
              </w:rPr>
              <w:t>Sale of vacation ownership products</w:t>
            </w: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296</w:t>
            </w:r>
          </w:p>
        </w:tc>
        <w:tc>
          <w:tcPr>
            <w:tcW w:w="100" w:type="dxa"/>
            <w:vAlign w:val="bottom"/>
          </w:tcPr>
          <w:p>
            <w:pPr>
              <w:spacing w:after="0"/>
              <w:rPr>
                <w:sz w:val="13"/>
                <w:szCs w:val="13"/>
                <w:color w:val="auto"/>
              </w:rPr>
            </w:pPr>
          </w:p>
        </w:tc>
        <w:tc>
          <w:tcPr>
            <w:tcW w:w="440" w:type="dxa"/>
            <w:vAlign w:val="bottom"/>
          </w:tcPr>
          <w:p>
            <w:pPr>
              <w:jc w:val="right"/>
              <w:ind w:right="332"/>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53</w:t>
            </w:r>
          </w:p>
        </w:tc>
        <w:tc>
          <w:tcPr>
            <w:tcW w:w="80" w:type="dxa"/>
            <w:vAlign w:val="bottom"/>
          </w:tcPr>
          <w:p>
            <w:pPr>
              <w:spacing w:after="0"/>
              <w:rPr>
                <w:sz w:val="13"/>
                <w:szCs w:val="13"/>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459</w:t>
            </w:r>
          </w:p>
        </w:tc>
        <w:tc>
          <w:tcPr>
            <w:tcW w:w="80" w:type="dxa"/>
            <w:vAlign w:val="bottom"/>
          </w:tcPr>
          <w:p>
            <w:pPr>
              <w:spacing w:after="0"/>
              <w:rPr>
                <w:sz w:val="13"/>
                <w:szCs w:val="13"/>
                <w:color w:val="auto"/>
              </w:rPr>
            </w:pPr>
          </w:p>
        </w:tc>
        <w:tc>
          <w:tcPr>
            <w:tcW w:w="420" w:type="dxa"/>
            <w:vAlign w:val="bottom"/>
          </w:tcPr>
          <w:p>
            <w:pPr>
              <w:jc w:val="right"/>
              <w:ind w:right="280"/>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311</w:t>
            </w:r>
          </w:p>
        </w:tc>
      </w:tr>
      <w:tr>
        <w:trPr>
          <w:trHeight w:val="153"/>
        </w:trPr>
        <w:tc>
          <w:tcPr>
            <w:tcW w:w="48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Management and exchange</w:t>
            </w:r>
          </w:p>
        </w:tc>
        <w:tc>
          <w:tcPr>
            <w:tcW w:w="26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220</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145</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413</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372</w:t>
            </w:r>
          </w:p>
        </w:tc>
      </w:tr>
      <w:tr>
        <w:trPr>
          <w:trHeight w:val="153"/>
        </w:trPr>
        <w:tc>
          <w:tcPr>
            <w:tcW w:w="4840" w:type="dxa"/>
            <w:vAlign w:val="bottom"/>
          </w:tcPr>
          <w:p>
            <w:pPr>
              <w:ind w:left="140"/>
              <w:spacing w:after="0"/>
              <w:rPr>
                <w:sz w:val="20"/>
                <w:szCs w:val="20"/>
                <w:color w:val="auto"/>
              </w:rPr>
            </w:pPr>
            <w:r>
              <w:rPr>
                <w:rFonts w:ascii="Arial" w:cs="Arial" w:eastAsia="Arial" w:hAnsi="Arial"/>
                <w:sz w:val="12"/>
                <w:szCs w:val="12"/>
                <w:color w:val="auto"/>
              </w:rPr>
              <w:t>Rental</w:t>
            </w:r>
          </w:p>
        </w:tc>
        <w:tc>
          <w:tcPr>
            <w:tcW w:w="26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121</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18</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210</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153</w:t>
            </w:r>
          </w:p>
        </w:tc>
      </w:tr>
      <w:tr>
        <w:trPr>
          <w:trHeight w:val="153"/>
        </w:trPr>
        <w:tc>
          <w:tcPr>
            <w:tcW w:w="48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Financing</w:t>
            </w:r>
          </w:p>
        </w:tc>
        <w:tc>
          <w:tcPr>
            <w:tcW w:w="26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127</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142</w:t>
            </w:r>
          </w:p>
        </w:tc>
      </w:tr>
      <w:tr>
        <w:trPr>
          <w:trHeight w:val="153"/>
        </w:trPr>
        <w:tc>
          <w:tcPr>
            <w:tcW w:w="484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Cost reimbursements</w:t>
            </w:r>
          </w:p>
        </w:tc>
        <w:tc>
          <w:tcPr>
            <w:tcW w:w="2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274</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194</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529</w:t>
            </w:r>
          </w:p>
        </w:tc>
        <w:tc>
          <w:tcPr>
            <w:tcW w:w="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512</w:t>
            </w:r>
          </w:p>
        </w:tc>
      </w:tr>
      <w:tr>
        <w:trPr>
          <w:trHeight w:val="142"/>
        </w:trPr>
        <w:tc>
          <w:tcPr>
            <w:tcW w:w="4840" w:type="dxa"/>
            <w:vAlign w:val="bottom"/>
            <w:shd w:val="clear" w:color="auto" w:fill="CCEEFF"/>
          </w:tcPr>
          <w:p>
            <w:pPr>
              <w:ind w:left="300"/>
              <w:spacing w:after="0"/>
              <w:rPr>
                <w:sz w:val="20"/>
                <w:szCs w:val="20"/>
                <w:color w:val="auto"/>
              </w:rPr>
            </w:pPr>
            <w:r>
              <w:rPr>
                <w:rFonts w:ascii="Arial" w:cs="Arial" w:eastAsia="Arial" w:hAnsi="Arial"/>
                <w:sz w:val="12"/>
                <w:szCs w:val="12"/>
                <w:b w:val="1"/>
                <w:bCs w:val="1"/>
                <w:color w:val="auto"/>
              </w:rPr>
              <w:t>TOTAL REVENUES</w:t>
            </w:r>
          </w:p>
        </w:tc>
        <w:tc>
          <w:tcPr>
            <w:tcW w:w="26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979</w:t>
            </w:r>
          </w:p>
        </w:tc>
        <w:tc>
          <w:tcPr>
            <w:tcW w:w="100" w:type="dxa"/>
            <w:vAlign w:val="bottom"/>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480</w:t>
            </w:r>
          </w:p>
        </w:tc>
        <w:tc>
          <w:tcPr>
            <w:tcW w:w="8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1,738</w:t>
            </w:r>
          </w:p>
        </w:tc>
        <w:tc>
          <w:tcPr>
            <w:tcW w:w="80" w:type="dxa"/>
            <w:vAlign w:val="bottom"/>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1,490</w:t>
            </w:r>
          </w:p>
        </w:tc>
      </w:tr>
      <w:tr>
        <w:trPr>
          <w:trHeight w:val="133"/>
        </w:trPr>
        <w:tc>
          <w:tcPr>
            <w:tcW w:w="4840" w:type="dxa"/>
            <w:vAlign w:val="bottom"/>
          </w:tcPr>
          <w:p>
            <w:pPr>
              <w:spacing w:after="0" w:line="133" w:lineRule="exact"/>
              <w:rPr>
                <w:sz w:val="20"/>
                <w:szCs w:val="20"/>
                <w:color w:val="auto"/>
              </w:rPr>
            </w:pPr>
            <w:r>
              <w:rPr>
                <w:rFonts w:ascii="Arial" w:cs="Arial" w:eastAsia="Arial" w:hAnsi="Arial"/>
                <w:sz w:val="12"/>
                <w:szCs w:val="12"/>
                <w:b w:val="1"/>
                <w:bCs w:val="1"/>
                <w:color w:val="auto"/>
              </w:rPr>
              <w:t>EXPENSES</w:t>
            </w:r>
          </w:p>
        </w:tc>
        <w:tc>
          <w:tcPr>
            <w:tcW w:w="2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53"/>
        </w:trPr>
        <w:tc>
          <w:tcPr>
            <w:tcW w:w="48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Cost of vacation ownership products</w:t>
            </w:r>
          </w:p>
        </w:tc>
        <w:tc>
          <w:tcPr>
            <w:tcW w:w="26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107</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w:t>
            </w:r>
          </w:p>
        </w:tc>
      </w:tr>
      <w:tr>
        <w:trPr>
          <w:trHeight w:val="153"/>
        </w:trPr>
        <w:tc>
          <w:tcPr>
            <w:tcW w:w="4840" w:type="dxa"/>
            <w:vAlign w:val="bottom"/>
          </w:tcPr>
          <w:p>
            <w:pPr>
              <w:ind w:left="140"/>
              <w:spacing w:after="0"/>
              <w:rPr>
                <w:sz w:val="20"/>
                <w:szCs w:val="20"/>
                <w:color w:val="auto"/>
              </w:rPr>
            </w:pPr>
            <w:r>
              <w:rPr>
                <w:rFonts w:ascii="Arial" w:cs="Arial" w:eastAsia="Arial" w:hAnsi="Arial"/>
                <w:sz w:val="12"/>
                <w:szCs w:val="12"/>
                <w:color w:val="auto"/>
              </w:rPr>
              <w:t>Marketing and sales</w:t>
            </w:r>
          </w:p>
        </w:tc>
        <w:tc>
          <w:tcPr>
            <w:tcW w:w="26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164</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49</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273</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219</w:t>
            </w:r>
          </w:p>
        </w:tc>
      </w:tr>
      <w:tr>
        <w:trPr>
          <w:trHeight w:val="153"/>
        </w:trPr>
        <w:tc>
          <w:tcPr>
            <w:tcW w:w="48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Management and exchange</w:t>
            </w:r>
          </w:p>
        </w:tc>
        <w:tc>
          <w:tcPr>
            <w:tcW w:w="26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126</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243</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236</w:t>
            </w:r>
          </w:p>
        </w:tc>
      </w:tr>
      <w:tr>
        <w:trPr>
          <w:trHeight w:val="153"/>
        </w:trPr>
        <w:tc>
          <w:tcPr>
            <w:tcW w:w="4840" w:type="dxa"/>
            <w:vAlign w:val="bottom"/>
          </w:tcPr>
          <w:p>
            <w:pPr>
              <w:ind w:left="140"/>
              <w:spacing w:after="0"/>
              <w:rPr>
                <w:sz w:val="20"/>
                <w:szCs w:val="20"/>
                <w:color w:val="auto"/>
              </w:rPr>
            </w:pPr>
            <w:r>
              <w:rPr>
                <w:rFonts w:ascii="Arial" w:cs="Arial" w:eastAsia="Arial" w:hAnsi="Arial"/>
                <w:sz w:val="12"/>
                <w:szCs w:val="12"/>
                <w:color w:val="auto"/>
              </w:rPr>
              <w:t>Rental</w:t>
            </w:r>
          </w:p>
        </w:tc>
        <w:tc>
          <w:tcPr>
            <w:tcW w:w="26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81</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73</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163</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171</w:t>
            </w:r>
          </w:p>
        </w:tc>
      </w:tr>
      <w:tr>
        <w:trPr>
          <w:trHeight w:val="153"/>
        </w:trPr>
        <w:tc>
          <w:tcPr>
            <w:tcW w:w="48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Financing</w:t>
            </w:r>
          </w:p>
        </w:tc>
        <w:tc>
          <w:tcPr>
            <w:tcW w:w="26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w:t>
            </w:r>
          </w:p>
        </w:tc>
      </w:tr>
      <w:tr>
        <w:trPr>
          <w:trHeight w:val="153"/>
        </w:trPr>
        <w:tc>
          <w:tcPr>
            <w:tcW w:w="4840" w:type="dxa"/>
            <w:vAlign w:val="bottom"/>
          </w:tcPr>
          <w:p>
            <w:pPr>
              <w:ind w:left="140"/>
              <w:spacing w:after="0"/>
              <w:rPr>
                <w:sz w:val="20"/>
                <w:szCs w:val="20"/>
                <w:color w:val="auto"/>
              </w:rPr>
            </w:pPr>
            <w:r>
              <w:rPr>
                <w:rFonts w:ascii="Arial" w:cs="Arial" w:eastAsia="Arial" w:hAnsi="Arial"/>
                <w:sz w:val="12"/>
                <w:szCs w:val="12"/>
                <w:color w:val="auto"/>
              </w:rPr>
              <w:t>General and administrative</w:t>
            </w:r>
          </w:p>
        </w:tc>
        <w:tc>
          <w:tcPr>
            <w:tcW w:w="26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66</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19</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112</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89</w:t>
            </w:r>
          </w:p>
        </w:tc>
      </w:tr>
      <w:tr>
        <w:trPr>
          <w:trHeight w:val="153"/>
        </w:trPr>
        <w:tc>
          <w:tcPr>
            <w:tcW w:w="48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Depreciation and amortization</w:t>
            </w:r>
          </w:p>
        </w:tc>
        <w:tc>
          <w:tcPr>
            <w:tcW w:w="26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w:t>
            </w:r>
          </w:p>
        </w:tc>
      </w:tr>
      <w:tr>
        <w:trPr>
          <w:trHeight w:val="153"/>
        </w:trPr>
        <w:tc>
          <w:tcPr>
            <w:tcW w:w="4840" w:type="dxa"/>
            <w:vAlign w:val="bottom"/>
          </w:tcPr>
          <w:p>
            <w:pPr>
              <w:ind w:left="140"/>
              <w:spacing w:after="0"/>
              <w:rPr>
                <w:sz w:val="20"/>
                <w:szCs w:val="20"/>
                <w:color w:val="auto"/>
              </w:rPr>
            </w:pPr>
            <w:r>
              <w:rPr>
                <w:rFonts w:ascii="Arial" w:cs="Arial" w:eastAsia="Arial" w:hAnsi="Arial"/>
                <w:sz w:val="12"/>
                <w:szCs w:val="12"/>
                <w:color w:val="auto"/>
              </w:rPr>
              <w:t>Litigation charges</w:t>
            </w:r>
          </w:p>
        </w:tc>
        <w:tc>
          <w:tcPr>
            <w:tcW w:w="26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6</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2</w:t>
            </w:r>
          </w:p>
        </w:tc>
      </w:tr>
      <w:tr>
        <w:trPr>
          <w:trHeight w:val="153"/>
        </w:trPr>
        <w:tc>
          <w:tcPr>
            <w:tcW w:w="48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Royalty fee</w:t>
            </w:r>
          </w:p>
        </w:tc>
        <w:tc>
          <w:tcPr>
            <w:tcW w:w="26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w:t>
            </w:r>
          </w:p>
        </w:tc>
      </w:tr>
      <w:tr>
        <w:trPr>
          <w:trHeight w:val="153"/>
        </w:trPr>
        <w:tc>
          <w:tcPr>
            <w:tcW w:w="4840" w:type="dxa"/>
            <w:vAlign w:val="bottom"/>
          </w:tcPr>
          <w:p>
            <w:pPr>
              <w:ind w:left="140"/>
              <w:spacing w:after="0"/>
              <w:rPr>
                <w:sz w:val="20"/>
                <w:szCs w:val="20"/>
                <w:color w:val="auto"/>
              </w:rPr>
            </w:pPr>
            <w:r>
              <w:rPr>
                <w:rFonts w:ascii="Arial" w:cs="Arial" w:eastAsia="Arial" w:hAnsi="Arial"/>
                <w:sz w:val="12"/>
                <w:szCs w:val="12"/>
                <w:color w:val="auto"/>
              </w:rPr>
              <w:t>Impairment</w:t>
            </w:r>
          </w:p>
        </w:tc>
        <w:tc>
          <w:tcPr>
            <w:tcW w:w="26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5</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96</w:t>
            </w:r>
          </w:p>
        </w:tc>
      </w:tr>
      <w:tr>
        <w:trPr>
          <w:trHeight w:val="153"/>
        </w:trPr>
        <w:tc>
          <w:tcPr>
            <w:tcW w:w="48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Cost reimbursements</w:t>
            </w:r>
          </w:p>
        </w:tc>
        <w:tc>
          <w:tcPr>
            <w:tcW w:w="26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274</w:t>
            </w:r>
          </w:p>
        </w:tc>
        <w:tc>
          <w:tcPr>
            <w:tcW w:w="10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194</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529</w:t>
            </w:r>
          </w:p>
        </w:tc>
        <w:tc>
          <w:tcPr>
            <w:tcW w:w="8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512</w:t>
            </w:r>
          </w:p>
        </w:tc>
      </w:tr>
      <w:tr>
        <w:trPr>
          <w:trHeight w:val="142"/>
        </w:trPr>
        <w:tc>
          <w:tcPr>
            <w:tcW w:w="4840" w:type="dxa"/>
            <w:vAlign w:val="bottom"/>
            <w:tcBorders>
              <w:bottom w:val="single" w:sz="8" w:color="CCEEFF"/>
            </w:tcBorders>
          </w:tcPr>
          <w:p>
            <w:pPr>
              <w:ind w:left="300"/>
              <w:spacing w:after="0"/>
              <w:rPr>
                <w:sz w:val="20"/>
                <w:szCs w:val="20"/>
                <w:color w:val="auto"/>
              </w:rPr>
            </w:pPr>
            <w:r>
              <w:rPr>
                <w:rFonts w:ascii="Arial" w:cs="Arial" w:eastAsia="Arial" w:hAnsi="Arial"/>
                <w:sz w:val="12"/>
                <w:szCs w:val="12"/>
                <w:b w:val="1"/>
                <w:bCs w:val="1"/>
                <w:color w:val="auto"/>
              </w:rPr>
              <w:t>TOTAL EXPENSES</w:t>
            </w:r>
          </w:p>
        </w:tc>
        <w:tc>
          <w:tcPr>
            <w:tcW w:w="2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870</w:t>
            </w: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521</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1,609</w:t>
            </w:r>
          </w:p>
        </w:tc>
        <w:tc>
          <w:tcPr>
            <w:tcW w:w="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1,581</w:t>
            </w:r>
          </w:p>
        </w:tc>
      </w:tr>
      <w:tr>
        <w:trPr>
          <w:trHeight w:val="142"/>
        </w:trPr>
        <w:tc>
          <w:tcPr>
            <w:tcW w:w="48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(Losses) gains and other (expense) income, net</w:t>
            </w:r>
          </w:p>
        </w:tc>
        <w:tc>
          <w:tcPr>
            <w:tcW w:w="26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w:t>
            </w:r>
          </w:p>
        </w:tc>
      </w:tr>
      <w:tr>
        <w:trPr>
          <w:trHeight w:val="153"/>
        </w:trPr>
        <w:tc>
          <w:tcPr>
            <w:tcW w:w="4840" w:type="dxa"/>
            <w:vAlign w:val="bottom"/>
          </w:tcPr>
          <w:p>
            <w:pPr>
              <w:ind w:left="140"/>
              <w:spacing w:after="0"/>
              <w:rPr>
                <w:sz w:val="20"/>
                <w:szCs w:val="20"/>
                <w:color w:val="auto"/>
              </w:rPr>
            </w:pPr>
            <w:r>
              <w:rPr>
                <w:rFonts w:ascii="Arial" w:cs="Arial" w:eastAsia="Arial" w:hAnsi="Arial"/>
                <w:sz w:val="12"/>
                <w:szCs w:val="12"/>
                <w:color w:val="auto"/>
              </w:rPr>
              <w:t>Interest expense</w:t>
            </w:r>
          </w:p>
        </w:tc>
        <w:tc>
          <w:tcPr>
            <w:tcW w:w="26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(44)</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(42)</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(87)</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(75)</w:t>
            </w:r>
          </w:p>
        </w:tc>
      </w:tr>
      <w:tr>
        <w:trPr>
          <w:trHeight w:val="153"/>
        </w:trPr>
        <w:tc>
          <w:tcPr>
            <w:tcW w:w="48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Transaction and integration costs</w:t>
            </w:r>
          </w:p>
        </w:tc>
        <w:tc>
          <w:tcPr>
            <w:tcW w:w="26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w:t>
            </w:r>
          </w:p>
        </w:tc>
      </w:tr>
      <w:tr>
        <w:trPr>
          <w:trHeight w:val="153"/>
        </w:trPr>
        <w:tc>
          <w:tcPr>
            <w:tcW w:w="4840" w:type="dxa"/>
            <w:vAlign w:val="bottom"/>
          </w:tcPr>
          <w:p>
            <w:pPr>
              <w:ind w:left="140"/>
              <w:spacing w:after="0"/>
              <w:rPr>
                <w:sz w:val="20"/>
                <w:szCs w:val="20"/>
                <w:color w:val="auto"/>
              </w:rPr>
            </w:pPr>
            <w:r>
              <w:rPr>
                <w:rFonts w:ascii="Arial" w:cs="Arial" w:eastAsia="Arial" w:hAnsi="Arial"/>
                <w:sz w:val="12"/>
                <w:szCs w:val="12"/>
                <w:color w:val="auto"/>
              </w:rPr>
              <w:t>Other</w:t>
            </w:r>
          </w:p>
        </w:tc>
        <w:tc>
          <w:tcPr>
            <w:tcW w:w="26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2"/>
        </w:trPr>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INCOME (LOSS) BEFORE INCOME TAXES AND NONCONTROLLING INTERESTS</w:t>
            </w:r>
          </w:p>
        </w:tc>
        <w:tc>
          <w:tcPr>
            <w:tcW w:w="260" w:type="dxa"/>
            <w:vAlign w:val="bottom"/>
            <w:tcBorders>
              <w:top w:val="single" w:sz="8" w:color="auto"/>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w:t>
            </w:r>
          </w:p>
        </w:tc>
        <w:tc>
          <w:tcPr>
            <w:tcW w:w="10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(81)</w:t>
            </w: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(244)</w:t>
            </w:r>
          </w:p>
        </w:tc>
      </w:tr>
      <w:tr>
        <w:trPr>
          <w:trHeight w:val="153"/>
        </w:trPr>
        <w:tc>
          <w:tcPr>
            <w:tcW w:w="48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(Provision for) benefit from income taxes</w:t>
            </w:r>
          </w:p>
        </w:tc>
        <w:tc>
          <w:tcPr>
            <w:tcW w:w="2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w:t>
            </w:r>
          </w:p>
        </w:tc>
        <w:tc>
          <w:tcPr>
            <w:tcW w:w="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77</w:t>
            </w:r>
          </w:p>
        </w:tc>
      </w:tr>
      <w:tr>
        <w:trPr>
          <w:trHeight w:val="142"/>
        </w:trPr>
        <w:tc>
          <w:tcPr>
            <w:tcW w:w="48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NET INCOME (LOSS)</w:t>
            </w:r>
          </w:p>
        </w:tc>
        <w:tc>
          <w:tcPr>
            <w:tcW w:w="26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(167)</w:t>
            </w:r>
          </w:p>
        </w:tc>
      </w:tr>
      <w:tr>
        <w:trPr>
          <w:trHeight w:val="153"/>
        </w:trPr>
        <w:tc>
          <w:tcPr>
            <w:tcW w:w="48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Net income attributable to noncontrolling interests</w:t>
            </w:r>
          </w:p>
        </w:tc>
        <w:tc>
          <w:tcPr>
            <w:tcW w:w="2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w:t>
            </w:r>
          </w:p>
        </w:tc>
        <w:tc>
          <w:tcPr>
            <w:tcW w:w="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w:t>
            </w:r>
          </w:p>
        </w:tc>
      </w:tr>
      <w:tr>
        <w:trPr>
          <w:trHeight w:val="162"/>
        </w:trPr>
        <w:tc>
          <w:tcPr>
            <w:tcW w:w="4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NET INCOME (LOSS) ATTRIBUTABLE TO COMMON SHAREHOLDERS</w:t>
            </w:r>
          </w:p>
        </w:tc>
        <w:tc>
          <w:tcPr>
            <w:tcW w:w="2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1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(70)</w:t>
            </w: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w:t>
            </w:r>
          </w:p>
        </w:tc>
        <w:tc>
          <w:tcPr>
            <w:tcW w:w="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(176)</w:t>
            </w:r>
          </w:p>
        </w:tc>
      </w:tr>
      <w:tr>
        <w:trPr>
          <w:trHeight w:val="383"/>
        </w:trPr>
        <w:tc>
          <w:tcPr>
            <w:tcW w:w="4840" w:type="dxa"/>
            <w:vAlign w:val="bottom"/>
          </w:tcPr>
          <w:p>
            <w:pPr>
              <w:spacing w:after="0"/>
              <w:rPr>
                <w:sz w:val="20"/>
                <w:szCs w:val="20"/>
                <w:color w:val="auto"/>
              </w:rPr>
            </w:pPr>
            <w:r>
              <w:rPr>
                <w:rFonts w:ascii="Arial" w:cs="Arial" w:eastAsia="Arial" w:hAnsi="Arial"/>
                <w:sz w:val="12"/>
                <w:szCs w:val="12"/>
                <w:b w:val="1"/>
                <w:bCs w:val="1"/>
                <w:color w:val="auto"/>
              </w:rPr>
              <w:t>Operating Statistics</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2"/>
                <w:szCs w:val="12"/>
                <w:i w:val="1"/>
                <w:iCs w:val="1"/>
                <w:color w:val="auto"/>
              </w:rPr>
              <w:t>2021 Second Quarter</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158"/>
        </w:trPr>
        <w:tc>
          <w:tcPr>
            <w:tcW w:w="48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Three Months Ended</w:t>
            </w:r>
          </w:p>
        </w:tc>
        <w:tc>
          <w:tcPr>
            <w:tcW w:w="11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35"/>
        </w:trPr>
        <w:tc>
          <w:tcPr>
            <w:tcW w:w="4840" w:type="dxa"/>
            <w:vAlign w:val="bottom"/>
          </w:tcPr>
          <w:p>
            <w:pPr>
              <w:spacing w:after="0"/>
              <w:rPr>
                <w:sz w:val="20"/>
                <w:szCs w:val="20"/>
                <w:color w:val="auto"/>
              </w:rPr>
            </w:pPr>
            <w:r>
              <w:rPr>
                <w:rFonts w:ascii="Arial" w:cs="Arial" w:eastAsia="Arial" w:hAnsi="Arial"/>
                <w:sz w:val="10"/>
                <w:szCs w:val="10"/>
                <w:b w:val="1"/>
                <w:bCs w:val="1"/>
                <w:i w:val="1"/>
                <w:iCs w:val="1"/>
                <w:color w:val="auto"/>
              </w:rPr>
              <w:t>(Contract sales $ in millions)</w:t>
            </w:r>
          </w:p>
        </w:tc>
        <w:tc>
          <w:tcPr>
            <w:tcW w:w="260" w:type="dxa"/>
            <w:vAlign w:val="bottom"/>
          </w:tcPr>
          <w:p>
            <w:pPr>
              <w:spacing w:after="0"/>
              <w:rPr>
                <w:sz w:val="11"/>
                <w:szCs w:val="11"/>
                <w:color w:val="auto"/>
              </w:rPr>
            </w:pPr>
          </w:p>
        </w:tc>
        <w:tc>
          <w:tcPr>
            <w:tcW w:w="1380" w:type="dxa"/>
            <w:vAlign w:val="bottom"/>
            <w:gridSpan w:val="2"/>
          </w:tcPr>
          <w:p>
            <w:pPr>
              <w:ind w:left="200"/>
              <w:spacing w:after="0"/>
              <w:rPr>
                <w:sz w:val="20"/>
                <w:szCs w:val="20"/>
                <w:color w:val="auto"/>
              </w:rPr>
            </w:pPr>
            <w:r>
              <w:rPr>
                <w:rFonts w:ascii="Arial" w:cs="Arial" w:eastAsia="Arial" w:hAnsi="Arial"/>
                <w:sz w:val="11"/>
                <w:szCs w:val="11"/>
                <w:b w:val="1"/>
                <w:bCs w:val="1"/>
                <w:color w:val="auto"/>
              </w:rPr>
              <w:t>June 30, 2021</w:t>
            </w:r>
          </w:p>
        </w:tc>
        <w:tc>
          <w:tcPr>
            <w:tcW w:w="440" w:type="dxa"/>
            <w:vAlign w:val="bottom"/>
          </w:tcPr>
          <w:p>
            <w:pPr>
              <w:spacing w:after="0"/>
              <w:rPr>
                <w:sz w:val="11"/>
                <w:szCs w:val="11"/>
                <w:color w:val="auto"/>
              </w:rPr>
            </w:pPr>
          </w:p>
        </w:tc>
        <w:tc>
          <w:tcPr>
            <w:tcW w:w="1100" w:type="dxa"/>
            <w:vAlign w:val="bottom"/>
          </w:tcPr>
          <w:p>
            <w:pPr>
              <w:jc w:val="right"/>
              <w:ind w:right="400"/>
              <w:spacing w:after="0"/>
              <w:rPr>
                <w:sz w:val="20"/>
                <w:szCs w:val="20"/>
                <w:color w:val="auto"/>
              </w:rPr>
            </w:pPr>
            <w:r>
              <w:rPr>
                <w:rFonts w:ascii="Arial" w:cs="Arial" w:eastAsia="Arial" w:hAnsi="Arial"/>
                <w:sz w:val="11"/>
                <w:szCs w:val="11"/>
                <w:b w:val="1"/>
                <w:bCs w:val="1"/>
                <w:color w:val="auto"/>
                <w:w w:val="86"/>
              </w:rPr>
              <w:t>June 30, 2020</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89"/>
              </w:rPr>
              <w:t>Change</w:t>
            </w:r>
          </w:p>
        </w:tc>
        <w:tc>
          <w:tcPr>
            <w:tcW w:w="420" w:type="dxa"/>
            <w:vAlign w:val="bottom"/>
          </w:tcPr>
          <w:p>
            <w:pPr>
              <w:spacing w:after="0"/>
              <w:rPr>
                <w:sz w:val="11"/>
                <w:szCs w:val="11"/>
                <w:color w:val="auto"/>
              </w:rPr>
            </w:pPr>
          </w:p>
        </w:tc>
        <w:tc>
          <w:tcPr>
            <w:tcW w:w="1140" w:type="dxa"/>
            <w:vAlign w:val="bottom"/>
          </w:tcPr>
          <w:p>
            <w:pPr>
              <w:jc w:val="center"/>
              <w:ind w:right="360"/>
              <w:spacing w:after="0"/>
              <w:rPr>
                <w:sz w:val="20"/>
                <w:szCs w:val="20"/>
                <w:color w:val="auto"/>
              </w:rPr>
            </w:pPr>
            <w:r>
              <w:rPr>
                <w:rFonts w:ascii="Arial" w:cs="Arial" w:eastAsia="Arial" w:hAnsi="Arial"/>
                <w:sz w:val="11"/>
                <w:szCs w:val="11"/>
                <w:b w:val="1"/>
                <w:bCs w:val="1"/>
                <w:color w:val="auto"/>
                <w:w w:val="90"/>
              </w:rPr>
              <w:t>% Change</w:t>
            </w:r>
          </w:p>
        </w:tc>
      </w:tr>
      <w:tr>
        <w:trPr>
          <w:trHeight w:val="135"/>
        </w:trPr>
        <w:tc>
          <w:tcPr>
            <w:tcW w:w="4840" w:type="dxa"/>
            <w:vAlign w:val="bottom"/>
            <w:tcBorders>
              <w:top w:val="single" w:sz="8" w:color="CCEEFF"/>
            </w:tcBorders>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Vacation Ownership</w:t>
            </w:r>
          </w:p>
        </w:tc>
        <w:tc>
          <w:tcPr>
            <w:tcW w:w="260" w:type="dxa"/>
            <w:vAlign w:val="bottom"/>
            <w:tcBorders>
              <w:top w:val="single" w:sz="8" w:color="auto"/>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r>
      <w:tr>
        <w:trPr>
          <w:trHeight w:val="153"/>
        </w:trPr>
        <w:tc>
          <w:tcPr>
            <w:tcW w:w="4840" w:type="dxa"/>
            <w:vAlign w:val="bottom"/>
          </w:tcPr>
          <w:p>
            <w:pPr>
              <w:ind w:left="140"/>
              <w:spacing w:after="0"/>
              <w:rPr>
                <w:sz w:val="20"/>
                <w:szCs w:val="20"/>
                <w:color w:val="auto"/>
              </w:rPr>
            </w:pPr>
            <w:r>
              <w:rPr>
                <w:rFonts w:ascii="Arial" w:cs="Arial" w:eastAsia="Arial" w:hAnsi="Arial"/>
                <w:sz w:val="12"/>
                <w:szCs w:val="12"/>
                <w:color w:val="auto"/>
              </w:rPr>
              <w:t>Total contract sales</w:t>
            </w: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372</w:t>
            </w:r>
          </w:p>
        </w:tc>
        <w:tc>
          <w:tcPr>
            <w:tcW w:w="100" w:type="dxa"/>
            <w:vAlign w:val="bottom"/>
          </w:tcPr>
          <w:p>
            <w:pPr>
              <w:spacing w:after="0"/>
              <w:rPr>
                <w:sz w:val="13"/>
                <w:szCs w:val="13"/>
                <w:color w:val="auto"/>
              </w:rPr>
            </w:pPr>
          </w:p>
        </w:tc>
        <w:tc>
          <w:tcPr>
            <w:tcW w:w="440" w:type="dxa"/>
            <w:vAlign w:val="bottom"/>
          </w:tcPr>
          <w:p>
            <w:pPr>
              <w:jc w:val="right"/>
              <w:ind w:right="332"/>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30</w:t>
            </w:r>
          </w:p>
        </w:tc>
        <w:tc>
          <w:tcPr>
            <w:tcW w:w="80" w:type="dxa"/>
            <w:vAlign w:val="bottom"/>
          </w:tcPr>
          <w:p>
            <w:pPr>
              <w:spacing w:after="0"/>
              <w:rPr>
                <w:sz w:val="13"/>
                <w:szCs w:val="13"/>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342</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tcPr>
          <w:p>
            <w:pPr>
              <w:jc w:val="center"/>
              <w:ind w:right="360"/>
              <w:spacing w:after="0"/>
              <w:rPr>
                <w:sz w:val="20"/>
                <w:szCs w:val="20"/>
                <w:color w:val="auto"/>
              </w:rPr>
            </w:pPr>
            <w:r>
              <w:rPr>
                <w:rFonts w:ascii="Arial" w:cs="Arial" w:eastAsia="Arial" w:hAnsi="Arial"/>
                <w:sz w:val="12"/>
                <w:szCs w:val="12"/>
                <w:color w:val="auto"/>
              </w:rPr>
              <w:t>NM</w:t>
            </w:r>
          </w:p>
        </w:tc>
      </w:tr>
      <w:tr>
        <w:trPr>
          <w:trHeight w:val="153"/>
        </w:trPr>
        <w:tc>
          <w:tcPr>
            <w:tcW w:w="48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Consolidated contract sales</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362</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32"/>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332</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140" w:type="dxa"/>
            <w:vAlign w:val="bottom"/>
            <w:shd w:val="clear" w:color="auto" w:fill="CCEEFF"/>
          </w:tcPr>
          <w:p>
            <w:pPr>
              <w:jc w:val="center"/>
              <w:ind w:right="360"/>
              <w:spacing w:after="0"/>
              <w:rPr>
                <w:sz w:val="20"/>
                <w:szCs w:val="20"/>
                <w:color w:val="auto"/>
              </w:rPr>
            </w:pPr>
            <w:r>
              <w:rPr>
                <w:rFonts w:ascii="Arial" w:cs="Arial" w:eastAsia="Arial" w:hAnsi="Arial"/>
                <w:sz w:val="12"/>
                <w:szCs w:val="12"/>
                <w:color w:val="auto"/>
              </w:rPr>
              <w:t>NM</w:t>
            </w:r>
          </w:p>
        </w:tc>
      </w:tr>
      <w:tr>
        <w:trPr>
          <w:trHeight w:val="153"/>
        </w:trPr>
        <w:tc>
          <w:tcPr>
            <w:tcW w:w="4840" w:type="dxa"/>
            <w:vAlign w:val="bottom"/>
          </w:tcPr>
          <w:p>
            <w:pPr>
              <w:ind w:left="140"/>
              <w:spacing w:after="0"/>
              <w:rPr>
                <w:sz w:val="20"/>
                <w:szCs w:val="20"/>
                <w:color w:val="auto"/>
              </w:rPr>
            </w:pPr>
            <w:r>
              <w:rPr>
                <w:rFonts w:ascii="Arial" w:cs="Arial" w:eastAsia="Arial" w:hAnsi="Arial"/>
                <w:sz w:val="12"/>
                <w:szCs w:val="12"/>
                <w:color w:val="auto"/>
              </w:rPr>
              <w:t>Joint venture contract sales</w:t>
            </w: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3"/>
                <w:szCs w:val="13"/>
                <w:color w:val="auto"/>
              </w:rPr>
            </w:pPr>
          </w:p>
        </w:tc>
        <w:tc>
          <w:tcPr>
            <w:tcW w:w="440" w:type="dxa"/>
            <w:vAlign w:val="bottom"/>
          </w:tcPr>
          <w:p>
            <w:pPr>
              <w:jc w:val="right"/>
              <w:ind w:right="332"/>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10</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tcPr>
          <w:p>
            <w:pPr>
              <w:jc w:val="center"/>
              <w:ind w:right="360"/>
              <w:spacing w:after="0"/>
              <w:rPr>
                <w:sz w:val="20"/>
                <w:szCs w:val="20"/>
                <w:color w:val="auto"/>
              </w:rPr>
            </w:pPr>
            <w:r>
              <w:rPr>
                <w:rFonts w:ascii="Arial" w:cs="Arial" w:eastAsia="Arial" w:hAnsi="Arial"/>
                <w:sz w:val="12"/>
                <w:szCs w:val="12"/>
                <w:color w:val="auto"/>
              </w:rPr>
              <w:t>NM</w:t>
            </w:r>
          </w:p>
        </w:tc>
      </w:tr>
      <w:tr>
        <w:trPr>
          <w:trHeight w:val="153"/>
        </w:trPr>
        <w:tc>
          <w:tcPr>
            <w:tcW w:w="48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Exchange &amp; Third-Party Management</w:t>
            </w:r>
          </w:p>
        </w:tc>
        <w:tc>
          <w:tcPr>
            <w:tcW w:w="26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53"/>
        </w:trPr>
        <w:tc>
          <w:tcPr>
            <w:tcW w:w="4840" w:type="dxa"/>
            <w:vAlign w:val="bottom"/>
          </w:tcPr>
          <w:p>
            <w:pPr>
              <w:ind w:left="140"/>
              <w:spacing w:after="0"/>
              <w:rPr>
                <w:sz w:val="20"/>
                <w:szCs w:val="20"/>
                <w:color w:val="auto"/>
              </w:rPr>
            </w:pPr>
            <w:r>
              <w:rPr>
                <w:rFonts w:ascii="Arial" w:cs="Arial" w:eastAsia="Arial" w:hAnsi="Arial"/>
                <w:sz w:val="12"/>
                <w:szCs w:val="12"/>
                <w:color w:val="auto"/>
              </w:rPr>
              <w:t>Total active members at end of period (000's)</w:t>
            </w:r>
            <w:r>
              <w:rPr>
                <w:rFonts w:ascii="Arial" w:cs="Arial" w:eastAsia="Arial" w:hAnsi="Arial"/>
                <w:sz w:val="6"/>
                <w:szCs w:val="6"/>
                <w:color w:val="auto"/>
              </w:rPr>
              <w:t>(1)</w:t>
            </w:r>
          </w:p>
        </w:tc>
        <w:tc>
          <w:tcPr>
            <w:tcW w:w="26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1,321</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1,571</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(250)</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tcPr>
          <w:p>
            <w:pPr>
              <w:jc w:val="right"/>
              <w:ind w:right="560"/>
              <w:spacing w:after="0"/>
              <w:rPr>
                <w:sz w:val="20"/>
                <w:szCs w:val="20"/>
                <w:color w:val="auto"/>
              </w:rPr>
            </w:pPr>
            <w:r>
              <w:rPr>
                <w:rFonts w:ascii="Arial" w:cs="Arial" w:eastAsia="Arial" w:hAnsi="Arial"/>
                <w:sz w:val="12"/>
                <w:szCs w:val="12"/>
                <w:color w:val="auto"/>
              </w:rPr>
              <w:t>(16%)</w:t>
            </w:r>
          </w:p>
        </w:tc>
      </w:tr>
      <w:tr>
        <w:trPr>
          <w:trHeight w:val="153"/>
        </w:trPr>
        <w:tc>
          <w:tcPr>
            <w:tcW w:w="48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Average revenue per member</w:t>
            </w:r>
            <w:r>
              <w:rPr>
                <w:rFonts w:ascii="Arial" w:cs="Arial" w:eastAsia="Arial" w:hAnsi="Arial"/>
                <w:sz w:val="6"/>
                <w:szCs w:val="6"/>
                <w:color w:val="auto"/>
              </w:rPr>
              <w:t>(1)</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46.36</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32"/>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30.17</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16.19</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600"/>
              <w:spacing w:after="0"/>
              <w:rPr>
                <w:sz w:val="20"/>
                <w:szCs w:val="20"/>
                <w:color w:val="auto"/>
              </w:rPr>
            </w:pPr>
            <w:r>
              <w:rPr>
                <w:rFonts w:ascii="Arial" w:cs="Arial" w:eastAsia="Arial" w:hAnsi="Arial"/>
                <w:sz w:val="12"/>
                <w:szCs w:val="12"/>
                <w:color w:val="auto"/>
              </w:rPr>
              <w:t>54%</w:t>
            </w:r>
          </w:p>
        </w:tc>
      </w:tr>
    </w:tbl>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920" w:type="dxa"/>
            <w:vAlign w:val="bottom"/>
            <w:gridSpan w:val="2"/>
          </w:tcPr>
          <w:p>
            <w:pPr>
              <w:spacing w:after="0"/>
              <w:rPr>
                <w:sz w:val="20"/>
                <w:szCs w:val="20"/>
                <w:color w:val="auto"/>
              </w:rPr>
            </w:pPr>
            <w:r>
              <w:rPr>
                <w:rFonts w:ascii="Arial" w:cs="Arial" w:eastAsia="Arial" w:hAnsi="Arial"/>
                <w:sz w:val="12"/>
                <w:szCs w:val="12"/>
                <w:color w:val="auto"/>
              </w:rPr>
              <w:t>_______________</w:t>
            </w:r>
          </w:p>
        </w:tc>
        <w:tc>
          <w:tcPr>
            <w:tcW w:w="0" w:type="dxa"/>
            <w:vAlign w:val="bottom"/>
          </w:tcPr>
          <w:p>
            <w:pPr>
              <w:spacing w:after="0"/>
              <w:rPr>
                <w:sz w:val="1"/>
                <w:szCs w:val="1"/>
                <w:color w:val="auto"/>
              </w:rPr>
            </w:pPr>
          </w:p>
        </w:tc>
      </w:tr>
      <w:tr>
        <w:trPr>
          <w:trHeight w:val="130"/>
        </w:trPr>
        <w:tc>
          <w:tcPr>
            <w:tcW w:w="240" w:type="dxa"/>
            <w:vAlign w:val="bottom"/>
          </w:tcPr>
          <w:p>
            <w:pPr>
              <w:spacing w:after="0"/>
              <w:rPr>
                <w:sz w:val="20"/>
                <w:szCs w:val="20"/>
                <w:color w:val="auto"/>
              </w:rPr>
            </w:pPr>
            <w:r>
              <w:rPr>
                <w:rFonts w:ascii="Arial" w:cs="Arial" w:eastAsia="Arial" w:hAnsi="Arial"/>
                <w:sz w:val="8"/>
                <w:szCs w:val="8"/>
                <w:color w:val="auto"/>
              </w:rPr>
              <w:t>(1)</w:t>
            </w:r>
          </w:p>
        </w:tc>
        <w:tc>
          <w:tcPr>
            <w:tcW w:w="5680" w:type="dxa"/>
            <w:vAlign w:val="bottom"/>
            <w:vMerge w:val="restart"/>
          </w:tcPr>
          <w:p>
            <w:pPr>
              <w:jc w:val="right"/>
              <w:ind w:right="2020"/>
              <w:spacing w:after="0"/>
              <w:rPr>
                <w:sz w:val="20"/>
                <w:szCs w:val="20"/>
                <w:color w:val="auto"/>
              </w:rPr>
            </w:pPr>
            <w:r>
              <w:rPr>
                <w:rFonts w:ascii="Arial" w:cs="Arial" w:eastAsia="Arial" w:hAnsi="Arial"/>
                <w:sz w:val="12"/>
                <w:szCs w:val="12"/>
                <w:color w:val="auto"/>
                <w:w w:val="95"/>
              </w:rPr>
              <w:t>Only includes members of the Interval International exchange network.</w:t>
            </w:r>
          </w:p>
        </w:tc>
        <w:tc>
          <w:tcPr>
            <w:tcW w:w="0" w:type="dxa"/>
            <w:vAlign w:val="bottom"/>
          </w:tcPr>
          <w:p>
            <w:pPr>
              <w:spacing w:after="0"/>
              <w:rPr>
                <w:sz w:val="1"/>
                <w:szCs w:val="1"/>
                <w:color w:val="auto"/>
              </w:rPr>
            </w:pPr>
          </w:p>
        </w:tc>
      </w:tr>
      <w:tr>
        <w:trPr>
          <w:trHeight w:val="50"/>
        </w:trPr>
        <w:tc>
          <w:tcPr>
            <w:tcW w:w="240" w:type="dxa"/>
            <w:vAlign w:val="bottom"/>
          </w:tcPr>
          <w:p>
            <w:pPr>
              <w:spacing w:after="0"/>
              <w:rPr>
                <w:sz w:val="4"/>
                <w:szCs w:val="4"/>
                <w:color w:val="auto"/>
              </w:rPr>
            </w:pPr>
          </w:p>
        </w:tc>
        <w:tc>
          <w:tcPr>
            <w:tcW w:w="5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5920" w:type="dxa"/>
            <w:vAlign w:val="bottom"/>
            <w:gridSpan w:val="2"/>
          </w:tcPr>
          <w:p>
            <w:pPr>
              <w:spacing w:after="0"/>
              <w:rPr>
                <w:sz w:val="20"/>
                <w:szCs w:val="20"/>
                <w:color w:val="auto"/>
              </w:rPr>
            </w:pPr>
            <w:r>
              <w:rPr>
                <w:rFonts w:ascii="Arial" w:cs="Arial" w:eastAsia="Arial" w:hAnsi="Arial"/>
                <w:sz w:val="12"/>
                <w:szCs w:val="12"/>
                <w:color w:val="auto"/>
              </w:rPr>
              <w:t>NM Not meaningful</w:t>
            </w:r>
          </w:p>
        </w:tc>
        <w:tc>
          <w:tcPr>
            <w:tcW w:w="0" w:type="dxa"/>
            <w:vAlign w:val="bottom"/>
          </w:tcPr>
          <w:p>
            <w:pPr>
              <w:spacing w:after="0"/>
              <w:rPr>
                <w:sz w:val="1"/>
                <w:szCs w:val="1"/>
                <w:color w:val="auto"/>
              </w:rPr>
            </w:pPr>
          </w:p>
        </w:tc>
      </w:tr>
      <w:tr>
        <w:trPr>
          <w:trHeight w:val="279"/>
        </w:trPr>
        <w:tc>
          <w:tcPr>
            <w:tcW w:w="240" w:type="dxa"/>
            <w:vAlign w:val="bottom"/>
          </w:tcPr>
          <w:p>
            <w:pPr>
              <w:spacing w:after="0"/>
              <w:rPr>
                <w:sz w:val="24"/>
                <w:szCs w:val="24"/>
                <w:color w:val="auto"/>
              </w:rPr>
            </w:pPr>
          </w:p>
        </w:tc>
        <w:tc>
          <w:tcPr>
            <w:tcW w:w="5680" w:type="dxa"/>
            <w:vAlign w:val="bottom"/>
          </w:tcPr>
          <w:p>
            <w:pPr>
              <w:jc w:val="right"/>
              <w:spacing w:after="0"/>
              <w:rPr>
                <w:sz w:val="20"/>
                <w:szCs w:val="20"/>
                <w:color w:val="auto"/>
              </w:rPr>
            </w:pPr>
            <w:r>
              <w:rPr>
                <w:rFonts w:ascii="Arial" w:cs="Arial" w:eastAsia="Arial" w:hAnsi="Arial"/>
                <w:sz w:val="12"/>
                <w:szCs w:val="12"/>
                <w:color w:val="auto"/>
              </w:rPr>
              <w:t>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181610</wp:posOffset>
            </wp:positionV>
            <wp:extent cx="7203440"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49" w:name="page50"/>
    <w:bookmarkEnd w:id="49"/>
    <w:p>
      <w:pPr>
        <w:ind w:left="8"/>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83"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2021 First Half</w:t>
      </w:r>
    </w:p>
    <w:p>
      <w:pPr>
        <w:spacing w:after="0" w:line="33" w:lineRule="exact"/>
        <w:rPr>
          <w:sz w:val="20"/>
          <w:szCs w:val="20"/>
          <w:color w:val="auto"/>
        </w:rPr>
      </w:pPr>
    </w:p>
    <w:tbl>
      <w:tblPr>
        <w:tblLayout w:type="fixed"/>
        <w:tblInd w:w="8" w:type="dxa"/>
        <w:tblCellMar>
          <w:top w:w="0" w:type="dxa"/>
          <w:left w:w="0" w:type="dxa"/>
          <w:bottom w:w="0" w:type="dxa"/>
          <w:right w:w="0" w:type="dxa"/>
        </w:tblCellMar>
      </w:tblPr>
      <w:tr>
        <w:trPr>
          <w:trHeight w:val="140"/>
        </w:trPr>
        <w:tc>
          <w:tcPr>
            <w:tcW w:w="48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Six Months Ended</w:t>
            </w:r>
          </w:p>
        </w:tc>
        <w:tc>
          <w:tcPr>
            <w:tcW w:w="11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135"/>
        </w:trPr>
        <w:tc>
          <w:tcPr>
            <w:tcW w:w="4840" w:type="dxa"/>
            <w:vAlign w:val="bottom"/>
          </w:tcPr>
          <w:p>
            <w:pPr>
              <w:spacing w:after="0"/>
              <w:rPr>
                <w:sz w:val="20"/>
                <w:szCs w:val="20"/>
                <w:color w:val="auto"/>
              </w:rPr>
            </w:pPr>
            <w:r>
              <w:rPr>
                <w:rFonts w:ascii="Arial" w:cs="Arial" w:eastAsia="Arial" w:hAnsi="Arial"/>
                <w:sz w:val="10"/>
                <w:szCs w:val="10"/>
                <w:b w:val="1"/>
                <w:bCs w:val="1"/>
                <w:i w:val="1"/>
                <w:iCs w:val="1"/>
                <w:color w:val="auto"/>
              </w:rPr>
              <w:t>(Contract sales $ in millions)</w:t>
            </w:r>
          </w:p>
        </w:tc>
        <w:tc>
          <w:tcPr>
            <w:tcW w:w="260" w:type="dxa"/>
            <w:vAlign w:val="bottom"/>
          </w:tcPr>
          <w:p>
            <w:pPr>
              <w:spacing w:after="0"/>
              <w:rPr>
                <w:sz w:val="11"/>
                <w:szCs w:val="11"/>
                <w:color w:val="auto"/>
              </w:rPr>
            </w:pPr>
          </w:p>
        </w:tc>
        <w:tc>
          <w:tcPr>
            <w:tcW w:w="1380" w:type="dxa"/>
            <w:vAlign w:val="bottom"/>
            <w:gridSpan w:val="2"/>
          </w:tcPr>
          <w:p>
            <w:pPr>
              <w:ind w:left="200"/>
              <w:spacing w:after="0"/>
              <w:rPr>
                <w:sz w:val="20"/>
                <w:szCs w:val="20"/>
                <w:color w:val="auto"/>
              </w:rPr>
            </w:pPr>
            <w:r>
              <w:rPr>
                <w:rFonts w:ascii="Arial" w:cs="Arial" w:eastAsia="Arial" w:hAnsi="Arial"/>
                <w:sz w:val="11"/>
                <w:szCs w:val="11"/>
                <w:b w:val="1"/>
                <w:bCs w:val="1"/>
                <w:color w:val="auto"/>
              </w:rPr>
              <w:t>June 30, 2021</w:t>
            </w:r>
          </w:p>
        </w:tc>
        <w:tc>
          <w:tcPr>
            <w:tcW w:w="420" w:type="dxa"/>
            <w:vAlign w:val="bottom"/>
          </w:tcPr>
          <w:p>
            <w:pPr>
              <w:spacing w:after="0"/>
              <w:rPr>
                <w:sz w:val="11"/>
                <w:szCs w:val="11"/>
                <w:color w:val="auto"/>
              </w:rPr>
            </w:pPr>
          </w:p>
        </w:tc>
        <w:tc>
          <w:tcPr>
            <w:tcW w:w="1120" w:type="dxa"/>
            <w:vAlign w:val="bottom"/>
          </w:tcPr>
          <w:p>
            <w:pPr>
              <w:jc w:val="right"/>
              <w:ind w:right="401"/>
              <w:spacing w:after="0"/>
              <w:rPr>
                <w:sz w:val="20"/>
                <w:szCs w:val="20"/>
                <w:color w:val="auto"/>
              </w:rPr>
            </w:pPr>
            <w:r>
              <w:rPr>
                <w:rFonts w:ascii="Arial" w:cs="Arial" w:eastAsia="Arial" w:hAnsi="Arial"/>
                <w:sz w:val="11"/>
                <w:szCs w:val="11"/>
                <w:b w:val="1"/>
                <w:bCs w:val="1"/>
                <w:color w:val="auto"/>
                <w:w w:val="89"/>
              </w:rPr>
              <w:t>June 30, 2020</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00" w:type="dxa"/>
            <w:vAlign w:val="bottom"/>
            <w:gridSpan w:val="2"/>
          </w:tcPr>
          <w:p>
            <w:pPr>
              <w:ind w:left="260"/>
              <w:spacing w:after="0"/>
              <w:rPr>
                <w:sz w:val="20"/>
                <w:szCs w:val="20"/>
                <w:color w:val="auto"/>
              </w:rPr>
            </w:pPr>
            <w:r>
              <w:rPr>
                <w:rFonts w:ascii="Arial" w:cs="Arial" w:eastAsia="Arial" w:hAnsi="Arial"/>
                <w:sz w:val="11"/>
                <w:szCs w:val="11"/>
                <w:b w:val="1"/>
                <w:bCs w:val="1"/>
                <w:color w:val="auto"/>
              </w:rPr>
              <w:t>Change</w:t>
            </w:r>
          </w:p>
        </w:tc>
        <w:tc>
          <w:tcPr>
            <w:tcW w:w="1560" w:type="dxa"/>
            <w:vAlign w:val="bottom"/>
          </w:tcPr>
          <w:p>
            <w:pPr>
              <w:jc w:val="right"/>
              <w:ind w:right="481"/>
              <w:spacing w:after="0"/>
              <w:rPr>
                <w:sz w:val="20"/>
                <w:szCs w:val="20"/>
                <w:color w:val="auto"/>
              </w:rPr>
            </w:pPr>
            <w:r>
              <w:rPr>
                <w:rFonts w:ascii="Arial" w:cs="Arial" w:eastAsia="Arial" w:hAnsi="Arial"/>
                <w:sz w:val="11"/>
                <w:szCs w:val="11"/>
                <w:b w:val="1"/>
                <w:bCs w:val="1"/>
                <w:color w:val="auto"/>
              </w:rPr>
              <w:t>% Change</w:t>
            </w:r>
          </w:p>
        </w:tc>
      </w:tr>
      <w:tr>
        <w:trPr>
          <w:trHeight w:val="135"/>
        </w:trPr>
        <w:tc>
          <w:tcPr>
            <w:tcW w:w="4840" w:type="dxa"/>
            <w:vAlign w:val="bottom"/>
            <w:tcBorders>
              <w:top w:val="single" w:sz="8" w:color="CCEEFF"/>
            </w:tcBorders>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Vacation Ownership</w:t>
            </w:r>
          </w:p>
        </w:tc>
        <w:tc>
          <w:tcPr>
            <w:tcW w:w="260" w:type="dxa"/>
            <w:vAlign w:val="bottom"/>
            <w:tcBorders>
              <w:top w:val="single" w:sz="8" w:color="auto"/>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560" w:type="dxa"/>
            <w:vAlign w:val="bottom"/>
            <w:tcBorders>
              <w:top w:val="single" w:sz="8" w:color="auto"/>
            </w:tcBorders>
            <w:shd w:val="clear" w:color="auto" w:fill="CCEEFF"/>
          </w:tcPr>
          <w:p>
            <w:pPr>
              <w:spacing w:after="0"/>
              <w:rPr>
                <w:sz w:val="11"/>
                <w:szCs w:val="11"/>
                <w:color w:val="auto"/>
              </w:rPr>
            </w:pPr>
          </w:p>
        </w:tc>
      </w:tr>
      <w:tr>
        <w:trPr>
          <w:trHeight w:val="153"/>
        </w:trPr>
        <w:tc>
          <w:tcPr>
            <w:tcW w:w="4840" w:type="dxa"/>
            <w:vAlign w:val="bottom"/>
          </w:tcPr>
          <w:p>
            <w:pPr>
              <w:ind w:left="140"/>
              <w:spacing w:after="0"/>
              <w:rPr>
                <w:sz w:val="20"/>
                <w:szCs w:val="20"/>
                <w:color w:val="auto"/>
              </w:rPr>
            </w:pPr>
            <w:r>
              <w:rPr>
                <w:rFonts w:ascii="Arial" w:cs="Arial" w:eastAsia="Arial" w:hAnsi="Arial"/>
                <w:sz w:val="12"/>
                <w:szCs w:val="12"/>
                <w:color w:val="auto"/>
              </w:rPr>
              <w:t>Total contract sales</w:t>
            </w: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604</w:t>
            </w:r>
          </w:p>
        </w:tc>
        <w:tc>
          <w:tcPr>
            <w:tcW w:w="100" w:type="dxa"/>
            <w:vAlign w:val="bottom"/>
          </w:tcPr>
          <w:p>
            <w:pPr>
              <w:spacing w:after="0"/>
              <w:rPr>
                <w:sz w:val="13"/>
                <w:szCs w:val="13"/>
                <w:color w:val="auto"/>
              </w:rPr>
            </w:pPr>
          </w:p>
        </w:tc>
        <w:tc>
          <w:tcPr>
            <w:tcW w:w="420" w:type="dxa"/>
            <w:vAlign w:val="bottom"/>
          </w:tcPr>
          <w:p>
            <w:pPr>
              <w:jc w:val="right"/>
              <w:ind w:right="312"/>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345</w:t>
            </w:r>
          </w:p>
        </w:tc>
        <w:tc>
          <w:tcPr>
            <w:tcW w:w="8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259</w:t>
            </w:r>
          </w:p>
        </w:tc>
        <w:tc>
          <w:tcPr>
            <w:tcW w:w="80" w:type="dxa"/>
            <w:vAlign w:val="bottom"/>
          </w:tcPr>
          <w:p>
            <w:pPr>
              <w:spacing w:after="0"/>
              <w:rPr>
                <w:sz w:val="13"/>
                <w:szCs w:val="13"/>
                <w:color w:val="auto"/>
              </w:rPr>
            </w:pPr>
          </w:p>
        </w:tc>
        <w:tc>
          <w:tcPr>
            <w:tcW w:w="1560" w:type="dxa"/>
            <w:vAlign w:val="bottom"/>
          </w:tcPr>
          <w:p>
            <w:pPr>
              <w:jc w:val="right"/>
              <w:ind w:right="601"/>
              <w:spacing w:after="0"/>
              <w:rPr>
                <w:sz w:val="20"/>
                <w:szCs w:val="20"/>
                <w:color w:val="auto"/>
              </w:rPr>
            </w:pPr>
            <w:r>
              <w:rPr>
                <w:rFonts w:ascii="Arial" w:cs="Arial" w:eastAsia="Arial" w:hAnsi="Arial"/>
                <w:sz w:val="12"/>
                <w:szCs w:val="12"/>
                <w:color w:val="auto"/>
              </w:rPr>
              <w:t>75%</w:t>
            </w:r>
          </w:p>
        </w:tc>
      </w:tr>
      <w:tr>
        <w:trPr>
          <w:trHeight w:val="153"/>
        </w:trPr>
        <w:tc>
          <w:tcPr>
            <w:tcW w:w="48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Consolidated contract sales</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588</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312"/>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336</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252</w:t>
            </w:r>
          </w:p>
        </w:tc>
        <w:tc>
          <w:tcPr>
            <w:tcW w:w="80" w:type="dxa"/>
            <w:vAlign w:val="bottom"/>
            <w:shd w:val="clear" w:color="auto" w:fill="CCEEFF"/>
          </w:tcPr>
          <w:p>
            <w:pPr>
              <w:spacing w:after="0"/>
              <w:rPr>
                <w:sz w:val="13"/>
                <w:szCs w:val="13"/>
                <w:color w:val="auto"/>
              </w:rPr>
            </w:pPr>
          </w:p>
        </w:tc>
        <w:tc>
          <w:tcPr>
            <w:tcW w:w="1560" w:type="dxa"/>
            <w:vAlign w:val="bottom"/>
            <w:shd w:val="clear" w:color="auto" w:fill="CCEEFF"/>
          </w:tcPr>
          <w:p>
            <w:pPr>
              <w:jc w:val="right"/>
              <w:ind w:right="601"/>
              <w:spacing w:after="0"/>
              <w:rPr>
                <w:sz w:val="20"/>
                <w:szCs w:val="20"/>
                <w:color w:val="auto"/>
              </w:rPr>
            </w:pPr>
            <w:r>
              <w:rPr>
                <w:rFonts w:ascii="Arial" w:cs="Arial" w:eastAsia="Arial" w:hAnsi="Arial"/>
                <w:sz w:val="12"/>
                <w:szCs w:val="12"/>
                <w:color w:val="auto"/>
              </w:rPr>
              <w:t>75%</w:t>
            </w:r>
          </w:p>
        </w:tc>
      </w:tr>
      <w:tr>
        <w:trPr>
          <w:trHeight w:val="153"/>
        </w:trPr>
        <w:tc>
          <w:tcPr>
            <w:tcW w:w="4840" w:type="dxa"/>
            <w:vAlign w:val="bottom"/>
          </w:tcPr>
          <w:p>
            <w:pPr>
              <w:ind w:left="140"/>
              <w:spacing w:after="0"/>
              <w:rPr>
                <w:sz w:val="20"/>
                <w:szCs w:val="20"/>
                <w:color w:val="auto"/>
              </w:rPr>
            </w:pPr>
            <w:r>
              <w:rPr>
                <w:rFonts w:ascii="Arial" w:cs="Arial" w:eastAsia="Arial" w:hAnsi="Arial"/>
                <w:sz w:val="12"/>
                <w:szCs w:val="12"/>
                <w:color w:val="auto"/>
              </w:rPr>
              <w:t>Joint venture contract sales</w:t>
            </w: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16</w:t>
            </w:r>
          </w:p>
        </w:tc>
        <w:tc>
          <w:tcPr>
            <w:tcW w:w="100" w:type="dxa"/>
            <w:vAlign w:val="bottom"/>
          </w:tcPr>
          <w:p>
            <w:pPr>
              <w:spacing w:after="0"/>
              <w:rPr>
                <w:sz w:val="13"/>
                <w:szCs w:val="13"/>
                <w:color w:val="auto"/>
              </w:rPr>
            </w:pPr>
          </w:p>
        </w:tc>
        <w:tc>
          <w:tcPr>
            <w:tcW w:w="420" w:type="dxa"/>
            <w:vAlign w:val="bottom"/>
          </w:tcPr>
          <w:p>
            <w:pPr>
              <w:jc w:val="right"/>
              <w:ind w:right="312"/>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9</w:t>
            </w:r>
          </w:p>
        </w:tc>
        <w:tc>
          <w:tcPr>
            <w:tcW w:w="8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7</w:t>
            </w:r>
          </w:p>
        </w:tc>
        <w:tc>
          <w:tcPr>
            <w:tcW w:w="80" w:type="dxa"/>
            <w:vAlign w:val="bottom"/>
          </w:tcPr>
          <w:p>
            <w:pPr>
              <w:spacing w:after="0"/>
              <w:rPr>
                <w:sz w:val="13"/>
                <w:szCs w:val="13"/>
                <w:color w:val="auto"/>
              </w:rPr>
            </w:pPr>
          </w:p>
        </w:tc>
        <w:tc>
          <w:tcPr>
            <w:tcW w:w="1560" w:type="dxa"/>
            <w:vAlign w:val="bottom"/>
          </w:tcPr>
          <w:p>
            <w:pPr>
              <w:jc w:val="right"/>
              <w:ind w:right="601"/>
              <w:spacing w:after="0"/>
              <w:rPr>
                <w:sz w:val="20"/>
                <w:szCs w:val="20"/>
                <w:color w:val="auto"/>
              </w:rPr>
            </w:pPr>
            <w:r>
              <w:rPr>
                <w:rFonts w:ascii="Arial" w:cs="Arial" w:eastAsia="Arial" w:hAnsi="Arial"/>
                <w:sz w:val="12"/>
                <w:szCs w:val="12"/>
                <w:color w:val="auto"/>
              </w:rPr>
              <w:t>71%</w:t>
            </w:r>
          </w:p>
        </w:tc>
      </w:tr>
      <w:tr>
        <w:trPr>
          <w:trHeight w:val="153"/>
        </w:trPr>
        <w:tc>
          <w:tcPr>
            <w:tcW w:w="48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Exchange &amp; Third-Party Management</w:t>
            </w:r>
          </w:p>
        </w:tc>
        <w:tc>
          <w:tcPr>
            <w:tcW w:w="26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r>
      <w:tr>
        <w:trPr>
          <w:trHeight w:val="153"/>
        </w:trPr>
        <w:tc>
          <w:tcPr>
            <w:tcW w:w="4840" w:type="dxa"/>
            <w:vAlign w:val="bottom"/>
          </w:tcPr>
          <w:p>
            <w:pPr>
              <w:ind w:left="140"/>
              <w:spacing w:after="0"/>
              <w:rPr>
                <w:sz w:val="20"/>
                <w:szCs w:val="20"/>
                <w:color w:val="auto"/>
              </w:rPr>
            </w:pPr>
            <w:r>
              <w:rPr>
                <w:rFonts w:ascii="Arial" w:cs="Arial" w:eastAsia="Arial" w:hAnsi="Arial"/>
                <w:sz w:val="12"/>
                <w:szCs w:val="12"/>
                <w:color w:val="auto"/>
              </w:rPr>
              <w:t>Total active members at end of period (000's)</w:t>
            </w:r>
            <w:r>
              <w:rPr>
                <w:rFonts w:ascii="Arial" w:cs="Arial" w:eastAsia="Arial" w:hAnsi="Arial"/>
                <w:sz w:val="6"/>
                <w:szCs w:val="6"/>
                <w:color w:val="auto"/>
              </w:rPr>
              <w:t>(1)</w:t>
            </w:r>
          </w:p>
        </w:tc>
        <w:tc>
          <w:tcPr>
            <w:tcW w:w="26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1,321</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1,571</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(250)</w:t>
            </w:r>
          </w:p>
        </w:tc>
        <w:tc>
          <w:tcPr>
            <w:tcW w:w="80" w:type="dxa"/>
            <w:vAlign w:val="bottom"/>
          </w:tcPr>
          <w:p>
            <w:pPr>
              <w:spacing w:after="0"/>
              <w:rPr>
                <w:sz w:val="13"/>
                <w:szCs w:val="13"/>
                <w:color w:val="auto"/>
              </w:rPr>
            </w:pPr>
          </w:p>
        </w:tc>
        <w:tc>
          <w:tcPr>
            <w:tcW w:w="1560" w:type="dxa"/>
            <w:vAlign w:val="bottom"/>
          </w:tcPr>
          <w:p>
            <w:pPr>
              <w:jc w:val="right"/>
              <w:ind w:right="561"/>
              <w:spacing w:after="0"/>
              <w:rPr>
                <w:sz w:val="20"/>
                <w:szCs w:val="20"/>
                <w:color w:val="auto"/>
              </w:rPr>
            </w:pPr>
            <w:r>
              <w:rPr>
                <w:rFonts w:ascii="Arial" w:cs="Arial" w:eastAsia="Arial" w:hAnsi="Arial"/>
                <w:sz w:val="12"/>
                <w:szCs w:val="12"/>
                <w:color w:val="auto"/>
              </w:rPr>
              <w:t>(16%)</w:t>
            </w:r>
          </w:p>
        </w:tc>
      </w:tr>
      <w:tr>
        <w:trPr>
          <w:trHeight w:val="153"/>
        </w:trPr>
        <w:tc>
          <w:tcPr>
            <w:tcW w:w="48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Average revenue per member</w:t>
            </w:r>
            <w:r>
              <w:rPr>
                <w:rFonts w:ascii="Arial" w:cs="Arial" w:eastAsia="Arial" w:hAnsi="Arial"/>
                <w:sz w:val="6"/>
                <w:szCs w:val="6"/>
                <w:color w:val="auto"/>
              </w:rPr>
              <w:t>(1)</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93.77</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312"/>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71.74</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22.03</w:t>
            </w:r>
          </w:p>
        </w:tc>
        <w:tc>
          <w:tcPr>
            <w:tcW w:w="80" w:type="dxa"/>
            <w:vAlign w:val="bottom"/>
            <w:shd w:val="clear" w:color="auto" w:fill="CCEEFF"/>
          </w:tcPr>
          <w:p>
            <w:pPr>
              <w:spacing w:after="0"/>
              <w:rPr>
                <w:sz w:val="13"/>
                <w:szCs w:val="13"/>
                <w:color w:val="auto"/>
              </w:rPr>
            </w:pPr>
          </w:p>
        </w:tc>
        <w:tc>
          <w:tcPr>
            <w:tcW w:w="1560" w:type="dxa"/>
            <w:vAlign w:val="bottom"/>
            <w:shd w:val="clear" w:color="auto" w:fill="CCEEFF"/>
          </w:tcPr>
          <w:p>
            <w:pPr>
              <w:jc w:val="right"/>
              <w:ind w:right="601"/>
              <w:spacing w:after="0"/>
              <w:rPr>
                <w:sz w:val="20"/>
                <w:szCs w:val="20"/>
                <w:color w:val="auto"/>
              </w:rPr>
            </w:pPr>
            <w:r>
              <w:rPr>
                <w:rFonts w:ascii="Arial" w:cs="Arial" w:eastAsia="Arial" w:hAnsi="Arial"/>
                <w:sz w:val="12"/>
                <w:szCs w:val="12"/>
                <w:color w:val="auto"/>
              </w:rPr>
              <w:t>31%</w:t>
            </w:r>
          </w:p>
        </w:tc>
      </w:tr>
    </w:tbl>
    <w:p>
      <w:pPr>
        <w:spacing w:after="0" w:line="54" w:lineRule="exact"/>
        <w:rPr>
          <w:sz w:val="20"/>
          <w:szCs w:val="20"/>
          <w:color w:val="auto"/>
        </w:rPr>
      </w:pPr>
    </w:p>
    <w:p>
      <w:pPr>
        <w:ind w:left="8"/>
        <w:spacing w:after="0"/>
        <w:rPr>
          <w:sz w:val="20"/>
          <w:szCs w:val="20"/>
          <w:color w:val="auto"/>
        </w:rPr>
      </w:pPr>
      <w:r>
        <w:rPr>
          <w:rFonts w:ascii="Arial" w:cs="Arial" w:eastAsia="Arial" w:hAnsi="Arial"/>
          <w:sz w:val="12"/>
          <w:szCs w:val="12"/>
          <w:color w:val="auto"/>
        </w:rPr>
        <w:t>_______________</w:t>
      </w:r>
    </w:p>
    <w:p>
      <w:pPr>
        <w:spacing w:after="0" w:line="11" w:lineRule="exact"/>
        <w:rPr>
          <w:sz w:val="20"/>
          <w:szCs w:val="20"/>
          <w:color w:val="auto"/>
        </w:rPr>
      </w:pPr>
    </w:p>
    <w:p>
      <w:pPr>
        <w:ind w:left="428" w:hanging="428"/>
        <w:spacing w:after="0"/>
        <w:tabs>
          <w:tab w:leader="none" w:pos="428" w:val="left"/>
        </w:tabs>
        <w:numPr>
          <w:ilvl w:val="0"/>
          <w:numId w:val="33"/>
        </w:numPr>
        <w:rPr>
          <w:rFonts w:ascii="Arial" w:cs="Arial" w:eastAsia="Arial" w:hAnsi="Arial"/>
          <w:sz w:val="16"/>
          <w:szCs w:val="16"/>
          <w:color w:val="auto"/>
          <w:vertAlign w:val="superscript"/>
        </w:rPr>
      </w:pPr>
      <w:r>
        <w:rPr>
          <w:rFonts w:ascii="Arial" w:cs="Arial" w:eastAsia="Arial" w:hAnsi="Arial"/>
          <w:sz w:val="12"/>
          <w:szCs w:val="12"/>
          <w:color w:val="auto"/>
        </w:rPr>
        <w:t>Only includes members of the Interval International exchange network.</w:t>
      </w:r>
    </w:p>
    <w:p>
      <w:pPr>
        <w:spacing w:after="0" w:line="13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Revenues</w:t>
      </w:r>
    </w:p>
    <w:p>
      <w:pPr>
        <w:spacing w:after="0" w:line="82"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2021 Second Quarter</w:t>
      </w:r>
    </w:p>
    <w:p>
      <w:pPr>
        <w:spacing w:after="0" w:line="78"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following table presents our revenues for the second quarter of 2021 compared to the second quarter of 2020.</w:t>
      </w:r>
    </w:p>
    <w:p>
      <w:pPr>
        <w:spacing w:after="0" w:line="33" w:lineRule="exact"/>
        <w:rPr>
          <w:sz w:val="20"/>
          <w:szCs w:val="20"/>
          <w:color w:val="auto"/>
        </w:rPr>
      </w:pPr>
    </w:p>
    <w:tbl>
      <w:tblPr>
        <w:tblLayout w:type="fixed"/>
        <w:tblInd w:w="8" w:type="dxa"/>
        <w:tblCellMar>
          <w:top w:w="0" w:type="dxa"/>
          <w:left w:w="0" w:type="dxa"/>
          <w:bottom w:w="0" w:type="dxa"/>
          <w:right w:w="0" w:type="dxa"/>
        </w:tblCellMar>
      </w:tblPr>
      <w:tr>
        <w:trPr>
          <w:trHeight w:val="140"/>
        </w:trPr>
        <w:tc>
          <w:tcPr>
            <w:tcW w:w="48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Three Months Ended</w:t>
            </w:r>
          </w:p>
        </w:tc>
        <w:tc>
          <w:tcPr>
            <w:tcW w:w="11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135"/>
        </w:trPr>
        <w:tc>
          <w:tcPr>
            <w:tcW w:w="484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26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402"/>
              <w:spacing w:after="0"/>
              <w:rPr>
                <w:sz w:val="20"/>
                <w:szCs w:val="20"/>
                <w:color w:val="auto"/>
              </w:rPr>
            </w:pPr>
            <w:r>
              <w:rPr>
                <w:rFonts w:ascii="Arial" w:cs="Arial" w:eastAsia="Arial" w:hAnsi="Arial"/>
                <w:sz w:val="11"/>
                <w:szCs w:val="11"/>
                <w:b w:val="1"/>
                <w:bCs w:val="1"/>
                <w:color w:val="auto"/>
              </w:rPr>
              <w:t>June 30, 2021</w:t>
            </w:r>
          </w:p>
        </w:tc>
        <w:tc>
          <w:tcPr>
            <w:tcW w:w="10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401"/>
              <w:spacing w:after="0"/>
              <w:rPr>
                <w:sz w:val="20"/>
                <w:szCs w:val="20"/>
                <w:color w:val="auto"/>
              </w:rPr>
            </w:pPr>
            <w:r>
              <w:rPr>
                <w:rFonts w:ascii="Arial" w:cs="Arial" w:eastAsia="Arial" w:hAnsi="Arial"/>
                <w:sz w:val="11"/>
                <w:szCs w:val="11"/>
                <w:b w:val="1"/>
                <w:bCs w:val="1"/>
                <w:color w:val="auto"/>
                <w:w w:val="86"/>
              </w:rPr>
              <w:t>June 30, 2020</w:t>
            </w:r>
          </w:p>
        </w:tc>
        <w:tc>
          <w:tcPr>
            <w:tcW w:w="8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541"/>
              <w:spacing w:after="0"/>
              <w:rPr>
                <w:sz w:val="20"/>
                <w:szCs w:val="20"/>
                <w:color w:val="auto"/>
              </w:rPr>
            </w:pPr>
            <w:r>
              <w:rPr>
                <w:rFonts w:ascii="Arial" w:cs="Arial" w:eastAsia="Arial" w:hAnsi="Arial"/>
                <w:sz w:val="11"/>
                <w:szCs w:val="11"/>
                <w:b w:val="1"/>
                <w:bCs w:val="1"/>
                <w:color w:val="auto"/>
              </w:rPr>
              <w:t>Change</w:t>
            </w:r>
          </w:p>
        </w:tc>
        <w:tc>
          <w:tcPr>
            <w:tcW w:w="80" w:type="dxa"/>
            <w:vAlign w:val="bottom"/>
            <w:tcBorders>
              <w:bottom w:val="single" w:sz="8" w:color="CCEEFF"/>
            </w:tcBorders>
          </w:tcPr>
          <w:p>
            <w:pPr>
              <w:spacing w:after="0"/>
              <w:rPr>
                <w:sz w:val="11"/>
                <w:szCs w:val="11"/>
                <w:color w:val="auto"/>
              </w:rPr>
            </w:pPr>
          </w:p>
        </w:tc>
        <w:tc>
          <w:tcPr>
            <w:tcW w:w="1560" w:type="dxa"/>
            <w:vAlign w:val="bottom"/>
            <w:tcBorders>
              <w:bottom w:val="single" w:sz="8" w:color="auto"/>
            </w:tcBorders>
          </w:tcPr>
          <w:p>
            <w:pPr>
              <w:ind w:left="540"/>
              <w:spacing w:after="0"/>
              <w:rPr>
                <w:sz w:val="20"/>
                <w:szCs w:val="20"/>
                <w:color w:val="auto"/>
              </w:rPr>
            </w:pPr>
            <w:r>
              <w:rPr>
                <w:rFonts w:ascii="Arial" w:cs="Arial" w:eastAsia="Arial" w:hAnsi="Arial"/>
                <w:sz w:val="11"/>
                <w:szCs w:val="11"/>
                <w:b w:val="1"/>
                <w:bCs w:val="1"/>
                <w:color w:val="auto"/>
              </w:rPr>
              <w:t>% Change</w:t>
            </w:r>
          </w:p>
        </w:tc>
      </w:tr>
      <w:tr>
        <w:trPr>
          <w:trHeight w:val="144"/>
        </w:trPr>
        <w:tc>
          <w:tcPr>
            <w:tcW w:w="4840" w:type="dxa"/>
            <w:vAlign w:val="bottom"/>
            <w:shd w:val="clear" w:color="auto" w:fill="CCEEFF"/>
          </w:tcPr>
          <w:p>
            <w:pPr>
              <w:spacing w:after="0"/>
              <w:rPr>
                <w:sz w:val="20"/>
                <w:szCs w:val="20"/>
                <w:color w:val="auto"/>
              </w:rPr>
            </w:pPr>
            <w:r>
              <w:rPr>
                <w:rFonts w:ascii="Arial" w:cs="Arial" w:eastAsia="Arial" w:hAnsi="Arial"/>
                <w:sz w:val="12"/>
                <w:szCs w:val="12"/>
                <w:color w:val="auto"/>
              </w:rPr>
              <w:t>Vacation Ownership</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883</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332"/>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405</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478</w:t>
            </w:r>
          </w:p>
        </w:tc>
        <w:tc>
          <w:tcPr>
            <w:tcW w:w="1640" w:type="dxa"/>
            <w:vAlign w:val="bottom"/>
            <w:gridSpan w:val="2"/>
            <w:shd w:val="clear" w:color="auto" w:fill="CCEEFF"/>
          </w:tcPr>
          <w:p>
            <w:pPr>
              <w:jc w:val="center"/>
              <w:ind w:left="20"/>
              <w:spacing w:after="0"/>
              <w:rPr>
                <w:sz w:val="20"/>
                <w:szCs w:val="20"/>
                <w:color w:val="auto"/>
              </w:rPr>
            </w:pPr>
            <w:r>
              <w:rPr>
                <w:rFonts w:ascii="Arial" w:cs="Arial" w:eastAsia="Arial" w:hAnsi="Arial"/>
                <w:sz w:val="12"/>
                <w:szCs w:val="12"/>
                <w:color w:val="auto"/>
                <w:w w:val="91"/>
              </w:rPr>
              <w:t>118%</w:t>
            </w:r>
          </w:p>
        </w:tc>
      </w:tr>
      <w:tr>
        <w:trPr>
          <w:trHeight w:val="153"/>
        </w:trPr>
        <w:tc>
          <w:tcPr>
            <w:tcW w:w="48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Exchange &amp; Third-Party Management</w:t>
            </w:r>
          </w:p>
        </w:tc>
        <w:tc>
          <w:tcPr>
            <w:tcW w:w="2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86</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58</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w:t>
            </w:r>
          </w:p>
        </w:tc>
        <w:tc>
          <w:tcPr>
            <w:tcW w:w="1640" w:type="dxa"/>
            <w:vAlign w:val="bottom"/>
            <w:tcBorders>
              <w:bottom w:val="single" w:sz="8" w:color="CCEEFF"/>
            </w:tcBorders>
            <w:gridSpan w:val="2"/>
          </w:tcPr>
          <w:p>
            <w:pPr>
              <w:jc w:val="center"/>
              <w:ind w:left="40"/>
              <w:spacing w:after="0"/>
              <w:rPr>
                <w:sz w:val="20"/>
                <w:szCs w:val="20"/>
                <w:color w:val="auto"/>
              </w:rPr>
            </w:pPr>
            <w:r>
              <w:rPr>
                <w:rFonts w:ascii="Arial" w:cs="Arial" w:eastAsia="Arial" w:hAnsi="Arial"/>
                <w:sz w:val="12"/>
                <w:szCs w:val="12"/>
                <w:color w:val="auto"/>
                <w:w w:val="91"/>
              </w:rPr>
              <w:t>51%</w:t>
            </w:r>
          </w:p>
        </w:tc>
      </w:tr>
      <w:tr>
        <w:trPr>
          <w:trHeight w:val="142"/>
        </w:trPr>
        <w:tc>
          <w:tcPr>
            <w:tcW w:w="48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Total Segment Revenues</w:t>
            </w:r>
          </w:p>
        </w:tc>
        <w:tc>
          <w:tcPr>
            <w:tcW w:w="26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969</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463</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506</w:t>
            </w:r>
          </w:p>
        </w:tc>
        <w:tc>
          <w:tcPr>
            <w:tcW w:w="1640" w:type="dxa"/>
            <w:vAlign w:val="bottom"/>
            <w:gridSpan w:val="2"/>
            <w:shd w:val="clear" w:color="auto" w:fill="CCEEFF"/>
          </w:tcPr>
          <w:p>
            <w:pPr>
              <w:jc w:val="center"/>
              <w:ind w:left="20"/>
              <w:spacing w:after="0"/>
              <w:rPr>
                <w:sz w:val="20"/>
                <w:szCs w:val="20"/>
                <w:color w:val="auto"/>
              </w:rPr>
            </w:pPr>
            <w:r>
              <w:rPr>
                <w:rFonts w:ascii="Arial" w:cs="Arial" w:eastAsia="Arial" w:hAnsi="Arial"/>
                <w:sz w:val="12"/>
                <w:szCs w:val="12"/>
                <w:color w:val="auto"/>
                <w:w w:val="91"/>
              </w:rPr>
              <w:t>110%</w:t>
            </w:r>
          </w:p>
        </w:tc>
      </w:tr>
      <w:tr>
        <w:trPr>
          <w:trHeight w:val="153"/>
        </w:trPr>
        <w:tc>
          <w:tcPr>
            <w:tcW w:w="48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Consolidated Property Owners’ Associations</w:t>
            </w:r>
          </w:p>
        </w:tc>
        <w:tc>
          <w:tcPr>
            <w:tcW w:w="2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w:t>
            </w:r>
          </w:p>
        </w:tc>
        <w:tc>
          <w:tcPr>
            <w:tcW w:w="1640" w:type="dxa"/>
            <w:vAlign w:val="bottom"/>
            <w:tcBorders>
              <w:bottom w:val="single" w:sz="8" w:color="CCEEFF"/>
            </w:tcBorders>
            <w:gridSpan w:val="2"/>
          </w:tcPr>
          <w:p>
            <w:pPr>
              <w:jc w:val="center"/>
              <w:ind w:left="40"/>
              <w:spacing w:after="0"/>
              <w:rPr>
                <w:sz w:val="20"/>
                <w:szCs w:val="20"/>
                <w:color w:val="auto"/>
              </w:rPr>
            </w:pPr>
            <w:r>
              <w:rPr>
                <w:rFonts w:ascii="Arial" w:cs="Arial" w:eastAsia="Arial" w:hAnsi="Arial"/>
                <w:sz w:val="12"/>
                <w:szCs w:val="12"/>
                <w:color w:val="auto"/>
                <w:w w:val="93"/>
              </w:rPr>
              <w:t>(48%)</w:t>
            </w:r>
          </w:p>
        </w:tc>
      </w:tr>
      <w:tr>
        <w:trPr>
          <w:trHeight w:val="158"/>
        </w:trPr>
        <w:tc>
          <w:tcPr>
            <w:tcW w:w="4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Total Revenues</w:t>
            </w:r>
          </w:p>
        </w:tc>
        <w:tc>
          <w:tcPr>
            <w:tcW w:w="2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979</w:t>
            </w: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480</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499</w:t>
            </w:r>
          </w:p>
        </w:tc>
        <w:tc>
          <w:tcPr>
            <w:tcW w:w="1640" w:type="dxa"/>
            <w:vAlign w:val="bottom"/>
            <w:tcBorders>
              <w:bottom w:val="single" w:sz="8" w:color="CCEEFF"/>
            </w:tcBorders>
            <w:gridSpan w:val="2"/>
            <w:shd w:val="clear" w:color="auto" w:fill="CCEEFF"/>
          </w:tcPr>
          <w:p>
            <w:pPr>
              <w:jc w:val="center"/>
              <w:ind w:left="20"/>
              <w:spacing w:after="0"/>
              <w:rPr>
                <w:sz w:val="20"/>
                <w:szCs w:val="20"/>
                <w:color w:val="auto"/>
              </w:rPr>
            </w:pPr>
            <w:r>
              <w:rPr>
                <w:rFonts w:ascii="Arial" w:cs="Arial" w:eastAsia="Arial" w:hAnsi="Arial"/>
                <w:sz w:val="12"/>
                <w:szCs w:val="12"/>
                <w:color w:val="auto"/>
                <w:w w:val="91"/>
              </w:rPr>
              <w:t>104%</w:t>
            </w:r>
          </w:p>
        </w:tc>
      </w:tr>
    </w:tbl>
    <w:p>
      <w:pPr>
        <w:spacing w:after="0" w:line="153"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2021 First Half</w:t>
      </w:r>
    </w:p>
    <w:p>
      <w:pPr>
        <w:spacing w:after="0" w:line="78"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following table presents our revenues for the first half of 2021 compared to the first half of 2020.</w:t>
      </w:r>
    </w:p>
    <w:p>
      <w:pPr>
        <w:spacing w:after="0" w:line="33" w:lineRule="exact"/>
        <w:rPr>
          <w:sz w:val="20"/>
          <w:szCs w:val="20"/>
          <w:color w:val="auto"/>
        </w:rPr>
      </w:pPr>
    </w:p>
    <w:tbl>
      <w:tblPr>
        <w:tblLayout w:type="fixed"/>
        <w:tblInd w:w="8" w:type="dxa"/>
        <w:tblCellMar>
          <w:top w:w="0" w:type="dxa"/>
          <w:left w:w="0" w:type="dxa"/>
          <w:bottom w:w="0" w:type="dxa"/>
          <w:right w:w="0" w:type="dxa"/>
        </w:tblCellMar>
      </w:tblPr>
      <w:tr>
        <w:trPr>
          <w:trHeight w:val="140"/>
        </w:trPr>
        <w:tc>
          <w:tcPr>
            <w:tcW w:w="48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Six Months Ended</w:t>
            </w:r>
          </w:p>
        </w:tc>
        <w:tc>
          <w:tcPr>
            <w:tcW w:w="11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135"/>
        </w:trPr>
        <w:tc>
          <w:tcPr>
            <w:tcW w:w="484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26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402"/>
              <w:spacing w:after="0"/>
              <w:rPr>
                <w:sz w:val="20"/>
                <w:szCs w:val="20"/>
                <w:color w:val="auto"/>
              </w:rPr>
            </w:pPr>
            <w:r>
              <w:rPr>
                <w:rFonts w:ascii="Arial" w:cs="Arial" w:eastAsia="Arial" w:hAnsi="Arial"/>
                <w:sz w:val="11"/>
                <w:szCs w:val="11"/>
                <w:b w:val="1"/>
                <w:bCs w:val="1"/>
                <w:color w:val="auto"/>
              </w:rPr>
              <w:t>June 30, 2021</w:t>
            </w:r>
          </w:p>
        </w:tc>
        <w:tc>
          <w:tcPr>
            <w:tcW w:w="100" w:type="dxa"/>
            <w:vAlign w:val="bottom"/>
            <w:tcBorders>
              <w:bottom w:val="single" w:sz="8" w:color="CCEEFF"/>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401"/>
              <w:spacing w:after="0"/>
              <w:rPr>
                <w:sz w:val="20"/>
                <w:szCs w:val="20"/>
                <w:color w:val="auto"/>
              </w:rPr>
            </w:pPr>
            <w:r>
              <w:rPr>
                <w:rFonts w:ascii="Arial" w:cs="Arial" w:eastAsia="Arial" w:hAnsi="Arial"/>
                <w:sz w:val="11"/>
                <w:szCs w:val="11"/>
                <w:b w:val="1"/>
                <w:bCs w:val="1"/>
                <w:color w:val="auto"/>
                <w:w w:val="89"/>
              </w:rPr>
              <w:t>June 30, 2020</w:t>
            </w:r>
          </w:p>
        </w:tc>
        <w:tc>
          <w:tcPr>
            <w:tcW w:w="8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541"/>
              <w:spacing w:after="0"/>
              <w:rPr>
                <w:sz w:val="20"/>
                <w:szCs w:val="20"/>
                <w:color w:val="auto"/>
              </w:rPr>
            </w:pPr>
            <w:r>
              <w:rPr>
                <w:rFonts w:ascii="Arial" w:cs="Arial" w:eastAsia="Arial" w:hAnsi="Arial"/>
                <w:sz w:val="11"/>
                <w:szCs w:val="11"/>
                <w:b w:val="1"/>
                <w:bCs w:val="1"/>
                <w:color w:val="auto"/>
              </w:rPr>
              <w:t>Change</w:t>
            </w:r>
          </w:p>
        </w:tc>
        <w:tc>
          <w:tcPr>
            <w:tcW w:w="80" w:type="dxa"/>
            <w:vAlign w:val="bottom"/>
            <w:tcBorders>
              <w:bottom w:val="single" w:sz="8" w:color="CCEEFF"/>
            </w:tcBorders>
          </w:tcPr>
          <w:p>
            <w:pPr>
              <w:spacing w:after="0"/>
              <w:rPr>
                <w:sz w:val="11"/>
                <w:szCs w:val="11"/>
                <w:color w:val="auto"/>
              </w:rPr>
            </w:pPr>
          </w:p>
        </w:tc>
        <w:tc>
          <w:tcPr>
            <w:tcW w:w="1560" w:type="dxa"/>
            <w:vAlign w:val="bottom"/>
            <w:tcBorders>
              <w:bottom w:val="single" w:sz="8" w:color="auto"/>
            </w:tcBorders>
          </w:tcPr>
          <w:p>
            <w:pPr>
              <w:ind w:left="540"/>
              <w:spacing w:after="0"/>
              <w:rPr>
                <w:sz w:val="20"/>
                <w:szCs w:val="20"/>
                <w:color w:val="auto"/>
              </w:rPr>
            </w:pPr>
            <w:r>
              <w:rPr>
                <w:rFonts w:ascii="Arial" w:cs="Arial" w:eastAsia="Arial" w:hAnsi="Arial"/>
                <w:sz w:val="11"/>
                <w:szCs w:val="11"/>
                <w:b w:val="1"/>
                <w:bCs w:val="1"/>
                <w:color w:val="auto"/>
              </w:rPr>
              <w:t>% Change</w:t>
            </w:r>
          </w:p>
        </w:tc>
      </w:tr>
      <w:tr>
        <w:trPr>
          <w:trHeight w:val="144"/>
        </w:trPr>
        <w:tc>
          <w:tcPr>
            <w:tcW w:w="4840" w:type="dxa"/>
            <w:vAlign w:val="bottom"/>
            <w:shd w:val="clear" w:color="auto" w:fill="CCEEFF"/>
          </w:tcPr>
          <w:p>
            <w:pPr>
              <w:spacing w:after="0"/>
              <w:rPr>
                <w:sz w:val="20"/>
                <w:szCs w:val="20"/>
                <w:color w:val="auto"/>
              </w:rPr>
            </w:pPr>
            <w:r>
              <w:rPr>
                <w:rFonts w:ascii="Arial" w:cs="Arial" w:eastAsia="Arial" w:hAnsi="Arial"/>
                <w:sz w:val="12"/>
                <w:szCs w:val="12"/>
                <w:color w:val="auto"/>
              </w:rPr>
              <w:t>Vacation Ownership</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1,544</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312"/>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1,313</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231</w:t>
            </w:r>
          </w:p>
        </w:tc>
        <w:tc>
          <w:tcPr>
            <w:tcW w:w="1640" w:type="dxa"/>
            <w:vAlign w:val="bottom"/>
            <w:gridSpan w:val="2"/>
            <w:shd w:val="clear" w:color="auto" w:fill="CCEEFF"/>
          </w:tcPr>
          <w:p>
            <w:pPr>
              <w:jc w:val="center"/>
              <w:ind w:left="40"/>
              <w:spacing w:after="0"/>
              <w:rPr>
                <w:sz w:val="20"/>
                <w:szCs w:val="20"/>
                <w:color w:val="auto"/>
              </w:rPr>
            </w:pPr>
            <w:r>
              <w:rPr>
                <w:rFonts w:ascii="Arial" w:cs="Arial" w:eastAsia="Arial" w:hAnsi="Arial"/>
                <w:sz w:val="12"/>
                <w:szCs w:val="12"/>
                <w:color w:val="auto"/>
                <w:w w:val="91"/>
              </w:rPr>
              <w:t>18%</w:t>
            </w:r>
          </w:p>
        </w:tc>
      </w:tr>
      <w:tr>
        <w:trPr>
          <w:trHeight w:val="153"/>
        </w:trPr>
        <w:tc>
          <w:tcPr>
            <w:tcW w:w="48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Exchange &amp; Third-Party Management</w:t>
            </w:r>
          </w:p>
        </w:tc>
        <w:tc>
          <w:tcPr>
            <w:tcW w:w="2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172</w:t>
            </w: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165</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w:t>
            </w:r>
          </w:p>
        </w:tc>
        <w:tc>
          <w:tcPr>
            <w:tcW w:w="1640" w:type="dxa"/>
            <w:vAlign w:val="bottom"/>
            <w:tcBorders>
              <w:bottom w:val="single" w:sz="8" w:color="CCEEFF"/>
            </w:tcBorders>
            <w:gridSpan w:val="2"/>
          </w:tcPr>
          <w:p>
            <w:pPr>
              <w:jc w:val="center"/>
              <w:ind w:left="20"/>
              <w:spacing w:after="0"/>
              <w:rPr>
                <w:sz w:val="20"/>
                <w:szCs w:val="20"/>
                <w:color w:val="auto"/>
              </w:rPr>
            </w:pPr>
            <w:r>
              <w:rPr>
                <w:rFonts w:ascii="Arial" w:cs="Arial" w:eastAsia="Arial" w:hAnsi="Arial"/>
                <w:sz w:val="12"/>
                <w:szCs w:val="12"/>
                <w:color w:val="auto"/>
                <w:w w:val="91"/>
              </w:rPr>
              <w:t>5%</w:t>
            </w:r>
          </w:p>
        </w:tc>
      </w:tr>
      <w:tr>
        <w:trPr>
          <w:trHeight w:val="142"/>
        </w:trPr>
        <w:tc>
          <w:tcPr>
            <w:tcW w:w="48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Total Segment Revenues</w:t>
            </w:r>
          </w:p>
        </w:tc>
        <w:tc>
          <w:tcPr>
            <w:tcW w:w="26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1,716</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1,478</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238</w:t>
            </w:r>
          </w:p>
        </w:tc>
        <w:tc>
          <w:tcPr>
            <w:tcW w:w="1640" w:type="dxa"/>
            <w:vAlign w:val="bottom"/>
            <w:gridSpan w:val="2"/>
            <w:shd w:val="clear" w:color="auto" w:fill="CCEEFF"/>
          </w:tcPr>
          <w:p>
            <w:pPr>
              <w:jc w:val="center"/>
              <w:ind w:left="40"/>
              <w:spacing w:after="0"/>
              <w:rPr>
                <w:sz w:val="20"/>
                <w:szCs w:val="20"/>
                <w:color w:val="auto"/>
              </w:rPr>
            </w:pPr>
            <w:r>
              <w:rPr>
                <w:rFonts w:ascii="Arial" w:cs="Arial" w:eastAsia="Arial" w:hAnsi="Arial"/>
                <w:sz w:val="12"/>
                <w:szCs w:val="12"/>
                <w:color w:val="auto"/>
                <w:w w:val="91"/>
              </w:rPr>
              <w:t>16%</w:t>
            </w:r>
          </w:p>
        </w:tc>
      </w:tr>
      <w:tr>
        <w:trPr>
          <w:trHeight w:val="153"/>
        </w:trPr>
        <w:tc>
          <w:tcPr>
            <w:tcW w:w="48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Consolidated Property Owners’ Associations</w:t>
            </w:r>
          </w:p>
        </w:tc>
        <w:tc>
          <w:tcPr>
            <w:tcW w:w="2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w:t>
            </w: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w:t>
            </w:r>
          </w:p>
        </w:tc>
        <w:tc>
          <w:tcPr>
            <w:tcW w:w="1640" w:type="dxa"/>
            <w:vAlign w:val="bottom"/>
            <w:tcBorders>
              <w:bottom w:val="single" w:sz="8" w:color="CCEEFF"/>
            </w:tcBorders>
            <w:gridSpan w:val="2"/>
          </w:tcPr>
          <w:p>
            <w:pPr>
              <w:jc w:val="center"/>
              <w:ind w:left="40"/>
              <w:spacing w:after="0"/>
              <w:rPr>
                <w:sz w:val="20"/>
                <w:szCs w:val="20"/>
                <w:color w:val="auto"/>
              </w:rPr>
            </w:pPr>
            <w:r>
              <w:rPr>
                <w:rFonts w:ascii="Arial" w:cs="Arial" w:eastAsia="Arial" w:hAnsi="Arial"/>
                <w:sz w:val="12"/>
                <w:szCs w:val="12"/>
                <w:color w:val="auto"/>
                <w:w w:val="91"/>
              </w:rPr>
              <w:t>75%</w:t>
            </w:r>
          </w:p>
        </w:tc>
      </w:tr>
      <w:tr>
        <w:trPr>
          <w:trHeight w:val="158"/>
        </w:trPr>
        <w:tc>
          <w:tcPr>
            <w:tcW w:w="4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Total Revenues</w:t>
            </w:r>
          </w:p>
        </w:tc>
        <w:tc>
          <w:tcPr>
            <w:tcW w:w="2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1,738</w:t>
            </w:r>
          </w:p>
        </w:tc>
        <w:tc>
          <w:tcPr>
            <w:tcW w:w="10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1,490</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248</w:t>
            </w:r>
          </w:p>
        </w:tc>
        <w:tc>
          <w:tcPr>
            <w:tcW w:w="1640" w:type="dxa"/>
            <w:vAlign w:val="bottom"/>
            <w:tcBorders>
              <w:bottom w:val="single" w:sz="8" w:color="CCEEFF"/>
            </w:tcBorders>
            <w:gridSpan w:val="2"/>
            <w:shd w:val="clear" w:color="auto" w:fill="CCEEFF"/>
          </w:tcPr>
          <w:p>
            <w:pPr>
              <w:jc w:val="center"/>
              <w:ind w:left="40"/>
              <w:spacing w:after="0"/>
              <w:rPr>
                <w:sz w:val="20"/>
                <w:szCs w:val="20"/>
                <w:color w:val="auto"/>
              </w:rPr>
            </w:pPr>
            <w:r>
              <w:rPr>
                <w:rFonts w:ascii="Arial" w:cs="Arial" w:eastAsia="Arial" w:hAnsi="Arial"/>
                <w:sz w:val="12"/>
                <w:szCs w:val="12"/>
                <w:color w:val="auto"/>
                <w:w w:val="91"/>
              </w:rPr>
              <w:t>17%</w:t>
            </w:r>
          </w:p>
        </w:tc>
      </w:tr>
      <w:tr>
        <w:trPr>
          <w:trHeight w:val="342"/>
        </w:trPr>
        <w:tc>
          <w:tcPr>
            <w:tcW w:w="4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jc w:val="right"/>
              <w:ind w:right="402"/>
              <w:spacing w:after="0"/>
              <w:rPr>
                <w:sz w:val="20"/>
                <w:szCs w:val="20"/>
                <w:color w:val="auto"/>
              </w:rPr>
            </w:pPr>
            <w:r>
              <w:rPr>
                <w:rFonts w:ascii="Arial" w:cs="Arial" w:eastAsia="Arial" w:hAnsi="Arial"/>
                <w:sz w:val="12"/>
                <w:szCs w:val="12"/>
                <w:color w:val="auto"/>
              </w:rPr>
              <w:t>48</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06"/>
        </w:trPr>
        <w:tc>
          <w:tcPr>
            <w:tcW w:w="48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275" w:right="299" w:bottom="1440" w:gutter="0" w:footer="0" w:header="0"/>
        </w:sectPr>
      </w:pPr>
    </w:p>
    <w:bookmarkStart w:id="50" w:name="page51"/>
    <w:bookmarkEnd w:id="50"/>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Earnings Before Interest Expense, Taxes, Depreciation and Amortization (“EBITDA”) and Adjusted EBITDA</w:t>
      </w:r>
    </w:p>
    <w:p>
      <w:pPr>
        <w:spacing w:after="0" w:line="82" w:lineRule="exact"/>
        <w:rPr>
          <w:sz w:val="20"/>
          <w:szCs w:val="20"/>
          <w:color w:val="auto"/>
        </w:rPr>
      </w:pPr>
    </w:p>
    <w:p>
      <w:pPr>
        <w:ind w:right="20" w:firstLine="432"/>
        <w:spacing w:after="0" w:line="277" w:lineRule="auto"/>
        <w:rPr>
          <w:sz w:val="20"/>
          <w:szCs w:val="20"/>
          <w:color w:val="auto"/>
        </w:rPr>
      </w:pPr>
      <w:r>
        <w:rPr>
          <w:rFonts w:ascii="Arial" w:cs="Arial" w:eastAsia="Arial" w:hAnsi="Arial"/>
          <w:sz w:val="11"/>
          <w:szCs w:val="11"/>
          <w:color w:val="auto"/>
        </w:rPr>
        <w:t>EBITDA, a financial measure that is not prescribed by GAAP, is defined as earnings, or net income or loss attributable to common shareholders, before interest expense (excluding consumer financing interest expense associated with term loan securitization transactions), income taxes, depreciation and amortization. Adjusted EBITDA reflects additional adjustments for certain items described below, and excludes share-based compensation expense to address considerable variability among companies in recording compensation expense because companies use share-based payment awards differently, both in the type and quantity of awards granted. For purposes of our EBITDA and Adjusted EBITDA calculations, we do not adjust for consumer financing interest expense associated with term loan securitization transactions because we consider it to be an operating expense of our business. We consider Adjusted EBITDA to be an indicator of operating performance, which we use to measure our ability to service debt, fund capital expenditures and expand our business. We also use Adjusted EBITDA, as do analysts, lenders, investors and others, because this measure excludes certain items that can vary widely across different industries or among companies within the same industry. For example, interest expense can be dependent on a company’s capital structure, debt levels and credit ratings. Accordingly, the impact of interest expense on earnings can vary significantly among companies. The tax positions of companies can also vary because of their differing abilities to take advantage of tax benefits and because of the tax policies of the jurisdictions in which they operate. As a result, effective tax rates and provision for income taxes can vary considerably among companies. EBITDA and Adjusted EBITDA also exclude depreciation and amortization because companies utilize productive assets of different ages and use different methods of both acquiring and depreciating productive assets. These differences can result in considerable variability in the relative costs of productive assets and the depreciation and amortization expense among companies. We believe Adjusted EBITDA is useful as an indicator of operating performance because it allows for period-over-period comparisons of our on-going core operations before the impact of the excluded items. Adjusted EBITDA also facilitates comparison by us, analysts, investors, and others, of results from our on-going core operations before the impact of these items with results from other vacation companies.</w:t>
      </w:r>
    </w:p>
    <w:p>
      <w:pPr>
        <w:spacing w:after="0" w:line="48" w:lineRule="exact"/>
        <w:rPr>
          <w:sz w:val="20"/>
          <w:szCs w:val="20"/>
          <w:color w:val="auto"/>
        </w:rPr>
      </w:pPr>
    </w:p>
    <w:p>
      <w:pPr>
        <w:ind w:right="180" w:firstLine="432"/>
        <w:spacing w:after="0" w:line="263" w:lineRule="auto"/>
        <w:rPr>
          <w:sz w:val="20"/>
          <w:szCs w:val="20"/>
          <w:color w:val="auto"/>
        </w:rPr>
      </w:pPr>
      <w:r>
        <w:rPr>
          <w:rFonts w:ascii="Arial" w:cs="Arial" w:eastAsia="Arial" w:hAnsi="Arial"/>
          <w:sz w:val="12"/>
          <w:szCs w:val="12"/>
          <w:color w:val="auto"/>
        </w:rPr>
        <w:t>EBITDA and Adjusted EBITDA have limitations and should not be considered in isolation or as a substitute for performance measures calculated in accordance with GAAP. In addition, other companies in our industry may calculate EBITDA and Adjusted EBITDA differently than we do or may not calculate them at all, limiting their usefulness as comparative measures. The table below shows our EBITDA and Adjusted EBITDA calculation and reconciles these measures with Net income (loss) attributable to common shareholders, which is the most directly comparable GAAP financial measure.</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2021 Second Quarter</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48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Three Months Ended</w:t>
            </w:r>
          </w:p>
        </w:tc>
        <w:tc>
          <w:tcPr>
            <w:tcW w:w="11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135"/>
        </w:trPr>
        <w:tc>
          <w:tcPr>
            <w:tcW w:w="486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26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401"/>
              <w:spacing w:after="0"/>
              <w:rPr>
                <w:sz w:val="20"/>
                <w:szCs w:val="20"/>
                <w:color w:val="auto"/>
              </w:rPr>
            </w:pPr>
            <w:r>
              <w:rPr>
                <w:rFonts w:ascii="Arial" w:cs="Arial" w:eastAsia="Arial" w:hAnsi="Arial"/>
                <w:sz w:val="11"/>
                <w:szCs w:val="11"/>
                <w:b w:val="1"/>
                <w:bCs w:val="1"/>
                <w:color w:val="auto"/>
              </w:rPr>
              <w:t>June 30, 2021</w:t>
            </w:r>
          </w:p>
        </w:tc>
        <w:tc>
          <w:tcPr>
            <w:tcW w:w="8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401"/>
              <w:spacing w:after="0"/>
              <w:rPr>
                <w:sz w:val="20"/>
                <w:szCs w:val="20"/>
                <w:color w:val="auto"/>
              </w:rPr>
            </w:pPr>
            <w:r>
              <w:rPr>
                <w:rFonts w:ascii="Arial" w:cs="Arial" w:eastAsia="Arial" w:hAnsi="Arial"/>
                <w:sz w:val="11"/>
                <w:szCs w:val="11"/>
                <w:b w:val="1"/>
                <w:bCs w:val="1"/>
                <w:color w:val="auto"/>
                <w:w w:val="86"/>
              </w:rPr>
              <w:t>June 30, 2020</w:t>
            </w:r>
          </w:p>
        </w:tc>
        <w:tc>
          <w:tcPr>
            <w:tcW w:w="8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541"/>
              <w:spacing w:after="0"/>
              <w:rPr>
                <w:sz w:val="20"/>
                <w:szCs w:val="20"/>
                <w:color w:val="auto"/>
              </w:rPr>
            </w:pPr>
            <w:r>
              <w:rPr>
                <w:rFonts w:ascii="Arial" w:cs="Arial" w:eastAsia="Arial" w:hAnsi="Arial"/>
                <w:sz w:val="11"/>
                <w:szCs w:val="11"/>
                <w:b w:val="1"/>
                <w:bCs w:val="1"/>
                <w:color w:val="auto"/>
              </w:rPr>
              <w:t>Change</w:t>
            </w:r>
          </w:p>
        </w:tc>
        <w:tc>
          <w:tcPr>
            <w:tcW w:w="60" w:type="dxa"/>
            <w:vAlign w:val="bottom"/>
            <w:tcBorders>
              <w:bottom w:val="single" w:sz="8" w:color="CCEEFF"/>
            </w:tcBorders>
          </w:tcPr>
          <w:p>
            <w:pPr>
              <w:spacing w:after="0"/>
              <w:rPr>
                <w:sz w:val="11"/>
                <w:szCs w:val="11"/>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 Change</w:t>
            </w:r>
          </w:p>
        </w:tc>
      </w:tr>
      <w:tr>
        <w:trPr>
          <w:trHeight w:val="144"/>
        </w:trPr>
        <w:tc>
          <w:tcPr>
            <w:tcW w:w="4860" w:type="dxa"/>
            <w:vAlign w:val="bottom"/>
            <w:shd w:val="clear" w:color="auto" w:fill="CCEEFF"/>
          </w:tcPr>
          <w:p>
            <w:pPr>
              <w:spacing w:after="0"/>
              <w:rPr>
                <w:sz w:val="20"/>
                <w:szCs w:val="20"/>
                <w:color w:val="auto"/>
              </w:rPr>
            </w:pPr>
            <w:r>
              <w:rPr>
                <w:rFonts w:ascii="Arial" w:cs="Arial" w:eastAsia="Arial" w:hAnsi="Arial"/>
                <w:sz w:val="12"/>
                <w:szCs w:val="12"/>
                <w:color w:val="auto"/>
              </w:rPr>
              <w:t>Net income (loss) attributable to common shareholders</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32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76</w:t>
            </w:r>
          </w:p>
        </w:tc>
        <w:tc>
          <w:tcPr>
            <w:tcW w:w="162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w w:val="91"/>
              </w:rPr>
              <w:t>109%</w:t>
            </w:r>
          </w:p>
        </w:tc>
      </w:tr>
      <w:tr>
        <w:trPr>
          <w:trHeight w:val="153"/>
        </w:trPr>
        <w:tc>
          <w:tcPr>
            <w:tcW w:w="4860" w:type="dxa"/>
            <w:vAlign w:val="bottom"/>
          </w:tcPr>
          <w:p>
            <w:pPr>
              <w:spacing w:after="0"/>
              <w:rPr>
                <w:sz w:val="20"/>
                <w:szCs w:val="20"/>
                <w:color w:val="auto"/>
              </w:rPr>
            </w:pPr>
            <w:r>
              <w:rPr>
                <w:rFonts w:ascii="Arial" w:cs="Arial" w:eastAsia="Arial" w:hAnsi="Arial"/>
                <w:sz w:val="12"/>
                <w:szCs w:val="12"/>
                <w:color w:val="auto"/>
              </w:rPr>
              <w:t>Interest expense</w:t>
            </w:r>
          </w:p>
        </w:tc>
        <w:tc>
          <w:tcPr>
            <w:tcW w:w="26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44</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42</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jc w:val="right"/>
              <w:ind w:right="1"/>
              <w:spacing w:after="0"/>
              <w:rPr>
                <w:sz w:val="20"/>
                <w:szCs w:val="20"/>
                <w:color w:val="auto"/>
              </w:rPr>
            </w:pPr>
            <w:r>
              <w:rPr>
                <w:rFonts w:ascii="Arial" w:cs="Arial" w:eastAsia="Arial" w:hAnsi="Arial"/>
                <w:sz w:val="12"/>
                <w:szCs w:val="12"/>
                <w:color w:val="auto"/>
              </w:rPr>
              <w:t>2</w:t>
            </w:r>
          </w:p>
        </w:tc>
        <w:tc>
          <w:tcPr>
            <w:tcW w:w="1620" w:type="dxa"/>
            <w:vAlign w:val="bottom"/>
            <w:gridSpan w:val="2"/>
          </w:tcPr>
          <w:p>
            <w:pPr>
              <w:jc w:val="center"/>
              <w:spacing w:after="0"/>
              <w:rPr>
                <w:sz w:val="20"/>
                <w:szCs w:val="20"/>
                <w:color w:val="auto"/>
              </w:rPr>
            </w:pPr>
            <w:r>
              <w:rPr>
                <w:rFonts w:ascii="Arial" w:cs="Arial" w:eastAsia="Arial" w:hAnsi="Arial"/>
                <w:sz w:val="12"/>
                <w:szCs w:val="12"/>
                <w:color w:val="auto"/>
                <w:w w:val="91"/>
              </w:rPr>
              <w:t>6%</w:t>
            </w:r>
          </w:p>
        </w:tc>
      </w:tr>
      <w:tr>
        <w:trPr>
          <w:trHeight w:val="153"/>
        </w:trPr>
        <w:tc>
          <w:tcPr>
            <w:tcW w:w="4860" w:type="dxa"/>
            <w:vAlign w:val="bottom"/>
            <w:shd w:val="clear" w:color="auto" w:fill="CCEEFF"/>
          </w:tcPr>
          <w:p>
            <w:pPr>
              <w:spacing w:after="0"/>
              <w:rPr>
                <w:sz w:val="20"/>
                <w:szCs w:val="20"/>
                <w:color w:val="auto"/>
              </w:rPr>
            </w:pPr>
            <w:r>
              <w:rPr>
                <w:rFonts w:ascii="Arial" w:cs="Arial" w:eastAsia="Arial" w:hAnsi="Arial"/>
                <w:sz w:val="12"/>
                <w:szCs w:val="12"/>
                <w:color w:val="auto"/>
              </w:rPr>
              <w:t>Provision for (benefit from) income taxes</w:t>
            </w:r>
          </w:p>
        </w:tc>
        <w:tc>
          <w:tcPr>
            <w:tcW w:w="26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46</w:t>
            </w:r>
          </w:p>
        </w:tc>
        <w:tc>
          <w:tcPr>
            <w:tcW w:w="60" w:type="dxa"/>
            <w:vAlign w:val="bottom"/>
            <w:shd w:val="clear" w:color="auto" w:fill="CCEEFF"/>
          </w:tcPr>
          <w:p>
            <w:pPr>
              <w:spacing w:after="0"/>
              <w:rPr>
                <w:sz w:val="13"/>
                <w:szCs w:val="13"/>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NM</w:t>
            </w:r>
          </w:p>
        </w:tc>
      </w:tr>
      <w:tr>
        <w:trPr>
          <w:trHeight w:val="153"/>
        </w:trPr>
        <w:tc>
          <w:tcPr>
            <w:tcW w:w="48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Depreciation and amortization</w:t>
            </w:r>
          </w:p>
        </w:tc>
        <w:tc>
          <w:tcPr>
            <w:tcW w:w="2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36</w:t>
            </w: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5</w:t>
            </w:r>
          </w:p>
        </w:tc>
        <w:tc>
          <w:tcPr>
            <w:tcW w:w="1620" w:type="dxa"/>
            <w:vAlign w:val="bottom"/>
            <w:tcBorders>
              <w:bottom w:val="single" w:sz="8" w:color="CCEEFF"/>
            </w:tcBorders>
            <w:gridSpan w:val="2"/>
          </w:tcPr>
          <w:p>
            <w:pPr>
              <w:jc w:val="center"/>
              <w:ind w:left="20"/>
              <w:spacing w:after="0"/>
              <w:rPr>
                <w:sz w:val="20"/>
                <w:szCs w:val="20"/>
                <w:color w:val="auto"/>
              </w:rPr>
            </w:pPr>
            <w:r>
              <w:rPr>
                <w:rFonts w:ascii="Arial" w:cs="Arial" w:eastAsia="Arial" w:hAnsi="Arial"/>
                <w:sz w:val="12"/>
                <w:szCs w:val="12"/>
                <w:color w:val="auto"/>
                <w:w w:val="91"/>
              </w:rPr>
              <w:t>15%</w:t>
            </w:r>
          </w:p>
        </w:tc>
      </w:tr>
      <w:tr>
        <w:trPr>
          <w:trHeight w:val="142"/>
        </w:trPr>
        <w:tc>
          <w:tcPr>
            <w:tcW w:w="48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EBITDA</w:t>
            </w:r>
          </w:p>
        </w:tc>
        <w:tc>
          <w:tcPr>
            <w:tcW w:w="26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113</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129</w:t>
            </w:r>
          </w:p>
        </w:tc>
        <w:tc>
          <w:tcPr>
            <w:tcW w:w="60" w:type="dxa"/>
            <w:vAlign w:val="bottom"/>
            <w:shd w:val="clear" w:color="auto" w:fill="CCEEFF"/>
          </w:tcPr>
          <w:p>
            <w:pPr>
              <w:spacing w:after="0"/>
              <w:rPr>
                <w:sz w:val="12"/>
                <w:szCs w:val="12"/>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NM</w:t>
            </w:r>
          </w:p>
        </w:tc>
      </w:tr>
      <w:tr>
        <w:trPr>
          <w:trHeight w:val="153"/>
        </w:trPr>
        <w:tc>
          <w:tcPr>
            <w:tcW w:w="4860" w:type="dxa"/>
            <w:vAlign w:val="bottom"/>
          </w:tcPr>
          <w:p>
            <w:pPr>
              <w:spacing w:after="0"/>
              <w:rPr>
                <w:sz w:val="20"/>
                <w:szCs w:val="20"/>
                <w:color w:val="auto"/>
              </w:rPr>
            </w:pPr>
            <w:r>
              <w:rPr>
                <w:rFonts w:ascii="Arial" w:cs="Arial" w:eastAsia="Arial" w:hAnsi="Arial"/>
                <w:sz w:val="12"/>
                <w:szCs w:val="12"/>
                <w:color w:val="auto"/>
              </w:rPr>
              <w:t>Share-based compensation expense</w:t>
            </w:r>
          </w:p>
        </w:tc>
        <w:tc>
          <w:tcPr>
            <w:tcW w:w="26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14</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9</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jc w:val="right"/>
              <w:ind w:right="1"/>
              <w:spacing w:after="0"/>
              <w:rPr>
                <w:sz w:val="20"/>
                <w:szCs w:val="20"/>
                <w:color w:val="auto"/>
              </w:rPr>
            </w:pPr>
            <w:r>
              <w:rPr>
                <w:rFonts w:ascii="Arial" w:cs="Arial" w:eastAsia="Arial" w:hAnsi="Arial"/>
                <w:sz w:val="12"/>
                <w:szCs w:val="12"/>
                <w:color w:val="auto"/>
              </w:rPr>
              <w:t>5</w:t>
            </w:r>
          </w:p>
        </w:tc>
        <w:tc>
          <w:tcPr>
            <w:tcW w:w="1620" w:type="dxa"/>
            <w:vAlign w:val="bottom"/>
            <w:gridSpan w:val="2"/>
          </w:tcPr>
          <w:p>
            <w:pPr>
              <w:jc w:val="center"/>
              <w:ind w:left="20"/>
              <w:spacing w:after="0"/>
              <w:rPr>
                <w:sz w:val="20"/>
                <w:szCs w:val="20"/>
                <w:color w:val="auto"/>
              </w:rPr>
            </w:pPr>
            <w:r>
              <w:rPr>
                <w:rFonts w:ascii="Arial" w:cs="Arial" w:eastAsia="Arial" w:hAnsi="Arial"/>
                <w:sz w:val="12"/>
                <w:szCs w:val="12"/>
                <w:color w:val="auto"/>
                <w:w w:val="91"/>
              </w:rPr>
              <w:t>41%</w:t>
            </w:r>
          </w:p>
        </w:tc>
      </w:tr>
      <w:tr>
        <w:trPr>
          <w:trHeight w:val="153"/>
        </w:trPr>
        <w:tc>
          <w:tcPr>
            <w:tcW w:w="4860" w:type="dxa"/>
            <w:vAlign w:val="bottom"/>
            <w:shd w:val="clear" w:color="auto" w:fill="CCEEFF"/>
          </w:tcPr>
          <w:p>
            <w:pPr>
              <w:spacing w:after="0"/>
              <w:rPr>
                <w:sz w:val="20"/>
                <w:szCs w:val="20"/>
                <w:color w:val="auto"/>
              </w:rPr>
            </w:pPr>
            <w:r>
              <w:rPr>
                <w:rFonts w:ascii="Arial" w:cs="Arial" w:eastAsia="Arial" w:hAnsi="Arial"/>
                <w:sz w:val="12"/>
                <w:szCs w:val="12"/>
                <w:color w:val="auto"/>
              </w:rPr>
              <w:t>Certain items</w:t>
            </w:r>
          </w:p>
        </w:tc>
        <w:tc>
          <w:tcPr>
            <w:tcW w:w="26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37</w:t>
            </w:r>
          </w:p>
        </w:tc>
        <w:tc>
          <w:tcPr>
            <w:tcW w:w="8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40</w:t>
            </w:r>
          </w:p>
        </w:tc>
        <w:tc>
          <w:tcPr>
            <w:tcW w:w="60" w:type="dxa"/>
            <w:vAlign w:val="bottom"/>
            <w:shd w:val="clear" w:color="auto" w:fill="CCEEFF"/>
          </w:tcPr>
          <w:p>
            <w:pPr>
              <w:spacing w:after="0"/>
              <w:rPr>
                <w:sz w:val="13"/>
                <w:szCs w:val="13"/>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NM</w:t>
            </w:r>
          </w:p>
        </w:tc>
      </w:tr>
      <w:tr>
        <w:trPr>
          <w:trHeight w:val="142"/>
        </w:trPr>
        <w:tc>
          <w:tcPr>
            <w:tcW w:w="4860" w:type="dxa"/>
            <w:vAlign w:val="bottom"/>
          </w:tcPr>
          <w:p>
            <w:pPr>
              <w:ind w:left="140"/>
              <w:spacing w:after="0"/>
              <w:rPr>
                <w:sz w:val="20"/>
                <w:szCs w:val="20"/>
                <w:color w:val="auto"/>
              </w:rPr>
            </w:pPr>
            <w:r>
              <w:rPr>
                <w:rFonts w:ascii="Arial" w:cs="Arial" w:eastAsia="Arial" w:hAnsi="Arial"/>
                <w:sz w:val="12"/>
                <w:szCs w:val="12"/>
                <w:color w:val="auto"/>
              </w:rPr>
              <w:t>Adjusted EBITDA</w:t>
            </w:r>
          </w:p>
        </w:tc>
        <w:tc>
          <w:tcPr>
            <w:tcW w:w="26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164</w:t>
            </w:r>
          </w:p>
        </w:tc>
        <w:tc>
          <w:tcPr>
            <w:tcW w:w="80" w:type="dxa"/>
            <w:vAlign w:val="bottom"/>
          </w:tcPr>
          <w:p>
            <w:pPr>
              <w:spacing w:after="0"/>
              <w:rPr>
                <w:sz w:val="12"/>
                <w:szCs w:val="12"/>
                <w:color w:val="auto"/>
              </w:rPr>
            </w:pPr>
          </w:p>
        </w:tc>
        <w:tc>
          <w:tcPr>
            <w:tcW w:w="46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w:t>
            </w:r>
          </w:p>
        </w:tc>
        <w:tc>
          <w:tcPr>
            <w:tcW w:w="80" w:type="dxa"/>
            <w:vAlign w:val="bottom"/>
          </w:tcPr>
          <w:p>
            <w:pPr>
              <w:spacing w:after="0"/>
              <w:rPr>
                <w:sz w:val="12"/>
                <w:szCs w:val="12"/>
                <w:color w:val="auto"/>
              </w:rPr>
            </w:pPr>
          </w:p>
        </w:tc>
        <w:tc>
          <w:tcPr>
            <w:tcW w:w="3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174</w:t>
            </w:r>
          </w:p>
        </w:tc>
        <w:tc>
          <w:tcPr>
            <w:tcW w:w="6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2"/>
                <w:szCs w:val="12"/>
                <w:color w:val="auto"/>
              </w:rPr>
              <w:t>NM</w:t>
            </w:r>
          </w:p>
        </w:tc>
      </w:tr>
      <w:tr>
        <w:trPr>
          <w:trHeight w:val="20"/>
        </w:trPr>
        <w:tc>
          <w:tcPr>
            <w:tcW w:w="4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162"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2"/>
          <w:szCs w:val="12"/>
          <w:color w:val="auto"/>
        </w:rPr>
        <w:t>Certain items for the second quarter of 2021 consisted of $29 million of transaction and integration costs (including $25 million of ILG acquisition and integration related costs and $3 million of Welk acquisition related costs), $5 million of impairment charges, $3 million of litigation charges, $2 million of purchase accounting adjustments, and $2 million of losses and other expense, partially offset by $2 million to eliminate the impact of consolidating certain property owners’ associations, and $2 million of activity related to the accrual for health and welfare costs for furloughed associates.</w:t>
      </w:r>
    </w:p>
    <w:p>
      <w:pPr>
        <w:spacing w:after="0" w:line="50" w:lineRule="exact"/>
        <w:rPr>
          <w:sz w:val="20"/>
          <w:szCs w:val="20"/>
          <w:color w:val="auto"/>
        </w:rPr>
      </w:pPr>
    </w:p>
    <w:p>
      <w:pPr>
        <w:ind w:right="100" w:firstLine="432"/>
        <w:spacing w:after="0" w:line="276" w:lineRule="auto"/>
        <w:rPr>
          <w:sz w:val="20"/>
          <w:szCs w:val="20"/>
          <w:color w:val="auto"/>
        </w:rPr>
      </w:pPr>
      <w:r>
        <w:rPr>
          <w:rFonts w:ascii="Arial" w:cs="Arial" w:eastAsia="Arial" w:hAnsi="Arial"/>
          <w:sz w:val="12"/>
          <w:szCs w:val="12"/>
          <w:color w:val="auto"/>
        </w:rPr>
        <w:t>Certain items for the second quarter of 2020 consisted of $14 million of gains and other income and $2 million related to VAT charges, partially offset by $12 million of transaction and integration costs and $1 million of asset impairment charges.</w:t>
      </w:r>
    </w:p>
    <w:p>
      <w:pPr>
        <w:spacing w:after="0" w:line="106" w:lineRule="exact"/>
        <w:rPr>
          <w:sz w:val="20"/>
          <w:szCs w:val="20"/>
          <w:color w:val="auto"/>
        </w:rPr>
      </w:pPr>
    </w:p>
    <w:p>
      <w:pPr>
        <w:jc w:val="center"/>
        <w:ind w:left="420"/>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191135</wp:posOffset>
            </wp:positionV>
            <wp:extent cx="7203440"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51" w:name="page52"/>
    <w:bookmarkEnd w:id="51"/>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2021 First Half</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48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Six Months Ended</w:t>
            </w:r>
          </w:p>
        </w:tc>
        <w:tc>
          <w:tcPr>
            <w:tcW w:w="11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135"/>
        </w:trPr>
        <w:tc>
          <w:tcPr>
            <w:tcW w:w="486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26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401"/>
              <w:spacing w:after="0"/>
              <w:rPr>
                <w:sz w:val="20"/>
                <w:szCs w:val="20"/>
                <w:color w:val="auto"/>
              </w:rPr>
            </w:pPr>
            <w:r>
              <w:rPr>
                <w:rFonts w:ascii="Arial" w:cs="Arial" w:eastAsia="Arial" w:hAnsi="Arial"/>
                <w:sz w:val="11"/>
                <w:szCs w:val="11"/>
                <w:b w:val="1"/>
                <w:bCs w:val="1"/>
                <w:color w:val="auto"/>
              </w:rPr>
              <w:t>June 30, 2021</w:t>
            </w:r>
          </w:p>
        </w:tc>
        <w:tc>
          <w:tcPr>
            <w:tcW w:w="8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401"/>
              <w:spacing w:after="0"/>
              <w:rPr>
                <w:sz w:val="20"/>
                <w:szCs w:val="20"/>
                <w:color w:val="auto"/>
              </w:rPr>
            </w:pPr>
            <w:r>
              <w:rPr>
                <w:rFonts w:ascii="Arial" w:cs="Arial" w:eastAsia="Arial" w:hAnsi="Arial"/>
                <w:sz w:val="11"/>
                <w:szCs w:val="11"/>
                <w:b w:val="1"/>
                <w:bCs w:val="1"/>
                <w:color w:val="auto"/>
                <w:w w:val="89"/>
              </w:rPr>
              <w:t>June 30, 2020</w:t>
            </w:r>
          </w:p>
        </w:tc>
        <w:tc>
          <w:tcPr>
            <w:tcW w:w="8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541"/>
              <w:spacing w:after="0"/>
              <w:rPr>
                <w:sz w:val="20"/>
                <w:szCs w:val="20"/>
                <w:color w:val="auto"/>
              </w:rPr>
            </w:pPr>
            <w:r>
              <w:rPr>
                <w:rFonts w:ascii="Arial" w:cs="Arial" w:eastAsia="Arial" w:hAnsi="Arial"/>
                <w:sz w:val="11"/>
                <w:szCs w:val="11"/>
                <w:b w:val="1"/>
                <w:bCs w:val="1"/>
                <w:color w:val="auto"/>
              </w:rPr>
              <w:t>Change</w:t>
            </w:r>
          </w:p>
        </w:tc>
        <w:tc>
          <w:tcPr>
            <w:tcW w:w="60" w:type="dxa"/>
            <w:vAlign w:val="bottom"/>
            <w:tcBorders>
              <w:bottom w:val="single" w:sz="8" w:color="CCEEFF"/>
            </w:tcBorders>
          </w:tcPr>
          <w:p>
            <w:pPr>
              <w:spacing w:after="0"/>
              <w:rPr>
                <w:sz w:val="11"/>
                <w:szCs w:val="11"/>
                <w:color w:val="auto"/>
              </w:rPr>
            </w:pPr>
          </w:p>
        </w:tc>
        <w:tc>
          <w:tcPr>
            <w:tcW w:w="1560" w:type="dxa"/>
            <w:vAlign w:val="bottom"/>
            <w:tcBorders>
              <w:bottom w:val="single" w:sz="8" w:color="auto"/>
            </w:tcBorders>
          </w:tcPr>
          <w:p>
            <w:pPr>
              <w:jc w:val="right"/>
              <w:ind w:right="482"/>
              <w:spacing w:after="0"/>
              <w:rPr>
                <w:sz w:val="20"/>
                <w:szCs w:val="20"/>
                <w:color w:val="auto"/>
              </w:rPr>
            </w:pPr>
            <w:r>
              <w:rPr>
                <w:rFonts w:ascii="Arial" w:cs="Arial" w:eastAsia="Arial" w:hAnsi="Arial"/>
                <w:sz w:val="11"/>
                <w:szCs w:val="11"/>
                <w:b w:val="1"/>
                <w:bCs w:val="1"/>
                <w:color w:val="auto"/>
              </w:rPr>
              <w:t>% Change</w:t>
            </w:r>
          </w:p>
        </w:tc>
      </w:tr>
      <w:tr>
        <w:trPr>
          <w:trHeight w:val="144"/>
        </w:trPr>
        <w:tc>
          <w:tcPr>
            <w:tcW w:w="4860" w:type="dxa"/>
            <w:vAlign w:val="bottom"/>
            <w:shd w:val="clear" w:color="auto" w:fill="CCEEFF"/>
          </w:tcPr>
          <w:p>
            <w:pPr>
              <w:spacing w:after="0"/>
              <w:rPr>
                <w:sz w:val="20"/>
                <w:szCs w:val="20"/>
                <w:color w:val="auto"/>
              </w:rPr>
            </w:pPr>
            <w:r>
              <w:rPr>
                <w:rFonts w:ascii="Arial" w:cs="Arial" w:eastAsia="Arial" w:hAnsi="Arial"/>
                <w:sz w:val="12"/>
                <w:szCs w:val="12"/>
                <w:color w:val="auto"/>
              </w:rPr>
              <w:t>Net loss attributable to common shareholders</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(176)</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154</w:t>
            </w:r>
          </w:p>
        </w:tc>
        <w:tc>
          <w:tcPr>
            <w:tcW w:w="1620" w:type="dxa"/>
            <w:vAlign w:val="bottom"/>
            <w:gridSpan w:val="2"/>
            <w:shd w:val="clear" w:color="auto" w:fill="CCEEFF"/>
          </w:tcPr>
          <w:p>
            <w:pPr>
              <w:jc w:val="right"/>
              <w:ind w:right="602"/>
              <w:spacing w:after="0"/>
              <w:rPr>
                <w:sz w:val="20"/>
                <w:szCs w:val="20"/>
                <w:color w:val="auto"/>
              </w:rPr>
            </w:pPr>
            <w:r>
              <w:rPr>
                <w:rFonts w:ascii="Arial" w:cs="Arial" w:eastAsia="Arial" w:hAnsi="Arial"/>
                <w:sz w:val="12"/>
                <w:szCs w:val="12"/>
                <w:color w:val="auto"/>
              </w:rPr>
              <w:t>88%</w:t>
            </w:r>
          </w:p>
        </w:tc>
      </w:tr>
      <w:tr>
        <w:trPr>
          <w:trHeight w:val="153"/>
        </w:trPr>
        <w:tc>
          <w:tcPr>
            <w:tcW w:w="4860" w:type="dxa"/>
            <w:vAlign w:val="bottom"/>
          </w:tcPr>
          <w:p>
            <w:pPr>
              <w:spacing w:after="0"/>
              <w:rPr>
                <w:sz w:val="20"/>
                <w:szCs w:val="20"/>
                <w:color w:val="auto"/>
              </w:rPr>
            </w:pPr>
            <w:r>
              <w:rPr>
                <w:rFonts w:ascii="Arial" w:cs="Arial" w:eastAsia="Arial" w:hAnsi="Arial"/>
                <w:sz w:val="12"/>
                <w:szCs w:val="12"/>
                <w:color w:val="auto"/>
              </w:rPr>
              <w:t>Interest expense</w:t>
            </w:r>
          </w:p>
        </w:tc>
        <w:tc>
          <w:tcPr>
            <w:tcW w:w="26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87</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75</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jc w:val="right"/>
              <w:ind w:right="1"/>
              <w:spacing w:after="0"/>
              <w:rPr>
                <w:sz w:val="20"/>
                <w:szCs w:val="20"/>
                <w:color w:val="auto"/>
              </w:rPr>
            </w:pPr>
            <w:r>
              <w:rPr>
                <w:rFonts w:ascii="Arial" w:cs="Arial" w:eastAsia="Arial" w:hAnsi="Arial"/>
                <w:sz w:val="12"/>
                <w:szCs w:val="12"/>
                <w:color w:val="auto"/>
              </w:rPr>
              <w:t>12</w:t>
            </w:r>
          </w:p>
        </w:tc>
        <w:tc>
          <w:tcPr>
            <w:tcW w:w="1620" w:type="dxa"/>
            <w:vAlign w:val="bottom"/>
            <w:gridSpan w:val="2"/>
          </w:tcPr>
          <w:p>
            <w:pPr>
              <w:jc w:val="right"/>
              <w:ind w:right="602"/>
              <w:spacing w:after="0"/>
              <w:rPr>
                <w:sz w:val="20"/>
                <w:szCs w:val="20"/>
                <w:color w:val="auto"/>
              </w:rPr>
            </w:pPr>
            <w:r>
              <w:rPr>
                <w:rFonts w:ascii="Arial" w:cs="Arial" w:eastAsia="Arial" w:hAnsi="Arial"/>
                <w:sz w:val="12"/>
                <w:szCs w:val="12"/>
                <w:color w:val="auto"/>
              </w:rPr>
              <w:t>16%</w:t>
            </w:r>
          </w:p>
        </w:tc>
      </w:tr>
      <w:tr>
        <w:trPr>
          <w:trHeight w:val="153"/>
        </w:trPr>
        <w:tc>
          <w:tcPr>
            <w:tcW w:w="4860" w:type="dxa"/>
            <w:vAlign w:val="bottom"/>
            <w:shd w:val="clear" w:color="auto" w:fill="CCEEFF"/>
          </w:tcPr>
          <w:p>
            <w:pPr>
              <w:spacing w:after="0"/>
              <w:rPr>
                <w:sz w:val="20"/>
                <w:szCs w:val="20"/>
                <w:color w:val="auto"/>
              </w:rPr>
            </w:pPr>
            <w:r>
              <w:rPr>
                <w:rFonts w:ascii="Arial" w:cs="Arial" w:eastAsia="Arial" w:hAnsi="Arial"/>
                <w:sz w:val="12"/>
                <w:szCs w:val="12"/>
                <w:color w:val="auto"/>
              </w:rPr>
              <w:t>Provision for (benefit from) income taxes</w:t>
            </w:r>
          </w:p>
        </w:tc>
        <w:tc>
          <w:tcPr>
            <w:tcW w:w="26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93</w:t>
            </w:r>
          </w:p>
        </w:tc>
        <w:tc>
          <w:tcPr>
            <w:tcW w:w="60" w:type="dxa"/>
            <w:vAlign w:val="bottom"/>
            <w:shd w:val="clear" w:color="auto" w:fill="CCEEFF"/>
          </w:tcPr>
          <w:p>
            <w:pPr>
              <w:spacing w:after="0"/>
              <w:rPr>
                <w:sz w:val="13"/>
                <w:szCs w:val="13"/>
                <w:color w:val="auto"/>
              </w:rPr>
            </w:pPr>
          </w:p>
        </w:tc>
        <w:tc>
          <w:tcPr>
            <w:tcW w:w="1560" w:type="dxa"/>
            <w:vAlign w:val="bottom"/>
            <w:shd w:val="clear" w:color="auto" w:fill="CCEEFF"/>
          </w:tcPr>
          <w:p>
            <w:pPr>
              <w:jc w:val="right"/>
              <w:ind w:right="622"/>
              <w:spacing w:after="0"/>
              <w:rPr>
                <w:sz w:val="20"/>
                <w:szCs w:val="20"/>
                <w:color w:val="auto"/>
              </w:rPr>
            </w:pPr>
            <w:r>
              <w:rPr>
                <w:rFonts w:ascii="Arial" w:cs="Arial" w:eastAsia="Arial" w:hAnsi="Arial"/>
                <w:sz w:val="12"/>
                <w:szCs w:val="12"/>
                <w:color w:val="auto"/>
              </w:rPr>
              <w:t>NM</w:t>
            </w:r>
          </w:p>
        </w:tc>
      </w:tr>
      <w:tr>
        <w:trPr>
          <w:trHeight w:val="153"/>
        </w:trPr>
        <w:tc>
          <w:tcPr>
            <w:tcW w:w="48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Depreciation and amortization</w:t>
            </w:r>
          </w:p>
        </w:tc>
        <w:tc>
          <w:tcPr>
            <w:tcW w:w="2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77</w:t>
            </w:r>
          </w:p>
        </w:tc>
        <w:tc>
          <w:tcPr>
            <w:tcW w:w="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63</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14</w:t>
            </w:r>
          </w:p>
        </w:tc>
        <w:tc>
          <w:tcPr>
            <w:tcW w:w="1620" w:type="dxa"/>
            <w:vAlign w:val="bottom"/>
            <w:tcBorders>
              <w:bottom w:val="single" w:sz="8" w:color="CCEEFF"/>
            </w:tcBorders>
            <w:gridSpan w:val="2"/>
          </w:tcPr>
          <w:p>
            <w:pPr>
              <w:jc w:val="right"/>
              <w:ind w:right="602"/>
              <w:spacing w:after="0"/>
              <w:rPr>
                <w:sz w:val="20"/>
                <w:szCs w:val="20"/>
                <w:color w:val="auto"/>
              </w:rPr>
            </w:pPr>
            <w:r>
              <w:rPr>
                <w:rFonts w:ascii="Arial" w:cs="Arial" w:eastAsia="Arial" w:hAnsi="Arial"/>
                <w:sz w:val="12"/>
                <w:szCs w:val="12"/>
                <w:color w:val="auto"/>
              </w:rPr>
              <w:t>22%</w:t>
            </w:r>
          </w:p>
        </w:tc>
      </w:tr>
      <w:tr>
        <w:trPr>
          <w:trHeight w:val="142"/>
        </w:trPr>
        <w:tc>
          <w:tcPr>
            <w:tcW w:w="48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EBITDA</w:t>
            </w:r>
          </w:p>
        </w:tc>
        <w:tc>
          <w:tcPr>
            <w:tcW w:w="26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158</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(115)</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273</w:t>
            </w:r>
          </w:p>
        </w:tc>
        <w:tc>
          <w:tcPr>
            <w:tcW w:w="60" w:type="dxa"/>
            <w:vAlign w:val="bottom"/>
            <w:shd w:val="clear" w:color="auto" w:fill="CCEEFF"/>
          </w:tcPr>
          <w:p>
            <w:pPr>
              <w:spacing w:after="0"/>
              <w:rPr>
                <w:sz w:val="12"/>
                <w:szCs w:val="12"/>
                <w:color w:val="auto"/>
              </w:rPr>
            </w:pPr>
          </w:p>
        </w:tc>
        <w:tc>
          <w:tcPr>
            <w:tcW w:w="1560" w:type="dxa"/>
            <w:vAlign w:val="bottom"/>
            <w:shd w:val="clear" w:color="auto" w:fill="CCEEFF"/>
          </w:tcPr>
          <w:p>
            <w:pPr>
              <w:jc w:val="right"/>
              <w:ind w:right="622"/>
              <w:spacing w:after="0"/>
              <w:rPr>
                <w:sz w:val="20"/>
                <w:szCs w:val="20"/>
                <w:color w:val="auto"/>
              </w:rPr>
            </w:pPr>
            <w:r>
              <w:rPr>
                <w:rFonts w:ascii="Arial" w:cs="Arial" w:eastAsia="Arial" w:hAnsi="Arial"/>
                <w:sz w:val="12"/>
                <w:szCs w:val="12"/>
                <w:color w:val="auto"/>
              </w:rPr>
              <w:t>NM</w:t>
            </w:r>
          </w:p>
        </w:tc>
      </w:tr>
      <w:tr>
        <w:trPr>
          <w:trHeight w:val="153"/>
        </w:trPr>
        <w:tc>
          <w:tcPr>
            <w:tcW w:w="4860" w:type="dxa"/>
            <w:vAlign w:val="bottom"/>
          </w:tcPr>
          <w:p>
            <w:pPr>
              <w:spacing w:after="0"/>
              <w:rPr>
                <w:sz w:val="20"/>
                <w:szCs w:val="20"/>
                <w:color w:val="auto"/>
              </w:rPr>
            </w:pPr>
            <w:r>
              <w:rPr>
                <w:rFonts w:ascii="Arial" w:cs="Arial" w:eastAsia="Arial" w:hAnsi="Arial"/>
                <w:sz w:val="12"/>
                <w:szCs w:val="12"/>
                <w:color w:val="auto"/>
              </w:rPr>
              <w:t>Share-based compensation expense</w:t>
            </w:r>
          </w:p>
        </w:tc>
        <w:tc>
          <w:tcPr>
            <w:tcW w:w="26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22</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13</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jc w:val="right"/>
              <w:ind w:right="1"/>
              <w:spacing w:after="0"/>
              <w:rPr>
                <w:sz w:val="20"/>
                <w:szCs w:val="20"/>
                <w:color w:val="auto"/>
              </w:rPr>
            </w:pPr>
            <w:r>
              <w:rPr>
                <w:rFonts w:ascii="Arial" w:cs="Arial" w:eastAsia="Arial" w:hAnsi="Arial"/>
                <w:sz w:val="12"/>
                <w:szCs w:val="12"/>
                <w:color w:val="auto"/>
              </w:rPr>
              <w:t>9</w:t>
            </w:r>
          </w:p>
        </w:tc>
        <w:tc>
          <w:tcPr>
            <w:tcW w:w="1620" w:type="dxa"/>
            <w:vAlign w:val="bottom"/>
            <w:gridSpan w:val="2"/>
          </w:tcPr>
          <w:p>
            <w:pPr>
              <w:jc w:val="right"/>
              <w:ind w:right="602"/>
              <w:spacing w:after="0"/>
              <w:rPr>
                <w:sz w:val="20"/>
                <w:szCs w:val="20"/>
                <w:color w:val="auto"/>
              </w:rPr>
            </w:pPr>
            <w:r>
              <w:rPr>
                <w:rFonts w:ascii="Arial" w:cs="Arial" w:eastAsia="Arial" w:hAnsi="Arial"/>
                <w:sz w:val="12"/>
                <w:szCs w:val="12"/>
                <w:color w:val="auto"/>
              </w:rPr>
              <w:t>68%</w:t>
            </w:r>
          </w:p>
        </w:tc>
      </w:tr>
      <w:tr>
        <w:trPr>
          <w:trHeight w:val="153"/>
        </w:trPr>
        <w:tc>
          <w:tcPr>
            <w:tcW w:w="4860" w:type="dxa"/>
            <w:vAlign w:val="bottom"/>
            <w:shd w:val="clear" w:color="auto" w:fill="CCEEFF"/>
          </w:tcPr>
          <w:p>
            <w:pPr>
              <w:spacing w:after="0"/>
              <w:rPr>
                <w:sz w:val="20"/>
                <w:szCs w:val="20"/>
                <w:color w:val="auto"/>
              </w:rPr>
            </w:pPr>
            <w:r>
              <w:rPr>
                <w:rFonts w:ascii="Arial" w:cs="Arial" w:eastAsia="Arial" w:hAnsi="Arial"/>
                <w:sz w:val="12"/>
                <w:szCs w:val="12"/>
                <w:color w:val="auto"/>
              </w:rPr>
              <w:t>Certain items</w:t>
            </w:r>
          </w:p>
        </w:tc>
        <w:tc>
          <w:tcPr>
            <w:tcW w:w="26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53</w:t>
            </w:r>
          </w:p>
        </w:tc>
        <w:tc>
          <w:tcPr>
            <w:tcW w:w="8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230</w:t>
            </w: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(177)</w:t>
            </w:r>
          </w:p>
        </w:tc>
        <w:tc>
          <w:tcPr>
            <w:tcW w:w="1620" w:type="dxa"/>
            <w:vAlign w:val="bottom"/>
            <w:gridSpan w:val="2"/>
            <w:shd w:val="clear" w:color="auto" w:fill="CCEEFF"/>
          </w:tcPr>
          <w:p>
            <w:pPr>
              <w:jc w:val="right"/>
              <w:ind w:right="562"/>
              <w:spacing w:after="0"/>
              <w:rPr>
                <w:sz w:val="20"/>
                <w:szCs w:val="20"/>
                <w:color w:val="auto"/>
              </w:rPr>
            </w:pPr>
            <w:r>
              <w:rPr>
                <w:rFonts w:ascii="Arial" w:cs="Arial" w:eastAsia="Arial" w:hAnsi="Arial"/>
                <w:sz w:val="12"/>
                <w:szCs w:val="12"/>
                <w:color w:val="auto"/>
              </w:rPr>
              <w:t>(77%)</w:t>
            </w:r>
          </w:p>
        </w:tc>
      </w:tr>
      <w:tr>
        <w:trPr>
          <w:trHeight w:val="142"/>
        </w:trPr>
        <w:tc>
          <w:tcPr>
            <w:tcW w:w="4860" w:type="dxa"/>
            <w:vAlign w:val="bottom"/>
          </w:tcPr>
          <w:p>
            <w:pPr>
              <w:ind w:left="140"/>
              <w:spacing w:after="0"/>
              <w:rPr>
                <w:sz w:val="20"/>
                <w:szCs w:val="20"/>
                <w:color w:val="auto"/>
              </w:rPr>
            </w:pPr>
            <w:r>
              <w:rPr>
                <w:rFonts w:ascii="Arial" w:cs="Arial" w:eastAsia="Arial" w:hAnsi="Arial"/>
                <w:sz w:val="12"/>
                <w:szCs w:val="12"/>
                <w:color w:val="auto"/>
              </w:rPr>
              <w:t>Adjusted EBITDA</w:t>
            </w:r>
          </w:p>
        </w:tc>
        <w:tc>
          <w:tcPr>
            <w:tcW w:w="26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233</w:t>
            </w:r>
          </w:p>
        </w:tc>
        <w:tc>
          <w:tcPr>
            <w:tcW w:w="80" w:type="dxa"/>
            <w:vAlign w:val="bottom"/>
          </w:tcPr>
          <w:p>
            <w:pPr>
              <w:spacing w:after="0"/>
              <w:rPr>
                <w:sz w:val="12"/>
                <w:szCs w:val="12"/>
                <w:color w:val="auto"/>
              </w:rPr>
            </w:pPr>
          </w:p>
        </w:tc>
        <w:tc>
          <w:tcPr>
            <w:tcW w:w="44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128</w:t>
            </w:r>
          </w:p>
        </w:tc>
        <w:tc>
          <w:tcPr>
            <w:tcW w:w="80" w:type="dxa"/>
            <w:vAlign w:val="bottom"/>
          </w:tcPr>
          <w:p>
            <w:pPr>
              <w:spacing w:after="0"/>
              <w:rPr>
                <w:sz w:val="12"/>
                <w:szCs w:val="12"/>
                <w:color w:val="auto"/>
              </w:rPr>
            </w:pPr>
          </w:p>
        </w:tc>
        <w:tc>
          <w:tcPr>
            <w:tcW w:w="3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105</w:t>
            </w:r>
          </w:p>
        </w:tc>
        <w:tc>
          <w:tcPr>
            <w:tcW w:w="1620" w:type="dxa"/>
            <w:vAlign w:val="bottom"/>
            <w:gridSpan w:val="2"/>
          </w:tcPr>
          <w:p>
            <w:pPr>
              <w:jc w:val="right"/>
              <w:ind w:right="602"/>
              <w:spacing w:after="0"/>
              <w:rPr>
                <w:sz w:val="20"/>
                <w:szCs w:val="20"/>
                <w:color w:val="auto"/>
              </w:rPr>
            </w:pPr>
            <w:r>
              <w:rPr>
                <w:rFonts w:ascii="Arial" w:cs="Arial" w:eastAsia="Arial" w:hAnsi="Arial"/>
                <w:sz w:val="12"/>
                <w:szCs w:val="12"/>
                <w:color w:val="auto"/>
              </w:rPr>
              <w:t>82%</w:t>
            </w:r>
          </w:p>
        </w:tc>
      </w:tr>
      <w:tr>
        <w:trPr>
          <w:trHeight w:val="20"/>
        </w:trPr>
        <w:tc>
          <w:tcPr>
            <w:tcW w:w="4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162" w:lineRule="exact"/>
        <w:rPr>
          <w:sz w:val="20"/>
          <w:szCs w:val="20"/>
          <w:color w:val="auto"/>
        </w:rPr>
      </w:pPr>
    </w:p>
    <w:p>
      <w:pPr>
        <w:ind w:right="120" w:firstLine="432"/>
        <w:spacing w:after="0" w:line="259" w:lineRule="auto"/>
        <w:rPr>
          <w:sz w:val="20"/>
          <w:szCs w:val="20"/>
          <w:color w:val="auto"/>
        </w:rPr>
      </w:pPr>
      <w:r>
        <w:rPr>
          <w:rFonts w:ascii="Arial" w:cs="Arial" w:eastAsia="Arial" w:hAnsi="Arial"/>
          <w:sz w:val="12"/>
          <w:szCs w:val="12"/>
          <w:color w:val="auto"/>
        </w:rPr>
        <w:t>Certain items for the first half of 2021 consisted of $48 million of transaction and integration costs (including $42 million of ILG acquisition and integration related costs and $5 million of Welk acquisition related costs), $6 million of litigation charges, $5 million of impairment charges, and $2 million of purchase accounting adjustments, partially offset by $4 million of gains and other income (including $6 million of foreign currency translation gains, partially offset by $2 million of tax related charges), $2 million to eliminate the impact of consolidating certain property owners’ associations, and $2 million of activity related to the accrual for health and welfare costs for furloughed associates.</w:t>
      </w:r>
    </w:p>
    <w:p>
      <w:pPr>
        <w:spacing w:after="0" w:line="52" w:lineRule="exact"/>
        <w:rPr>
          <w:sz w:val="20"/>
          <w:szCs w:val="20"/>
          <w:color w:val="auto"/>
        </w:rPr>
      </w:pPr>
    </w:p>
    <w:p>
      <w:pPr>
        <w:jc w:val="both"/>
        <w:ind w:right="120" w:firstLine="432"/>
        <w:spacing w:after="0" w:line="298" w:lineRule="auto"/>
        <w:rPr>
          <w:sz w:val="20"/>
          <w:szCs w:val="20"/>
          <w:color w:val="auto"/>
        </w:rPr>
      </w:pPr>
      <w:r>
        <w:rPr>
          <w:rFonts w:ascii="Arial" w:cs="Arial" w:eastAsia="Arial" w:hAnsi="Arial"/>
          <w:sz w:val="11"/>
          <w:szCs w:val="11"/>
          <w:color w:val="auto"/>
        </w:rPr>
        <w:t>Certain items for the first half of 2020 consisted of $96 million of asset impairment charges, $48 million of other charges (including $37 million related to the net sales reserve adjustment and $11 million related to an accrual for the health and welfare costs for furloughed associates), $42 million of losses and other expense, $36 million of transaction and integration costs (including $33 million of ILG acquisition and integration related costs and $3 million of transaction costs related to our asset light inventory arrangements), $4 million related to VAT charges, $2 million of purchase accounting adjustments, and $2 million of litigation charges.</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Segment Adjusted EBITDA</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2021 Second Quarter</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48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Three Months Ended</w:t>
            </w:r>
          </w:p>
        </w:tc>
        <w:tc>
          <w:tcPr>
            <w:tcW w:w="11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860" w:type="dxa"/>
            <w:vAlign w:val="bottom"/>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260" w:type="dxa"/>
            <w:vAlign w:val="bottom"/>
          </w:tcPr>
          <w:p>
            <w:pPr>
              <w:spacing w:after="0"/>
              <w:rPr>
                <w:sz w:val="11"/>
                <w:szCs w:val="11"/>
                <w:color w:val="auto"/>
              </w:rPr>
            </w:pPr>
          </w:p>
        </w:tc>
        <w:tc>
          <w:tcPr>
            <w:tcW w:w="1360" w:type="dxa"/>
            <w:vAlign w:val="bottom"/>
            <w:gridSpan w:val="2"/>
          </w:tcPr>
          <w:p>
            <w:pPr>
              <w:ind w:left="200"/>
              <w:spacing w:after="0"/>
              <w:rPr>
                <w:sz w:val="20"/>
                <w:szCs w:val="20"/>
                <w:color w:val="auto"/>
              </w:rPr>
            </w:pPr>
            <w:r>
              <w:rPr>
                <w:rFonts w:ascii="Arial" w:cs="Arial" w:eastAsia="Arial" w:hAnsi="Arial"/>
                <w:sz w:val="11"/>
                <w:szCs w:val="11"/>
                <w:b w:val="1"/>
                <w:bCs w:val="1"/>
                <w:color w:val="auto"/>
              </w:rPr>
              <w:t>June 30, 2021</w:t>
            </w:r>
          </w:p>
        </w:tc>
        <w:tc>
          <w:tcPr>
            <w:tcW w:w="460" w:type="dxa"/>
            <w:vAlign w:val="bottom"/>
          </w:tcPr>
          <w:p>
            <w:pPr>
              <w:spacing w:after="0"/>
              <w:rPr>
                <w:sz w:val="11"/>
                <w:szCs w:val="11"/>
                <w:color w:val="auto"/>
              </w:rPr>
            </w:pPr>
          </w:p>
        </w:tc>
        <w:tc>
          <w:tcPr>
            <w:tcW w:w="1100" w:type="dxa"/>
            <w:vAlign w:val="bottom"/>
          </w:tcPr>
          <w:p>
            <w:pPr>
              <w:jc w:val="right"/>
              <w:ind w:right="401"/>
              <w:spacing w:after="0"/>
              <w:rPr>
                <w:sz w:val="20"/>
                <w:szCs w:val="20"/>
                <w:color w:val="auto"/>
              </w:rPr>
            </w:pPr>
            <w:r>
              <w:rPr>
                <w:rFonts w:ascii="Arial" w:cs="Arial" w:eastAsia="Arial" w:hAnsi="Arial"/>
                <w:sz w:val="11"/>
                <w:szCs w:val="11"/>
                <w:b w:val="1"/>
                <w:bCs w:val="1"/>
                <w:color w:val="auto"/>
                <w:w w:val="86"/>
              </w:rPr>
              <w:t>June 30, 2020</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tcPr>
          <w:p>
            <w:pPr>
              <w:jc w:val="right"/>
              <w:ind w:right="541"/>
              <w:spacing w:after="0"/>
              <w:rPr>
                <w:sz w:val="20"/>
                <w:szCs w:val="20"/>
                <w:color w:val="auto"/>
              </w:rPr>
            </w:pPr>
            <w:r>
              <w:rPr>
                <w:rFonts w:ascii="Arial" w:cs="Arial" w:eastAsia="Arial" w:hAnsi="Arial"/>
                <w:sz w:val="11"/>
                <w:szCs w:val="11"/>
                <w:b w:val="1"/>
                <w:bCs w:val="1"/>
                <w:color w:val="auto"/>
              </w:rPr>
              <w:t>Change</w:t>
            </w:r>
          </w:p>
        </w:tc>
        <w:tc>
          <w:tcPr>
            <w:tcW w:w="60" w:type="dxa"/>
            <w:vAlign w:val="bottom"/>
          </w:tcPr>
          <w:p>
            <w:pPr>
              <w:spacing w:after="0"/>
              <w:rPr>
                <w:sz w:val="11"/>
                <w:szCs w:val="11"/>
                <w:color w:val="auto"/>
              </w:rPr>
            </w:pPr>
          </w:p>
        </w:tc>
        <w:tc>
          <w:tcPr>
            <w:tcW w:w="1560" w:type="dxa"/>
            <w:vAlign w:val="bottom"/>
          </w:tcPr>
          <w:p>
            <w:pPr>
              <w:jc w:val="center"/>
              <w:spacing w:after="0"/>
              <w:rPr>
                <w:sz w:val="20"/>
                <w:szCs w:val="20"/>
                <w:color w:val="auto"/>
              </w:rPr>
            </w:pPr>
            <w:r>
              <w:rPr>
                <w:rFonts w:ascii="Arial" w:cs="Arial" w:eastAsia="Arial" w:hAnsi="Arial"/>
                <w:sz w:val="11"/>
                <w:szCs w:val="11"/>
                <w:b w:val="1"/>
                <w:bCs w:val="1"/>
                <w:color w:val="auto"/>
                <w:w w:val="90"/>
              </w:rPr>
              <w:t>% Change</w:t>
            </w:r>
          </w:p>
        </w:tc>
        <w:tc>
          <w:tcPr>
            <w:tcW w:w="0" w:type="dxa"/>
            <w:vAlign w:val="bottom"/>
          </w:tcPr>
          <w:p>
            <w:pPr>
              <w:spacing w:after="0"/>
              <w:rPr>
                <w:sz w:val="1"/>
                <w:szCs w:val="1"/>
                <w:color w:val="auto"/>
              </w:rPr>
            </w:pPr>
          </w:p>
        </w:tc>
      </w:tr>
      <w:tr>
        <w:trPr>
          <w:trHeight w:val="144"/>
        </w:trPr>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Vacation Ownership</w:t>
            </w:r>
          </w:p>
        </w:tc>
        <w:tc>
          <w:tcPr>
            <w:tcW w:w="260" w:type="dxa"/>
            <w:vAlign w:val="bottom"/>
            <w:tcBorders>
              <w:top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182</w:t>
            </w:r>
          </w:p>
        </w:tc>
        <w:tc>
          <w:tcPr>
            <w:tcW w:w="8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ind w:right="320"/>
              <w:spacing w:after="0"/>
              <w:rPr>
                <w:sz w:val="20"/>
                <w:szCs w:val="20"/>
                <w:color w:val="auto"/>
              </w:rPr>
            </w:pPr>
            <w:r>
              <w:rPr>
                <w:rFonts w:ascii="Arial" w:cs="Arial" w:eastAsia="Arial" w:hAnsi="Arial"/>
                <w:sz w:val="12"/>
                <w:szCs w:val="12"/>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w:t>
            </w:r>
          </w:p>
        </w:tc>
        <w:tc>
          <w:tcPr>
            <w:tcW w:w="8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2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201</w:t>
            </w:r>
          </w:p>
        </w:tc>
        <w:tc>
          <w:tcPr>
            <w:tcW w:w="60" w:type="dxa"/>
            <w:vAlign w:val="bottom"/>
            <w:tcBorders>
              <w:top w:val="single" w:sz="8" w:color="CCEEFF"/>
            </w:tcBorders>
            <w:shd w:val="clear" w:color="auto" w:fill="CCEEFF"/>
          </w:tcPr>
          <w:p>
            <w:pPr>
              <w:spacing w:after="0"/>
              <w:rPr>
                <w:sz w:val="12"/>
                <w:szCs w:val="12"/>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rPr>
              <w:t>NM</w:t>
            </w:r>
          </w:p>
        </w:tc>
        <w:tc>
          <w:tcPr>
            <w:tcW w:w="0" w:type="dxa"/>
            <w:vAlign w:val="bottom"/>
          </w:tcPr>
          <w:p>
            <w:pPr>
              <w:spacing w:after="0"/>
              <w:rPr>
                <w:sz w:val="1"/>
                <w:szCs w:val="1"/>
                <w:color w:val="auto"/>
              </w:rPr>
            </w:pPr>
          </w:p>
        </w:tc>
      </w:tr>
      <w:tr>
        <w:trPr>
          <w:trHeight w:val="153"/>
        </w:trPr>
        <w:tc>
          <w:tcPr>
            <w:tcW w:w="48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Exchange &amp; Third-Party Management</w:t>
            </w:r>
          </w:p>
        </w:tc>
        <w:tc>
          <w:tcPr>
            <w:tcW w:w="2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w:t>
            </w: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18</w:t>
            </w:r>
          </w:p>
        </w:tc>
        <w:tc>
          <w:tcPr>
            <w:tcW w:w="1620" w:type="dxa"/>
            <w:vAlign w:val="bottom"/>
            <w:tcBorders>
              <w:bottom w:val="single" w:sz="8" w:color="CCEEFF"/>
            </w:tcBorders>
            <w:gridSpan w:val="2"/>
          </w:tcPr>
          <w:p>
            <w:pPr>
              <w:jc w:val="right"/>
              <w:ind w:right="602"/>
              <w:spacing w:after="0"/>
              <w:rPr>
                <w:sz w:val="20"/>
                <w:szCs w:val="20"/>
                <w:color w:val="auto"/>
              </w:rPr>
            </w:pPr>
            <w:r>
              <w:rPr>
                <w:rFonts w:ascii="Arial" w:cs="Arial" w:eastAsia="Arial" w:hAnsi="Arial"/>
                <w:sz w:val="12"/>
                <w:szCs w:val="12"/>
                <w:color w:val="auto"/>
              </w:rPr>
              <w:t>94%</w:t>
            </w:r>
          </w:p>
        </w:tc>
        <w:tc>
          <w:tcPr>
            <w:tcW w:w="0" w:type="dxa"/>
            <w:vAlign w:val="bottom"/>
          </w:tcPr>
          <w:p>
            <w:pPr>
              <w:spacing w:after="0"/>
              <w:rPr>
                <w:sz w:val="1"/>
                <w:szCs w:val="1"/>
                <w:color w:val="auto"/>
              </w:rPr>
            </w:pPr>
          </w:p>
        </w:tc>
      </w:tr>
      <w:tr>
        <w:trPr>
          <w:trHeight w:val="142"/>
        </w:trPr>
        <w:tc>
          <w:tcPr>
            <w:tcW w:w="48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Segment adjusted EBITDA</w:t>
            </w:r>
          </w:p>
        </w:tc>
        <w:tc>
          <w:tcPr>
            <w:tcW w:w="26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219</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2"/>
                <w:szCs w:val="12"/>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219</w:t>
            </w:r>
          </w:p>
        </w:tc>
        <w:tc>
          <w:tcPr>
            <w:tcW w:w="60" w:type="dxa"/>
            <w:vAlign w:val="bottom"/>
            <w:shd w:val="clear" w:color="auto" w:fill="CCEEFF"/>
          </w:tcPr>
          <w:p>
            <w:pPr>
              <w:spacing w:after="0"/>
              <w:rPr>
                <w:sz w:val="12"/>
                <w:szCs w:val="12"/>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NM</w:t>
            </w:r>
          </w:p>
        </w:tc>
        <w:tc>
          <w:tcPr>
            <w:tcW w:w="0" w:type="dxa"/>
            <w:vAlign w:val="bottom"/>
          </w:tcPr>
          <w:p>
            <w:pPr>
              <w:spacing w:after="0"/>
              <w:rPr>
                <w:sz w:val="1"/>
                <w:szCs w:val="1"/>
                <w:color w:val="auto"/>
              </w:rPr>
            </w:pPr>
          </w:p>
        </w:tc>
      </w:tr>
      <w:tr>
        <w:trPr>
          <w:trHeight w:val="153"/>
        </w:trPr>
        <w:tc>
          <w:tcPr>
            <w:tcW w:w="4860" w:type="dxa"/>
            <w:vAlign w:val="bottom"/>
          </w:tcPr>
          <w:p>
            <w:pPr>
              <w:spacing w:after="0"/>
              <w:rPr>
                <w:sz w:val="20"/>
                <w:szCs w:val="20"/>
                <w:color w:val="auto"/>
              </w:rPr>
            </w:pPr>
            <w:r>
              <w:rPr>
                <w:rFonts w:ascii="Arial" w:cs="Arial" w:eastAsia="Arial" w:hAnsi="Arial"/>
                <w:sz w:val="12"/>
                <w:szCs w:val="12"/>
                <w:color w:val="auto"/>
              </w:rPr>
              <w:t>General and administrative</w:t>
            </w:r>
          </w:p>
        </w:tc>
        <w:tc>
          <w:tcPr>
            <w:tcW w:w="26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(56)</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(13)</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(43)</w:t>
            </w:r>
          </w:p>
        </w:tc>
        <w:tc>
          <w:tcPr>
            <w:tcW w:w="6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Arial" w:cs="Arial" w:eastAsia="Arial" w:hAnsi="Arial"/>
                <w:sz w:val="12"/>
                <w:szCs w:val="12"/>
                <w:color w:val="auto"/>
              </w:rPr>
              <w:t>NM</w:t>
            </w:r>
          </w:p>
        </w:tc>
        <w:tc>
          <w:tcPr>
            <w:tcW w:w="0" w:type="dxa"/>
            <w:vAlign w:val="bottom"/>
          </w:tcPr>
          <w:p>
            <w:pPr>
              <w:spacing w:after="0"/>
              <w:rPr>
                <w:sz w:val="1"/>
                <w:szCs w:val="1"/>
                <w:color w:val="auto"/>
              </w:rPr>
            </w:pPr>
          </w:p>
        </w:tc>
      </w:tr>
      <w:tr>
        <w:trPr>
          <w:trHeight w:val="153"/>
        </w:trPr>
        <w:tc>
          <w:tcPr>
            <w:tcW w:w="4860" w:type="dxa"/>
            <w:vAlign w:val="bottom"/>
            <w:shd w:val="clear" w:color="auto" w:fill="CCEEFF"/>
          </w:tcPr>
          <w:p>
            <w:pPr>
              <w:spacing w:after="0"/>
              <w:rPr>
                <w:sz w:val="20"/>
                <w:szCs w:val="20"/>
                <w:color w:val="auto"/>
              </w:rPr>
            </w:pPr>
            <w:r>
              <w:rPr>
                <w:rFonts w:ascii="Arial" w:cs="Arial" w:eastAsia="Arial" w:hAnsi="Arial"/>
                <w:sz w:val="12"/>
                <w:szCs w:val="12"/>
                <w:color w:val="auto"/>
              </w:rPr>
              <w:t>Consolidated property owners’ associations</w:t>
            </w:r>
          </w:p>
        </w:tc>
        <w:tc>
          <w:tcPr>
            <w:tcW w:w="26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60" w:type="dxa"/>
            <w:vAlign w:val="bottom"/>
            <w:shd w:val="clear" w:color="auto" w:fill="CCEEFF"/>
          </w:tcPr>
          <w:p>
            <w:pPr>
              <w:spacing w:after="0"/>
              <w:rPr>
                <w:sz w:val="13"/>
                <w:szCs w:val="13"/>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NM</w:t>
            </w:r>
          </w:p>
        </w:tc>
        <w:tc>
          <w:tcPr>
            <w:tcW w:w="0" w:type="dxa"/>
            <w:vAlign w:val="bottom"/>
          </w:tcPr>
          <w:p>
            <w:pPr>
              <w:spacing w:after="0"/>
              <w:rPr>
                <w:sz w:val="1"/>
                <w:szCs w:val="1"/>
                <w:color w:val="auto"/>
              </w:rPr>
            </w:pPr>
          </w:p>
        </w:tc>
      </w:tr>
      <w:tr>
        <w:trPr>
          <w:trHeight w:val="142"/>
        </w:trPr>
        <w:tc>
          <w:tcPr>
            <w:tcW w:w="4860" w:type="dxa"/>
            <w:vAlign w:val="bottom"/>
          </w:tcPr>
          <w:p>
            <w:pPr>
              <w:ind w:left="140"/>
              <w:spacing w:after="0"/>
              <w:rPr>
                <w:sz w:val="20"/>
                <w:szCs w:val="20"/>
                <w:color w:val="auto"/>
              </w:rPr>
            </w:pPr>
            <w:r>
              <w:rPr>
                <w:rFonts w:ascii="Arial" w:cs="Arial" w:eastAsia="Arial" w:hAnsi="Arial"/>
                <w:sz w:val="12"/>
                <w:szCs w:val="12"/>
                <w:color w:val="auto"/>
              </w:rPr>
              <w:t>Adjusted EBITDA</w:t>
            </w:r>
          </w:p>
        </w:tc>
        <w:tc>
          <w:tcPr>
            <w:tcW w:w="26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164</w:t>
            </w:r>
          </w:p>
        </w:tc>
        <w:tc>
          <w:tcPr>
            <w:tcW w:w="80" w:type="dxa"/>
            <w:vAlign w:val="bottom"/>
          </w:tcPr>
          <w:p>
            <w:pPr>
              <w:spacing w:after="0"/>
              <w:rPr>
                <w:sz w:val="12"/>
                <w:szCs w:val="12"/>
                <w:color w:val="auto"/>
              </w:rPr>
            </w:pPr>
          </w:p>
        </w:tc>
        <w:tc>
          <w:tcPr>
            <w:tcW w:w="46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w:t>
            </w:r>
          </w:p>
        </w:tc>
        <w:tc>
          <w:tcPr>
            <w:tcW w:w="80" w:type="dxa"/>
            <w:vAlign w:val="bottom"/>
          </w:tcPr>
          <w:p>
            <w:pPr>
              <w:spacing w:after="0"/>
              <w:rPr>
                <w:sz w:val="12"/>
                <w:szCs w:val="12"/>
                <w:color w:val="auto"/>
              </w:rPr>
            </w:pPr>
          </w:p>
        </w:tc>
        <w:tc>
          <w:tcPr>
            <w:tcW w:w="3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174</w:t>
            </w:r>
          </w:p>
        </w:tc>
        <w:tc>
          <w:tcPr>
            <w:tcW w:w="6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2"/>
                <w:szCs w:val="12"/>
                <w:color w:val="auto"/>
              </w:rPr>
              <w:t>NM</w:t>
            </w: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2"/>
                <w:szCs w:val="12"/>
                <w:i w:val="1"/>
                <w:iCs w:val="1"/>
                <w:color w:val="auto"/>
              </w:rPr>
              <w:t>2021 First Half</w:t>
            </w: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48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8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Six Months Ended</w:t>
            </w:r>
          </w:p>
        </w:tc>
        <w:tc>
          <w:tcPr>
            <w:tcW w:w="11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86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26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ind w:left="200"/>
              <w:spacing w:after="0"/>
              <w:rPr>
                <w:sz w:val="20"/>
                <w:szCs w:val="20"/>
                <w:color w:val="auto"/>
              </w:rPr>
            </w:pPr>
            <w:r>
              <w:rPr>
                <w:rFonts w:ascii="Arial" w:cs="Arial" w:eastAsia="Arial" w:hAnsi="Arial"/>
                <w:sz w:val="11"/>
                <w:szCs w:val="11"/>
                <w:b w:val="1"/>
                <w:bCs w:val="1"/>
                <w:color w:val="auto"/>
              </w:rPr>
              <w:t>June 30, 2021</w:t>
            </w:r>
          </w:p>
        </w:tc>
        <w:tc>
          <w:tcPr>
            <w:tcW w:w="8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401"/>
              <w:spacing w:after="0"/>
              <w:rPr>
                <w:sz w:val="20"/>
                <w:szCs w:val="20"/>
                <w:color w:val="auto"/>
              </w:rPr>
            </w:pPr>
            <w:r>
              <w:rPr>
                <w:rFonts w:ascii="Arial" w:cs="Arial" w:eastAsia="Arial" w:hAnsi="Arial"/>
                <w:sz w:val="11"/>
                <w:szCs w:val="11"/>
                <w:b w:val="1"/>
                <w:bCs w:val="1"/>
                <w:color w:val="auto"/>
                <w:w w:val="86"/>
              </w:rPr>
              <w:t>June 30, 2020</w:t>
            </w:r>
          </w:p>
        </w:tc>
        <w:tc>
          <w:tcPr>
            <w:tcW w:w="8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541"/>
              <w:spacing w:after="0"/>
              <w:rPr>
                <w:sz w:val="20"/>
                <w:szCs w:val="20"/>
                <w:color w:val="auto"/>
              </w:rPr>
            </w:pPr>
            <w:r>
              <w:rPr>
                <w:rFonts w:ascii="Arial" w:cs="Arial" w:eastAsia="Arial" w:hAnsi="Arial"/>
                <w:sz w:val="11"/>
                <w:szCs w:val="11"/>
                <w:b w:val="1"/>
                <w:bCs w:val="1"/>
                <w:color w:val="auto"/>
              </w:rPr>
              <w:t>Change</w:t>
            </w:r>
          </w:p>
        </w:tc>
        <w:tc>
          <w:tcPr>
            <w:tcW w:w="60" w:type="dxa"/>
            <w:vAlign w:val="bottom"/>
            <w:tcBorders>
              <w:bottom w:val="single" w:sz="8" w:color="CCEEFF"/>
            </w:tcBorders>
          </w:tcPr>
          <w:p>
            <w:pPr>
              <w:spacing w:after="0"/>
              <w:rPr>
                <w:sz w:val="11"/>
                <w:szCs w:val="11"/>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 Change</w:t>
            </w:r>
          </w:p>
        </w:tc>
        <w:tc>
          <w:tcPr>
            <w:tcW w:w="0" w:type="dxa"/>
            <w:vAlign w:val="bottom"/>
          </w:tcPr>
          <w:p>
            <w:pPr>
              <w:spacing w:after="0"/>
              <w:rPr>
                <w:sz w:val="1"/>
                <w:szCs w:val="1"/>
                <w:color w:val="auto"/>
              </w:rPr>
            </w:pPr>
          </w:p>
        </w:tc>
      </w:tr>
      <w:tr>
        <w:trPr>
          <w:trHeight w:val="144"/>
        </w:trPr>
        <w:tc>
          <w:tcPr>
            <w:tcW w:w="4860" w:type="dxa"/>
            <w:vAlign w:val="bottom"/>
            <w:shd w:val="clear" w:color="auto" w:fill="CCEEFF"/>
          </w:tcPr>
          <w:p>
            <w:pPr>
              <w:spacing w:after="0"/>
              <w:rPr>
                <w:sz w:val="20"/>
                <w:szCs w:val="20"/>
                <w:color w:val="auto"/>
              </w:rPr>
            </w:pPr>
            <w:r>
              <w:rPr>
                <w:rFonts w:ascii="Arial" w:cs="Arial" w:eastAsia="Arial" w:hAnsi="Arial"/>
                <w:sz w:val="12"/>
                <w:szCs w:val="12"/>
                <w:color w:val="auto"/>
              </w:rPr>
              <w:t>Vacation Ownership</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250</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32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128</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122</w:t>
            </w:r>
          </w:p>
        </w:tc>
        <w:tc>
          <w:tcPr>
            <w:tcW w:w="1620" w:type="dxa"/>
            <w:vAlign w:val="bottom"/>
            <w:gridSpan w:val="2"/>
            <w:shd w:val="clear" w:color="auto" w:fill="CCEEFF"/>
          </w:tcPr>
          <w:p>
            <w:pPr>
              <w:jc w:val="right"/>
              <w:ind w:right="602"/>
              <w:spacing w:after="0"/>
              <w:rPr>
                <w:sz w:val="20"/>
                <w:szCs w:val="20"/>
                <w:color w:val="auto"/>
              </w:rPr>
            </w:pPr>
            <w:r>
              <w:rPr>
                <w:rFonts w:ascii="Arial" w:cs="Arial" w:eastAsia="Arial" w:hAnsi="Arial"/>
                <w:sz w:val="12"/>
                <w:szCs w:val="12"/>
                <w:color w:val="auto"/>
              </w:rPr>
              <w:t>94%</w:t>
            </w:r>
          </w:p>
        </w:tc>
        <w:tc>
          <w:tcPr>
            <w:tcW w:w="0" w:type="dxa"/>
            <w:vAlign w:val="bottom"/>
          </w:tcPr>
          <w:p>
            <w:pPr>
              <w:spacing w:after="0"/>
              <w:rPr>
                <w:sz w:val="1"/>
                <w:szCs w:val="1"/>
                <w:color w:val="auto"/>
              </w:rPr>
            </w:pPr>
          </w:p>
        </w:tc>
      </w:tr>
      <w:tr>
        <w:trPr>
          <w:trHeight w:val="153"/>
        </w:trPr>
        <w:tc>
          <w:tcPr>
            <w:tcW w:w="48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Exchange &amp; Third-Party Management</w:t>
            </w:r>
          </w:p>
        </w:tc>
        <w:tc>
          <w:tcPr>
            <w:tcW w:w="2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78</w:t>
            </w: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60</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18</w:t>
            </w:r>
          </w:p>
        </w:tc>
        <w:tc>
          <w:tcPr>
            <w:tcW w:w="1620" w:type="dxa"/>
            <w:vAlign w:val="bottom"/>
            <w:tcBorders>
              <w:bottom w:val="single" w:sz="8" w:color="CCEEFF"/>
            </w:tcBorders>
            <w:gridSpan w:val="2"/>
          </w:tcPr>
          <w:p>
            <w:pPr>
              <w:jc w:val="right"/>
              <w:ind w:right="602"/>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42"/>
        </w:trPr>
        <w:tc>
          <w:tcPr>
            <w:tcW w:w="48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Segment adjusted EBITDA</w:t>
            </w:r>
          </w:p>
        </w:tc>
        <w:tc>
          <w:tcPr>
            <w:tcW w:w="26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328</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188</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140</w:t>
            </w:r>
          </w:p>
        </w:tc>
        <w:tc>
          <w:tcPr>
            <w:tcW w:w="1620" w:type="dxa"/>
            <w:vAlign w:val="bottom"/>
            <w:gridSpan w:val="2"/>
            <w:shd w:val="clear" w:color="auto" w:fill="CCEEFF"/>
          </w:tcPr>
          <w:p>
            <w:pPr>
              <w:jc w:val="right"/>
              <w:ind w:right="602"/>
              <w:spacing w:after="0"/>
              <w:rPr>
                <w:sz w:val="20"/>
                <w:szCs w:val="20"/>
                <w:color w:val="auto"/>
              </w:rPr>
            </w:pPr>
            <w:r>
              <w:rPr>
                <w:rFonts w:ascii="Arial" w:cs="Arial" w:eastAsia="Arial" w:hAnsi="Arial"/>
                <w:sz w:val="12"/>
                <w:szCs w:val="12"/>
                <w:color w:val="auto"/>
              </w:rPr>
              <w:t>74%</w:t>
            </w:r>
          </w:p>
        </w:tc>
        <w:tc>
          <w:tcPr>
            <w:tcW w:w="0" w:type="dxa"/>
            <w:vAlign w:val="bottom"/>
          </w:tcPr>
          <w:p>
            <w:pPr>
              <w:spacing w:after="0"/>
              <w:rPr>
                <w:sz w:val="1"/>
                <w:szCs w:val="1"/>
                <w:color w:val="auto"/>
              </w:rPr>
            </w:pPr>
          </w:p>
        </w:tc>
      </w:tr>
      <w:tr>
        <w:trPr>
          <w:trHeight w:val="153"/>
        </w:trPr>
        <w:tc>
          <w:tcPr>
            <w:tcW w:w="4860" w:type="dxa"/>
            <w:vAlign w:val="bottom"/>
          </w:tcPr>
          <w:p>
            <w:pPr>
              <w:spacing w:after="0"/>
              <w:rPr>
                <w:sz w:val="20"/>
                <w:szCs w:val="20"/>
                <w:color w:val="auto"/>
              </w:rPr>
            </w:pPr>
            <w:r>
              <w:rPr>
                <w:rFonts w:ascii="Arial" w:cs="Arial" w:eastAsia="Arial" w:hAnsi="Arial"/>
                <w:sz w:val="12"/>
                <w:szCs w:val="12"/>
                <w:color w:val="auto"/>
              </w:rPr>
              <w:t>General and administrative</w:t>
            </w:r>
          </w:p>
        </w:tc>
        <w:tc>
          <w:tcPr>
            <w:tcW w:w="26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(95)</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(64)</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(31)</w:t>
            </w:r>
          </w:p>
        </w:tc>
        <w:tc>
          <w:tcPr>
            <w:tcW w:w="1620" w:type="dxa"/>
            <w:vAlign w:val="bottom"/>
            <w:gridSpan w:val="2"/>
          </w:tcPr>
          <w:p>
            <w:pPr>
              <w:jc w:val="right"/>
              <w:ind w:right="562"/>
              <w:spacing w:after="0"/>
              <w:rPr>
                <w:sz w:val="20"/>
                <w:szCs w:val="20"/>
                <w:color w:val="auto"/>
              </w:rPr>
            </w:pPr>
            <w:r>
              <w:rPr>
                <w:rFonts w:ascii="Arial" w:cs="Arial" w:eastAsia="Arial" w:hAnsi="Arial"/>
                <w:sz w:val="12"/>
                <w:szCs w:val="12"/>
                <w:color w:val="auto"/>
              </w:rPr>
              <w:t>(49%)</w:t>
            </w:r>
          </w:p>
        </w:tc>
        <w:tc>
          <w:tcPr>
            <w:tcW w:w="0" w:type="dxa"/>
            <w:vAlign w:val="bottom"/>
          </w:tcPr>
          <w:p>
            <w:pPr>
              <w:spacing w:after="0"/>
              <w:rPr>
                <w:sz w:val="1"/>
                <w:szCs w:val="1"/>
                <w:color w:val="auto"/>
              </w:rPr>
            </w:pPr>
          </w:p>
        </w:tc>
      </w:tr>
      <w:tr>
        <w:trPr>
          <w:trHeight w:val="153"/>
        </w:trPr>
        <w:tc>
          <w:tcPr>
            <w:tcW w:w="4860" w:type="dxa"/>
            <w:vAlign w:val="bottom"/>
            <w:shd w:val="clear" w:color="auto" w:fill="CCEEFF"/>
          </w:tcPr>
          <w:p>
            <w:pPr>
              <w:spacing w:after="0"/>
              <w:rPr>
                <w:sz w:val="20"/>
                <w:szCs w:val="20"/>
                <w:color w:val="auto"/>
              </w:rPr>
            </w:pPr>
            <w:r>
              <w:rPr>
                <w:rFonts w:ascii="Arial" w:cs="Arial" w:eastAsia="Arial" w:hAnsi="Arial"/>
                <w:sz w:val="12"/>
                <w:szCs w:val="12"/>
                <w:color w:val="auto"/>
              </w:rPr>
              <w:t>Consolidated property owners’ associations</w:t>
            </w:r>
          </w:p>
        </w:tc>
        <w:tc>
          <w:tcPr>
            <w:tcW w:w="26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60" w:type="dxa"/>
            <w:vAlign w:val="bottom"/>
            <w:shd w:val="clear" w:color="auto" w:fill="CCEEFF"/>
          </w:tcPr>
          <w:p>
            <w:pPr>
              <w:spacing w:after="0"/>
              <w:rPr>
                <w:sz w:val="13"/>
                <w:szCs w:val="13"/>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NM</w:t>
            </w:r>
          </w:p>
        </w:tc>
        <w:tc>
          <w:tcPr>
            <w:tcW w:w="0" w:type="dxa"/>
            <w:vAlign w:val="bottom"/>
          </w:tcPr>
          <w:p>
            <w:pPr>
              <w:spacing w:after="0"/>
              <w:rPr>
                <w:sz w:val="1"/>
                <w:szCs w:val="1"/>
                <w:color w:val="auto"/>
              </w:rPr>
            </w:pPr>
          </w:p>
        </w:tc>
      </w:tr>
      <w:tr>
        <w:trPr>
          <w:trHeight w:val="142"/>
        </w:trPr>
        <w:tc>
          <w:tcPr>
            <w:tcW w:w="4860" w:type="dxa"/>
            <w:vAlign w:val="bottom"/>
          </w:tcPr>
          <w:p>
            <w:pPr>
              <w:ind w:left="140"/>
              <w:spacing w:after="0"/>
              <w:rPr>
                <w:sz w:val="20"/>
                <w:szCs w:val="20"/>
                <w:color w:val="auto"/>
              </w:rPr>
            </w:pPr>
            <w:r>
              <w:rPr>
                <w:rFonts w:ascii="Arial" w:cs="Arial" w:eastAsia="Arial" w:hAnsi="Arial"/>
                <w:sz w:val="12"/>
                <w:szCs w:val="12"/>
                <w:color w:val="auto"/>
              </w:rPr>
              <w:t>Adjusted EBITDA</w:t>
            </w:r>
          </w:p>
        </w:tc>
        <w:tc>
          <w:tcPr>
            <w:tcW w:w="2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233</w:t>
            </w:r>
          </w:p>
        </w:tc>
        <w:tc>
          <w:tcPr>
            <w:tcW w:w="8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2"/>
                <w:szCs w:val="12"/>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128</w:t>
            </w:r>
          </w:p>
        </w:tc>
        <w:tc>
          <w:tcPr>
            <w:tcW w:w="8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ind w:right="200"/>
              <w:spacing w:after="0"/>
              <w:rPr>
                <w:sz w:val="20"/>
                <w:szCs w:val="20"/>
                <w:color w:val="auto"/>
              </w:rPr>
            </w:pPr>
            <w:r>
              <w:rPr>
                <w:rFonts w:ascii="Arial" w:cs="Arial" w:eastAsia="Arial" w:hAnsi="Arial"/>
                <w:sz w:val="12"/>
                <w:szCs w:val="12"/>
                <w:color w:val="auto"/>
                <w:w w:val="89"/>
              </w:rPr>
              <w:t>$</w:t>
            </w:r>
          </w:p>
        </w:tc>
        <w:tc>
          <w:tcPr>
            <w:tcW w:w="12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105</w:t>
            </w:r>
          </w:p>
        </w:tc>
        <w:tc>
          <w:tcPr>
            <w:tcW w:w="1620" w:type="dxa"/>
            <w:vAlign w:val="bottom"/>
            <w:gridSpan w:val="2"/>
          </w:tcPr>
          <w:p>
            <w:pPr>
              <w:jc w:val="right"/>
              <w:ind w:right="602"/>
              <w:spacing w:after="0"/>
              <w:rPr>
                <w:sz w:val="20"/>
                <w:szCs w:val="20"/>
                <w:color w:val="auto"/>
              </w:rPr>
            </w:pPr>
            <w:r>
              <w:rPr>
                <w:rFonts w:ascii="Arial" w:cs="Arial" w:eastAsia="Arial" w:hAnsi="Arial"/>
                <w:sz w:val="12"/>
                <w:szCs w:val="12"/>
                <w:color w:val="auto"/>
              </w:rPr>
              <w:t>82%</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tables present Adjusted EBITDA for our reportable segments reconciled to segment financial results.</w:t>
      </w:r>
    </w:p>
    <w:p>
      <w:pPr>
        <w:spacing w:after="0" w:line="141" w:lineRule="exact"/>
        <w:rPr>
          <w:sz w:val="20"/>
          <w:szCs w:val="20"/>
          <w:color w:val="auto"/>
        </w:rPr>
      </w:pPr>
    </w:p>
    <w:p>
      <w:pPr>
        <w:jc w:val="center"/>
        <w:ind w:left="420"/>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191135</wp:posOffset>
            </wp:positionV>
            <wp:extent cx="7203440"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52" w:name="page53"/>
    <w:bookmarkEnd w:id="52"/>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Vacation Ownership</w:t>
      </w:r>
    </w:p>
    <w:p>
      <w:pPr>
        <w:spacing w:after="0" w:line="4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2021 Second Quarter</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48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Three Months Ended</w:t>
            </w:r>
          </w:p>
        </w:tc>
        <w:tc>
          <w:tcPr>
            <w:tcW w:w="11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135"/>
        </w:trPr>
        <w:tc>
          <w:tcPr>
            <w:tcW w:w="4860" w:type="dxa"/>
            <w:vAlign w:val="bottom"/>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260" w:type="dxa"/>
            <w:vAlign w:val="bottom"/>
          </w:tcPr>
          <w:p>
            <w:pPr>
              <w:spacing w:after="0"/>
              <w:rPr>
                <w:sz w:val="11"/>
                <w:szCs w:val="11"/>
                <w:color w:val="auto"/>
              </w:rPr>
            </w:pPr>
          </w:p>
        </w:tc>
        <w:tc>
          <w:tcPr>
            <w:tcW w:w="1360" w:type="dxa"/>
            <w:vAlign w:val="bottom"/>
            <w:gridSpan w:val="2"/>
          </w:tcPr>
          <w:p>
            <w:pPr>
              <w:ind w:left="200"/>
              <w:spacing w:after="0"/>
              <w:rPr>
                <w:sz w:val="20"/>
                <w:szCs w:val="20"/>
                <w:color w:val="auto"/>
              </w:rPr>
            </w:pPr>
            <w:r>
              <w:rPr>
                <w:rFonts w:ascii="Arial" w:cs="Arial" w:eastAsia="Arial" w:hAnsi="Arial"/>
                <w:sz w:val="11"/>
                <w:szCs w:val="11"/>
                <w:b w:val="1"/>
                <w:bCs w:val="1"/>
                <w:color w:val="auto"/>
              </w:rPr>
              <w:t>June 30, 2021</w:t>
            </w:r>
          </w:p>
        </w:tc>
        <w:tc>
          <w:tcPr>
            <w:tcW w:w="460" w:type="dxa"/>
            <w:vAlign w:val="bottom"/>
          </w:tcPr>
          <w:p>
            <w:pPr>
              <w:spacing w:after="0"/>
              <w:rPr>
                <w:sz w:val="11"/>
                <w:szCs w:val="11"/>
                <w:color w:val="auto"/>
              </w:rPr>
            </w:pPr>
          </w:p>
        </w:tc>
        <w:tc>
          <w:tcPr>
            <w:tcW w:w="1100" w:type="dxa"/>
            <w:vAlign w:val="bottom"/>
          </w:tcPr>
          <w:p>
            <w:pPr>
              <w:jc w:val="right"/>
              <w:ind w:right="401"/>
              <w:spacing w:after="0"/>
              <w:rPr>
                <w:sz w:val="20"/>
                <w:szCs w:val="20"/>
                <w:color w:val="auto"/>
              </w:rPr>
            </w:pPr>
            <w:r>
              <w:rPr>
                <w:rFonts w:ascii="Arial" w:cs="Arial" w:eastAsia="Arial" w:hAnsi="Arial"/>
                <w:sz w:val="11"/>
                <w:szCs w:val="11"/>
                <w:b w:val="1"/>
                <w:bCs w:val="1"/>
                <w:color w:val="auto"/>
                <w:w w:val="86"/>
              </w:rPr>
              <w:t>June 30, 2020</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tcPr>
          <w:p>
            <w:pPr>
              <w:jc w:val="right"/>
              <w:ind w:right="541"/>
              <w:spacing w:after="0"/>
              <w:rPr>
                <w:sz w:val="20"/>
                <w:szCs w:val="20"/>
                <w:color w:val="auto"/>
              </w:rPr>
            </w:pPr>
            <w:r>
              <w:rPr>
                <w:rFonts w:ascii="Arial" w:cs="Arial" w:eastAsia="Arial" w:hAnsi="Arial"/>
                <w:sz w:val="11"/>
                <w:szCs w:val="11"/>
                <w:b w:val="1"/>
                <w:bCs w:val="1"/>
                <w:color w:val="auto"/>
              </w:rPr>
              <w:t>Change</w:t>
            </w:r>
          </w:p>
        </w:tc>
        <w:tc>
          <w:tcPr>
            <w:tcW w:w="60" w:type="dxa"/>
            <w:vAlign w:val="bottom"/>
          </w:tcPr>
          <w:p>
            <w:pPr>
              <w:spacing w:after="0"/>
              <w:rPr>
                <w:sz w:val="11"/>
                <w:szCs w:val="11"/>
                <w:color w:val="auto"/>
              </w:rPr>
            </w:pPr>
          </w:p>
        </w:tc>
        <w:tc>
          <w:tcPr>
            <w:tcW w:w="1560" w:type="dxa"/>
            <w:vAlign w:val="bottom"/>
          </w:tcPr>
          <w:p>
            <w:pPr>
              <w:jc w:val="center"/>
              <w:spacing w:after="0"/>
              <w:rPr>
                <w:sz w:val="20"/>
                <w:szCs w:val="20"/>
                <w:color w:val="auto"/>
              </w:rPr>
            </w:pPr>
            <w:r>
              <w:rPr>
                <w:rFonts w:ascii="Arial" w:cs="Arial" w:eastAsia="Arial" w:hAnsi="Arial"/>
                <w:sz w:val="11"/>
                <w:szCs w:val="11"/>
                <w:b w:val="1"/>
                <w:bCs w:val="1"/>
                <w:color w:val="auto"/>
                <w:w w:val="90"/>
              </w:rPr>
              <w:t>% Change</w:t>
            </w:r>
          </w:p>
        </w:tc>
      </w:tr>
      <w:tr>
        <w:trPr>
          <w:trHeight w:val="144"/>
        </w:trPr>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Segment adjusted EBITDA</w:t>
            </w:r>
          </w:p>
        </w:tc>
        <w:tc>
          <w:tcPr>
            <w:tcW w:w="260" w:type="dxa"/>
            <w:vAlign w:val="bottom"/>
            <w:tcBorders>
              <w:top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182</w:t>
            </w:r>
          </w:p>
        </w:tc>
        <w:tc>
          <w:tcPr>
            <w:tcW w:w="8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ind w:right="320"/>
              <w:spacing w:after="0"/>
              <w:rPr>
                <w:sz w:val="20"/>
                <w:szCs w:val="20"/>
                <w:color w:val="auto"/>
              </w:rPr>
            </w:pPr>
            <w:r>
              <w:rPr>
                <w:rFonts w:ascii="Arial" w:cs="Arial" w:eastAsia="Arial" w:hAnsi="Arial"/>
                <w:sz w:val="12"/>
                <w:szCs w:val="12"/>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w:t>
            </w:r>
          </w:p>
        </w:tc>
        <w:tc>
          <w:tcPr>
            <w:tcW w:w="8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2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201</w:t>
            </w:r>
          </w:p>
        </w:tc>
        <w:tc>
          <w:tcPr>
            <w:tcW w:w="60" w:type="dxa"/>
            <w:vAlign w:val="bottom"/>
            <w:tcBorders>
              <w:top w:val="single" w:sz="8" w:color="CCEEFF"/>
            </w:tcBorders>
            <w:shd w:val="clear" w:color="auto" w:fill="CCEEFF"/>
          </w:tcPr>
          <w:p>
            <w:pPr>
              <w:spacing w:after="0"/>
              <w:rPr>
                <w:sz w:val="12"/>
                <w:szCs w:val="12"/>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rPr>
              <w:t>NM</w:t>
            </w:r>
          </w:p>
        </w:tc>
      </w:tr>
      <w:tr>
        <w:trPr>
          <w:trHeight w:val="153"/>
        </w:trPr>
        <w:tc>
          <w:tcPr>
            <w:tcW w:w="4860" w:type="dxa"/>
            <w:vAlign w:val="bottom"/>
          </w:tcPr>
          <w:p>
            <w:pPr>
              <w:spacing w:after="0"/>
              <w:rPr>
                <w:sz w:val="20"/>
                <w:szCs w:val="20"/>
                <w:color w:val="auto"/>
              </w:rPr>
            </w:pPr>
            <w:r>
              <w:rPr>
                <w:rFonts w:ascii="Arial" w:cs="Arial" w:eastAsia="Arial" w:hAnsi="Arial"/>
                <w:sz w:val="12"/>
                <w:szCs w:val="12"/>
                <w:color w:val="auto"/>
              </w:rPr>
              <w:t>Depreciation and amortization</w:t>
            </w:r>
          </w:p>
        </w:tc>
        <w:tc>
          <w:tcPr>
            <w:tcW w:w="26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(23)</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(20)</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(3)</w:t>
            </w:r>
          </w:p>
        </w:tc>
        <w:tc>
          <w:tcPr>
            <w:tcW w:w="1620" w:type="dxa"/>
            <w:vAlign w:val="bottom"/>
            <w:gridSpan w:val="2"/>
          </w:tcPr>
          <w:p>
            <w:pPr>
              <w:jc w:val="right"/>
              <w:ind w:right="562"/>
              <w:spacing w:after="0"/>
              <w:rPr>
                <w:sz w:val="20"/>
                <w:szCs w:val="20"/>
                <w:color w:val="auto"/>
              </w:rPr>
            </w:pPr>
            <w:r>
              <w:rPr>
                <w:rFonts w:ascii="Arial" w:cs="Arial" w:eastAsia="Arial" w:hAnsi="Arial"/>
                <w:sz w:val="12"/>
                <w:szCs w:val="12"/>
                <w:color w:val="auto"/>
              </w:rPr>
              <w:t>(17%)</w:t>
            </w:r>
          </w:p>
        </w:tc>
      </w:tr>
      <w:tr>
        <w:trPr>
          <w:trHeight w:val="153"/>
        </w:trPr>
        <w:tc>
          <w:tcPr>
            <w:tcW w:w="4860" w:type="dxa"/>
            <w:vAlign w:val="bottom"/>
            <w:shd w:val="clear" w:color="auto" w:fill="CCEEFF"/>
          </w:tcPr>
          <w:p>
            <w:pPr>
              <w:spacing w:after="0"/>
              <w:rPr>
                <w:sz w:val="20"/>
                <w:szCs w:val="20"/>
                <w:color w:val="auto"/>
              </w:rPr>
            </w:pPr>
            <w:r>
              <w:rPr>
                <w:rFonts w:ascii="Arial" w:cs="Arial" w:eastAsia="Arial" w:hAnsi="Arial"/>
                <w:sz w:val="12"/>
                <w:szCs w:val="12"/>
                <w:color w:val="auto"/>
              </w:rPr>
              <w:t>Share-based compensation expense</w:t>
            </w:r>
          </w:p>
        </w:tc>
        <w:tc>
          <w:tcPr>
            <w:tcW w:w="26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620" w:type="dxa"/>
            <w:vAlign w:val="bottom"/>
            <w:gridSpan w:val="2"/>
            <w:shd w:val="clear" w:color="auto" w:fill="CCEEFF"/>
          </w:tcPr>
          <w:p>
            <w:pPr>
              <w:jc w:val="right"/>
              <w:ind w:right="602"/>
              <w:spacing w:after="0"/>
              <w:rPr>
                <w:sz w:val="20"/>
                <w:szCs w:val="20"/>
                <w:color w:val="auto"/>
              </w:rPr>
            </w:pPr>
            <w:r>
              <w:rPr>
                <w:rFonts w:ascii="Arial" w:cs="Arial" w:eastAsia="Arial" w:hAnsi="Arial"/>
                <w:sz w:val="12"/>
                <w:szCs w:val="12"/>
                <w:color w:val="auto"/>
              </w:rPr>
              <w:t>(5%)</w:t>
            </w:r>
          </w:p>
        </w:tc>
      </w:tr>
      <w:tr>
        <w:trPr>
          <w:trHeight w:val="153"/>
        </w:trPr>
        <w:tc>
          <w:tcPr>
            <w:tcW w:w="48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Certain items</w:t>
            </w:r>
          </w:p>
        </w:tc>
        <w:tc>
          <w:tcPr>
            <w:tcW w:w="2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w:t>
            </w: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w:t>
            </w:r>
          </w:p>
        </w:tc>
        <w:tc>
          <w:tcPr>
            <w:tcW w:w="60" w:type="dxa"/>
            <w:vAlign w:val="bottom"/>
            <w:tcBorders>
              <w:bottom w:val="single" w:sz="8" w:color="CCEEFF"/>
            </w:tcBorders>
          </w:tcPr>
          <w:p>
            <w:pPr>
              <w:spacing w:after="0"/>
              <w:rPr>
                <w:sz w:val="13"/>
                <w:szCs w:val="13"/>
                <w:color w:val="auto"/>
              </w:rPr>
            </w:pPr>
          </w:p>
        </w:tc>
        <w:tc>
          <w:tcPr>
            <w:tcW w:w="1560" w:type="dxa"/>
            <w:vAlign w:val="bottom"/>
            <w:tcBorders>
              <w:bottom w:val="single" w:sz="8" w:color="CCEEFF"/>
            </w:tcBorders>
          </w:tcPr>
          <w:p>
            <w:pPr>
              <w:jc w:val="center"/>
              <w:spacing w:after="0"/>
              <w:rPr>
                <w:sz w:val="20"/>
                <w:szCs w:val="20"/>
                <w:color w:val="auto"/>
              </w:rPr>
            </w:pPr>
            <w:r>
              <w:rPr>
                <w:rFonts w:ascii="Arial" w:cs="Arial" w:eastAsia="Arial" w:hAnsi="Arial"/>
                <w:sz w:val="12"/>
                <w:szCs w:val="12"/>
                <w:color w:val="auto"/>
              </w:rPr>
              <w:t>NM</w:t>
            </w:r>
          </w:p>
        </w:tc>
      </w:tr>
      <w:tr>
        <w:trPr>
          <w:trHeight w:val="158"/>
        </w:trPr>
        <w:tc>
          <w:tcPr>
            <w:tcW w:w="4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Segment financial results</w:t>
            </w:r>
          </w:p>
        </w:tc>
        <w:tc>
          <w:tcPr>
            <w:tcW w:w="2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151</w:t>
            </w:r>
          </w:p>
        </w:tc>
        <w:tc>
          <w:tcPr>
            <w:tcW w:w="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187</w:t>
            </w:r>
          </w:p>
        </w:tc>
        <w:tc>
          <w:tcPr>
            <w:tcW w:w="60" w:type="dxa"/>
            <w:vAlign w:val="bottom"/>
            <w:tcBorders>
              <w:bottom w:val="single" w:sz="8" w:color="CCEEFF"/>
            </w:tcBorders>
            <w:shd w:val="clear" w:color="auto" w:fill="CCEEFF"/>
          </w:tcPr>
          <w:p>
            <w:pPr>
              <w:spacing w:after="0"/>
              <w:rPr>
                <w:sz w:val="13"/>
                <w:szCs w:val="13"/>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rPr>
              <w:t>NM</w:t>
            </w:r>
          </w:p>
        </w:tc>
      </w:tr>
    </w:tbl>
    <w:p>
      <w:pPr>
        <w:spacing w:after="0" w:line="171" w:lineRule="exact"/>
        <w:rPr>
          <w:sz w:val="20"/>
          <w:szCs w:val="20"/>
          <w:color w:val="auto"/>
        </w:rPr>
      </w:pPr>
    </w:p>
    <w:p>
      <w:pPr>
        <w:ind w:left="420"/>
        <w:spacing w:after="0"/>
        <w:rPr>
          <w:sz w:val="20"/>
          <w:szCs w:val="20"/>
          <w:color w:val="auto"/>
        </w:rPr>
      </w:pPr>
      <w:r>
        <w:rPr>
          <w:rFonts w:ascii="Arial" w:cs="Arial" w:eastAsia="Arial" w:hAnsi="Arial"/>
          <w:sz w:val="11"/>
          <w:szCs w:val="11"/>
          <w:color w:val="auto"/>
        </w:rPr>
        <w:t>Certain items in the Vacation Ownership segment for the second quarter of 2021 consisted of $3 million of litigation charges, $2 million of purchase accounting adjustments and $1 million of transaction and integration costs.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Certain items in the Vacation Ownership segment for the second quarter of 2020 consisted of $5 million of gains and other income, partially offset by a $1 million asset impairment charge.</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2021 First Half</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48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Six Months Ended</w:t>
            </w:r>
          </w:p>
        </w:tc>
        <w:tc>
          <w:tcPr>
            <w:tcW w:w="11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135"/>
        </w:trPr>
        <w:tc>
          <w:tcPr>
            <w:tcW w:w="486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26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402"/>
              <w:spacing w:after="0"/>
              <w:rPr>
                <w:sz w:val="20"/>
                <w:szCs w:val="20"/>
                <w:color w:val="auto"/>
              </w:rPr>
            </w:pPr>
            <w:r>
              <w:rPr>
                <w:rFonts w:ascii="Arial" w:cs="Arial" w:eastAsia="Arial" w:hAnsi="Arial"/>
                <w:sz w:val="11"/>
                <w:szCs w:val="11"/>
                <w:b w:val="1"/>
                <w:bCs w:val="1"/>
                <w:color w:val="auto"/>
              </w:rPr>
              <w:t>June 30, 2021</w:t>
            </w:r>
          </w:p>
        </w:tc>
        <w:tc>
          <w:tcPr>
            <w:tcW w:w="8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401"/>
              <w:spacing w:after="0"/>
              <w:rPr>
                <w:sz w:val="20"/>
                <w:szCs w:val="20"/>
                <w:color w:val="auto"/>
              </w:rPr>
            </w:pPr>
            <w:r>
              <w:rPr>
                <w:rFonts w:ascii="Arial" w:cs="Arial" w:eastAsia="Arial" w:hAnsi="Arial"/>
                <w:sz w:val="11"/>
                <w:szCs w:val="11"/>
                <w:b w:val="1"/>
                <w:bCs w:val="1"/>
                <w:color w:val="auto"/>
                <w:w w:val="89"/>
              </w:rPr>
              <w:t>June 30, 2020</w:t>
            </w:r>
          </w:p>
        </w:tc>
        <w:tc>
          <w:tcPr>
            <w:tcW w:w="8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541"/>
              <w:spacing w:after="0"/>
              <w:rPr>
                <w:sz w:val="20"/>
                <w:szCs w:val="20"/>
                <w:color w:val="auto"/>
              </w:rPr>
            </w:pPr>
            <w:r>
              <w:rPr>
                <w:rFonts w:ascii="Arial" w:cs="Arial" w:eastAsia="Arial" w:hAnsi="Arial"/>
                <w:sz w:val="11"/>
                <w:szCs w:val="11"/>
                <w:b w:val="1"/>
                <w:bCs w:val="1"/>
                <w:color w:val="auto"/>
              </w:rPr>
              <w:t>Change</w:t>
            </w:r>
          </w:p>
        </w:tc>
        <w:tc>
          <w:tcPr>
            <w:tcW w:w="60" w:type="dxa"/>
            <w:vAlign w:val="bottom"/>
            <w:tcBorders>
              <w:bottom w:val="single" w:sz="8" w:color="CCEEFF"/>
            </w:tcBorders>
          </w:tcPr>
          <w:p>
            <w:pPr>
              <w:spacing w:after="0"/>
              <w:rPr>
                <w:sz w:val="11"/>
                <w:szCs w:val="11"/>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 Change</w:t>
            </w:r>
          </w:p>
        </w:tc>
      </w:tr>
      <w:tr>
        <w:trPr>
          <w:trHeight w:val="144"/>
        </w:trPr>
        <w:tc>
          <w:tcPr>
            <w:tcW w:w="4860" w:type="dxa"/>
            <w:vAlign w:val="bottom"/>
            <w:shd w:val="clear" w:color="auto" w:fill="CCEEFF"/>
          </w:tcPr>
          <w:p>
            <w:pPr>
              <w:spacing w:after="0"/>
              <w:rPr>
                <w:sz w:val="20"/>
                <w:szCs w:val="20"/>
                <w:color w:val="auto"/>
              </w:rPr>
            </w:pPr>
            <w:r>
              <w:rPr>
                <w:rFonts w:ascii="Arial" w:cs="Arial" w:eastAsia="Arial" w:hAnsi="Arial"/>
                <w:sz w:val="12"/>
                <w:szCs w:val="12"/>
                <w:color w:val="auto"/>
              </w:rPr>
              <w:t>Segment adjusted EBITDA</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250</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128</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122</w:t>
            </w:r>
          </w:p>
        </w:tc>
        <w:tc>
          <w:tcPr>
            <w:tcW w:w="1620" w:type="dxa"/>
            <w:vAlign w:val="bottom"/>
            <w:gridSpan w:val="2"/>
            <w:shd w:val="clear" w:color="auto" w:fill="CCEEFF"/>
          </w:tcPr>
          <w:p>
            <w:pPr>
              <w:jc w:val="center"/>
              <w:ind w:left="20"/>
              <w:spacing w:after="0"/>
              <w:rPr>
                <w:sz w:val="20"/>
                <w:szCs w:val="20"/>
                <w:color w:val="auto"/>
              </w:rPr>
            </w:pPr>
            <w:r>
              <w:rPr>
                <w:rFonts w:ascii="Arial" w:cs="Arial" w:eastAsia="Arial" w:hAnsi="Arial"/>
                <w:sz w:val="12"/>
                <w:szCs w:val="12"/>
                <w:color w:val="auto"/>
                <w:w w:val="91"/>
              </w:rPr>
              <w:t>94%</w:t>
            </w:r>
          </w:p>
        </w:tc>
      </w:tr>
      <w:tr>
        <w:trPr>
          <w:trHeight w:val="153"/>
        </w:trPr>
        <w:tc>
          <w:tcPr>
            <w:tcW w:w="4860" w:type="dxa"/>
            <w:vAlign w:val="bottom"/>
          </w:tcPr>
          <w:p>
            <w:pPr>
              <w:spacing w:after="0"/>
              <w:rPr>
                <w:sz w:val="20"/>
                <w:szCs w:val="20"/>
                <w:color w:val="auto"/>
              </w:rPr>
            </w:pPr>
            <w:r>
              <w:rPr>
                <w:rFonts w:ascii="Arial" w:cs="Arial" w:eastAsia="Arial" w:hAnsi="Arial"/>
                <w:sz w:val="12"/>
                <w:szCs w:val="12"/>
                <w:color w:val="auto"/>
              </w:rPr>
              <w:t>Depreciation and amortization</w:t>
            </w:r>
          </w:p>
        </w:tc>
        <w:tc>
          <w:tcPr>
            <w:tcW w:w="26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(42)</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(41)</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w:t>
            </w:r>
          </w:p>
        </w:tc>
        <w:tc>
          <w:tcPr>
            <w:tcW w:w="1620" w:type="dxa"/>
            <w:vAlign w:val="bottom"/>
            <w:gridSpan w:val="2"/>
          </w:tcPr>
          <w:p>
            <w:pPr>
              <w:jc w:val="center"/>
              <w:spacing w:after="0"/>
              <w:rPr>
                <w:sz w:val="20"/>
                <w:szCs w:val="20"/>
                <w:color w:val="auto"/>
              </w:rPr>
            </w:pPr>
            <w:r>
              <w:rPr>
                <w:rFonts w:ascii="Arial" w:cs="Arial" w:eastAsia="Arial" w:hAnsi="Arial"/>
                <w:sz w:val="12"/>
                <w:szCs w:val="12"/>
                <w:color w:val="auto"/>
                <w:w w:val="94"/>
              </w:rPr>
              <w:t>(5%)</w:t>
            </w:r>
          </w:p>
        </w:tc>
      </w:tr>
      <w:tr>
        <w:trPr>
          <w:trHeight w:val="153"/>
        </w:trPr>
        <w:tc>
          <w:tcPr>
            <w:tcW w:w="4860" w:type="dxa"/>
            <w:vAlign w:val="bottom"/>
            <w:shd w:val="clear" w:color="auto" w:fill="CCEEFF"/>
          </w:tcPr>
          <w:p>
            <w:pPr>
              <w:spacing w:after="0"/>
              <w:rPr>
                <w:sz w:val="20"/>
                <w:szCs w:val="20"/>
                <w:color w:val="auto"/>
              </w:rPr>
            </w:pPr>
            <w:r>
              <w:rPr>
                <w:rFonts w:ascii="Arial" w:cs="Arial" w:eastAsia="Arial" w:hAnsi="Arial"/>
                <w:sz w:val="12"/>
                <w:szCs w:val="12"/>
                <w:color w:val="auto"/>
              </w:rPr>
              <w:t>Share-based compensation expense</w:t>
            </w:r>
          </w:p>
        </w:tc>
        <w:tc>
          <w:tcPr>
            <w:tcW w:w="26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620" w:type="dxa"/>
            <w:vAlign w:val="bottom"/>
            <w:gridSpan w:val="2"/>
            <w:shd w:val="clear" w:color="auto" w:fill="CCEEFF"/>
          </w:tcPr>
          <w:p>
            <w:pPr>
              <w:jc w:val="center"/>
              <w:ind w:left="20"/>
              <w:spacing w:after="0"/>
              <w:rPr>
                <w:sz w:val="20"/>
                <w:szCs w:val="20"/>
                <w:color w:val="auto"/>
              </w:rPr>
            </w:pPr>
            <w:r>
              <w:rPr>
                <w:rFonts w:ascii="Arial" w:cs="Arial" w:eastAsia="Arial" w:hAnsi="Arial"/>
                <w:sz w:val="12"/>
                <w:szCs w:val="12"/>
                <w:color w:val="auto"/>
                <w:w w:val="93"/>
              </w:rPr>
              <w:t>(21%)</w:t>
            </w:r>
          </w:p>
        </w:tc>
      </w:tr>
      <w:tr>
        <w:trPr>
          <w:trHeight w:val="153"/>
        </w:trPr>
        <w:tc>
          <w:tcPr>
            <w:tcW w:w="48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Certain items</w:t>
            </w:r>
          </w:p>
        </w:tc>
        <w:tc>
          <w:tcPr>
            <w:tcW w:w="2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w:t>
            </w:r>
          </w:p>
        </w:tc>
        <w:tc>
          <w:tcPr>
            <w:tcW w:w="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33</w:t>
            </w:r>
          </w:p>
        </w:tc>
        <w:tc>
          <w:tcPr>
            <w:tcW w:w="1620" w:type="dxa"/>
            <w:vAlign w:val="bottom"/>
            <w:tcBorders>
              <w:bottom w:val="single" w:sz="8" w:color="CCEEFF"/>
            </w:tcBorders>
            <w:gridSpan w:val="2"/>
          </w:tcPr>
          <w:p>
            <w:pPr>
              <w:jc w:val="center"/>
              <w:ind w:left="20"/>
              <w:spacing w:after="0"/>
              <w:rPr>
                <w:sz w:val="20"/>
                <w:szCs w:val="20"/>
                <w:color w:val="auto"/>
              </w:rPr>
            </w:pPr>
            <w:r>
              <w:rPr>
                <w:rFonts w:ascii="Arial" w:cs="Arial" w:eastAsia="Arial" w:hAnsi="Arial"/>
                <w:sz w:val="12"/>
                <w:szCs w:val="12"/>
                <w:color w:val="auto"/>
                <w:w w:val="91"/>
              </w:rPr>
              <w:t>76%</w:t>
            </w:r>
          </w:p>
        </w:tc>
      </w:tr>
      <w:tr>
        <w:trPr>
          <w:trHeight w:val="158"/>
        </w:trPr>
        <w:tc>
          <w:tcPr>
            <w:tcW w:w="4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Segment financial results</w:t>
            </w:r>
          </w:p>
        </w:tc>
        <w:tc>
          <w:tcPr>
            <w:tcW w:w="2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195</w:t>
            </w:r>
          </w:p>
        </w:tc>
        <w:tc>
          <w:tcPr>
            <w:tcW w:w="8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42</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153</w:t>
            </w:r>
          </w:p>
        </w:tc>
        <w:tc>
          <w:tcPr>
            <w:tcW w:w="60" w:type="dxa"/>
            <w:vAlign w:val="bottom"/>
            <w:tcBorders>
              <w:bottom w:val="single" w:sz="8" w:color="CCEEFF"/>
            </w:tcBorders>
            <w:shd w:val="clear" w:color="auto" w:fill="CCEEFF"/>
          </w:tcPr>
          <w:p>
            <w:pPr>
              <w:spacing w:after="0"/>
              <w:rPr>
                <w:sz w:val="13"/>
                <w:szCs w:val="13"/>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rPr>
              <w:t>NM</w:t>
            </w:r>
          </w:p>
        </w:tc>
      </w:tr>
    </w:tbl>
    <w:p>
      <w:pPr>
        <w:spacing w:after="0" w:line="126" w:lineRule="exact"/>
        <w:rPr>
          <w:sz w:val="20"/>
          <w:szCs w:val="20"/>
          <w:color w:val="auto"/>
        </w:rPr>
      </w:pPr>
    </w:p>
    <w:p>
      <w:pPr>
        <w:ind w:right="120" w:firstLine="432"/>
        <w:spacing w:after="0" w:line="276" w:lineRule="auto"/>
        <w:rPr>
          <w:sz w:val="20"/>
          <w:szCs w:val="20"/>
          <w:color w:val="auto"/>
        </w:rPr>
      </w:pPr>
      <w:r>
        <w:rPr>
          <w:rFonts w:ascii="Arial" w:cs="Arial" w:eastAsia="Arial" w:hAnsi="Arial"/>
          <w:sz w:val="12"/>
          <w:szCs w:val="12"/>
          <w:color w:val="auto"/>
        </w:rPr>
        <w:t>Certain items in the Vacation Ownership segment for the first half of 2021 consisted primarily of $6 million of litigation charges, $2 million of purchase accounting adjustments, $1 million of transaction and integration costs, and $1 million of restructuring costs.</w:t>
      </w:r>
    </w:p>
    <w:p>
      <w:pPr>
        <w:spacing w:after="0" w:line="43" w:lineRule="exact"/>
        <w:rPr>
          <w:sz w:val="20"/>
          <w:szCs w:val="20"/>
          <w:color w:val="auto"/>
        </w:rPr>
      </w:pPr>
    </w:p>
    <w:p>
      <w:pPr>
        <w:ind w:right="240" w:firstLine="432"/>
        <w:spacing w:after="0" w:line="263" w:lineRule="auto"/>
        <w:rPr>
          <w:sz w:val="20"/>
          <w:szCs w:val="20"/>
          <w:color w:val="auto"/>
        </w:rPr>
      </w:pPr>
      <w:r>
        <w:rPr>
          <w:rFonts w:ascii="Arial" w:cs="Arial" w:eastAsia="Arial" w:hAnsi="Arial"/>
          <w:sz w:val="12"/>
          <w:szCs w:val="12"/>
          <w:color w:val="auto"/>
        </w:rPr>
        <w:t>Certain items in the Vacation Ownership segment for the first half of 2020 consisted of $37 million related to a net sales reserve adjustment due primarily to the impact of the COVID-19 pandemic, $5 million of asset impairment charges, $3 million related to transaction costs associated with our asset light inventory arrangements, $2 million of purchase accounting adjustments, and $2 million of litigation charges, partially offset by $6 million of gains and other income.</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Exchange &amp; Third-Party Management</w:t>
      </w:r>
    </w:p>
    <w:p>
      <w:pPr>
        <w:spacing w:after="0" w:line="4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2021 Second Quarter</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48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3"/>
          </w:tcPr>
          <w:p>
            <w:pPr>
              <w:ind w:left="840"/>
              <w:spacing w:after="0"/>
              <w:rPr>
                <w:sz w:val="20"/>
                <w:szCs w:val="20"/>
                <w:color w:val="auto"/>
              </w:rPr>
            </w:pPr>
            <w:r>
              <w:rPr>
                <w:rFonts w:ascii="Arial" w:cs="Arial" w:eastAsia="Arial" w:hAnsi="Arial"/>
                <w:sz w:val="11"/>
                <w:szCs w:val="11"/>
                <w:b w:val="1"/>
                <w:bCs w:val="1"/>
                <w:color w:val="auto"/>
                <w:w w:val="88"/>
              </w:rPr>
              <w:t>Three Months Ended</w:t>
            </w:r>
          </w:p>
        </w:tc>
        <w:tc>
          <w:tcPr>
            <w:tcW w:w="11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135"/>
        </w:trPr>
        <w:tc>
          <w:tcPr>
            <w:tcW w:w="486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26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ind w:left="200"/>
              <w:spacing w:after="0"/>
              <w:rPr>
                <w:sz w:val="20"/>
                <w:szCs w:val="20"/>
                <w:color w:val="auto"/>
              </w:rPr>
            </w:pPr>
            <w:r>
              <w:rPr>
                <w:rFonts w:ascii="Arial" w:cs="Arial" w:eastAsia="Arial" w:hAnsi="Arial"/>
                <w:sz w:val="11"/>
                <w:szCs w:val="11"/>
                <w:b w:val="1"/>
                <w:bCs w:val="1"/>
                <w:color w:val="auto"/>
              </w:rPr>
              <w:t>June 30, 2021</w:t>
            </w:r>
          </w:p>
        </w:tc>
        <w:tc>
          <w:tcPr>
            <w:tcW w:w="8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June 30, 2020</w:t>
            </w:r>
          </w:p>
        </w:tc>
        <w:tc>
          <w:tcPr>
            <w:tcW w:w="8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541"/>
              <w:spacing w:after="0"/>
              <w:rPr>
                <w:sz w:val="20"/>
                <w:szCs w:val="20"/>
                <w:color w:val="auto"/>
              </w:rPr>
            </w:pPr>
            <w:r>
              <w:rPr>
                <w:rFonts w:ascii="Arial" w:cs="Arial" w:eastAsia="Arial" w:hAnsi="Arial"/>
                <w:sz w:val="11"/>
                <w:szCs w:val="11"/>
                <w:b w:val="1"/>
                <w:bCs w:val="1"/>
                <w:color w:val="auto"/>
              </w:rPr>
              <w:t>Change</w:t>
            </w:r>
          </w:p>
        </w:tc>
        <w:tc>
          <w:tcPr>
            <w:tcW w:w="60" w:type="dxa"/>
            <w:vAlign w:val="bottom"/>
            <w:tcBorders>
              <w:bottom w:val="single" w:sz="8" w:color="CCEEFF"/>
            </w:tcBorders>
          </w:tcPr>
          <w:p>
            <w:pPr>
              <w:spacing w:after="0"/>
              <w:rPr>
                <w:sz w:val="11"/>
                <w:szCs w:val="11"/>
                <w:color w:val="auto"/>
              </w:rPr>
            </w:pPr>
          </w:p>
        </w:tc>
        <w:tc>
          <w:tcPr>
            <w:tcW w:w="1560" w:type="dxa"/>
            <w:vAlign w:val="bottom"/>
            <w:tcBorders>
              <w:bottom w:val="single" w:sz="8" w:color="auto"/>
            </w:tcBorders>
          </w:tcPr>
          <w:p>
            <w:pPr>
              <w:ind w:left="540"/>
              <w:spacing w:after="0"/>
              <w:rPr>
                <w:sz w:val="20"/>
                <w:szCs w:val="20"/>
                <w:color w:val="auto"/>
              </w:rPr>
            </w:pPr>
            <w:r>
              <w:rPr>
                <w:rFonts w:ascii="Arial" w:cs="Arial" w:eastAsia="Arial" w:hAnsi="Arial"/>
                <w:sz w:val="11"/>
                <w:szCs w:val="11"/>
                <w:b w:val="1"/>
                <w:bCs w:val="1"/>
                <w:color w:val="auto"/>
              </w:rPr>
              <w:t>% Change</w:t>
            </w:r>
          </w:p>
        </w:tc>
      </w:tr>
      <w:tr>
        <w:trPr>
          <w:trHeight w:val="144"/>
        </w:trPr>
        <w:tc>
          <w:tcPr>
            <w:tcW w:w="4860" w:type="dxa"/>
            <w:vAlign w:val="bottom"/>
            <w:shd w:val="clear" w:color="auto" w:fill="CCEEFF"/>
          </w:tcPr>
          <w:p>
            <w:pPr>
              <w:spacing w:after="0"/>
              <w:rPr>
                <w:sz w:val="20"/>
                <w:szCs w:val="20"/>
                <w:color w:val="auto"/>
              </w:rPr>
            </w:pPr>
            <w:r>
              <w:rPr>
                <w:rFonts w:ascii="Arial" w:cs="Arial" w:eastAsia="Arial" w:hAnsi="Arial"/>
                <w:sz w:val="12"/>
                <w:szCs w:val="12"/>
                <w:color w:val="auto"/>
              </w:rPr>
              <w:t>Segment adjusted EBITDA</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280" w:type="dxa"/>
            <w:vAlign w:val="bottom"/>
            <w:shd w:val="clear" w:color="auto" w:fill="CCEEFF"/>
          </w:tcPr>
          <w:p>
            <w:pPr>
              <w:ind w:left="1120"/>
              <w:spacing w:after="0"/>
              <w:rPr>
                <w:sz w:val="20"/>
                <w:szCs w:val="20"/>
                <w:color w:val="auto"/>
              </w:rPr>
            </w:pPr>
            <w:r>
              <w:rPr>
                <w:rFonts w:ascii="Arial" w:cs="Arial" w:eastAsia="Arial" w:hAnsi="Arial"/>
                <w:sz w:val="12"/>
                <w:szCs w:val="12"/>
                <w:color w:val="auto"/>
              </w:rPr>
              <w:t>37</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32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ind w:left="940"/>
              <w:spacing w:after="0"/>
              <w:rPr>
                <w:sz w:val="20"/>
                <w:szCs w:val="20"/>
                <w:color w:val="auto"/>
              </w:rPr>
            </w:pPr>
            <w:r>
              <w:rPr>
                <w:rFonts w:ascii="Arial" w:cs="Arial" w:eastAsia="Arial" w:hAnsi="Arial"/>
                <w:sz w:val="12"/>
                <w:szCs w:val="12"/>
                <w:color w:val="auto"/>
              </w:rPr>
              <w:t>19</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18</w:t>
            </w:r>
          </w:p>
        </w:tc>
        <w:tc>
          <w:tcPr>
            <w:tcW w:w="1620" w:type="dxa"/>
            <w:vAlign w:val="bottom"/>
            <w:gridSpan w:val="2"/>
            <w:shd w:val="clear" w:color="auto" w:fill="CCEEFF"/>
          </w:tcPr>
          <w:p>
            <w:pPr>
              <w:jc w:val="center"/>
              <w:ind w:left="20"/>
              <w:spacing w:after="0"/>
              <w:rPr>
                <w:sz w:val="20"/>
                <w:szCs w:val="20"/>
                <w:color w:val="auto"/>
              </w:rPr>
            </w:pPr>
            <w:r>
              <w:rPr>
                <w:rFonts w:ascii="Arial" w:cs="Arial" w:eastAsia="Arial" w:hAnsi="Arial"/>
                <w:sz w:val="12"/>
                <w:szCs w:val="12"/>
                <w:color w:val="auto"/>
                <w:w w:val="91"/>
              </w:rPr>
              <w:t>94%</w:t>
            </w:r>
          </w:p>
        </w:tc>
      </w:tr>
      <w:tr>
        <w:trPr>
          <w:trHeight w:val="153"/>
        </w:trPr>
        <w:tc>
          <w:tcPr>
            <w:tcW w:w="4860" w:type="dxa"/>
            <w:vAlign w:val="bottom"/>
          </w:tcPr>
          <w:p>
            <w:pPr>
              <w:spacing w:after="0"/>
              <w:rPr>
                <w:sz w:val="20"/>
                <w:szCs w:val="20"/>
                <w:color w:val="auto"/>
              </w:rPr>
            </w:pPr>
            <w:r>
              <w:rPr>
                <w:rFonts w:ascii="Arial" w:cs="Arial" w:eastAsia="Arial" w:hAnsi="Arial"/>
                <w:sz w:val="12"/>
                <w:szCs w:val="12"/>
                <w:color w:val="auto"/>
              </w:rPr>
              <w:t>Depreciation and amortization</w:t>
            </w:r>
          </w:p>
        </w:tc>
        <w:tc>
          <w:tcPr>
            <w:tcW w:w="260" w:type="dxa"/>
            <w:vAlign w:val="bottom"/>
          </w:tcPr>
          <w:p>
            <w:pPr>
              <w:spacing w:after="0"/>
              <w:rPr>
                <w:sz w:val="13"/>
                <w:szCs w:val="13"/>
                <w:color w:val="auto"/>
              </w:rPr>
            </w:pPr>
          </w:p>
        </w:tc>
        <w:tc>
          <w:tcPr>
            <w:tcW w:w="1280" w:type="dxa"/>
            <w:vAlign w:val="bottom"/>
          </w:tcPr>
          <w:p>
            <w:pPr>
              <w:ind w:left="1120"/>
              <w:spacing w:after="0"/>
              <w:rPr>
                <w:sz w:val="20"/>
                <w:szCs w:val="20"/>
                <w:color w:val="auto"/>
              </w:rPr>
            </w:pPr>
            <w:r>
              <w:rPr>
                <w:rFonts w:ascii="Arial" w:cs="Arial" w:eastAsia="Arial" w:hAnsi="Arial"/>
                <w:sz w:val="12"/>
                <w:szCs w:val="12"/>
                <w:color w:val="auto"/>
                <w:w w:val="95"/>
              </w:rPr>
              <w:t>(9)</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00" w:type="dxa"/>
            <w:vAlign w:val="bottom"/>
          </w:tcPr>
          <w:p>
            <w:pPr>
              <w:ind w:left="940"/>
              <w:spacing w:after="0"/>
              <w:rPr>
                <w:sz w:val="20"/>
                <w:szCs w:val="20"/>
                <w:color w:val="auto"/>
              </w:rPr>
            </w:pPr>
            <w:r>
              <w:rPr>
                <w:rFonts w:ascii="Arial" w:cs="Arial" w:eastAsia="Arial" w:hAnsi="Arial"/>
                <w:sz w:val="12"/>
                <w:szCs w:val="12"/>
                <w:color w:val="auto"/>
                <w:w w:val="95"/>
              </w:rPr>
              <w:t>(7)</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(2)</w:t>
            </w:r>
          </w:p>
        </w:tc>
        <w:tc>
          <w:tcPr>
            <w:tcW w:w="1620" w:type="dxa"/>
            <w:vAlign w:val="bottom"/>
            <w:gridSpan w:val="2"/>
          </w:tcPr>
          <w:p>
            <w:pPr>
              <w:jc w:val="center"/>
              <w:ind w:left="20"/>
              <w:spacing w:after="0"/>
              <w:rPr>
                <w:sz w:val="20"/>
                <w:szCs w:val="20"/>
                <w:color w:val="auto"/>
              </w:rPr>
            </w:pPr>
            <w:r>
              <w:rPr>
                <w:rFonts w:ascii="Arial" w:cs="Arial" w:eastAsia="Arial" w:hAnsi="Arial"/>
                <w:sz w:val="12"/>
                <w:szCs w:val="12"/>
                <w:color w:val="auto"/>
                <w:w w:val="93"/>
              </w:rPr>
              <w:t>(12%)</w:t>
            </w:r>
          </w:p>
        </w:tc>
      </w:tr>
      <w:tr>
        <w:trPr>
          <w:trHeight w:val="153"/>
        </w:trPr>
        <w:tc>
          <w:tcPr>
            <w:tcW w:w="4860" w:type="dxa"/>
            <w:vAlign w:val="bottom"/>
            <w:shd w:val="clear" w:color="auto" w:fill="CCEEFF"/>
          </w:tcPr>
          <w:p>
            <w:pPr>
              <w:spacing w:after="0"/>
              <w:rPr>
                <w:sz w:val="20"/>
                <w:szCs w:val="20"/>
                <w:color w:val="auto"/>
              </w:rPr>
            </w:pPr>
            <w:r>
              <w:rPr>
                <w:rFonts w:ascii="Arial" w:cs="Arial" w:eastAsia="Arial" w:hAnsi="Arial"/>
                <w:sz w:val="12"/>
                <w:szCs w:val="12"/>
                <w:color w:val="auto"/>
              </w:rPr>
              <w:t>Share-based compensation expense</w:t>
            </w:r>
          </w:p>
        </w:tc>
        <w:tc>
          <w:tcPr>
            <w:tcW w:w="260" w:type="dxa"/>
            <w:vAlign w:val="bottom"/>
            <w:shd w:val="clear" w:color="auto" w:fill="CCEEFF"/>
          </w:tcPr>
          <w:p>
            <w:pPr>
              <w:spacing w:after="0"/>
              <w:rPr>
                <w:sz w:val="13"/>
                <w:szCs w:val="13"/>
                <w:color w:val="auto"/>
              </w:rPr>
            </w:pPr>
          </w:p>
        </w:tc>
        <w:tc>
          <w:tcPr>
            <w:tcW w:w="1280" w:type="dxa"/>
            <w:vAlign w:val="bottom"/>
            <w:shd w:val="clear" w:color="auto" w:fill="CCEEFF"/>
          </w:tcPr>
          <w:p>
            <w:pPr>
              <w:ind w:left="1120"/>
              <w:spacing w:after="0"/>
              <w:rPr>
                <w:sz w:val="20"/>
                <w:szCs w:val="20"/>
                <w:color w:val="auto"/>
              </w:rPr>
            </w:pPr>
            <w:r>
              <w:rPr>
                <w:rFonts w:ascii="Arial" w:cs="Arial" w:eastAsia="Arial" w:hAnsi="Arial"/>
                <w:sz w:val="12"/>
                <w:szCs w:val="12"/>
                <w:color w:val="auto"/>
                <w:w w:val="95"/>
              </w:rPr>
              <w:t>(1)</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ind w:left="94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62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w w:val="94"/>
              </w:rPr>
              <w:t>(4%)</w:t>
            </w:r>
          </w:p>
        </w:tc>
      </w:tr>
      <w:tr>
        <w:trPr>
          <w:trHeight w:val="153"/>
        </w:trPr>
        <w:tc>
          <w:tcPr>
            <w:tcW w:w="4860" w:type="dxa"/>
            <w:vAlign w:val="bottom"/>
          </w:tcPr>
          <w:p>
            <w:pPr>
              <w:spacing w:after="0"/>
              <w:rPr>
                <w:sz w:val="20"/>
                <w:szCs w:val="20"/>
                <w:color w:val="auto"/>
              </w:rPr>
            </w:pPr>
            <w:r>
              <w:rPr>
                <w:rFonts w:ascii="Arial" w:cs="Arial" w:eastAsia="Arial" w:hAnsi="Arial"/>
                <w:sz w:val="12"/>
                <w:szCs w:val="12"/>
                <w:color w:val="auto"/>
              </w:rPr>
              <w:t>Certain items</w:t>
            </w:r>
          </w:p>
        </w:tc>
        <w:tc>
          <w:tcPr>
            <w:tcW w:w="260" w:type="dxa"/>
            <w:vAlign w:val="bottom"/>
          </w:tcPr>
          <w:p>
            <w:pPr>
              <w:spacing w:after="0"/>
              <w:rPr>
                <w:sz w:val="13"/>
                <w:szCs w:val="13"/>
                <w:color w:val="auto"/>
              </w:rPr>
            </w:pPr>
          </w:p>
        </w:tc>
        <w:tc>
          <w:tcPr>
            <w:tcW w:w="1360" w:type="dxa"/>
            <w:vAlign w:val="bottom"/>
            <w:gridSpan w:val="2"/>
          </w:tcPr>
          <w:p>
            <w:pPr>
              <w:ind w:left="112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3"/>
                <w:szCs w:val="13"/>
                <w:color w:val="auto"/>
              </w:rPr>
            </w:pPr>
          </w:p>
        </w:tc>
        <w:tc>
          <w:tcPr>
            <w:tcW w:w="1100" w:type="dxa"/>
            <w:vAlign w:val="bottom"/>
          </w:tcPr>
          <w:p>
            <w:pPr>
              <w:ind w:left="940"/>
              <w:spacing w:after="0"/>
              <w:rPr>
                <w:sz w:val="20"/>
                <w:szCs w:val="20"/>
                <w:color w:val="auto"/>
              </w:rPr>
            </w:pPr>
            <w:r>
              <w:rPr>
                <w:rFonts w:ascii="Arial" w:cs="Arial" w:eastAsia="Arial" w:hAnsi="Arial"/>
                <w:sz w:val="12"/>
                <w:szCs w:val="12"/>
                <w:color w:val="auto"/>
                <w:w w:val="95"/>
              </w:rPr>
              <w:t>(1)</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jc w:val="right"/>
              <w:ind w:right="1"/>
              <w:spacing w:after="0"/>
              <w:rPr>
                <w:sz w:val="20"/>
                <w:szCs w:val="20"/>
                <w:color w:val="auto"/>
              </w:rPr>
            </w:pPr>
            <w:r>
              <w:rPr>
                <w:rFonts w:ascii="Arial" w:cs="Arial" w:eastAsia="Arial" w:hAnsi="Arial"/>
                <w:sz w:val="12"/>
                <w:szCs w:val="12"/>
                <w:color w:val="auto"/>
              </w:rPr>
              <w:t>1</w:t>
            </w:r>
          </w:p>
        </w:tc>
        <w:tc>
          <w:tcPr>
            <w:tcW w:w="1620" w:type="dxa"/>
            <w:vAlign w:val="bottom"/>
            <w:gridSpan w:val="2"/>
          </w:tcPr>
          <w:p>
            <w:pPr>
              <w:jc w:val="center"/>
              <w:ind w:left="20"/>
              <w:spacing w:after="0"/>
              <w:rPr>
                <w:sz w:val="20"/>
                <w:szCs w:val="20"/>
                <w:color w:val="auto"/>
              </w:rPr>
            </w:pPr>
            <w:r>
              <w:rPr>
                <w:rFonts w:ascii="Arial" w:cs="Arial" w:eastAsia="Arial" w:hAnsi="Arial"/>
                <w:sz w:val="12"/>
                <w:szCs w:val="12"/>
                <w:color w:val="auto"/>
                <w:w w:val="91"/>
              </w:rPr>
              <w:t>59%</w:t>
            </w:r>
          </w:p>
        </w:tc>
      </w:tr>
      <w:tr>
        <w:trPr>
          <w:trHeight w:val="158"/>
        </w:trPr>
        <w:tc>
          <w:tcPr>
            <w:tcW w:w="4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Segment financial results</w:t>
            </w:r>
          </w:p>
        </w:tc>
        <w:tc>
          <w:tcPr>
            <w:tcW w:w="2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bottom w:val="single" w:sz="8" w:color="auto"/>
            </w:tcBorders>
            <w:shd w:val="clear" w:color="auto" w:fill="CCEEFF"/>
          </w:tcPr>
          <w:p>
            <w:pPr>
              <w:ind w:left="1120"/>
              <w:spacing w:after="0"/>
              <w:rPr>
                <w:sz w:val="20"/>
                <w:szCs w:val="20"/>
                <w:color w:val="auto"/>
              </w:rPr>
            </w:pPr>
            <w:r>
              <w:rPr>
                <w:rFonts w:ascii="Arial" w:cs="Arial" w:eastAsia="Arial" w:hAnsi="Arial"/>
                <w:sz w:val="12"/>
                <w:szCs w:val="12"/>
                <w:color w:val="auto"/>
              </w:rPr>
              <w:t>27</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460" w:type="dxa"/>
            <w:vAlign w:val="bottom"/>
            <w:tcBorders>
              <w:top w:val="single" w:sz="8" w:color="auto"/>
              <w:bottom w:val="single" w:sz="8" w:color="auto"/>
            </w:tcBorders>
            <w:shd w:val="clear" w:color="auto" w:fill="CCEEFF"/>
          </w:tcPr>
          <w:p>
            <w:pPr>
              <w:jc w:val="right"/>
              <w:ind w:right="320"/>
              <w:spacing w:after="0"/>
              <w:rPr>
                <w:sz w:val="20"/>
                <w:szCs w:val="20"/>
                <w:color w:val="auto"/>
              </w:rPr>
            </w:pPr>
            <w:r>
              <w:rPr>
                <w:rFonts w:ascii="Arial" w:cs="Arial" w:eastAsia="Arial" w:hAnsi="Arial"/>
                <w:sz w:val="12"/>
                <w:szCs w:val="12"/>
                <w:color w:val="auto"/>
                <w:w w:val="89"/>
              </w:rPr>
              <w:t>$</w:t>
            </w:r>
          </w:p>
        </w:tc>
        <w:tc>
          <w:tcPr>
            <w:tcW w:w="1100" w:type="dxa"/>
            <w:vAlign w:val="bottom"/>
            <w:tcBorders>
              <w:top w:val="single" w:sz="8" w:color="auto"/>
              <w:bottom w:val="single" w:sz="8" w:color="auto"/>
            </w:tcBorders>
            <w:shd w:val="clear" w:color="auto" w:fill="CCEEFF"/>
          </w:tcPr>
          <w:p>
            <w:pPr>
              <w:ind w:left="940"/>
              <w:spacing w:after="0"/>
              <w:rPr>
                <w:sz w:val="20"/>
                <w:szCs w:val="20"/>
                <w:color w:val="auto"/>
              </w:rPr>
            </w:pPr>
            <w:r>
              <w:rPr>
                <w:rFonts w:ascii="Arial" w:cs="Arial" w:eastAsia="Arial" w:hAnsi="Arial"/>
                <w:sz w:val="12"/>
                <w:szCs w:val="12"/>
                <w:color w:val="auto"/>
              </w:rPr>
              <w:t>11</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340" w:type="dxa"/>
            <w:vAlign w:val="bottom"/>
            <w:tcBorders>
              <w:top w:val="single" w:sz="8" w:color="auto"/>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2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16</w:t>
            </w:r>
          </w:p>
        </w:tc>
        <w:tc>
          <w:tcPr>
            <w:tcW w:w="1620" w:type="dxa"/>
            <w:vAlign w:val="bottom"/>
            <w:tcBorders>
              <w:top w:val="single" w:sz="8" w:color="CCEEFF"/>
              <w:bottom w:val="single" w:sz="8" w:color="CCEEFF"/>
            </w:tcBorders>
            <w:gridSpan w:val="2"/>
            <w:shd w:val="clear" w:color="auto" w:fill="CCEEFF"/>
          </w:tcPr>
          <w:p>
            <w:pPr>
              <w:jc w:val="center"/>
              <w:spacing w:after="0"/>
              <w:rPr>
                <w:sz w:val="20"/>
                <w:szCs w:val="20"/>
                <w:color w:val="auto"/>
              </w:rPr>
            </w:pPr>
            <w:r>
              <w:rPr>
                <w:rFonts w:ascii="Arial" w:cs="Arial" w:eastAsia="Arial" w:hAnsi="Arial"/>
                <w:sz w:val="12"/>
                <w:szCs w:val="12"/>
                <w:color w:val="auto"/>
                <w:w w:val="91"/>
              </w:rPr>
              <w:t>177%</w:t>
            </w:r>
          </w:p>
        </w:tc>
      </w:tr>
    </w:tbl>
    <w:p>
      <w:pPr>
        <w:spacing w:after="0" w:line="13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Certain items in the Exchange &amp; Third-Party Management segment for the second quarter of 2020 consisted of $1 million of losses and other expense.</w:t>
      </w:r>
    </w:p>
    <w:p>
      <w:pPr>
        <w:spacing w:after="0" w:line="141" w:lineRule="exact"/>
        <w:rPr>
          <w:sz w:val="20"/>
          <w:szCs w:val="20"/>
          <w:color w:val="auto"/>
        </w:rPr>
      </w:pPr>
    </w:p>
    <w:p>
      <w:pPr>
        <w:ind w:left="5800"/>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191135</wp:posOffset>
            </wp:positionV>
            <wp:extent cx="7203440" cy="36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53" w:name="page54"/>
    <w:bookmarkEnd w:id="53"/>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2021 First Half</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48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Six Months Ended</w:t>
            </w:r>
          </w:p>
        </w:tc>
        <w:tc>
          <w:tcPr>
            <w:tcW w:w="11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135"/>
        </w:trPr>
        <w:tc>
          <w:tcPr>
            <w:tcW w:w="486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26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402"/>
              <w:spacing w:after="0"/>
              <w:rPr>
                <w:sz w:val="20"/>
                <w:szCs w:val="20"/>
                <w:color w:val="auto"/>
              </w:rPr>
            </w:pPr>
            <w:r>
              <w:rPr>
                <w:rFonts w:ascii="Arial" w:cs="Arial" w:eastAsia="Arial" w:hAnsi="Arial"/>
                <w:sz w:val="11"/>
                <w:szCs w:val="11"/>
                <w:b w:val="1"/>
                <w:bCs w:val="1"/>
                <w:color w:val="auto"/>
              </w:rPr>
              <w:t>June 30, 2021</w:t>
            </w:r>
          </w:p>
        </w:tc>
        <w:tc>
          <w:tcPr>
            <w:tcW w:w="8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401"/>
              <w:spacing w:after="0"/>
              <w:rPr>
                <w:sz w:val="20"/>
                <w:szCs w:val="20"/>
                <w:color w:val="auto"/>
              </w:rPr>
            </w:pPr>
            <w:r>
              <w:rPr>
                <w:rFonts w:ascii="Arial" w:cs="Arial" w:eastAsia="Arial" w:hAnsi="Arial"/>
                <w:sz w:val="11"/>
                <w:szCs w:val="11"/>
                <w:b w:val="1"/>
                <w:bCs w:val="1"/>
                <w:color w:val="auto"/>
                <w:w w:val="89"/>
              </w:rPr>
              <w:t>June 30, 2020</w:t>
            </w:r>
          </w:p>
        </w:tc>
        <w:tc>
          <w:tcPr>
            <w:tcW w:w="8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ind w:left="260"/>
              <w:spacing w:after="0"/>
              <w:rPr>
                <w:sz w:val="20"/>
                <w:szCs w:val="20"/>
                <w:color w:val="auto"/>
              </w:rPr>
            </w:pPr>
            <w:r>
              <w:rPr>
                <w:rFonts w:ascii="Arial" w:cs="Arial" w:eastAsia="Arial" w:hAnsi="Arial"/>
                <w:sz w:val="11"/>
                <w:szCs w:val="11"/>
                <w:b w:val="1"/>
                <w:bCs w:val="1"/>
                <w:color w:val="auto"/>
              </w:rPr>
              <w:t>Change</w:t>
            </w:r>
          </w:p>
        </w:tc>
        <w:tc>
          <w:tcPr>
            <w:tcW w:w="60" w:type="dxa"/>
            <w:vAlign w:val="bottom"/>
            <w:tcBorders>
              <w:bottom w:val="single" w:sz="8" w:color="CCEEFF"/>
            </w:tcBorders>
          </w:tcPr>
          <w:p>
            <w:pPr>
              <w:spacing w:after="0"/>
              <w:rPr>
                <w:sz w:val="11"/>
                <w:szCs w:val="11"/>
                <w:color w:val="auto"/>
              </w:rPr>
            </w:pPr>
          </w:p>
        </w:tc>
        <w:tc>
          <w:tcPr>
            <w:tcW w:w="1560" w:type="dxa"/>
            <w:vAlign w:val="bottom"/>
            <w:tcBorders>
              <w:bottom w:val="single" w:sz="8" w:color="auto"/>
            </w:tcBorders>
          </w:tcPr>
          <w:p>
            <w:pPr>
              <w:ind w:left="540"/>
              <w:spacing w:after="0"/>
              <w:rPr>
                <w:sz w:val="20"/>
                <w:szCs w:val="20"/>
                <w:color w:val="auto"/>
              </w:rPr>
            </w:pPr>
            <w:r>
              <w:rPr>
                <w:rFonts w:ascii="Arial" w:cs="Arial" w:eastAsia="Arial" w:hAnsi="Arial"/>
                <w:sz w:val="11"/>
                <w:szCs w:val="11"/>
                <w:b w:val="1"/>
                <w:bCs w:val="1"/>
                <w:color w:val="auto"/>
              </w:rPr>
              <w:t>% Change</w:t>
            </w:r>
          </w:p>
        </w:tc>
      </w:tr>
      <w:tr>
        <w:trPr>
          <w:trHeight w:val="144"/>
        </w:trPr>
        <w:tc>
          <w:tcPr>
            <w:tcW w:w="4860" w:type="dxa"/>
            <w:vAlign w:val="bottom"/>
            <w:shd w:val="clear" w:color="auto" w:fill="CCEEFF"/>
          </w:tcPr>
          <w:p>
            <w:pPr>
              <w:spacing w:after="0"/>
              <w:rPr>
                <w:sz w:val="20"/>
                <w:szCs w:val="20"/>
                <w:color w:val="auto"/>
              </w:rPr>
            </w:pPr>
            <w:r>
              <w:rPr>
                <w:rFonts w:ascii="Arial" w:cs="Arial" w:eastAsia="Arial" w:hAnsi="Arial"/>
                <w:sz w:val="12"/>
                <w:szCs w:val="12"/>
                <w:color w:val="auto"/>
              </w:rPr>
              <w:t>Segment adjusted EBITDA</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CCEEFF"/>
          </w:tcPr>
          <w:p>
            <w:pPr>
              <w:jc w:val="center"/>
              <w:ind w:left="921"/>
              <w:spacing w:after="0"/>
              <w:rPr>
                <w:sz w:val="20"/>
                <w:szCs w:val="20"/>
                <w:color w:val="auto"/>
              </w:rPr>
            </w:pPr>
            <w:r>
              <w:rPr>
                <w:rFonts w:ascii="Arial" w:cs="Arial" w:eastAsia="Arial" w:hAnsi="Arial"/>
                <w:sz w:val="12"/>
                <w:szCs w:val="12"/>
                <w:color w:val="auto"/>
                <w:w w:val="89"/>
              </w:rPr>
              <w:t>18</w:t>
            </w:r>
          </w:p>
        </w:tc>
        <w:tc>
          <w:tcPr>
            <w:tcW w:w="1620" w:type="dxa"/>
            <w:vAlign w:val="bottom"/>
            <w:gridSpan w:val="2"/>
            <w:shd w:val="clear" w:color="auto" w:fill="CCEEFF"/>
          </w:tcPr>
          <w:p>
            <w:pPr>
              <w:jc w:val="center"/>
              <w:ind w:left="20"/>
              <w:spacing w:after="0"/>
              <w:rPr>
                <w:sz w:val="20"/>
                <w:szCs w:val="20"/>
                <w:color w:val="auto"/>
              </w:rPr>
            </w:pPr>
            <w:r>
              <w:rPr>
                <w:rFonts w:ascii="Arial" w:cs="Arial" w:eastAsia="Arial" w:hAnsi="Arial"/>
                <w:sz w:val="12"/>
                <w:szCs w:val="12"/>
                <w:color w:val="auto"/>
                <w:w w:val="91"/>
              </w:rPr>
              <w:t>31%</w:t>
            </w:r>
          </w:p>
        </w:tc>
      </w:tr>
      <w:tr>
        <w:trPr>
          <w:trHeight w:val="153"/>
        </w:trPr>
        <w:tc>
          <w:tcPr>
            <w:tcW w:w="4860" w:type="dxa"/>
            <w:vAlign w:val="bottom"/>
          </w:tcPr>
          <w:p>
            <w:pPr>
              <w:spacing w:after="0"/>
              <w:rPr>
                <w:sz w:val="20"/>
                <w:szCs w:val="20"/>
                <w:color w:val="auto"/>
              </w:rPr>
            </w:pPr>
            <w:r>
              <w:rPr>
                <w:rFonts w:ascii="Arial" w:cs="Arial" w:eastAsia="Arial" w:hAnsi="Arial"/>
                <w:sz w:val="12"/>
                <w:szCs w:val="12"/>
                <w:color w:val="auto"/>
              </w:rPr>
              <w:t>Depreciation and amortization</w:t>
            </w:r>
          </w:p>
        </w:tc>
        <w:tc>
          <w:tcPr>
            <w:tcW w:w="26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(29)</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(16)</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jc w:val="center"/>
              <w:ind w:left="921"/>
              <w:spacing w:after="0"/>
              <w:rPr>
                <w:sz w:val="20"/>
                <w:szCs w:val="20"/>
                <w:color w:val="auto"/>
              </w:rPr>
            </w:pPr>
            <w:r>
              <w:rPr>
                <w:rFonts w:ascii="Arial" w:cs="Arial" w:eastAsia="Arial" w:hAnsi="Arial"/>
                <w:sz w:val="12"/>
                <w:szCs w:val="12"/>
                <w:color w:val="auto"/>
                <w:w w:val="93"/>
              </w:rPr>
              <w:t>(13)</w:t>
            </w:r>
          </w:p>
        </w:tc>
        <w:tc>
          <w:tcPr>
            <w:tcW w:w="1620" w:type="dxa"/>
            <w:vAlign w:val="bottom"/>
            <w:gridSpan w:val="2"/>
          </w:tcPr>
          <w:p>
            <w:pPr>
              <w:jc w:val="center"/>
              <w:ind w:left="20"/>
              <w:spacing w:after="0"/>
              <w:rPr>
                <w:sz w:val="20"/>
                <w:szCs w:val="20"/>
                <w:color w:val="auto"/>
              </w:rPr>
            </w:pPr>
            <w:r>
              <w:rPr>
                <w:rFonts w:ascii="Arial" w:cs="Arial" w:eastAsia="Arial" w:hAnsi="Arial"/>
                <w:sz w:val="12"/>
                <w:szCs w:val="12"/>
                <w:color w:val="auto"/>
                <w:w w:val="93"/>
              </w:rPr>
              <w:t>(69%)</w:t>
            </w:r>
          </w:p>
        </w:tc>
      </w:tr>
      <w:tr>
        <w:trPr>
          <w:trHeight w:val="153"/>
        </w:trPr>
        <w:tc>
          <w:tcPr>
            <w:tcW w:w="4860" w:type="dxa"/>
            <w:vAlign w:val="bottom"/>
            <w:shd w:val="clear" w:color="auto" w:fill="CCEEFF"/>
          </w:tcPr>
          <w:p>
            <w:pPr>
              <w:spacing w:after="0"/>
              <w:rPr>
                <w:sz w:val="20"/>
                <w:szCs w:val="20"/>
                <w:color w:val="auto"/>
              </w:rPr>
            </w:pPr>
            <w:r>
              <w:rPr>
                <w:rFonts w:ascii="Arial" w:cs="Arial" w:eastAsia="Arial" w:hAnsi="Arial"/>
                <w:sz w:val="12"/>
                <w:szCs w:val="12"/>
                <w:color w:val="auto"/>
              </w:rPr>
              <w:t>Share-based compensation expense</w:t>
            </w:r>
          </w:p>
        </w:tc>
        <w:tc>
          <w:tcPr>
            <w:tcW w:w="26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20" w:type="dxa"/>
            <w:vAlign w:val="bottom"/>
            <w:shd w:val="clear" w:color="auto" w:fill="CCEEFF"/>
          </w:tcPr>
          <w:p>
            <w:pPr>
              <w:jc w:val="center"/>
              <w:ind w:left="921"/>
              <w:spacing w:after="0"/>
              <w:rPr>
                <w:sz w:val="20"/>
                <w:szCs w:val="20"/>
                <w:color w:val="auto"/>
              </w:rPr>
            </w:pPr>
            <w:r>
              <w:rPr>
                <w:rFonts w:ascii="Arial" w:cs="Arial" w:eastAsia="Arial" w:hAnsi="Arial"/>
                <w:sz w:val="12"/>
                <w:szCs w:val="12"/>
                <w:color w:val="auto"/>
                <w:w w:val="99"/>
              </w:rPr>
              <w:t>—</w:t>
            </w:r>
          </w:p>
        </w:tc>
        <w:tc>
          <w:tcPr>
            <w:tcW w:w="162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w w:val="83"/>
              </w:rPr>
              <w:t>11%</w:t>
            </w:r>
          </w:p>
        </w:tc>
      </w:tr>
      <w:tr>
        <w:trPr>
          <w:trHeight w:val="153"/>
        </w:trPr>
        <w:tc>
          <w:tcPr>
            <w:tcW w:w="4860" w:type="dxa"/>
            <w:vAlign w:val="bottom"/>
          </w:tcPr>
          <w:p>
            <w:pPr>
              <w:spacing w:after="0"/>
              <w:rPr>
                <w:sz w:val="20"/>
                <w:szCs w:val="20"/>
                <w:color w:val="auto"/>
              </w:rPr>
            </w:pPr>
            <w:r>
              <w:rPr>
                <w:rFonts w:ascii="Arial" w:cs="Arial" w:eastAsia="Arial" w:hAnsi="Arial"/>
                <w:sz w:val="12"/>
                <w:szCs w:val="12"/>
                <w:color w:val="auto"/>
              </w:rPr>
              <w:t>Certain items</w:t>
            </w:r>
          </w:p>
        </w:tc>
        <w:tc>
          <w:tcPr>
            <w:tcW w:w="260" w:type="dxa"/>
            <w:vAlign w:val="bottom"/>
          </w:tcPr>
          <w:p>
            <w:pPr>
              <w:spacing w:after="0"/>
              <w:rPr>
                <w:sz w:val="13"/>
                <w:szCs w:val="13"/>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(91)</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jc w:val="center"/>
              <w:ind w:left="921"/>
              <w:spacing w:after="0"/>
              <w:rPr>
                <w:sz w:val="20"/>
                <w:szCs w:val="20"/>
                <w:color w:val="auto"/>
              </w:rPr>
            </w:pPr>
            <w:r>
              <w:rPr>
                <w:rFonts w:ascii="Arial" w:cs="Arial" w:eastAsia="Arial" w:hAnsi="Arial"/>
                <w:sz w:val="12"/>
                <w:szCs w:val="12"/>
                <w:color w:val="auto"/>
                <w:w w:val="89"/>
              </w:rPr>
              <w:t>91</w:t>
            </w:r>
          </w:p>
        </w:tc>
        <w:tc>
          <w:tcPr>
            <w:tcW w:w="1620" w:type="dxa"/>
            <w:vAlign w:val="bottom"/>
            <w:gridSpan w:val="2"/>
          </w:tcPr>
          <w:p>
            <w:pPr>
              <w:jc w:val="center"/>
              <w:spacing w:after="0"/>
              <w:rPr>
                <w:sz w:val="20"/>
                <w:szCs w:val="20"/>
                <w:color w:val="auto"/>
              </w:rPr>
            </w:pPr>
            <w:r>
              <w:rPr>
                <w:rFonts w:ascii="Arial" w:cs="Arial" w:eastAsia="Arial" w:hAnsi="Arial"/>
                <w:sz w:val="12"/>
                <w:szCs w:val="12"/>
                <w:color w:val="auto"/>
                <w:w w:val="91"/>
              </w:rPr>
              <w:t>100%</w:t>
            </w:r>
          </w:p>
        </w:tc>
      </w:tr>
      <w:tr>
        <w:trPr>
          <w:trHeight w:val="158"/>
        </w:trPr>
        <w:tc>
          <w:tcPr>
            <w:tcW w:w="4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Segment financial results</w:t>
            </w:r>
          </w:p>
        </w:tc>
        <w:tc>
          <w:tcPr>
            <w:tcW w:w="2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48</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440" w:type="dxa"/>
            <w:vAlign w:val="bottom"/>
            <w:tcBorders>
              <w:top w:val="single" w:sz="8" w:color="auto"/>
              <w:bottom w:val="single" w:sz="8" w:color="auto"/>
            </w:tcBorders>
            <w:shd w:val="clear" w:color="auto" w:fill="CCEEFF"/>
          </w:tcPr>
          <w:p>
            <w:pPr>
              <w:jc w:val="right"/>
              <w:ind w:right="300"/>
              <w:spacing w:after="0"/>
              <w:rPr>
                <w:sz w:val="20"/>
                <w:szCs w:val="20"/>
                <w:color w:val="auto"/>
              </w:rPr>
            </w:pPr>
            <w:r>
              <w:rPr>
                <w:rFonts w:ascii="Arial" w:cs="Arial" w:eastAsia="Arial" w:hAnsi="Arial"/>
                <w:sz w:val="12"/>
                <w:szCs w:val="12"/>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(48)</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340" w:type="dxa"/>
            <w:vAlign w:val="bottom"/>
            <w:tcBorders>
              <w:top w:val="single" w:sz="8" w:color="auto"/>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220" w:type="dxa"/>
            <w:vAlign w:val="bottom"/>
            <w:tcBorders>
              <w:top w:val="single" w:sz="8" w:color="auto"/>
              <w:bottom w:val="single" w:sz="8" w:color="auto"/>
            </w:tcBorders>
            <w:shd w:val="clear" w:color="auto" w:fill="CCEEFF"/>
          </w:tcPr>
          <w:p>
            <w:pPr>
              <w:jc w:val="center"/>
              <w:ind w:left="921"/>
              <w:spacing w:after="0"/>
              <w:rPr>
                <w:sz w:val="20"/>
                <w:szCs w:val="20"/>
                <w:color w:val="auto"/>
              </w:rPr>
            </w:pPr>
            <w:r>
              <w:rPr>
                <w:rFonts w:ascii="Arial" w:cs="Arial" w:eastAsia="Arial" w:hAnsi="Arial"/>
                <w:sz w:val="12"/>
                <w:szCs w:val="12"/>
                <w:color w:val="auto"/>
                <w:w w:val="89"/>
              </w:rPr>
              <w:t>96</w:t>
            </w:r>
          </w:p>
        </w:tc>
        <w:tc>
          <w:tcPr>
            <w:tcW w:w="1620" w:type="dxa"/>
            <w:vAlign w:val="bottom"/>
            <w:tcBorders>
              <w:top w:val="single" w:sz="8" w:color="CCEEFF"/>
              <w:bottom w:val="single" w:sz="8" w:color="CCEEFF"/>
            </w:tcBorders>
            <w:gridSpan w:val="2"/>
            <w:shd w:val="clear" w:color="auto" w:fill="CCEEFF"/>
          </w:tcPr>
          <w:p>
            <w:pPr>
              <w:jc w:val="center"/>
              <w:spacing w:after="0"/>
              <w:rPr>
                <w:sz w:val="20"/>
                <w:szCs w:val="20"/>
                <w:color w:val="auto"/>
              </w:rPr>
            </w:pPr>
            <w:r>
              <w:rPr>
                <w:rFonts w:ascii="Arial" w:cs="Arial" w:eastAsia="Arial" w:hAnsi="Arial"/>
                <w:sz w:val="12"/>
                <w:szCs w:val="12"/>
                <w:color w:val="auto"/>
                <w:w w:val="91"/>
              </w:rPr>
              <w:t>199%</w:t>
            </w:r>
          </w:p>
        </w:tc>
      </w:tr>
    </w:tbl>
    <w:p>
      <w:pPr>
        <w:spacing w:after="0" w:line="126" w:lineRule="exact"/>
        <w:rPr>
          <w:sz w:val="20"/>
          <w:szCs w:val="20"/>
          <w:color w:val="auto"/>
        </w:rPr>
      </w:pPr>
    </w:p>
    <w:p>
      <w:pPr>
        <w:ind w:right="60" w:firstLine="432"/>
        <w:spacing w:after="0" w:line="276" w:lineRule="auto"/>
        <w:rPr>
          <w:sz w:val="20"/>
          <w:szCs w:val="20"/>
          <w:color w:val="auto"/>
        </w:rPr>
      </w:pPr>
      <w:r>
        <w:rPr>
          <w:rFonts w:ascii="Arial" w:cs="Arial" w:eastAsia="Arial" w:hAnsi="Arial"/>
          <w:sz w:val="12"/>
          <w:szCs w:val="12"/>
          <w:color w:val="auto"/>
        </w:rPr>
        <w:t>Certain items in the Exchange &amp; Third-Party Management segment for the first half of 2020 consisted of $91 million of impairment charges related to Goodwill and certain trademarks resulting from the impact of the COVID-19 pandemic.</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Business Segments</w:t>
      </w:r>
    </w:p>
    <w:p>
      <w:pPr>
        <w:spacing w:after="0" w:line="82" w:lineRule="exact"/>
        <w:rPr>
          <w:sz w:val="20"/>
          <w:szCs w:val="20"/>
          <w:color w:val="auto"/>
        </w:rPr>
      </w:pPr>
    </w:p>
    <w:p>
      <w:pPr>
        <w:ind w:right="40" w:firstLine="432"/>
        <w:spacing w:after="0" w:line="276" w:lineRule="auto"/>
        <w:rPr>
          <w:sz w:val="20"/>
          <w:szCs w:val="20"/>
          <w:color w:val="auto"/>
        </w:rPr>
      </w:pPr>
      <w:r>
        <w:rPr>
          <w:rFonts w:ascii="Arial" w:cs="Arial" w:eastAsia="Arial" w:hAnsi="Arial"/>
          <w:sz w:val="12"/>
          <w:szCs w:val="12"/>
          <w:color w:val="auto"/>
        </w:rPr>
        <w:t>Our business is grouped into two reportable business segments: Vacation Ownership and Exchange &amp; Third-Party Management. See Footnote 17 “Business Segments” to our Financial Statements for further information on our segments.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Vacation Ownership</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8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Three Months Ended</w:t>
            </w:r>
          </w:p>
        </w:tc>
        <w:tc>
          <w:tcPr>
            <w:tcW w:w="11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Six Months Ended</w:t>
            </w:r>
          </w:p>
        </w:tc>
        <w:tc>
          <w:tcPr>
            <w:tcW w:w="1140" w:type="dxa"/>
            <w:vAlign w:val="bottom"/>
            <w:tcBorders>
              <w:bottom w:val="single" w:sz="8" w:color="auto"/>
            </w:tcBorders>
          </w:tcPr>
          <w:p>
            <w:pPr>
              <w:spacing w:after="0"/>
              <w:rPr>
                <w:sz w:val="12"/>
                <w:szCs w:val="12"/>
                <w:color w:val="auto"/>
              </w:rPr>
            </w:pPr>
          </w:p>
        </w:tc>
      </w:tr>
      <w:tr>
        <w:trPr>
          <w:trHeight w:val="133"/>
        </w:trPr>
        <w:tc>
          <w:tcPr>
            <w:tcW w:w="4840" w:type="dxa"/>
            <w:vAlign w:val="bottom"/>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260" w:type="dxa"/>
            <w:vAlign w:val="bottom"/>
          </w:tcPr>
          <w:p>
            <w:pPr>
              <w:spacing w:after="0"/>
              <w:rPr>
                <w:sz w:val="11"/>
                <w:szCs w:val="11"/>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1"/>
                <w:szCs w:val="11"/>
                <w:b w:val="1"/>
                <w:bCs w:val="1"/>
                <w:color w:val="auto"/>
              </w:rPr>
              <w:t>June 30, 2021</w:t>
            </w:r>
          </w:p>
        </w:tc>
        <w:tc>
          <w:tcPr>
            <w:tcW w:w="440" w:type="dxa"/>
            <w:vAlign w:val="bottom"/>
          </w:tcPr>
          <w:p>
            <w:pPr>
              <w:spacing w:after="0"/>
              <w:rPr>
                <w:sz w:val="11"/>
                <w:szCs w:val="11"/>
                <w:color w:val="auto"/>
              </w:rPr>
            </w:pPr>
          </w:p>
        </w:tc>
        <w:tc>
          <w:tcPr>
            <w:tcW w:w="1100" w:type="dxa"/>
            <w:vAlign w:val="bottom"/>
          </w:tcPr>
          <w:p>
            <w:pPr>
              <w:jc w:val="right"/>
              <w:ind w:right="400"/>
              <w:spacing w:after="0"/>
              <w:rPr>
                <w:sz w:val="20"/>
                <w:szCs w:val="20"/>
                <w:color w:val="auto"/>
              </w:rPr>
            </w:pPr>
            <w:r>
              <w:rPr>
                <w:rFonts w:ascii="Arial" w:cs="Arial" w:eastAsia="Arial" w:hAnsi="Arial"/>
                <w:sz w:val="11"/>
                <w:szCs w:val="11"/>
                <w:b w:val="1"/>
                <w:bCs w:val="1"/>
                <w:color w:val="auto"/>
                <w:w w:val="86"/>
              </w:rPr>
              <w:t>June 30, 2020</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gridSpan w:val="2"/>
          </w:tcPr>
          <w:p>
            <w:pPr>
              <w:ind w:left="200"/>
              <w:spacing w:after="0"/>
              <w:rPr>
                <w:sz w:val="20"/>
                <w:szCs w:val="20"/>
                <w:color w:val="auto"/>
              </w:rPr>
            </w:pPr>
            <w:r>
              <w:rPr>
                <w:rFonts w:ascii="Arial" w:cs="Arial" w:eastAsia="Arial" w:hAnsi="Arial"/>
                <w:sz w:val="11"/>
                <w:szCs w:val="11"/>
                <w:b w:val="1"/>
                <w:bCs w:val="1"/>
                <w:color w:val="auto"/>
              </w:rPr>
              <w:t>June 30, 2021</w:t>
            </w:r>
          </w:p>
        </w:tc>
        <w:tc>
          <w:tcPr>
            <w:tcW w:w="420" w:type="dxa"/>
            <w:vAlign w:val="bottom"/>
          </w:tcPr>
          <w:p>
            <w:pPr>
              <w:spacing w:after="0"/>
              <w:rPr>
                <w:sz w:val="11"/>
                <w:szCs w:val="11"/>
                <w:color w:val="auto"/>
              </w:rPr>
            </w:pPr>
          </w:p>
        </w:tc>
        <w:tc>
          <w:tcPr>
            <w:tcW w:w="1140" w:type="dxa"/>
            <w:vAlign w:val="bottom"/>
          </w:tcPr>
          <w:p>
            <w:pPr>
              <w:jc w:val="right"/>
              <w:ind w:right="400"/>
              <w:spacing w:after="0"/>
              <w:rPr>
                <w:sz w:val="20"/>
                <w:szCs w:val="20"/>
                <w:color w:val="auto"/>
              </w:rPr>
            </w:pPr>
            <w:r>
              <w:rPr>
                <w:rFonts w:ascii="Arial" w:cs="Arial" w:eastAsia="Arial" w:hAnsi="Arial"/>
                <w:sz w:val="11"/>
                <w:szCs w:val="11"/>
                <w:b w:val="1"/>
                <w:bCs w:val="1"/>
                <w:color w:val="auto"/>
                <w:w w:val="92"/>
              </w:rPr>
              <w:t>June 30, 2020</w:t>
            </w:r>
          </w:p>
        </w:tc>
      </w:tr>
      <w:tr>
        <w:trPr>
          <w:trHeight w:val="135"/>
        </w:trPr>
        <w:tc>
          <w:tcPr>
            <w:tcW w:w="4840" w:type="dxa"/>
            <w:vAlign w:val="bottom"/>
            <w:tcBorders>
              <w:top w:val="single" w:sz="8" w:color="CCEEFF"/>
            </w:tcBorders>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REVENUES</w:t>
            </w:r>
          </w:p>
        </w:tc>
        <w:tc>
          <w:tcPr>
            <w:tcW w:w="260" w:type="dxa"/>
            <w:vAlign w:val="bottom"/>
            <w:tcBorders>
              <w:top w:val="single" w:sz="8" w:color="auto"/>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r>
      <w:tr>
        <w:trPr>
          <w:trHeight w:val="153"/>
        </w:trPr>
        <w:tc>
          <w:tcPr>
            <w:tcW w:w="4840" w:type="dxa"/>
            <w:vAlign w:val="bottom"/>
          </w:tcPr>
          <w:p>
            <w:pPr>
              <w:ind w:left="140"/>
              <w:spacing w:after="0"/>
              <w:rPr>
                <w:sz w:val="20"/>
                <w:szCs w:val="20"/>
                <w:color w:val="auto"/>
              </w:rPr>
            </w:pPr>
            <w:r>
              <w:rPr>
                <w:rFonts w:ascii="Arial" w:cs="Arial" w:eastAsia="Arial" w:hAnsi="Arial"/>
                <w:sz w:val="12"/>
                <w:szCs w:val="12"/>
                <w:color w:val="auto"/>
              </w:rPr>
              <w:t>Sale of vacation ownership products</w:t>
            </w: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296</w:t>
            </w:r>
          </w:p>
        </w:tc>
        <w:tc>
          <w:tcPr>
            <w:tcW w:w="100" w:type="dxa"/>
            <w:vAlign w:val="bottom"/>
          </w:tcPr>
          <w:p>
            <w:pPr>
              <w:spacing w:after="0"/>
              <w:rPr>
                <w:sz w:val="13"/>
                <w:szCs w:val="13"/>
                <w:color w:val="auto"/>
              </w:rPr>
            </w:pPr>
          </w:p>
        </w:tc>
        <w:tc>
          <w:tcPr>
            <w:tcW w:w="440" w:type="dxa"/>
            <w:vAlign w:val="bottom"/>
          </w:tcPr>
          <w:p>
            <w:pPr>
              <w:jc w:val="right"/>
              <w:ind w:right="332"/>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53</w:t>
            </w:r>
          </w:p>
        </w:tc>
        <w:tc>
          <w:tcPr>
            <w:tcW w:w="80" w:type="dxa"/>
            <w:vAlign w:val="bottom"/>
          </w:tcPr>
          <w:p>
            <w:pPr>
              <w:spacing w:after="0"/>
              <w:rPr>
                <w:sz w:val="13"/>
                <w:szCs w:val="13"/>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459</w:t>
            </w:r>
          </w:p>
        </w:tc>
        <w:tc>
          <w:tcPr>
            <w:tcW w:w="80" w:type="dxa"/>
            <w:vAlign w:val="bottom"/>
          </w:tcPr>
          <w:p>
            <w:pPr>
              <w:spacing w:after="0"/>
              <w:rPr>
                <w:sz w:val="13"/>
                <w:szCs w:val="13"/>
                <w:color w:val="auto"/>
              </w:rPr>
            </w:pPr>
          </w:p>
        </w:tc>
        <w:tc>
          <w:tcPr>
            <w:tcW w:w="420" w:type="dxa"/>
            <w:vAlign w:val="bottom"/>
          </w:tcPr>
          <w:p>
            <w:pPr>
              <w:jc w:val="right"/>
              <w:ind w:right="280"/>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311</w:t>
            </w:r>
          </w:p>
        </w:tc>
      </w:tr>
      <w:tr>
        <w:trPr>
          <w:trHeight w:val="153"/>
        </w:trPr>
        <w:tc>
          <w:tcPr>
            <w:tcW w:w="48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Resort management and other services</w:t>
            </w:r>
          </w:p>
        </w:tc>
        <w:tc>
          <w:tcPr>
            <w:tcW w:w="26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123</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217</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185</w:t>
            </w:r>
          </w:p>
        </w:tc>
      </w:tr>
      <w:tr>
        <w:trPr>
          <w:trHeight w:val="153"/>
        </w:trPr>
        <w:tc>
          <w:tcPr>
            <w:tcW w:w="4840" w:type="dxa"/>
            <w:vAlign w:val="bottom"/>
          </w:tcPr>
          <w:p>
            <w:pPr>
              <w:ind w:left="140"/>
              <w:spacing w:after="0"/>
              <w:rPr>
                <w:sz w:val="20"/>
                <w:szCs w:val="20"/>
                <w:color w:val="auto"/>
              </w:rPr>
            </w:pPr>
            <w:r>
              <w:rPr>
                <w:rFonts w:ascii="Arial" w:cs="Arial" w:eastAsia="Arial" w:hAnsi="Arial"/>
                <w:sz w:val="12"/>
                <w:szCs w:val="12"/>
                <w:color w:val="auto"/>
              </w:rPr>
              <w:t>Rental</w:t>
            </w:r>
          </w:p>
        </w:tc>
        <w:tc>
          <w:tcPr>
            <w:tcW w:w="26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110</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12</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187</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134</w:t>
            </w:r>
          </w:p>
        </w:tc>
      </w:tr>
      <w:tr>
        <w:trPr>
          <w:trHeight w:val="153"/>
        </w:trPr>
        <w:tc>
          <w:tcPr>
            <w:tcW w:w="48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Financing</w:t>
            </w:r>
          </w:p>
        </w:tc>
        <w:tc>
          <w:tcPr>
            <w:tcW w:w="26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127</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140</w:t>
            </w:r>
          </w:p>
        </w:tc>
      </w:tr>
      <w:tr>
        <w:trPr>
          <w:trHeight w:val="153"/>
        </w:trPr>
        <w:tc>
          <w:tcPr>
            <w:tcW w:w="484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Cost reimbursements</w:t>
            </w:r>
          </w:p>
        </w:tc>
        <w:tc>
          <w:tcPr>
            <w:tcW w:w="2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286</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198</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554</w:t>
            </w:r>
          </w:p>
        </w:tc>
        <w:tc>
          <w:tcPr>
            <w:tcW w:w="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543</w:t>
            </w:r>
          </w:p>
        </w:tc>
      </w:tr>
      <w:tr>
        <w:trPr>
          <w:trHeight w:val="142"/>
        </w:trPr>
        <w:tc>
          <w:tcPr>
            <w:tcW w:w="4840" w:type="dxa"/>
            <w:vAlign w:val="bottom"/>
            <w:shd w:val="clear" w:color="auto" w:fill="CCEEFF"/>
          </w:tcPr>
          <w:p>
            <w:pPr>
              <w:ind w:left="300"/>
              <w:spacing w:after="0"/>
              <w:rPr>
                <w:sz w:val="20"/>
                <w:szCs w:val="20"/>
                <w:color w:val="auto"/>
              </w:rPr>
            </w:pPr>
            <w:r>
              <w:rPr>
                <w:rFonts w:ascii="Arial" w:cs="Arial" w:eastAsia="Arial" w:hAnsi="Arial"/>
                <w:sz w:val="12"/>
                <w:szCs w:val="12"/>
                <w:b w:val="1"/>
                <w:bCs w:val="1"/>
                <w:color w:val="auto"/>
              </w:rPr>
              <w:t>TOTAL REVENUES</w:t>
            </w:r>
          </w:p>
        </w:tc>
        <w:tc>
          <w:tcPr>
            <w:tcW w:w="26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883</w:t>
            </w:r>
          </w:p>
        </w:tc>
        <w:tc>
          <w:tcPr>
            <w:tcW w:w="100" w:type="dxa"/>
            <w:vAlign w:val="bottom"/>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405</w:t>
            </w:r>
          </w:p>
        </w:tc>
        <w:tc>
          <w:tcPr>
            <w:tcW w:w="8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1,544</w:t>
            </w:r>
          </w:p>
        </w:tc>
        <w:tc>
          <w:tcPr>
            <w:tcW w:w="80" w:type="dxa"/>
            <w:vAlign w:val="bottom"/>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1,313</w:t>
            </w:r>
          </w:p>
        </w:tc>
      </w:tr>
      <w:tr>
        <w:trPr>
          <w:trHeight w:val="133"/>
        </w:trPr>
        <w:tc>
          <w:tcPr>
            <w:tcW w:w="4840" w:type="dxa"/>
            <w:vAlign w:val="bottom"/>
          </w:tcPr>
          <w:p>
            <w:pPr>
              <w:spacing w:after="0" w:line="133" w:lineRule="exact"/>
              <w:rPr>
                <w:sz w:val="20"/>
                <w:szCs w:val="20"/>
                <w:color w:val="auto"/>
              </w:rPr>
            </w:pPr>
            <w:r>
              <w:rPr>
                <w:rFonts w:ascii="Arial" w:cs="Arial" w:eastAsia="Arial" w:hAnsi="Arial"/>
                <w:sz w:val="12"/>
                <w:szCs w:val="12"/>
                <w:b w:val="1"/>
                <w:bCs w:val="1"/>
                <w:color w:val="auto"/>
              </w:rPr>
              <w:t>EXPENSES</w:t>
            </w:r>
          </w:p>
        </w:tc>
        <w:tc>
          <w:tcPr>
            <w:tcW w:w="2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53"/>
        </w:trPr>
        <w:tc>
          <w:tcPr>
            <w:tcW w:w="48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Cost of vacation ownership products</w:t>
            </w:r>
          </w:p>
        </w:tc>
        <w:tc>
          <w:tcPr>
            <w:tcW w:w="26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107</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w:t>
            </w:r>
          </w:p>
        </w:tc>
      </w:tr>
      <w:tr>
        <w:trPr>
          <w:trHeight w:val="153"/>
        </w:trPr>
        <w:tc>
          <w:tcPr>
            <w:tcW w:w="4840" w:type="dxa"/>
            <w:vAlign w:val="bottom"/>
          </w:tcPr>
          <w:p>
            <w:pPr>
              <w:ind w:left="140"/>
              <w:spacing w:after="0"/>
              <w:rPr>
                <w:sz w:val="20"/>
                <w:szCs w:val="20"/>
                <w:color w:val="auto"/>
              </w:rPr>
            </w:pPr>
            <w:r>
              <w:rPr>
                <w:rFonts w:ascii="Arial" w:cs="Arial" w:eastAsia="Arial" w:hAnsi="Arial"/>
                <w:sz w:val="12"/>
                <w:szCs w:val="12"/>
                <w:color w:val="auto"/>
              </w:rPr>
              <w:t>Marketing and sales</w:t>
            </w:r>
          </w:p>
        </w:tc>
        <w:tc>
          <w:tcPr>
            <w:tcW w:w="26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164</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49</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273</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219</w:t>
            </w:r>
          </w:p>
        </w:tc>
      </w:tr>
      <w:tr>
        <w:trPr>
          <w:trHeight w:val="153"/>
        </w:trPr>
        <w:tc>
          <w:tcPr>
            <w:tcW w:w="48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Resort management and other services</w:t>
            </w:r>
          </w:p>
        </w:tc>
        <w:tc>
          <w:tcPr>
            <w:tcW w:w="26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w:t>
            </w:r>
          </w:p>
        </w:tc>
      </w:tr>
      <w:tr>
        <w:trPr>
          <w:trHeight w:val="153"/>
        </w:trPr>
        <w:tc>
          <w:tcPr>
            <w:tcW w:w="4840" w:type="dxa"/>
            <w:vAlign w:val="bottom"/>
          </w:tcPr>
          <w:p>
            <w:pPr>
              <w:ind w:left="140"/>
              <w:spacing w:after="0"/>
              <w:rPr>
                <w:sz w:val="20"/>
                <w:szCs w:val="20"/>
                <w:color w:val="auto"/>
              </w:rPr>
            </w:pPr>
            <w:r>
              <w:rPr>
                <w:rFonts w:ascii="Arial" w:cs="Arial" w:eastAsia="Arial" w:hAnsi="Arial"/>
                <w:sz w:val="12"/>
                <w:szCs w:val="12"/>
                <w:color w:val="auto"/>
              </w:rPr>
              <w:t>Rental</w:t>
            </w:r>
          </w:p>
        </w:tc>
        <w:tc>
          <w:tcPr>
            <w:tcW w:w="26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95</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87</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191</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194</w:t>
            </w:r>
          </w:p>
        </w:tc>
      </w:tr>
      <w:tr>
        <w:trPr>
          <w:trHeight w:val="153"/>
        </w:trPr>
        <w:tc>
          <w:tcPr>
            <w:tcW w:w="48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Financing</w:t>
            </w:r>
          </w:p>
        </w:tc>
        <w:tc>
          <w:tcPr>
            <w:tcW w:w="26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w:t>
            </w:r>
          </w:p>
        </w:tc>
      </w:tr>
      <w:tr>
        <w:trPr>
          <w:trHeight w:val="153"/>
        </w:trPr>
        <w:tc>
          <w:tcPr>
            <w:tcW w:w="4840" w:type="dxa"/>
            <w:vAlign w:val="bottom"/>
          </w:tcPr>
          <w:p>
            <w:pPr>
              <w:ind w:left="140"/>
              <w:spacing w:after="0"/>
              <w:rPr>
                <w:sz w:val="20"/>
                <w:szCs w:val="20"/>
                <w:color w:val="auto"/>
              </w:rPr>
            </w:pPr>
            <w:r>
              <w:rPr>
                <w:rFonts w:ascii="Arial" w:cs="Arial" w:eastAsia="Arial" w:hAnsi="Arial"/>
                <w:sz w:val="12"/>
                <w:szCs w:val="12"/>
                <w:color w:val="auto"/>
              </w:rPr>
              <w:t>Depreciation and amortization</w:t>
            </w:r>
          </w:p>
        </w:tc>
        <w:tc>
          <w:tcPr>
            <w:tcW w:w="26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23</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20</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42</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41</w:t>
            </w:r>
          </w:p>
        </w:tc>
      </w:tr>
      <w:tr>
        <w:trPr>
          <w:trHeight w:val="153"/>
        </w:trPr>
        <w:tc>
          <w:tcPr>
            <w:tcW w:w="48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Litigation charges</w:t>
            </w:r>
          </w:p>
        </w:tc>
        <w:tc>
          <w:tcPr>
            <w:tcW w:w="26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r>
      <w:tr>
        <w:trPr>
          <w:trHeight w:val="153"/>
        </w:trPr>
        <w:tc>
          <w:tcPr>
            <w:tcW w:w="4840" w:type="dxa"/>
            <w:vAlign w:val="bottom"/>
          </w:tcPr>
          <w:p>
            <w:pPr>
              <w:ind w:left="140"/>
              <w:spacing w:after="0"/>
              <w:rPr>
                <w:sz w:val="20"/>
                <w:szCs w:val="20"/>
                <w:color w:val="auto"/>
              </w:rPr>
            </w:pPr>
            <w:r>
              <w:rPr>
                <w:rFonts w:ascii="Arial" w:cs="Arial" w:eastAsia="Arial" w:hAnsi="Arial"/>
                <w:sz w:val="12"/>
                <w:szCs w:val="12"/>
                <w:color w:val="auto"/>
              </w:rPr>
              <w:t>Restructuring</w:t>
            </w:r>
          </w:p>
        </w:tc>
        <w:tc>
          <w:tcPr>
            <w:tcW w:w="260" w:type="dxa"/>
            <w:vAlign w:val="bottom"/>
          </w:tcPr>
          <w:p>
            <w:pPr>
              <w:spacing w:after="0"/>
              <w:rPr>
                <w:sz w:val="13"/>
                <w:szCs w:val="13"/>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3"/>
                <w:szCs w:val="13"/>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48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Royalty fee</w:t>
            </w:r>
          </w:p>
        </w:tc>
        <w:tc>
          <w:tcPr>
            <w:tcW w:w="26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w:t>
            </w:r>
          </w:p>
        </w:tc>
      </w:tr>
      <w:tr>
        <w:trPr>
          <w:trHeight w:val="153"/>
        </w:trPr>
        <w:tc>
          <w:tcPr>
            <w:tcW w:w="4840" w:type="dxa"/>
            <w:vAlign w:val="bottom"/>
          </w:tcPr>
          <w:p>
            <w:pPr>
              <w:ind w:left="140"/>
              <w:spacing w:after="0"/>
              <w:rPr>
                <w:sz w:val="20"/>
                <w:szCs w:val="20"/>
                <w:color w:val="auto"/>
              </w:rPr>
            </w:pPr>
            <w:r>
              <w:rPr>
                <w:rFonts w:ascii="Arial" w:cs="Arial" w:eastAsia="Arial" w:hAnsi="Arial"/>
                <w:sz w:val="12"/>
                <w:szCs w:val="12"/>
                <w:color w:val="auto"/>
              </w:rPr>
              <w:t>Impairment</w:t>
            </w:r>
          </w:p>
        </w:tc>
        <w:tc>
          <w:tcPr>
            <w:tcW w:w="260" w:type="dxa"/>
            <w:vAlign w:val="bottom"/>
          </w:tcPr>
          <w:p>
            <w:pPr>
              <w:spacing w:after="0"/>
              <w:rPr>
                <w:sz w:val="13"/>
                <w:szCs w:val="13"/>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5</w:t>
            </w:r>
          </w:p>
        </w:tc>
      </w:tr>
      <w:tr>
        <w:trPr>
          <w:trHeight w:val="153"/>
        </w:trPr>
        <w:tc>
          <w:tcPr>
            <w:tcW w:w="48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Cost reimbursements</w:t>
            </w:r>
          </w:p>
        </w:tc>
        <w:tc>
          <w:tcPr>
            <w:tcW w:w="26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286</w:t>
            </w:r>
          </w:p>
        </w:tc>
        <w:tc>
          <w:tcPr>
            <w:tcW w:w="10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198</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554</w:t>
            </w:r>
          </w:p>
        </w:tc>
        <w:tc>
          <w:tcPr>
            <w:tcW w:w="8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543</w:t>
            </w:r>
          </w:p>
        </w:tc>
      </w:tr>
      <w:tr>
        <w:trPr>
          <w:trHeight w:val="142"/>
        </w:trPr>
        <w:tc>
          <w:tcPr>
            <w:tcW w:w="4840" w:type="dxa"/>
            <w:vAlign w:val="bottom"/>
            <w:tcBorders>
              <w:bottom w:val="single" w:sz="8" w:color="CCEEFF"/>
            </w:tcBorders>
          </w:tcPr>
          <w:p>
            <w:pPr>
              <w:ind w:left="300"/>
              <w:spacing w:after="0"/>
              <w:rPr>
                <w:sz w:val="20"/>
                <w:szCs w:val="20"/>
                <w:color w:val="auto"/>
              </w:rPr>
            </w:pPr>
            <w:r>
              <w:rPr>
                <w:rFonts w:ascii="Arial" w:cs="Arial" w:eastAsia="Arial" w:hAnsi="Arial"/>
                <w:sz w:val="12"/>
                <w:szCs w:val="12"/>
                <w:b w:val="1"/>
                <w:bCs w:val="1"/>
                <w:color w:val="auto"/>
              </w:rPr>
              <w:t>TOTAL EXPENSES</w:t>
            </w:r>
          </w:p>
        </w:tc>
        <w:tc>
          <w:tcPr>
            <w:tcW w:w="2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732</w:t>
            </w: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446</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1,349</w:t>
            </w:r>
          </w:p>
        </w:tc>
        <w:tc>
          <w:tcPr>
            <w:tcW w:w="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1,274</w:t>
            </w:r>
          </w:p>
        </w:tc>
      </w:tr>
      <w:tr>
        <w:trPr>
          <w:trHeight w:val="142"/>
        </w:trPr>
        <w:tc>
          <w:tcPr>
            <w:tcW w:w="48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Gains and other income, net</w:t>
            </w:r>
          </w:p>
        </w:tc>
        <w:tc>
          <w:tcPr>
            <w:tcW w:w="2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r>
      <w:tr>
        <w:trPr>
          <w:trHeight w:val="153"/>
        </w:trPr>
        <w:tc>
          <w:tcPr>
            <w:tcW w:w="4840" w:type="dxa"/>
            <w:vAlign w:val="bottom"/>
          </w:tcPr>
          <w:p>
            <w:pPr>
              <w:ind w:left="140"/>
              <w:spacing w:after="0"/>
              <w:rPr>
                <w:sz w:val="20"/>
                <w:szCs w:val="20"/>
                <w:color w:val="auto"/>
              </w:rPr>
            </w:pPr>
            <w:r>
              <w:rPr>
                <w:rFonts w:ascii="Arial" w:cs="Arial" w:eastAsia="Arial" w:hAnsi="Arial"/>
                <w:sz w:val="12"/>
                <w:szCs w:val="12"/>
                <w:color w:val="auto"/>
              </w:rPr>
              <w:t>Transaction and integration costs</w:t>
            </w:r>
          </w:p>
        </w:tc>
        <w:tc>
          <w:tcPr>
            <w:tcW w:w="26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(3)</w:t>
            </w:r>
          </w:p>
        </w:tc>
      </w:tr>
      <w:tr>
        <w:trPr>
          <w:trHeight w:val="153"/>
        </w:trPr>
        <w:tc>
          <w:tcPr>
            <w:tcW w:w="48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Other</w:t>
            </w:r>
          </w:p>
        </w:tc>
        <w:tc>
          <w:tcPr>
            <w:tcW w:w="26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2"/>
        </w:trPr>
        <w:tc>
          <w:tcPr>
            <w:tcW w:w="4840" w:type="dxa"/>
            <w:vAlign w:val="bottom"/>
          </w:tcPr>
          <w:p>
            <w:pPr>
              <w:spacing w:after="0"/>
              <w:rPr>
                <w:sz w:val="20"/>
                <w:szCs w:val="20"/>
                <w:color w:val="auto"/>
              </w:rPr>
            </w:pPr>
            <w:r>
              <w:rPr>
                <w:rFonts w:ascii="Arial" w:cs="Arial" w:eastAsia="Arial" w:hAnsi="Arial"/>
                <w:sz w:val="12"/>
                <w:szCs w:val="12"/>
                <w:b w:val="1"/>
                <w:bCs w:val="1"/>
                <w:color w:val="auto"/>
              </w:rPr>
              <w:t>SEGMENT FINANCIAL RESULTS BEFORE NONCONTROLLING INTERESTS</w:t>
            </w:r>
          </w:p>
        </w:tc>
        <w:tc>
          <w:tcPr>
            <w:tcW w:w="26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151</w:t>
            </w:r>
          </w:p>
        </w:tc>
        <w:tc>
          <w:tcPr>
            <w:tcW w:w="10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(36)</w:t>
            </w:r>
          </w:p>
        </w:tc>
        <w:tc>
          <w:tcPr>
            <w:tcW w:w="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195</w:t>
            </w:r>
          </w:p>
        </w:tc>
        <w:tc>
          <w:tcPr>
            <w:tcW w:w="8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42</w:t>
            </w:r>
          </w:p>
        </w:tc>
      </w:tr>
      <w:tr>
        <w:trPr>
          <w:trHeight w:val="153"/>
        </w:trPr>
        <w:tc>
          <w:tcPr>
            <w:tcW w:w="4840" w:type="dxa"/>
            <w:vAlign w:val="bottom"/>
            <w:shd w:val="clear" w:color="auto" w:fill="CCEEFF"/>
          </w:tcPr>
          <w:p>
            <w:pPr>
              <w:spacing w:after="0"/>
              <w:rPr>
                <w:sz w:val="20"/>
                <w:szCs w:val="20"/>
                <w:color w:val="auto"/>
              </w:rPr>
            </w:pPr>
            <w:r>
              <w:rPr>
                <w:rFonts w:ascii="Arial" w:cs="Arial" w:eastAsia="Arial" w:hAnsi="Arial"/>
                <w:sz w:val="12"/>
                <w:szCs w:val="12"/>
                <w:color w:val="auto"/>
              </w:rPr>
              <w:t>Net income attributable to noncontrolling interests</w:t>
            </w:r>
          </w:p>
        </w:tc>
        <w:tc>
          <w:tcPr>
            <w:tcW w:w="26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2"/>
        </w:trPr>
        <w:tc>
          <w:tcPr>
            <w:tcW w:w="4840" w:type="dxa"/>
            <w:vAlign w:val="bottom"/>
          </w:tcPr>
          <w:p>
            <w:pPr>
              <w:spacing w:after="0"/>
              <w:rPr>
                <w:sz w:val="20"/>
                <w:szCs w:val="20"/>
                <w:color w:val="auto"/>
              </w:rPr>
            </w:pPr>
            <w:r>
              <w:rPr>
                <w:rFonts w:ascii="Arial" w:cs="Arial" w:eastAsia="Arial" w:hAnsi="Arial"/>
                <w:sz w:val="12"/>
                <w:szCs w:val="12"/>
                <w:b w:val="1"/>
                <w:bCs w:val="1"/>
                <w:color w:val="auto"/>
              </w:rPr>
              <w:t>SEGMENT FINANCIAL RESULTS ATTRIBUTABLE TO COMMON SHAREHOLDERS</w:t>
            </w:r>
          </w:p>
        </w:tc>
        <w:tc>
          <w:tcPr>
            <w:tcW w:w="2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151</w:t>
            </w:r>
          </w:p>
        </w:tc>
        <w:tc>
          <w:tcPr>
            <w:tcW w:w="10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(36)</w:t>
            </w:r>
          </w:p>
        </w:tc>
        <w:tc>
          <w:tcPr>
            <w:tcW w:w="8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195</w:t>
            </w:r>
          </w:p>
        </w:tc>
        <w:tc>
          <w:tcPr>
            <w:tcW w:w="8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2"/>
                <w:szCs w:val="12"/>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42</w:t>
            </w:r>
          </w:p>
        </w:tc>
      </w:tr>
      <w:tr>
        <w:trPr>
          <w:trHeight w:val="20"/>
        </w:trPr>
        <w:tc>
          <w:tcPr>
            <w:tcW w:w="4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09"/>
        </w:trPr>
        <w:tc>
          <w:tcPr>
            <w:tcW w:w="4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jc w:val="right"/>
              <w:ind w:right="400"/>
              <w:spacing w:after="0"/>
              <w:rPr>
                <w:sz w:val="20"/>
                <w:szCs w:val="20"/>
                <w:color w:val="auto"/>
              </w:rPr>
            </w:pPr>
            <w:r>
              <w:rPr>
                <w:rFonts w:ascii="Arial" w:cs="Arial" w:eastAsia="Arial" w:hAnsi="Arial"/>
                <w:sz w:val="12"/>
                <w:szCs w:val="12"/>
                <w:color w:val="auto"/>
              </w:rPr>
              <w:t>52</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06"/>
        </w:trPr>
        <w:tc>
          <w:tcPr>
            <w:tcW w:w="48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54" w:name="page55"/>
    <w:bookmarkEnd w:id="54"/>
    <w:p>
      <w:pPr>
        <w:ind w:left="8"/>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Contract Sales</w:t>
      </w:r>
    </w:p>
    <w:p>
      <w:pPr>
        <w:spacing w:after="0" w:line="82"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2021 Second Quarter</w:t>
      </w:r>
    </w:p>
    <w:p>
      <w:pPr>
        <w:spacing w:after="0" w:line="33" w:lineRule="exact"/>
        <w:rPr>
          <w:sz w:val="20"/>
          <w:szCs w:val="20"/>
          <w:color w:val="auto"/>
        </w:rPr>
      </w:pPr>
    </w:p>
    <w:tbl>
      <w:tblPr>
        <w:tblLayout w:type="fixed"/>
        <w:tblInd w:w="8" w:type="dxa"/>
        <w:tblCellMar>
          <w:top w:w="0" w:type="dxa"/>
          <w:left w:w="0" w:type="dxa"/>
          <w:bottom w:w="0" w:type="dxa"/>
          <w:right w:w="0" w:type="dxa"/>
        </w:tblCellMar>
      </w:tblPr>
      <w:tr>
        <w:trPr>
          <w:trHeight w:val="140"/>
        </w:trPr>
        <w:tc>
          <w:tcPr>
            <w:tcW w:w="48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3"/>
          </w:tcPr>
          <w:p>
            <w:pPr>
              <w:jc w:val="center"/>
              <w:ind w:left="782"/>
              <w:spacing w:after="0"/>
              <w:rPr>
                <w:sz w:val="20"/>
                <w:szCs w:val="20"/>
                <w:color w:val="auto"/>
              </w:rPr>
            </w:pPr>
            <w:r>
              <w:rPr>
                <w:rFonts w:ascii="Arial" w:cs="Arial" w:eastAsia="Arial" w:hAnsi="Arial"/>
                <w:sz w:val="11"/>
                <w:szCs w:val="11"/>
                <w:b w:val="1"/>
                <w:bCs w:val="1"/>
                <w:color w:val="auto"/>
                <w:w w:val="90"/>
              </w:rPr>
              <w:t>Three Months Ended</w:t>
            </w:r>
          </w:p>
        </w:tc>
        <w:tc>
          <w:tcPr>
            <w:tcW w:w="11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135"/>
        </w:trPr>
        <w:tc>
          <w:tcPr>
            <w:tcW w:w="4840" w:type="dxa"/>
            <w:vAlign w:val="bottom"/>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260" w:type="dxa"/>
            <w:vAlign w:val="bottom"/>
          </w:tcPr>
          <w:p>
            <w:pPr>
              <w:spacing w:after="0"/>
              <w:rPr>
                <w:sz w:val="11"/>
                <w:szCs w:val="11"/>
                <w:color w:val="auto"/>
              </w:rPr>
            </w:pPr>
          </w:p>
        </w:tc>
        <w:tc>
          <w:tcPr>
            <w:tcW w:w="1380" w:type="dxa"/>
            <w:vAlign w:val="bottom"/>
            <w:gridSpan w:val="2"/>
          </w:tcPr>
          <w:p>
            <w:pPr>
              <w:ind w:left="200"/>
              <w:spacing w:after="0"/>
              <w:rPr>
                <w:sz w:val="20"/>
                <w:szCs w:val="20"/>
                <w:color w:val="auto"/>
              </w:rPr>
            </w:pPr>
            <w:r>
              <w:rPr>
                <w:rFonts w:ascii="Arial" w:cs="Arial" w:eastAsia="Arial" w:hAnsi="Arial"/>
                <w:sz w:val="11"/>
                <w:szCs w:val="11"/>
                <w:b w:val="1"/>
                <w:bCs w:val="1"/>
                <w:color w:val="auto"/>
              </w:rPr>
              <w:t>June 30, 2021</w:t>
            </w:r>
          </w:p>
        </w:tc>
        <w:tc>
          <w:tcPr>
            <w:tcW w:w="440" w:type="dxa"/>
            <w:vAlign w:val="bottom"/>
          </w:tcPr>
          <w:p>
            <w:pPr>
              <w:spacing w:after="0"/>
              <w:rPr>
                <w:sz w:val="11"/>
                <w:szCs w:val="11"/>
                <w:color w:val="auto"/>
              </w:rPr>
            </w:pPr>
          </w:p>
        </w:tc>
        <w:tc>
          <w:tcPr>
            <w:tcW w:w="1100" w:type="dxa"/>
            <w:vAlign w:val="bottom"/>
          </w:tcPr>
          <w:p>
            <w:pPr>
              <w:jc w:val="right"/>
              <w:ind w:right="401"/>
              <w:spacing w:after="0"/>
              <w:rPr>
                <w:sz w:val="20"/>
                <w:szCs w:val="20"/>
                <w:color w:val="auto"/>
              </w:rPr>
            </w:pPr>
            <w:r>
              <w:rPr>
                <w:rFonts w:ascii="Arial" w:cs="Arial" w:eastAsia="Arial" w:hAnsi="Arial"/>
                <w:sz w:val="11"/>
                <w:szCs w:val="11"/>
                <w:b w:val="1"/>
                <w:bCs w:val="1"/>
                <w:color w:val="auto"/>
                <w:w w:val="86"/>
              </w:rPr>
              <w:t>June 30, 2020</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tcPr>
          <w:p>
            <w:pPr>
              <w:jc w:val="right"/>
              <w:ind w:right="541"/>
              <w:spacing w:after="0"/>
              <w:rPr>
                <w:sz w:val="20"/>
                <w:szCs w:val="20"/>
                <w:color w:val="auto"/>
              </w:rPr>
            </w:pPr>
            <w:r>
              <w:rPr>
                <w:rFonts w:ascii="Arial" w:cs="Arial" w:eastAsia="Arial" w:hAnsi="Arial"/>
                <w:sz w:val="11"/>
                <w:szCs w:val="11"/>
                <w:b w:val="1"/>
                <w:bCs w:val="1"/>
                <w:color w:val="auto"/>
              </w:rPr>
              <w:t>Change</w:t>
            </w:r>
          </w:p>
        </w:tc>
        <w:tc>
          <w:tcPr>
            <w:tcW w:w="80" w:type="dxa"/>
            <w:vAlign w:val="bottom"/>
          </w:tcPr>
          <w:p>
            <w:pPr>
              <w:spacing w:after="0"/>
              <w:rPr>
                <w:sz w:val="11"/>
                <w:szCs w:val="11"/>
                <w:color w:val="auto"/>
              </w:rPr>
            </w:pPr>
          </w:p>
        </w:tc>
        <w:tc>
          <w:tcPr>
            <w:tcW w:w="1560" w:type="dxa"/>
            <w:vAlign w:val="bottom"/>
          </w:tcPr>
          <w:p>
            <w:pPr>
              <w:jc w:val="center"/>
              <w:spacing w:after="0"/>
              <w:rPr>
                <w:sz w:val="20"/>
                <w:szCs w:val="20"/>
                <w:color w:val="auto"/>
              </w:rPr>
            </w:pPr>
            <w:r>
              <w:rPr>
                <w:rFonts w:ascii="Arial" w:cs="Arial" w:eastAsia="Arial" w:hAnsi="Arial"/>
                <w:sz w:val="11"/>
                <w:szCs w:val="11"/>
                <w:b w:val="1"/>
                <w:bCs w:val="1"/>
                <w:color w:val="auto"/>
                <w:w w:val="90"/>
              </w:rPr>
              <w:t>% Change</w:t>
            </w:r>
          </w:p>
        </w:tc>
      </w:tr>
      <w:tr>
        <w:trPr>
          <w:trHeight w:val="144"/>
        </w:trPr>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consolidated contract sales</w:t>
            </w:r>
          </w:p>
        </w:tc>
        <w:tc>
          <w:tcPr>
            <w:tcW w:w="260" w:type="dxa"/>
            <w:vAlign w:val="bottom"/>
            <w:tcBorders>
              <w:top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362</w:t>
            </w:r>
          </w:p>
        </w:tc>
        <w:tc>
          <w:tcPr>
            <w:tcW w:w="10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ind w:right="332"/>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w:t>
            </w:r>
          </w:p>
        </w:tc>
        <w:tc>
          <w:tcPr>
            <w:tcW w:w="8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332</w:t>
            </w:r>
          </w:p>
        </w:tc>
        <w:tc>
          <w:tcPr>
            <w:tcW w:w="80" w:type="dxa"/>
            <w:vAlign w:val="bottom"/>
            <w:tcBorders>
              <w:top w:val="single" w:sz="8" w:color="CCEEFF"/>
            </w:tcBorders>
            <w:shd w:val="clear" w:color="auto" w:fill="CCEEFF"/>
          </w:tcPr>
          <w:p>
            <w:pPr>
              <w:spacing w:after="0"/>
              <w:rPr>
                <w:sz w:val="12"/>
                <w:szCs w:val="12"/>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rPr>
              <w:t>NM</w:t>
            </w:r>
          </w:p>
        </w:tc>
      </w:tr>
      <w:tr>
        <w:trPr>
          <w:trHeight w:val="153"/>
        </w:trPr>
        <w:tc>
          <w:tcPr>
            <w:tcW w:w="4840" w:type="dxa"/>
            <w:vAlign w:val="bottom"/>
          </w:tcPr>
          <w:p>
            <w:pPr>
              <w:spacing w:after="0"/>
              <w:rPr>
                <w:sz w:val="20"/>
                <w:szCs w:val="20"/>
                <w:color w:val="auto"/>
              </w:rPr>
            </w:pPr>
            <w:r>
              <w:rPr>
                <w:rFonts w:ascii="Arial" w:cs="Arial" w:eastAsia="Arial" w:hAnsi="Arial"/>
                <w:sz w:val="12"/>
                <w:szCs w:val="12"/>
                <w:color w:val="auto"/>
              </w:rPr>
              <w:t>Joint venture contract sales</w:t>
            </w:r>
          </w:p>
        </w:tc>
        <w:tc>
          <w:tcPr>
            <w:tcW w:w="26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10</w:t>
            </w:r>
          </w:p>
        </w:tc>
        <w:tc>
          <w:tcPr>
            <w:tcW w:w="8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Arial" w:cs="Arial" w:eastAsia="Arial" w:hAnsi="Arial"/>
                <w:sz w:val="12"/>
                <w:szCs w:val="12"/>
                <w:color w:val="auto"/>
              </w:rPr>
              <w:t>NM</w:t>
            </w:r>
          </w:p>
        </w:tc>
      </w:tr>
      <w:tr>
        <w:trPr>
          <w:trHeight w:val="162"/>
        </w:trPr>
        <w:tc>
          <w:tcPr>
            <w:tcW w:w="48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Total contract sales</w:t>
            </w:r>
          </w:p>
        </w:tc>
        <w:tc>
          <w:tcPr>
            <w:tcW w:w="2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372</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440" w:type="dxa"/>
            <w:vAlign w:val="bottom"/>
            <w:tcBorders>
              <w:top w:val="single" w:sz="8" w:color="auto"/>
              <w:bottom w:val="single" w:sz="8" w:color="auto"/>
            </w:tcBorders>
            <w:shd w:val="clear" w:color="auto" w:fill="CCEEFF"/>
          </w:tcPr>
          <w:p>
            <w:pPr>
              <w:jc w:val="right"/>
              <w:ind w:right="332"/>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342</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56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rPr>
              <w:t>NM</w:t>
            </w:r>
          </w:p>
        </w:tc>
      </w:tr>
      <w:tr>
        <w:trPr>
          <w:trHeight w:val="275"/>
        </w:trPr>
        <w:tc>
          <w:tcPr>
            <w:tcW w:w="4840" w:type="dxa"/>
            <w:vAlign w:val="bottom"/>
          </w:tcPr>
          <w:p>
            <w:pPr>
              <w:spacing w:after="0"/>
              <w:rPr>
                <w:sz w:val="20"/>
                <w:szCs w:val="20"/>
                <w:color w:val="auto"/>
              </w:rPr>
            </w:pPr>
            <w:r>
              <w:rPr>
                <w:rFonts w:ascii="Arial" w:cs="Arial" w:eastAsia="Arial" w:hAnsi="Arial"/>
                <w:sz w:val="12"/>
                <w:szCs w:val="12"/>
                <w:i w:val="1"/>
                <w:iCs w:val="1"/>
                <w:color w:val="auto"/>
              </w:rPr>
              <w:t>2021 First Half</w:t>
            </w:r>
          </w:p>
        </w:tc>
        <w:tc>
          <w:tcPr>
            <w:tcW w:w="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158"/>
        </w:trPr>
        <w:tc>
          <w:tcPr>
            <w:tcW w:w="48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3"/>
          </w:tcPr>
          <w:p>
            <w:pPr>
              <w:jc w:val="center"/>
              <w:ind w:left="782"/>
              <w:spacing w:after="0"/>
              <w:rPr>
                <w:sz w:val="20"/>
                <w:szCs w:val="20"/>
                <w:color w:val="auto"/>
              </w:rPr>
            </w:pPr>
            <w:r>
              <w:rPr>
                <w:rFonts w:ascii="Arial" w:cs="Arial" w:eastAsia="Arial" w:hAnsi="Arial"/>
                <w:sz w:val="11"/>
                <w:szCs w:val="11"/>
                <w:b w:val="1"/>
                <w:bCs w:val="1"/>
                <w:color w:val="auto"/>
                <w:w w:val="90"/>
              </w:rPr>
              <w:t>Six Months Ended</w:t>
            </w:r>
          </w:p>
        </w:tc>
        <w:tc>
          <w:tcPr>
            <w:tcW w:w="11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135"/>
        </w:trPr>
        <w:tc>
          <w:tcPr>
            <w:tcW w:w="484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26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ind w:left="200"/>
              <w:spacing w:after="0"/>
              <w:rPr>
                <w:sz w:val="20"/>
                <w:szCs w:val="20"/>
                <w:color w:val="auto"/>
              </w:rPr>
            </w:pPr>
            <w:r>
              <w:rPr>
                <w:rFonts w:ascii="Arial" w:cs="Arial" w:eastAsia="Arial" w:hAnsi="Arial"/>
                <w:sz w:val="11"/>
                <w:szCs w:val="11"/>
                <w:b w:val="1"/>
                <w:bCs w:val="1"/>
                <w:color w:val="auto"/>
              </w:rPr>
              <w:t>June 30, 2021</w:t>
            </w:r>
          </w:p>
        </w:tc>
        <w:tc>
          <w:tcPr>
            <w:tcW w:w="10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401"/>
              <w:spacing w:after="0"/>
              <w:rPr>
                <w:sz w:val="20"/>
                <w:szCs w:val="20"/>
                <w:color w:val="auto"/>
              </w:rPr>
            </w:pPr>
            <w:r>
              <w:rPr>
                <w:rFonts w:ascii="Arial" w:cs="Arial" w:eastAsia="Arial" w:hAnsi="Arial"/>
                <w:sz w:val="11"/>
                <w:szCs w:val="11"/>
                <w:b w:val="1"/>
                <w:bCs w:val="1"/>
                <w:color w:val="auto"/>
                <w:w w:val="86"/>
              </w:rPr>
              <w:t>June 30, 2020</w:t>
            </w:r>
          </w:p>
        </w:tc>
        <w:tc>
          <w:tcPr>
            <w:tcW w:w="8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541"/>
              <w:spacing w:after="0"/>
              <w:rPr>
                <w:sz w:val="20"/>
                <w:szCs w:val="20"/>
                <w:color w:val="auto"/>
              </w:rPr>
            </w:pPr>
            <w:r>
              <w:rPr>
                <w:rFonts w:ascii="Arial" w:cs="Arial" w:eastAsia="Arial" w:hAnsi="Arial"/>
                <w:sz w:val="11"/>
                <w:szCs w:val="11"/>
                <w:b w:val="1"/>
                <w:bCs w:val="1"/>
                <w:color w:val="auto"/>
              </w:rPr>
              <w:t>Change</w:t>
            </w:r>
          </w:p>
        </w:tc>
        <w:tc>
          <w:tcPr>
            <w:tcW w:w="80" w:type="dxa"/>
            <w:vAlign w:val="bottom"/>
            <w:tcBorders>
              <w:bottom w:val="single" w:sz="8" w:color="CCEEFF"/>
            </w:tcBorders>
          </w:tcPr>
          <w:p>
            <w:pPr>
              <w:spacing w:after="0"/>
              <w:rPr>
                <w:sz w:val="11"/>
                <w:szCs w:val="11"/>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 Change</w:t>
            </w:r>
          </w:p>
        </w:tc>
      </w:tr>
      <w:tr>
        <w:trPr>
          <w:trHeight w:val="144"/>
        </w:trPr>
        <w:tc>
          <w:tcPr>
            <w:tcW w:w="4840" w:type="dxa"/>
            <w:vAlign w:val="bottom"/>
            <w:shd w:val="clear" w:color="auto" w:fill="CCEEFF"/>
          </w:tcPr>
          <w:p>
            <w:pPr>
              <w:spacing w:after="0"/>
              <w:rPr>
                <w:sz w:val="20"/>
                <w:szCs w:val="20"/>
                <w:color w:val="auto"/>
              </w:rPr>
            </w:pPr>
            <w:r>
              <w:rPr>
                <w:rFonts w:ascii="Arial" w:cs="Arial" w:eastAsia="Arial" w:hAnsi="Arial"/>
                <w:sz w:val="12"/>
                <w:szCs w:val="12"/>
                <w:color w:val="auto"/>
              </w:rPr>
              <w:t>Total consolidated contract sales</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588</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332"/>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336</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252</w:t>
            </w:r>
          </w:p>
        </w:tc>
        <w:tc>
          <w:tcPr>
            <w:tcW w:w="1640" w:type="dxa"/>
            <w:vAlign w:val="bottom"/>
            <w:gridSpan w:val="2"/>
            <w:shd w:val="clear" w:color="auto" w:fill="CCEEFF"/>
          </w:tcPr>
          <w:p>
            <w:pPr>
              <w:jc w:val="center"/>
              <w:ind w:left="40"/>
              <w:spacing w:after="0"/>
              <w:rPr>
                <w:sz w:val="20"/>
                <w:szCs w:val="20"/>
                <w:color w:val="auto"/>
              </w:rPr>
            </w:pPr>
            <w:r>
              <w:rPr>
                <w:rFonts w:ascii="Arial" w:cs="Arial" w:eastAsia="Arial" w:hAnsi="Arial"/>
                <w:sz w:val="12"/>
                <w:szCs w:val="12"/>
                <w:color w:val="auto"/>
                <w:w w:val="91"/>
              </w:rPr>
              <w:t>75%</w:t>
            </w:r>
          </w:p>
        </w:tc>
      </w:tr>
      <w:tr>
        <w:trPr>
          <w:trHeight w:val="153"/>
        </w:trPr>
        <w:tc>
          <w:tcPr>
            <w:tcW w:w="48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Joint venture contract sales</w:t>
            </w:r>
          </w:p>
        </w:tc>
        <w:tc>
          <w:tcPr>
            <w:tcW w:w="2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w:t>
            </w:r>
          </w:p>
        </w:tc>
        <w:tc>
          <w:tcPr>
            <w:tcW w:w="1640" w:type="dxa"/>
            <w:vAlign w:val="bottom"/>
            <w:tcBorders>
              <w:bottom w:val="single" w:sz="8" w:color="CCEEFF"/>
            </w:tcBorders>
            <w:gridSpan w:val="2"/>
          </w:tcPr>
          <w:p>
            <w:pPr>
              <w:jc w:val="center"/>
              <w:ind w:left="40"/>
              <w:spacing w:after="0"/>
              <w:rPr>
                <w:sz w:val="20"/>
                <w:szCs w:val="20"/>
                <w:color w:val="auto"/>
              </w:rPr>
            </w:pPr>
            <w:r>
              <w:rPr>
                <w:rFonts w:ascii="Arial" w:cs="Arial" w:eastAsia="Arial" w:hAnsi="Arial"/>
                <w:sz w:val="12"/>
                <w:szCs w:val="12"/>
                <w:color w:val="auto"/>
                <w:w w:val="91"/>
              </w:rPr>
              <w:t>71%</w:t>
            </w:r>
          </w:p>
        </w:tc>
      </w:tr>
      <w:tr>
        <w:trPr>
          <w:trHeight w:val="162"/>
        </w:trPr>
        <w:tc>
          <w:tcPr>
            <w:tcW w:w="4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Total contract sales</w:t>
            </w:r>
          </w:p>
        </w:tc>
        <w:tc>
          <w:tcPr>
            <w:tcW w:w="2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604</w:t>
            </w:r>
          </w:p>
        </w:tc>
        <w:tc>
          <w:tcPr>
            <w:tcW w:w="1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345</w:t>
            </w: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259</w:t>
            </w:r>
          </w:p>
        </w:tc>
        <w:tc>
          <w:tcPr>
            <w:tcW w:w="1640" w:type="dxa"/>
            <w:vAlign w:val="bottom"/>
            <w:tcBorders>
              <w:bottom w:val="single" w:sz="8" w:color="CCEEFF"/>
            </w:tcBorders>
            <w:gridSpan w:val="2"/>
            <w:shd w:val="clear" w:color="auto" w:fill="CCEEFF"/>
          </w:tcPr>
          <w:p>
            <w:pPr>
              <w:jc w:val="center"/>
              <w:ind w:left="40"/>
              <w:spacing w:after="0"/>
              <w:rPr>
                <w:sz w:val="20"/>
                <w:szCs w:val="20"/>
                <w:color w:val="auto"/>
              </w:rPr>
            </w:pPr>
            <w:r>
              <w:rPr>
                <w:rFonts w:ascii="Arial" w:cs="Arial" w:eastAsia="Arial" w:hAnsi="Arial"/>
                <w:sz w:val="12"/>
                <w:szCs w:val="12"/>
                <w:color w:val="auto"/>
                <w:w w:val="91"/>
              </w:rPr>
              <w:t>75%</w:t>
            </w:r>
          </w:p>
        </w:tc>
      </w:tr>
      <w:tr>
        <w:trPr>
          <w:trHeight w:val="338"/>
        </w:trPr>
        <w:tc>
          <w:tcPr>
            <w:tcW w:w="4840" w:type="dxa"/>
            <w:vAlign w:val="bottom"/>
          </w:tcPr>
          <w:p>
            <w:pPr>
              <w:spacing w:after="0"/>
              <w:rPr>
                <w:sz w:val="20"/>
                <w:szCs w:val="20"/>
                <w:color w:val="auto"/>
              </w:rPr>
            </w:pPr>
            <w:r>
              <w:rPr>
                <w:rFonts w:ascii="Arial" w:cs="Arial" w:eastAsia="Arial" w:hAnsi="Arial"/>
                <w:sz w:val="12"/>
                <w:szCs w:val="12"/>
                <w:b w:val="1"/>
                <w:bCs w:val="1"/>
                <w:color w:val="auto"/>
              </w:rPr>
              <w:t>Sale of Vacation Ownership Products</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2"/>
                <w:szCs w:val="12"/>
                <w:i w:val="1"/>
                <w:iCs w:val="1"/>
                <w:color w:val="auto"/>
              </w:rPr>
              <w:t>2021 Second Quarter</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158"/>
        </w:trPr>
        <w:tc>
          <w:tcPr>
            <w:tcW w:w="48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3"/>
          </w:tcPr>
          <w:p>
            <w:pPr>
              <w:jc w:val="center"/>
              <w:ind w:left="782"/>
              <w:spacing w:after="0"/>
              <w:rPr>
                <w:sz w:val="20"/>
                <w:szCs w:val="20"/>
                <w:color w:val="auto"/>
              </w:rPr>
            </w:pPr>
            <w:r>
              <w:rPr>
                <w:rFonts w:ascii="Arial" w:cs="Arial" w:eastAsia="Arial" w:hAnsi="Arial"/>
                <w:sz w:val="11"/>
                <w:szCs w:val="11"/>
                <w:b w:val="1"/>
                <w:bCs w:val="1"/>
                <w:color w:val="auto"/>
                <w:w w:val="90"/>
              </w:rPr>
              <w:t>Three Months Ended</w:t>
            </w:r>
          </w:p>
        </w:tc>
        <w:tc>
          <w:tcPr>
            <w:tcW w:w="11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135"/>
        </w:trPr>
        <w:tc>
          <w:tcPr>
            <w:tcW w:w="4840" w:type="dxa"/>
            <w:vAlign w:val="bottom"/>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260" w:type="dxa"/>
            <w:vAlign w:val="bottom"/>
          </w:tcPr>
          <w:p>
            <w:pPr>
              <w:spacing w:after="0"/>
              <w:rPr>
                <w:sz w:val="11"/>
                <w:szCs w:val="11"/>
                <w:color w:val="auto"/>
              </w:rPr>
            </w:pPr>
          </w:p>
        </w:tc>
        <w:tc>
          <w:tcPr>
            <w:tcW w:w="1380" w:type="dxa"/>
            <w:vAlign w:val="bottom"/>
            <w:gridSpan w:val="2"/>
          </w:tcPr>
          <w:p>
            <w:pPr>
              <w:ind w:left="200"/>
              <w:spacing w:after="0"/>
              <w:rPr>
                <w:sz w:val="20"/>
                <w:szCs w:val="20"/>
                <w:color w:val="auto"/>
              </w:rPr>
            </w:pPr>
            <w:r>
              <w:rPr>
                <w:rFonts w:ascii="Arial" w:cs="Arial" w:eastAsia="Arial" w:hAnsi="Arial"/>
                <w:sz w:val="11"/>
                <w:szCs w:val="11"/>
                <w:b w:val="1"/>
                <w:bCs w:val="1"/>
                <w:color w:val="auto"/>
              </w:rPr>
              <w:t>June 30, 2021</w:t>
            </w:r>
          </w:p>
        </w:tc>
        <w:tc>
          <w:tcPr>
            <w:tcW w:w="440" w:type="dxa"/>
            <w:vAlign w:val="bottom"/>
          </w:tcPr>
          <w:p>
            <w:pPr>
              <w:spacing w:after="0"/>
              <w:rPr>
                <w:sz w:val="11"/>
                <w:szCs w:val="11"/>
                <w:color w:val="auto"/>
              </w:rPr>
            </w:pPr>
          </w:p>
        </w:tc>
        <w:tc>
          <w:tcPr>
            <w:tcW w:w="1100" w:type="dxa"/>
            <w:vAlign w:val="bottom"/>
          </w:tcPr>
          <w:p>
            <w:pPr>
              <w:jc w:val="right"/>
              <w:ind w:right="401"/>
              <w:spacing w:after="0"/>
              <w:rPr>
                <w:sz w:val="20"/>
                <w:szCs w:val="20"/>
                <w:color w:val="auto"/>
              </w:rPr>
            </w:pPr>
            <w:r>
              <w:rPr>
                <w:rFonts w:ascii="Arial" w:cs="Arial" w:eastAsia="Arial" w:hAnsi="Arial"/>
                <w:sz w:val="11"/>
                <w:szCs w:val="11"/>
                <w:b w:val="1"/>
                <w:bCs w:val="1"/>
                <w:color w:val="auto"/>
                <w:w w:val="86"/>
              </w:rPr>
              <w:t>June 30, 2020</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tcPr>
          <w:p>
            <w:pPr>
              <w:jc w:val="right"/>
              <w:ind w:right="541"/>
              <w:spacing w:after="0"/>
              <w:rPr>
                <w:sz w:val="20"/>
                <w:szCs w:val="20"/>
                <w:color w:val="auto"/>
              </w:rPr>
            </w:pPr>
            <w:r>
              <w:rPr>
                <w:rFonts w:ascii="Arial" w:cs="Arial" w:eastAsia="Arial" w:hAnsi="Arial"/>
                <w:sz w:val="11"/>
                <w:szCs w:val="11"/>
                <w:b w:val="1"/>
                <w:bCs w:val="1"/>
                <w:color w:val="auto"/>
              </w:rPr>
              <w:t>Change</w:t>
            </w:r>
          </w:p>
        </w:tc>
        <w:tc>
          <w:tcPr>
            <w:tcW w:w="80" w:type="dxa"/>
            <w:vAlign w:val="bottom"/>
          </w:tcPr>
          <w:p>
            <w:pPr>
              <w:spacing w:after="0"/>
              <w:rPr>
                <w:sz w:val="11"/>
                <w:szCs w:val="11"/>
                <w:color w:val="auto"/>
              </w:rPr>
            </w:pPr>
          </w:p>
        </w:tc>
        <w:tc>
          <w:tcPr>
            <w:tcW w:w="1560" w:type="dxa"/>
            <w:vAlign w:val="bottom"/>
          </w:tcPr>
          <w:p>
            <w:pPr>
              <w:jc w:val="center"/>
              <w:spacing w:after="0"/>
              <w:rPr>
                <w:sz w:val="20"/>
                <w:szCs w:val="20"/>
                <w:color w:val="auto"/>
              </w:rPr>
            </w:pPr>
            <w:r>
              <w:rPr>
                <w:rFonts w:ascii="Arial" w:cs="Arial" w:eastAsia="Arial" w:hAnsi="Arial"/>
                <w:sz w:val="11"/>
                <w:szCs w:val="11"/>
                <w:b w:val="1"/>
                <w:bCs w:val="1"/>
                <w:color w:val="auto"/>
                <w:w w:val="90"/>
              </w:rPr>
              <w:t>% Change</w:t>
            </w:r>
          </w:p>
        </w:tc>
      </w:tr>
      <w:tr>
        <w:trPr>
          <w:trHeight w:val="144"/>
        </w:trPr>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contract sales</w:t>
            </w:r>
          </w:p>
        </w:tc>
        <w:tc>
          <w:tcPr>
            <w:tcW w:w="260" w:type="dxa"/>
            <w:vAlign w:val="bottom"/>
            <w:tcBorders>
              <w:top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372</w:t>
            </w:r>
          </w:p>
        </w:tc>
        <w:tc>
          <w:tcPr>
            <w:tcW w:w="10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ind w:right="332"/>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w:t>
            </w:r>
          </w:p>
        </w:tc>
        <w:tc>
          <w:tcPr>
            <w:tcW w:w="8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342</w:t>
            </w:r>
          </w:p>
        </w:tc>
        <w:tc>
          <w:tcPr>
            <w:tcW w:w="80" w:type="dxa"/>
            <w:vAlign w:val="bottom"/>
            <w:tcBorders>
              <w:top w:val="single" w:sz="8" w:color="CCEEFF"/>
            </w:tcBorders>
            <w:shd w:val="clear" w:color="auto" w:fill="CCEEFF"/>
          </w:tcPr>
          <w:p>
            <w:pPr>
              <w:spacing w:after="0"/>
              <w:rPr>
                <w:sz w:val="12"/>
                <w:szCs w:val="12"/>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rPr>
              <w:t>NM</w:t>
            </w:r>
          </w:p>
        </w:tc>
      </w:tr>
      <w:tr>
        <w:trPr>
          <w:trHeight w:val="153"/>
        </w:trPr>
        <w:tc>
          <w:tcPr>
            <w:tcW w:w="4840" w:type="dxa"/>
            <w:vAlign w:val="bottom"/>
          </w:tcPr>
          <w:p>
            <w:pPr>
              <w:spacing w:after="0"/>
              <w:rPr>
                <w:sz w:val="20"/>
                <w:szCs w:val="20"/>
                <w:color w:val="auto"/>
              </w:rPr>
            </w:pPr>
            <w:r>
              <w:rPr>
                <w:rFonts w:ascii="Arial" w:cs="Arial" w:eastAsia="Arial" w:hAnsi="Arial"/>
                <w:sz w:val="12"/>
                <w:szCs w:val="12"/>
                <w:color w:val="auto"/>
              </w:rPr>
              <w:t>Less resales contract sales</w:t>
            </w:r>
          </w:p>
        </w:tc>
        <w:tc>
          <w:tcPr>
            <w:tcW w:w="26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(7)</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(6)</w:t>
            </w: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153"/>
        </w:trPr>
        <w:tc>
          <w:tcPr>
            <w:tcW w:w="4840" w:type="dxa"/>
            <w:vAlign w:val="bottom"/>
            <w:shd w:val="clear" w:color="auto" w:fill="CCEEFF"/>
          </w:tcPr>
          <w:p>
            <w:pPr>
              <w:spacing w:after="0"/>
              <w:rPr>
                <w:sz w:val="20"/>
                <w:szCs w:val="20"/>
                <w:color w:val="auto"/>
              </w:rPr>
            </w:pPr>
            <w:r>
              <w:rPr>
                <w:rFonts w:ascii="Arial" w:cs="Arial" w:eastAsia="Arial" w:hAnsi="Arial"/>
                <w:sz w:val="12"/>
                <w:szCs w:val="12"/>
                <w:color w:val="auto"/>
              </w:rPr>
              <w:t>Less joint venture contract sales</w:t>
            </w:r>
          </w:p>
        </w:tc>
        <w:tc>
          <w:tcPr>
            <w:tcW w:w="26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8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r>
      <w:tr>
        <w:trPr>
          <w:trHeight w:val="142"/>
        </w:trPr>
        <w:tc>
          <w:tcPr>
            <w:tcW w:w="4840" w:type="dxa"/>
            <w:vAlign w:val="bottom"/>
          </w:tcPr>
          <w:p>
            <w:pPr>
              <w:spacing w:after="0"/>
              <w:rPr>
                <w:sz w:val="20"/>
                <w:szCs w:val="20"/>
                <w:color w:val="auto"/>
              </w:rPr>
            </w:pPr>
            <w:r>
              <w:rPr>
                <w:rFonts w:ascii="Arial" w:cs="Arial" w:eastAsia="Arial" w:hAnsi="Arial"/>
                <w:sz w:val="12"/>
                <w:szCs w:val="12"/>
                <w:color w:val="auto"/>
              </w:rPr>
              <w:t>Consolidated contract sales, net of resales</w:t>
            </w:r>
          </w:p>
        </w:tc>
        <w:tc>
          <w:tcPr>
            <w:tcW w:w="26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355</w:t>
            </w:r>
          </w:p>
        </w:tc>
        <w:tc>
          <w:tcPr>
            <w:tcW w:w="10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29</w:t>
            </w:r>
          </w:p>
        </w:tc>
        <w:tc>
          <w:tcPr>
            <w:tcW w:w="8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326</w:t>
            </w: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153"/>
        </w:trPr>
        <w:tc>
          <w:tcPr>
            <w:tcW w:w="4840" w:type="dxa"/>
            <w:vAlign w:val="bottom"/>
            <w:shd w:val="clear" w:color="auto" w:fill="CCEEFF"/>
          </w:tcPr>
          <w:p>
            <w:pPr>
              <w:spacing w:after="0"/>
              <w:rPr>
                <w:sz w:val="20"/>
                <w:szCs w:val="20"/>
                <w:color w:val="auto"/>
              </w:rPr>
            </w:pPr>
            <w:r>
              <w:rPr>
                <w:rFonts w:ascii="Arial" w:cs="Arial" w:eastAsia="Arial" w:hAnsi="Arial"/>
                <w:sz w:val="12"/>
                <w:szCs w:val="12"/>
                <w:color w:val="auto"/>
              </w:rPr>
              <w:t>Plus:</w:t>
            </w:r>
          </w:p>
        </w:tc>
        <w:tc>
          <w:tcPr>
            <w:tcW w:w="26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r>
      <w:tr>
        <w:trPr>
          <w:trHeight w:val="153"/>
        </w:trPr>
        <w:tc>
          <w:tcPr>
            <w:tcW w:w="4840" w:type="dxa"/>
            <w:vAlign w:val="bottom"/>
          </w:tcPr>
          <w:p>
            <w:pPr>
              <w:ind w:left="140"/>
              <w:spacing w:after="0"/>
              <w:rPr>
                <w:sz w:val="20"/>
                <w:szCs w:val="20"/>
                <w:color w:val="auto"/>
              </w:rPr>
            </w:pPr>
            <w:r>
              <w:rPr>
                <w:rFonts w:ascii="Arial" w:cs="Arial" w:eastAsia="Arial" w:hAnsi="Arial"/>
                <w:sz w:val="12"/>
                <w:szCs w:val="12"/>
                <w:color w:val="auto"/>
              </w:rPr>
              <w:t>Settlement revenue</w:t>
            </w:r>
          </w:p>
        </w:tc>
        <w:tc>
          <w:tcPr>
            <w:tcW w:w="26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8</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2</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6</w:t>
            </w: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153"/>
        </w:trPr>
        <w:tc>
          <w:tcPr>
            <w:tcW w:w="48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Resales revenue</w:t>
            </w:r>
          </w:p>
        </w:tc>
        <w:tc>
          <w:tcPr>
            <w:tcW w:w="26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r>
      <w:tr>
        <w:trPr>
          <w:trHeight w:val="153"/>
        </w:trPr>
        <w:tc>
          <w:tcPr>
            <w:tcW w:w="4840" w:type="dxa"/>
            <w:vAlign w:val="bottom"/>
          </w:tcPr>
          <w:p>
            <w:pPr>
              <w:spacing w:after="0"/>
              <w:rPr>
                <w:sz w:val="20"/>
                <w:szCs w:val="20"/>
                <w:color w:val="auto"/>
              </w:rPr>
            </w:pPr>
            <w:r>
              <w:rPr>
                <w:rFonts w:ascii="Arial" w:cs="Arial" w:eastAsia="Arial" w:hAnsi="Arial"/>
                <w:sz w:val="12"/>
                <w:szCs w:val="12"/>
                <w:color w:val="auto"/>
              </w:rPr>
              <w:t>Revenue recognition adjustments:</w:t>
            </w:r>
          </w:p>
        </w:tc>
        <w:tc>
          <w:tcPr>
            <w:tcW w:w="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153"/>
        </w:trPr>
        <w:tc>
          <w:tcPr>
            <w:tcW w:w="48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Reportability</w:t>
            </w:r>
          </w:p>
        </w:tc>
        <w:tc>
          <w:tcPr>
            <w:tcW w:w="26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w:t>
            </w:r>
          </w:p>
        </w:tc>
        <w:tc>
          <w:tcPr>
            <w:tcW w:w="8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r>
      <w:tr>
        <w:trPr>
          <w:trHeight w:val="153"/>
        </w:trPr>
        <w:tc>
          <w:tcPr>
            <w:tcW w:w="4840" w:type="dxa"/>
            <w:vAlign w:val="bottom"/>
          </w:tcPr>
          <w:p>
            <w:pPr>
              <w:ind w:left="140"/>
              <w:spacing w:after="0"/>
              <w:rPr>
                <w:sz w:val="20"/>
                <w:szCs w:val="20"/>
                <w:color w:val="auto"/>
              </w:rPr>
            </w:pPr>
            <w:r>
              <w:rPr>
                <w:rFonts w:ascii="Arial" w:cs="Arial" w:eastAsia="Arial" w:hAnsi="Arial"/>
                <w:sz w:val="12"/>
                <w:szCs w:val="12"/>
                <w:color w:val="auto"/>
              </w:rPr>
              <w:t>Sales reserve</w:t>
            </w:r>
          </w:p>
        </w:tc>
        <w:tc>
          <w:tcPr>
            <w:tcW w:w="26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(28)</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(9)</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(19)</w:t>
            </w: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153"/>
        </w:trPr>
        <w:tc>
          <w:tcPr>
            <w:tcW w:w="48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Other</w:t>
            </w:r>
            <w:r>
              <w:rPr>
                <w:rFonts w:ascii="Arial" w:cs="Arial" w:eastAsia="Arial" w:hAnsi="Arial"/>
                <w:sz w:val="6"/>
                <w:szCs w:val="6"/>
                <w:color w:val="auto"/>
              </w:rPr>
              <w:t>(1)</w:t>
            </w:r>
          </w:p>
        </w:tc>
        <w:tc>
          <w:tcPr>
            <w:tcW w:w="26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w:t>
            </w:r>
          </w:p>
        </w:tc>
        <w:tc>
          <w:tcPr>
            <w:tcW w:w="10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w:t>
            </w:r>
          </w:p>
        </w:tc>
        <w:tc>
          <w:tcPr>
            <w:tcW w:w="8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r>
      <w:tr>
        <w:trPr>
          <w:trHeight w:val="142"/>
        </w:trPr>
        <w:tc>
          <w:tcPr>
            <w:tcW w:w="4840" w:type="dxa"/>
            <w:vAlign w:val="bottom"/>
          </w:tcPr>
          <w:p>
            <w:pPr>
              <w:spacing w:after="0" w:line="133" w:lineRule="exact"/>
              <w:rPr>
                <w:sz w:val="20"/>
                <w:szCs w:val="20"/>
                <w:color w:val="auto"/>
              </w:rPr>
            </w:pPr>
            <w:r>
              <w:rPr>
                <w:rFonts w:ascii="Arial" w:cs="Arial" w:eastAsia="Arial" w:hAnsi="Arial"/>
                <w:sz w:val="12"/>
                <w:szCs w:val="12"/>
                <w:color w:val="auto"/>
              </w:rPr>
              <w:t>Sale of vacation ownership products</w:t>
            </w:r>
          </w:p>
        </w:tc>
        <w:tc>
          <w:tcPr>
            <w:tcW w:w="26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296</w:t>
            </w:r>
          </w:p>
        </w:tc>
        <w:tc>
          <w:tcPr>
            <w:tcW w:w="100" w:type="dxa"/>
            <w:vAlign w:val="bottom"/>
          </w:tcPr>
          <w:p>
            <w:pPr>
              <w:spacing w:after="0"/>
              <w:rPr>
                <w:sz w:val="12"/>
                <w:szCs w:val="12"/>
                <w:color w:val="auto"/>
              </w:rPr>
            </w:pPr>
          </w:p>
        </w:tc>
        <w:tc>
          <w:tcPr>
            <w:tcW w:w="44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53</w:t>
            </w:r>
          </w:p>
        </w:tc>
        <w:tc>
          <w:tcPr>
            <w:tcW w:w="80" w:type="dxa"/>
            <w:vAlign w:val="bottom"/>
          </w:tcPr>
          <w:p>
            <w:pPr>
              <w:spacing w:after="0"/>
              <w:rPr>
                <w:sz w:val="12"/>
                <w:szCs w:val="12"/>
                <w:color w:val="auto"/>
              </w:rPr>
            </w:pPr>
          </w:p>
        </w:tc>
        <w:tc>
          <w:tcPr>
            <w:tcW w:w="3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243</w:t>
            </w:r>
          </w:p>
        </w:tc>
        <w:tc>
          <w:tcPr>
            <w:tcW w:w="1640" w:type="dxa"/>
            <w:vAlign w:val="bottom"/>
            <w:gridSpan w:val="2"/>
          </w:tcPr>
          <w:p>
            <w:pPr>
              <w:jc w:val="center"/>
              <w:ind w:left="20"/>
              <w:spacing w:after="0"/>
              <w:rPr>
                <w:sz w:val="20"/>
                <w:szCs w:val="20"/>
                <w:color w:val="auto"/>
              </w:rPr>
            </w:pPr>
            <w:r>
              <w:rPr>
                <w:rFonts w:ascii="Arial" w:cs="Arial" w:eastAsia="Arial" w:hAnsi="Arial"/>
                <w:sz w:val="12"/>
                <w:szCs w:val="12"/>
                <w:color w:val="auto"/>
                <w:w w:val="91"/>
              </w:rPr>
              <w:t>459%</w:t>
            </w:r>
          </w:p>
        </w:tc>
      </w:tr>
      <w:tr>
        <w:trPr>
          <w:trHeight w:val="20"/>
        </w:trPr>
        <w:tc>
          <w:tcPr>
            <w:tcW w:w="4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54" w:lineRule="exact"/>
        <w:rPr>
          <w:sz w:val="20"/>
          <w:szCs w:val="20"/>
          <w:color w:val="auto"/>
        </w:rPr>
      </w:pPr>
    </w:p>
    <w:p>
      <w:pPr>
        <w:ind w:left="8"/>
        <w:spacing w:after="0"/>
        <w:rPr>
          <w:sz w:val="20"/>
          <w:szCs w:val="20"/>
          <w:color w:val="auto"/>
        </w:rPr>
      </w:pPr>
      <w:r>
        <w:rPr>
          <w:rFonts w:ascii="Arial" w:cs="Arial" w:eastAsia="Arial" w:hAnsi="Arial"/>
          <w:sz w:val="12"/>
          <w:szCs w:val="12"/>
          <w:color w:val="auto"/>
        </w:rPr>
        <w:t>_______________</w:t>
      </w:r>
    </w:p>
    <w:p>
      <w:pPr>
        <w:spacing w:after="0" w:line="11" w:lineRule="exact"/>
        <w:rPr>
          <w:sz w:val="20"/>
          <w:szCs w:val="20"/>
          <w:color w:val="auto"/>
        </w:rPr>
      </w:pPr>
    </w:p>
    <w:p>
      <w:pPr>
        <w:ind w:left="428" w:hanging="428"/>
        <w:spacing w:after="0"/>
        <w:tabs>
          <w:tab w:leader="none" w:pos="428" w:val="left"/>
        </w:tabs>
        <w:numPr>
          <w:ilvl w:val="0"/>
          <w:numId w:val="34"/>
        </w:numPr>
        <w:rPr>
          <w:rFonts w:ascii="Arial" w:cs="Arial" w:eastAsia="Arial" w:hAnsi="Arial"/>
          <w:sz w:val="16"/>
          <w:szCs w:val="16"/>
          <w:color w:val="auto"/>
          <w:vertAlign w:val="superscript"/>
        </w:rPr>
      </w:pPr>
      <w:r>
        <w:rPr>
          <w:rFonts w:ascii="Arial" w:cs="Arial" w:eastAsia="Arial" w:hAnsi="Arial"/>
          <w:sz w:val="12"/>
          <w:szCs w:val="12"/>
          <w:color w:val="auto"/>
        </w:rPr>
        <w:t>Adjustment for sales incentives that will not be recognized as Sale of vacation ownership products revenue and other adjustments to Sale of vacation ownership products revenue.</w:t>
      </w:r>
    </w:p>
    <w:p>
      <w:pPr>
        <w:spacing w:after="0" w:line="99" w:lineRule="exact"/>
        <w:rPr>
          <w:sz w:val="20"/>
          <w:szCs w:val="20"/>
          <w:color w:val="auto"/>
        </w:rPr>
      </w:pPr>
    </w:p>
    <w:p>
      <w:pPr>
        <w:ind w:left="8" w:right="140" w:firstLine="432"/>
        <w:spacing w:after="0" w:line="263" w:lineRule="auto"/>
        <w:rPr>
          <w:sz w:val="20"/>
          <w:szCs w:val="20"/>
          <w:color w:val="auto"/>
        </w:rPr>
      </w:pPr>
      <w:r>
        <w:rPr>
          <w:rFonts w:ascii="Arial" w:cs="Arial" w:eastAsia="Arial" w:hAnsi="Arial"/>
          <w:sz w:val="12"/>
          <w:szCs w:val="12"/>
          <w:color w:val="auto"/>
        </w:rPr>
        <w:t>Sale of vacation ownership products increased $243 million due primarily to $326 million of higher consolidated contract sales volume, net of resales (including $31 million from the acquisition of Welk), partially offset by a $49 million unfavorable change in revenue reportability, $21 million of higher sales incentives issued and $19 million of higher sales reserve activity (higher sales incentives and higher sales reserve activity were both driven by the higher contract sales volumes year-over-year).</w:t>
      </w:r>
    </w:p>
    <w:p>
      <w:pPr>
        <w:spacing w:after="0" w:line="50" w:lineRule="exact"/>
        <w:rPr>
          <w:sz w:val="20"/>
          <w:szCs w:val="20"/>
          <w:color w:val="auto"/>
        </w:rPr>
      </w:pPr>
    </w:p>
    <w:p>
      <w:pPr>
        <w:ind w:left="8" w:right="60" w:firstLine="432"/>
        <w:spacing w:after="0" w:line="263" w:lineRule="auto"/>
        <w:rPr>
          <w:sz w:val="20"/>
          <w:szCs w:val="20"/>
          <w:color w:val="auto"/>
        </w:rPr>
      </w:pPr>
      <w:r>
        <w:rPr>
          <w:rFonts w:ascii="Arial" w:cs="Arial" w:eastAsia="Arial" w:hAnsi="Arial"/>
          <w:sz w:val="12"/>
          <w:szCs w:val="12"/>
          <w:color w:val="auto"/>
        </w:rPr>
        <w:t>The higher contract sales performance reflects the continued ramp-up of the business subsequent to the initial impact of the COVID-19 pandemic late in the prior year first quarter, as well as the inclusion of Welk in the second quarter of 2021. With the reopening of many of our sales centers throughout 2020 and during the first half of 2021, our contract sales volumes have continued to improve on a sequential basis each quarter and we expect that improvement to continue through the remainder of 2021.</w:t>
      </w:r>
    </w:p>
    <w:p>
      <w:pPr>
        <w:spacing w:after="0" w:line="50" w:lineRule="exact"/>
        <w:rPr>
          <w:sz w:val="20"/>
          <w:szCs w:val="20"/>
          <w:color w:val="auto"/>
        </w:rPr>
      </w:pPr>
    </w:p>
    <w:p>
      <w:pPr>
        <w:ind w:left="8" w:right="20" w:firstLine="432"/>
        <w:spacing w:after="0" w:line="259" w:lineRule="auto"/>
        <w:rPr>
          <w:sz w:val="20"/>
          <w:szCs w:val="20"/>
          <w:color w:val="auto"/>
        </w:rPr>
      </w:pPr>
      <w:r>
        <w:rPr>
          <w:rFonts w:ascii="Arial" w:cs="Arial" w:eastAsia="Arial" w:hAnsi="Arial"/>
          <w:sz w:val="12"/>
          <w:szCs w:val="12"/>
          <w:color w:val="auto"/>
        </w:rPr>
        <w:t>Revenue reportability was negative in the second quarter of 2021. While we benefited from contract sales in the first quarter of 2021 being recognized as revenue in the second quarter of 2021 given the increasing contract sales volumes due to reopening of our sales centers and our continued ramp-up of the business subsequent to the initial impact of the COVID-19 pandemic, we saw a higher shift of contract sales late in the second quarter of 2021 into the third quarter for revenue recognition. In contrast, revenue reportability was significantly positive in the second quarter of 2020. The second quarter of 2020 benefited from the contract sales from late in the first quarter of 2020 that were recognized as revenue in 2020.</w:t>
      </w:r>
    </w:p>
    <w:p>
      <w:pPr>
        <w:spacing w:after="0" w:line="115" w:lineRule="exact"/>
        <w:rPr>
          <w:sz w:val="20"/>
          <w:szCs w:val="20"/>
          <w:color w:val="auto"/>
        </w:rPr>
      </w:pPr>
    </w:p>
    <w:p>
      <w:pPr>
        <w:jc w:val="center"/>
        <w:ind w:left="420"/>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191135</wp:posOffset>
            </wp:positionV>
            <wp:extent cx="7203440" cy="36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75" w:right="299" w:bottom="1440" w:gutter="0" w:footer="0" w:header="0"/>
        </w:sectPr>
      </w:pPr>
    </w:p>
    <w:bookmarkStart w:id="55" w:name="page56"/>
    <w:bookmarkEnd w:id="55"/>
    <w:p>
      <w:pPr>
        <w:ind w:left="8"/>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47" w:lineRule="exact"/>
        <w:rPr>
          <w:sz w:val="20"/>
          <w:szCs w:val="20"/>
          <w:color w:val="auto"/>
        </w:rPr>
      </w:pPr>
    </w:p>
    <w:p>
      <w:pPr>
        <w:ind w:left="8"/>
        <w:spacing w:after="0"/>
        <w:rPr>
          <w:sz w:val="20"/>
          <w:szCs w:val="20"/>
          <w:color w:val="auto"/>
        </w:rPr>
      </w:pPr>
      <w:r>
        <w:rPr>
          <w:rFonts w:ascii="Arial" w:cs="Arial" w:eastAsia="Arial" w:hAnsi="Arial"/>
          <w:sz w:val="12"/>
          <w:szCs w:val="12"/>
          <w:color w:val="auto"/>
        </w:rPr>
        <w:t>However, it was not impacted by an offsetting shift of revenues into the third quarter, given the low contract sales volumes in the second quarter of 2020 resulting from the impact of the COVID-19 pandemic.</w:t>
      </w:r>
    </w:p>
    <w:p>
      <w:pPr>
        <w:spacing w:after="0" w:line="114"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2021 First Half</w:t>
      </w:r>
    </w:p>
    <w:p>
      <w:pPr>
        <w:spacing w:after="0" w:line="33" w:lineRule="exact"/>
        <w:rPr>
          <w:sz w:val="20"/>
          <w:szCs w:val="20"/>
          <w:color w:val="auto"/>
        </w:rPr>
      </w:pPr>
    </w:p>
    <w:tbl>
      <w:tblPr>
        <w:tblLayout w:type="fixed"/>
        <w:tblInd w:w="8" w:type="dxa"/>
        <w:tblCellMar>
          <w:top w:w="0" w:type="dxa"/>
          <w:left w:w="0" w:type="dxa"/>
          <w:bottom w:w="0" w:type="dxa"/>
          <w:right w:w="0" w:type="dxa"/>
        </w:tblCellMar>
      </w:tblPr>
      <w:tr>
        <w:trPr>
          <w:trHeight w:val="140"/>
        </w:trPr>
        <w:tc>
          <w:tcPr>
            <w:tcW w:w="48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Six Months Ended</w:t>
            </w:r>
          </w:p>
        </w:tc>
        <w:tc>
          <w:tcPr>
            <w:tcW w:w="11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135"/>
        </w:trPr>
        <w:tc>
          <w:tcPr>
            <w:tcW w:w="484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26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401"/>
              <w:spacing w:after="0"/>
              <w:rPr>
                <w:sz w:val="20"/>
                <w:szCs w:val="20"/>
                <w:color w:val="auto"/>
              </w:rPr>
            </w:pPr>
            <w:r>
              <w:rPr>
                <w:rFonts w:ascii="Arial" w:cs="Arial" w:eastAsia="Arial" w:hAnsi="Arial"/>
                <w:sz w:val="11"/>
                <w:szCs w:val="11"/>
                <w:b w:val="1"/>
                <w:bCs w:val="1"/>
                <w:color w:val="auto"/>
              </w:rPr>
              <w:t>June 30, 2021</w:t>
            </w:r>
          </w:p>
        </w:tc>
        <w:tc>
          <w:tcPr>
            <w:tcW w:w="100" w:type="dxa"/>
            <w:vAlign w:val="bottom"/>
            <w:tcBorders>
              <w:bottom w:val="single" w:sz="8" w:color="CCEEFF"/>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401"/>
              <w:spacing w:after="0"/>
              <w:rPr>
                <w:sz w:val="20"/>
                <w:szCs w:val="20"/>
                <w:color w:val="auto"/>
              </w:rPr>
            </w:pPr>
            <w:r>
              <w:rPr>
                <w:rFonts w:ascii="Arial" w:cs="Arial" w:eastAsia="Arial" w:hAnsi="Arial"/>
                <w:sz w:val="11"/>
                <w:szCs w:val="11"/>
                <w:b w:val="1"/>
                <w:bCs w:val="1"/>
                <w:color w:val="auto"/>
                <w:w w:val="89"/>
              </w:rPr>
              <w:t>June 30, 2020</w:t>
            </w:r>
          </w:p>
        </w:tc>
        <w:tc>
          <w:tcPr>
            <w:tcW w:w="8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541"/>
              <w:spacing w:after="0"/>
              <w:rPr>
                <w:sz w:val="20"/>
                <w:szCs w:val="20"/>
                <w:color w:val="auto"/>
              </w:rPr>
            </w:pPr>
            <w:r>
              <w:rPr>
                <w:rFonts w:ascii="Arial" w:cs="Arial" w:eastAsia="Arial" w:hAnsi="Arial"/>
                <w:sz w:val="11"/>
                <w:szCs w:val="11"/>
                <w:b w:val="1"/>
                <w:bCs w:val="1"/>
                <w:color w:val="auto"/>
              </w:rPr>
              <w:t>Change</w:t>
            </w:r>
          </w:p>
        </w:tc>
        <w:tc>
          <w:tcPr>
            <w:tcW w:w="80" w:type="dxa"/>
            <w:vAlign w:val="bottom"/>
            <w:tcBorders>
              <w:bottom w:val="single" w:sz="8" w:color="CCEEFF"/>
            </w:tcBorders>
          </w:tcPr>
          <w:p>
            <w:pPr>
              <w:spacing w:after="0"/>
              <w:rPr>
                <w:sz w:val="11"/>
                <w:szCs w:val="11"/>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 Change</w:t>
            </w:r>
          </w:p>
        </w:tc>
      </w:tr>
      <w:tr>
        <w:trPr>
          <w:trHeight w:val="144"/>
        </w:trPr>
        <w:tc>
          <w:tcPr>
            <w:tcW w:w="4840" w:type="dxa"/>
            <w:vAlign w:val="bottom"/>
            <w:shd w:val="clear" w:color="auto" w:fill="CCEEFF"/>
          </w:tcPr>
          <w:p>
            <w:pPr>
              <w:spacing w:after="0"/>
              <w:rPr>
                <w:sz w:val="20"/>
                <w:szCs w:val="20"/>
                <w:color w:val="auto"/>
              </w:rPr>
            </w:pPr>
            <w:r>
              <w:rPr>
                <w:rFonts w:ascii="Arial" w:cs="Arial" w:eastAsia="Arial" w:hAnsi="Arial"/>
                <w:sz w:val="12"/>
                <w:szCs w:val="12"/>
                <w:color w:val="auto"/>
              </w:rPr>
              <w:t>Total contract sales</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604</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312"/>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345</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259</w:t>
            </w:r>
          </w:p>
        </w:tc>
        <w:tc>
          <w:tcPr>
            <w:tcW w:w="1640" w:type="dxa"/>
            <w:vAlign w:val="bottom"/>
            <w:gridSpan w:val="2"/>
            <w:shd w:val="clear" w:color="auto" w:fill="CCEEFF"/>
          </w:tcPr>
          <w:p>
            <w:pPr>
              <w:jc w:val="center"/>
              <w:ind w:left="40"/>
              <w:spacing w:after="0"/>
              <w:rPr>
                <w:sz w:val="20"/>
                <w:szCs w:val="20"/>
                <w:color w:val="auto"/>
              </w:rPr>
            </w:pPr>
            <w:r>
              <w:rPr>
                <w:rFonts w:ascii="Arial" w:cs="Arial" w:eastAsia="Arial" w:hAnsi="Arial"/>
                <w:sz w:val="12"/>
                <w:szCs w:val="12"/>
                <w:color w:val="auto"/>
                <w:w w:val="91"/>
              </w:rPr>
              <w:t>75%</w:t>
            </w:r>
          </w:p>
        </w:tc>
      </w:tr>
      <w:tr>
        <w:trPr>
          <w:trHeight w:val="153"/>
        </w:trPr>
        <w:tc>
          <w:tcPr>
            <w:tcW w:w="4840" w:type="dxa"/>
            <w:vAlign w:val="bottom"/>
          </w:tcPr>
          <w:p>
            <w:pPr>
              <w:spacing w:after="0"/>
              <w:rPr>
                <w:sz w:val="20"/>
                <w:szCs w:val="20"/>
                <w:color w:val="auto"/>
              </w:rPr>
            </w:pPr>
            <w:r>
              <w:rPr>
                <w:rFonts w:ascii="Arial" w:cs="Arial" w:eastAsia="Arial" w:hAnsi="Arial"/>
                <w:sz w:val="12"/>
                <w:szCs w:val="12"/>
                <w:color w:val="auto"/>
              </w:rPr>
              <w:t>Less resales contract sales</w:t>
            </w:r>
          </w:p>
        </w:tc>
        <w:tc>
          <w:tcPr>
            <w:tcW w:w="26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(12)</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(8)</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(4)</w:t>
            </w: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153"/>
        </w:trPr>
        <w:tc>
          <w:tcPr>
            <w:tcW w:w="4840" w:type="dxa"/>
            <w:vAlign w:val="bottom"/>
            <w:shd w:val="clear" w:color="auto" w:fill="CCEEFF"/>
          </w:tcPr>
          <w:p>
            <w:pPr>
              <w:spacing w:after="0"/>
              <w:rPr>
                <w:sz w:val="20"/>
                <w:szCs w:val="20"/>
                <w:color w:val="auto"/>
              </w:rPr>
            </w:pPr>
            <w:r>
              <w:rPr>
                <w:rFonts w:ascii="Arial" w:cs="Arial" w:eastAsia="Arial" w:hAnsi="Arial"/>
                <w:sz w:val="12"/>
                <w:szCs w:val="12"/>
                <w:color w:val="auto"/>
              </w:rPr>
              <w:t>Less joint venture contract sales</w:t>
            </w:r>
          </w:p>
        </w:tc>
        <w:tc>
          <w:tcPr>
            <w:tcW w:w="26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w:t>
            </w:r>
          </w:p>
        </w:tc>
        <w:tc>
          <w:tcPr>
            <w:tcW w:w="10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w:t>
            </w: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8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r>
      <w:tr>
        <w:trPr>
          <w:trHeight w:val="142"/>
        </w:trPr>
        <w:tc>
          <w:tcPr>
            <w:tcW w:w="4840" w:type="dxa"/>
            <w:vAlign w:val="bottom"/>
          </w:tcPr>
          <w:p>
            <w:pPr>
              <w:spacing w:after="0"/>
              <w:rPr>
                <w:sz w:val="20"/>
                <w:szCs w:val="20"/>
                <w:color w:val="auto"/>
              </w:rPr>
            </w:pPr>
            <w:r>
              <w:rPr>
                <w:rFonts w:ascii="Arial" w:cs="Arial" w:eastAsia="Arial" w:hAnsi="Arial"/>
                <w:sz w:val="12"/>
                <w:szCs w:val="12"/>
                <w:color w:val="auto"/>
              </w:rPr>
              <w:t>Consolidated contract sales, net of resales</w:t>
            </w:r>
          </w:p>
        </w:tc>
        <w:tc>
          <w:tcPr>
            <w:tcW w:w="26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576</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328</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248</w:t>
            </w: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153"/>
        </w:trPr>
        <w:tc>
          <w:tcPr>
            <w:tcW w:w="4840" w:type="dxa"/>
            <w:vAlign w:val="bottom"/>
            <w:shd w:val="clear" w:color="auto" w:fill="CCEEFF"/>
          </w:tcPr>
          <w:p>
            <w:pPr>
              <w:spacing w:after="0"/>
              <w:rPr>
                <w:sz w:val="20"/>
                <w:szCs w:val="20"/>
                <w:color w:val="auto"/>
              </w:rPr>
            </w:pPr>
            <w:r>
              <w:rPr>
                <w:rFonts w:ascii="Arial" w:cs="Arial" w:eastAsia="Arial" w:hAnsi="Arial"/>
                <w:sz w:val="12"/>
                <w:szCs w:val="12"/>
                <w:color w:val="auto"/>
              </w:rPr>
              <w:t>Plus:</w:t>
            </w:r>
          </w:p>
        </w:tc>
        <w:tc>
          <w:tcPr>
            <w:tcW w:w="26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r>
      <w:tr>
        <w:trPr>
          <w:trHeight w:val="153"/>
        </w:trPr>
        <w:tc>
          <w:tcPr>
            <w:tcW w:w="4840" w:type="dxa"/>
            <w:vAlign w:val="bottom"/>
          </w:tcPr>
          <w:p>
            <w:pPr>
              <w:ind w:left="140"/>
              <w:spacing w:after="0"/>
              <w:rPr>
                <w:sz w:val="20"/>
                <w:szCs w:val="20"/>
                <w:color w:val="auto"/>
              </w:rPr>
            </w:pPr>
            <w:r>
              <w:rPr>
                <w:rFonts w:ascii="Arial" w:cs="Arial" w:eastAsia="Arial" w:hAnsi="Arial"/>
                <w:sz w:val="12"/>
                <w:szCs w:val="12"/>
                <w:color w:val="auto"/>
              </w:rPr>
              <w:t>Settlement revenue</w:t>
            </w:r>
          </w:p>
        </w:tc>
        <w:tc>
          <w:tcPr>
            <w:tcW w:w="26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13</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8</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5</w:t>
            </w: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153"/>
        </w:trPr>
        <w:tc>
          <w:tcPr>
            <w:tcW w:w="48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Resales revenue</w:t>
            </w:r>
          </w:p>
        </w:tc>
        <w:tc>
          <w:tcPr>
            <w:tcW w:w="26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8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r>
      <w:tr>
        <w:trPr>
          <w:trHeight w:val="153"/>
        </w:trPr>
        <w:tc>
          <w:tcPr>
            <w:tcW w:w="4840" w:type="dxa"/>
            <w:vAlign w:val="bottom"/>
          </w:tcPr>
          <w:p>
            <w:pPr>
              <w:spacing w:after="0"/>
              <w:rPr>
                <w:sz w:val="20"/>
                <w:szCs w:val="20"/>
                <w:color w:val="auto"/>
              </w:rPr>
            </w:pPr>
            <w:r>
              <w:rPr>
                <w:rFonts w:ascii="Arial" w:cs="Arial" w:eastAsia="Arial" w:hAnsi="Arial"/>
                <w:sz w:val="12"/>
                <w:szCs w:val="12"/>
                <w:color w:val="auto"/>
              </w:rPr>
              <w:t>Revenue recognition adjustments:</w:t>
            </w:r>
          </w:p>
        </w:tc>
        <w:tc>
          <w:tcPr>
            <w:tcW w:w="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153"/>
        </w:trPr>
        <w:tc>
          <w:tcPr>
            <w:tcW w:w="48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Reportability</w:t>
            </w:r>
          </w:p>
        </w:tc>
        <w:tc>
          <w:tcPr>
            <w:tcW w:w="26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(119)</w:t>
            </w:r>
          </w:p>
        </w:tc>
        <w:tc>
          <w:tcPr>
            <w:tcW w:w="8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r>
      <w:tr>
        <w:trPr>
          <w:trHeight w:val="153"/>
        </w:trPr>
        <w:tc>
          <w:tcPr>
            <w:tcW w:w="4840" w:type="dxa"/>
            <w:vAlign w:val="bottom"/>
          </w:tcPr>
          <w:p>
            <w:pPr>
              <w:ind w:left="140"/>
              <w:spacing w:after="0"/>
              <w:rPr>
                <w:sz w:val="20"/>
                <w:szCs w:val="20"/>
                <w:color w:val="auto"/>
              </w:rPr>
            </w:pPr>
            <w:r>
              <w:rPr>
                <w:rFonts w:ascii="Arial" w:cs="Arial" w:eastAsia="Arial" w:hAnsi="Arial"/>
                <w:sz w:val="12"/>
                <w:szCs w:val="12"/>
                <w:color w:val="auto"/>
              </w:rPr>
              <w:t>Sales reserve</w:t>
            </w:r>
          </w:p>
        </w:tc>
        <w:tc>
          <w:tcPr>
            <w:tcW w:w="26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(42)</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(80)</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38</w:t>
            </w: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153"/>
        </w:trPr>
        <w:tc>
          <w:tcPr>
            <w:tcW w:w="48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Other</w:t>
            </w:r>
            <w:r>
              <w:rPr>
                <w:rFonts w:ascii="Arial" w:cs="Arial" w:eastAsia="Arial" w:hAnsi="Arial"/>
                <w:sz w:val="6"/>
                <w:szCs w:val="6"/>
                <w:color w:val="auto"/>
              </w:rPr>
              <w:t>(1)</w:t>
            </w:r>
          </w:p>
        </w:tc>
        <w:tc>
          <w:tcPr>
            <w:tcW w:w="26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w:t>
            </w:r>
          </w:p>
        </w:tc>
        <w:tc>
          <w:tcPr>
            <w:tcW w:w="10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w:t>
            </w: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w:t>
            </w:r>
          </w:p>
        </w:tc>
        <w:tc>
          <w:tcPr>
            <w:tcW w:w="8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r>
      <w:tr>
        <w:trPr>
          <w:trHeight w:val="142"/>
        </w:trPr>
        <w:tc>
          <w:tcPr>
            <w:tcW w:w="4840" w:type="dxa"/>
            <w:vAlign w:val="bottom"/>
          </w:tcPr>
          <w:p>
            <w:pPr>
              <w:spacing w:after="0" w:line="133" w:lineRule="exact"/>
              <w:rPr>
                <w:sz w:val="20"/>
                <w:szCs w:val="20"/>
                <w:color w:val="auto"/>
              </w:rPr>
            </w:pPr>
            <w:r>
              <w:rPr>
                <w:rFonts w:ascii="Arial" w:cs="Arial" w:eastAsia="Arial" w:hAnsi="Arial"/>
                <w:sz w:val="12"/>
                <w:szCs w:val="12"/>
                <w:color w:val="auto"/>
              </w:rPr>
              <w:t>Sale of vacation ownership products</w:t>
            </w:r>
          </w:p>
        </w:tc>
        <w:tc>
          <w:tcPr>
            <w:tcW w:w="26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459</w:t>
            </w:r>
          </w:p>
        </w:tc>
        <w:tc>
          <w:tcPr>
            <w:tcW w:w="100" w:type="dxa"/>
            <w:vAlign w:val="bottom"/>
          </w:tcPr>
          <w:p>
            <w:pPr>
              <w:spacing w:after="0"/>
              <w:rPr>
                <w:sz w:val="12"/>
                <w:szCs w:val="12"/>
                <w:color w:val="auto"/>
              </w:rPr>
            </w:pPr>
          </w:p>
        </w:tc>
        <w:tc>
          <w:tcPr>
            <w:tcW w:w="42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311</w:t>
            </w:r>
          </w:p>
        </w:tc>
        <w:tc>
          <w:tcPr>
            <w:tcW w:w="80" w:type="dxa"/>
            <w:vAlign w:val="bottom"/>
          </w:tcPr>
          <w:p>
            <w:pPr>
              <w:spacing w:after="0"/>
              <w:rPr>
                <w:sz w:val="12"/>
                <w:szCs w:val="12"/>
                <w:color w:val="auto"/>
              </w:rPr>
            </w:pPr>
          </w:p>
        </w:tc>
        <w:tc>
          <w:tcPr>
            <w:tcW w:w="3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148</w:t>
            </w:r>
          </w:p>
        </w:tc>
        <w:tc>
          <w:tcPr>
            <w:tcW w:w="1640" w:type="dxa"/>
            <w:vAlign w:val="bottom"/>
            <w:gridSpan w:val="2"/>
          </w:tcPr>
          <w:p>
            <w:pPr>
              <w:jc w:val="center"/>
              <w:ind w:left="40"/>
              <w:spacing w:after="0"/>
              <w:rPr>
                <w:sz w:val="20"/>
                <w:szCs w:val="20"/>
                <w:color w:val="auto"/>
              </w:rPr>
            </w:pPr>
            <w:r>
              <w:rPr>
                <w:rFonts w:ascii="Arial" w:cs="Arial" w:eastAsia="Arial" w:hAnsi="Arial"/>
                <w:sz w:val="12"/>
                <w:szCs w:val="12"/>
                <w:color w:val="auto"/>
                <w:w w:val="91"/>
              </w:rPr>
              <w:t>48%</w:t>
            </w:r>
          </w:p>
        </w:tc>
      </w:tr>
      <w:tr>
        <w:trPr>
          <w:trHeight w:val="20"/>
        </w:trPr>
        <w:tc>
          <w:tcPr>
            <w:tcW w:w="4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54" w:lineRule="exact"/>
        <w:rPr>
          <w:sz w:val="20"/>
          <w:szCs w:val="20"/>
          <w:color w:val="auto"/>
        </w:rPr>
      </w:pPr>
    </w:p>
    <w:p>
      <w:pPr>
        <w:ind w:left="8"/>
        <w:spacing w:after="0"/>
        <w:rPr>
          <w:sz w:val="20"/>
          <w:szCs w:val="20"/>
          <w:color w:val="auto"/>
        </w:rPr>
      </w:pPr>
      <w:r>
        <w:rPr>
          <w:rFonts w:ascii="Arial" w:cs="Arial" w:eastAsia="Arial" w:hAnsi="Arial"/>
          <w:sz w:val="12"/>
          <w:szCs w:val="12"/>
          <w:color w:val="auto"/>
        </w:rPr>
        <w:t>_______________</w:t>
      </w:r>
    </w:p>
    <w:p>
      <w:pPr>
        <w:spacing w:after="0" w:line="11" w:lineRule="exact"/>
        <w:rPr>
          <w:sz w:val="20"/>
          <w:szCs w:val="20"/>
          <w:color w:val="auto"/>
        </w:rPr>
      </w:pPr>
    </w:p>
    <w:p>
      <w:pPr>
        <w:ind w:left="428" w:hanging="428"/>
        <w:spacing w:after="0"/>
        <w:tabs>
          <w:tab w:leader="none" w:pos="428" w:val="left"/>
        </w:tabs>
        <w:numPr>
          <w:ilvl w:val="0"/>
          <w:numId w:val="35"/>
        </w:numPr>
        <w:rPr>
          <w:rFonts w:ascii="Arial" w:cs="Arial" w:eastAsia="Arial" w:hAnsi="Arial"/>
          <w:sz w:val="16"/>
          <w:szCs w:val="16"/>
          <w:color w:val="auto"/>
          <w:vertAlign w:val="superscript"/>
        </w:rPr>
      </w:pPr>
      <w:r>
        <w:rPr>
          <w:rFonts w:ascii="Arial" w:cs="Arial" w:eastAsia="Arial" w:hAnsi="Arial"/>
          <w:sz w:val="12"/>
          <w:szCs w:val="12"/>
          <w:color w:val="auto"/>
        </w:rPr>
        <w:t>Adjustment for sales incentives that will not be recognized as Sale of vacation ownership products revenue and other adjustments to Sale of vacation ownership products revenue.</w:t>
      </w:r>
    </w:p>
    <w:p>
      <w:pPr>
        <w:spacing w:after="0" w:line="99" w:lineRule="exact"/>
        <w:rPr>
          <w:sz w:val="20"/>
          <w:szCs w:val="20"/>
          <w:color w:val="auto"/>
        </w:rPr>
      </w:pPr>
    </w:p>
    <w:p>
      <w:pPr>
        <w:ind w:left="8" w:right="220" w:firstLine="432"/>
        <w:spacing w:after="0" w:line="263" w:lineRule="auto"/>
        <w:rPr>
          <w:sz w:val="20"/>
          <w:szCs w:val="20"/>
          <w:color w:val="auto"/>
        </w:rPr>
      </w:pPr>
      <w:r>
        <w:rPr>
          <w:rFonts w:ascii="Arial" w:cs="Arial" w:eastAsia="Arial" w:hAnsi="Arial"/>
          <w:sz w:val="12"/>
          <w:szCs w:val="12"/>
          <w:color w:val="auto"/>
        </w:rPr>
        <w:t>Sale of vacation ownership products increased $148 million due primarily to $248 million of higher consolidated contract sales volume, net of resales (including $31 million from the acquisition of Welk) and $38 million of lower sales reserve activity, offset partially by a $119 million unfavorable change in revenue reportability, and $22 million of higher sales incentives issued (higher sales incentives issued were driven by the higher contract sales volumes year-over-year).</w:t>
      </w:r>
    </w:p>
    <w:p>
      <w:pPr>
        <w:spacing w:after="0" w:line="50" w:lineRule="exact"/>
        <w:rPr>
          <w:sz w:val="20"/>
          <w:szCs w:val="20"/>
          <w:color w:val="auto"/>
        </w:rPr>
      </w:pPr>
    </w:p>
    <w:p>
      <w:pPr>
        <w:ind w:left="8" w:right="360" w:firstLine="432"/>
        <w:spacing w:after="0" w:line="375" w:lineRule="auto"/>
        <w:rPr>
          <w:sz w:val="20"/>
          <w:szCs w:val="20"/>
          <w:color w:val="auto"/>
        </w:rPr>
      </w:pPr>
      <w:r>
        <w:rPr>
          <w:rFonts w:ascii="Arial" w:cs="Arial" w:eastAsia="Arial" w:hAnsi="Arial"/>
          <w:sz w:val="10"/>
          <w:szCs w:val="10"/>
          <w:color w:val="auto"/>
        </w:rPr>
        <w:t>The higher contract sales performance reflect the continued ramp-up of the business subsequent to the initial impact of the COVID-19 pandemic late in the prior year first quarter. With the reopening of many of our sales centers throughout 2020 and during the first half of 2021, our contract sales volumes have continued to improve on a sequential basis each quarter and we expect that improvement to continue through the remainder of 2021.</w:t>
      </w:r>
    </w:p>
    <w:p>
      <w:pPr>
        <w:spacing w:after="0" w:line="1" w:lineRule="exact"/>
        <w:rPr>
          <w:sz w:val="20"/>
          <w:szCs w:val="20"/>
          <w:color w:val="auto"/>
        </w:rPr>
      </w:pPr>
    </w:p>
    <w:p>
      <w:pPr>
        <w:ind w:left="428"/>
        <w:spacing w:after="0"/>
        <w:rPr>
          <w:sz w:val="20"/>
          <w:szCs w:val="20"/>
          <w:color w:val="auto"/>
        </w:rPr>
      </w:pPr>
      <w:r>
        <w:rPr>
          <w:rFonts w:ascii="Arial" w:cs="Arial" w:eastAsia="Arial" w:hAnsi="Arial"/>
          <w:sz w:val="11"/>
          <w:szCs w:val="11"/>
          <w:color w:val="auto"/>
        </w:rPr>
        <w:t>The lower sales reserve recorded in the first half of 2021 reflects the prior year increase made in the sales reserve to take into account higher expected default and delinquency activity as a result of the COVID-19 pandemic.</w:t>
      </w:r>
    </w:p>
    <w:p>
      <w:pPr>
        <w:spacing w:after="0" w:line="90" w:lineRule="exact"/>
        <w:rPr>
          <w:sz w:val="20"/>
          <w:szCs w:val="20"/>
          <w:color w:val="auto"/>
        </w:rPr>
      </w:pPr>
    </w:p>
    <w:p>
      <w:pPr>
        <w:ind w:left="8" w:right="40" w:firstLine="432"/>
        <w:spacing w:after="0" w:line="289" w:lineRule="auto"/>
        <w:rPr>
          <w:sz w:val="20"/>
          <w:szCs w:val="20"/>
          <w:color w:val="auto"/>
        </w:rPr>
      </w:pPr>
      <w:r>
        <w:rPr>
          <w:rFonts w:ascii="Arial" w:cs="Arial" w:eastAsia="Arial" w:hAnsi="Arial"/>
          <w:sz w:val="11"/>
          <w:szCs w:val="11"/>
          <w:color w:val="auto"/>
        </w:rPr>
        <w:t>Revenue reportability was negative in the first half of 2021. While we benefited from contract sales in the fourth quarter of 2020 being recognized as revenue in the first half of 2021, given the increasing contract sales volumes due to the reopening of our sales centers as our business continued to ramp-up throughout the first half of 2021, we saw a higher shift of contract sales late in the second quarter of 2021 into the third quarter for revenue recognition. In contrast, revenue reportability was significantly positive in the first half of 2020. The first half of 2020 benefited from the contract sales from late in the fourth quarter of 2019 that were recognized as revenue in 2020. However, it was not impacted by an offsetting shift of revenues into the third quarter, given the low contract sales volumes in the second quarter of 2020 resulting from the impact of the COVID-19 pandemic.</w:t>
      </w:r>
    </w:p>
    <w:p>
      <w:pPr>
        <w:spacing w:after="0" w:line="102" w:lineRule="exact"/>
        <w:rPr>
          <w:sz w:val="20"/>
          <w:szCs w:val="20"/>
          <w:color w:val="auto"/>
        </w:rPr>
      </w:pPr>
    </w:p>
    <w:p>
      <w:pPr>
        <w:jc w:val="center"/>
        <w:ind w:left="420"/>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191135</wp:posOffset>
            </wp:positionV>
            <wp:extent cx="7203440" cy="36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75" w:right="299" w:bottom="1440" w:gutter="0" w:footer="0" w:header="0"/>
        </w:sectPr>
      </w:pPr>
    </w:p>
    <w:bookmarkStart w:id="56" w:name="page57"/>
    <w:bookmarkEnd w:id="56"/>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Development Profit</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2021 Second Quarter</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48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Three Months Ended</w:t>
            </w:r>
          </w:p>
        </w:tc>
        <w:tc>
          <w:tcPr>
            <w:tcW w:w="11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135"/>
        </w:trPr>
        <w:tc>
          <w:tcPr>
            <w:tcW w:w="484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26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402"/>
              <w:spacing w:after="0"/>
              <w:rPr>
                <w:sz w:val="20"/>
                <w:szCs w:val="20"/>
                <w:color w:val="auto"/>
              </w:rPr>
            </w:pPr>
            <w:r>
              <w:rPr>
                <w:rFonts w:ascii="Arial" w:cs="Arial" w:eastAsia="Arial" w:hAnsi="Arial"/>
                <w:sz w:val="11"/>
                <w:szCs w:val="11"/>
                <w:b w:val="1"/>
                <w:bCs w:val="1"/>
                <w:color w:val="auto"/>
              </w:rPr>
              <w:t>June 30, 2021</w:t>
            </w:r>
          </w:p>
        </w:tc>
        <w:tc>
          <w:tcPr>
            <w:tcW w:w="10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June 30, 2020</w:t>
            </w:r>
          </w:p>
        </w:tc>
        <w:tc>
          <w:tcPr>
            <w:tcW w:w="8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541"/>
              <w:spacing w:after="0"/>
              <w:rPr>
                <w:sz w:val="20"/>
                <w:szCs w:val="20"/>
                <w:color w:val="auto"/>
              </w:rPr>
            </w:pPr>
            <w:r>
              <w:rPr>
                <w:rFonts w:ascii="Arial" w:cs="Arial" w:eastAsia="Arial" w:hAnsi="Arial"/>
                <w:sz w:val="11"/>
                <w:szCs w:val="11"/>
                <w:b w:val="1"/>
                <w:bCs w:val="1"/>
                <w:color w:val="auto"/>
              </w:rPr>
              <w:t>Change</w:t>
            </w:r>
          </w:p>
        </w:tc>
        <w:tc>
          <w:tcPr>
            <w:tcW w:w="80" w:type="dxa"/>
            <w:vAlign w:val="bottom"/>
            <w:tcBorders>
              <w:bottom w:val="single" w:sz="8" w:color="CCEEFF"/>
            </w:tcBorders>
          </w:tcPr>
          <w:p>
            <w:pPr>
              <w:spacing w:after="0"/>
              <w:rPr>
                <w:sz w:val="11"/>
                <w:szCs w:val="11"/>
                <w:color w:val="auto"/>
              </w:rPr>
            </w:pPr>
          </w:p>
        </w:tc>
        <w:tc>
          <w:tcPr>
            <w:tcW w:w="1560" w:type="dxa"/>
            <w:vAlign w:val="bottom"/>
            <w:tcBorders>
              <w:bottom w:val="single" w:sz="8" w:color="auto"/>
            </w:tcBorders>
          </w:tcPr>
          <w:p>
            <w:pPr>
              <w:jc w:val="right"/>
              <w:ind w:right="486"/>
              <w:spacing w:after="0"/>
              <w:rPr>
                <w:sz w:val="20"/>
                <w:szCs w:val="20"/>
                <w:color w:val="auto"/>
              </w:rPr>
            </w:pPr>
            <w:r>
              <w:rPr>
                <w:rFonts w:ascii="Arial" w:cs="Arial" w:eastAsia="Arial" w:hAnsi="Arial"/>
                <w:sz w:val="11"/>
                <w:szCs w:val="11"/>
                <w:b w:val="1"/>
                <w:bCs w:val="1"/>
                <w:color w:val="auto"/>
              </w:rPr>
              <w:t>% Change</w:t>
            </w:r>
          </w:p>
        </w:tc>
      </w:tr>
      <w:tr>
        <w:trPr>
          <w:trHeight w:val="144"/>
        </w:trPr>
        <w:tc>
          <w:tcPr>
            <w:tcW w:w="48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Sale of vacation ownership products</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296</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332"/>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center"/>
              <w:ind w:left="841"/>
              <w:spacing w:after="0"/>
              <w:rPr>
                <w:sz w:val="20"/>
                <w:szCs w:val="20"/>
                <w:color w:val="auto"/>
              </w:rPr>
            </w:pPr>
            <w:r>
              <w:rPr>
                <w:rFonts w:ascii="Arial" w:cs="Arial" w:eastAsia="Arial" w:hAnsi="Arial"/>
                <w:sz w:val="12"/>
                <w:szCs w:val="12"/>
                <w:color w:val="auto"/>
                <w:w w:val="89"/>
              </w:rPr>
              <w:t>53</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243</w:t>
            </w:r>
          </w:p>
        </w:tc>
        <w:tc>
          <w:tcPr>
            <w:tcW w:w="1640" w:type="dxa"/>
            <w:vAlign w:val="bottom"/>
            <w:gridSpan w:val="2"/>
            <w:shd w:val="clear" w:color="auto" w:fill="CCEEFF"/>
          </w:tcPr>
          <w:p>
            <w:pPr>
              <w:jc w:val="right"/>
              <w:ind w:right="586"/>
              <w:spacing w:after="0"/>
              <w:rPr>
                <w:sz w:val="20"/>
                <w:szCs w:val="20"/>
                <w:color w:val="auto"/>
              </w:rPr>
            </w:pPr>
            <w:r>
              <w:rPr>
                <w:rFonts w:ascii="Arial" w:cs="Arial" w:eastAsia="Arial" w:hAnsi="Arial"/>
                <w:sz w:val="12"/>
                <w:szCs w:val="12"/>
                <w:color w:val="auto"/>
              </w:rPr>
              <w:t>459%</w:t>
            </w:r>
          </w:p>
        </w:tc>
      </w:tr>
      <w:tr>
        <w:trPr>
          <w:trHeight w:val="153"/>
        </w:trPr>
        <w:tc>
          <w:tcPr>
            <w:tcW w:w="4840" w:type="dxa"/>
            <w:vAlign w:val="bottom"/>
          </w:tcPr>
          <w:p>
            <w:pPr>
              <w:spacing w:after="0"/>
              <w:rPr>
                <w:sz w:val="20"/>
                <w:szCs w:val="20"/>
                <w:color w:val="auto"/>
              </w:rPr>
            </w:pPr>
            <w:r>
              <w:rPr>
                <w:rFonts w:ascii="Arial" w:cs="Arial" w:eastAsia="Arial" w:hAnsi="Arial"/>
                <w:sz w:val="12"/>
                <w:szCs w:val="12"/>
                <w:color w:val="auto"/>
              </w:rPr>
              <w:t>Cost of vacation ownership products</w:t>
            </w:r>
          </w:p>
        </w:tc>
        <w:tc>
          <w:tcPr>
            <w:tcW w:w="26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(67)</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00" w:type="dxa"/>
            <w:vAlign w:val="bottom"/>
          </w:tcPr>
          <w:p>
            <w:pPr>
              <w:jc w:val="center"/>
              <w:ind w:left="801"/>
              <w:spacing w:after="0"/>
              <w:rPr>
                <w:sz w:val="20"/>
                <w:szCs w:val="20"/>
                <w:color w:val="auto"/>
              </w:rPr>
            </w:pPr>
            <w:r>
              <w:rPr>
                <w:rFonts w:ascii="Arial" w:cs="Arial" w:eastAsia="Arial" w:hAnsi="Arial"/>
                <w:sz w:val="12"/>
                <w:szCs w:val="12"/>
                <w:color w:val="auto"/>
                <w:w w:val="93"/>
              </w:rPr>
              <w:t>(23)</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(44)</w:t>
            </w:r>
          </w:p>
        </w:tc>
        <w:tc>
          <w:tcPr>
            <w:tcW w:w="1640" w:type="dxa"/>
            <w:vAlign w:val="bottom"/>
            <w:gridSpan w:val="2"/>
          </w:tcPr>
          <w:p>
            <w:pPr>
              <w:jc w:val="right"/>
              <w:ind w:right="546"/>
              <w:spacing w:after="0"/>
              <w:rPr>
                <w:sz w:val="20"/>
                <w:szCs w:val="20"/>
                <w:color w:val="auto"/>
              </w:rPr>
            </w:pPr>
            <w:r>
              <w:rPr>
                <w:rFonts w:ascii="Arial" w:cs="Arial" w:eastAsia="Arial" w:hAnsi="Arial"/>
                <w:sz w:val="12"/>
                <w:szCs w:val="12"/>
                <w:color w:val="auto"/>
              </w:rPr>
              <w:t>(192%)</w:t>
            </w:r>
          </w:p>
        </w:tc>
      </w:tr>
      <w:tr>
        <w:trPr>
          <w:trHeight w:val="153"/>
        </w:trPr>
        <w:tc>
          <w:tcPr>
            <w:tcW w:w="4840" w:type="dxa"/>
            <w:vAlign w:val="bottom"/>
            <w:shd w:val="clear" w:color="auto" w:fill="CCEEFF"/>
          </w:tcPr>
          <w:p>
            <w:pPr>
              <w:spacing w:after="0"/>
              <w:rPr>
                <w:sz w:val="20"/>
                <w:szCs w:val="20"/>
                <w:color w:val="auto"/>
              </w:rPr>
            </w:pPr>
            <w:r>
              <w:rPr>
                <w:rFonts w:ascii="Arial" w:cs="Arial" w:eastAsia="Arial" w:hAnsi="Arial"/>
                <w:sz w:val="12"/>
                <w:szCs w:val="12"/>
                <w:color w:val="auto"/>
              </w:rPr>
              <w:t>Marketing and sales</w:t>
            </w:r>
          </w:p>
        </w:tc>
        <w:tc>
          <w:tcPr>
            <w:tcW w:w="26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(164)</w:t>
            </w:r>
          </w:p>
        </w:tc>
        <w:tc>
          <w:tcPr>
            <w:tcW w:w="10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center"/>
              <w:ind w:left="801"/>
              <w:spacing w:after="0"/>
              <w:rPr>
                <w:sz w:val="20"/>
                <w:szCs w:val="20"/>
                <w:color w:val="auto"/>
              </w:rPr>
            </w:pPr>
            <w:r>
              <w:rPr>
                <w:rFonts w:ascii="Arial" w:cs="Arial" w:eastAsia="Arial" w:hAnsi="Arial"/>
                <w:sz w:val="12"/>
                <w:szCs w:val="12"/>
                <w:color w:val="auto"/>
                <w:w w:val="93"/>
              </w:rPr>
              <w:t>(49)</w:t>
            </w: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(115)</w:t>
            </w:r>
          </w:p>
        </w:tc>
        <w:tc>
          <w:tcPr>
            <w:tcW w:w="1640" w:type="dxa"/>
            <w:vAlign w:val="bottom"/>
            <w:gridSpan w:val="2"/>
            <w:shd w:val="clear" w:color="auto" w:fill="CCEEFF"/>
          </w:tcPr>
          <w:p>
            <w:pPr>
              <w:jc w:val="right"/>
              <w:ind w:right="546"/>
              <w:spacing w:after="0"/>
              <w:rPr>
                <w:sz w:val="20"/>
                <w:szCs w:val="20"/>
                <w:color w:val="auto"/>
              </w:rPr>
            </w:pPr>
            <w:r>
              <w:rPr>
                <w:rFonts w:ascii="Arial" w:cs="Arial" w:eastAsia="Arial" w:hAnsi="Arial"/>
                <w:sz w:val="12"/>
                <w:szCs w:val="12"/>
                <w:color w:val="auto"/>
              </w:rPr>
              <w:t>(237%)</w:t>
            </w:r>
          </w:p>
        </w:tc>
      </w:tr>
      <w:tr>
        <w:trPr>
          <w:trHeight w:val="142"/>
        </w:trPr>
        <w:tc>
          <w:tcPr>
            <w:tcW w:w="4840" w:type="dxa"/>
            <w:vAlign w:val="bottom"/>
          </w:tcPr>
          <w:p>
            <w:pPr>
              <w:spacing w:after="0" w:line="133" w:lineRule="exact"/>
              <w:rPr>
                <w:sz w:val="20"/>
                <w:szCs w:val="20"/>
                <w:color w:val="auto"/>
              </w:rPr>
            </w:pPr>
            <w:r>
              <w:rPr>
                <w:rFonts w:ascii="Arial" w:cs="Arial" w:eastAsia="Arial" w:hAnsi="Arial"/>
                <w:sz w:val="12"/>
                <w:szCs w:val="12"/>
                <w:color w:val="auto"/>
              </w:rPr>
              <w:t>Development profit</w:t>
            </w:r>
          </w:p>
        </w:tc>
        <w:tc>
          <w:tcPr>
            <w:tcW w:w="26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65</w:t>
            </w:r>
          </w:p>
        </w:tc>
        <w:tc>
          <w:tcPr>
            <w:tcW w:w="100" w:type="dxa"/>
            <w:vAlign w:val="bottom"/>
          </w:tcPr>
          <w:p>
            <w:pPr>
              <w:spacing w:after="0"/>
              <w:rPr>
                <w:sz w:val="12"/>
                <w:szCs w:val="12"/>
                <w:color w:val="auto"/>
              </w:rPr>
            </w:pPr>
          </w:p>
        </w:tc>
        <w:tc>
          <w:tcPr>
            <w:tcW w:w="44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center"/>
              <w:ind w:left="801"/>
              <w:spacing w:after="0"/>
              <w:rPr>
                <w:sz w:val="20"/>
                <w:szCs w:val="20"/>
                <w:color w:val="auto"/>
              </w:rPr>
            </w:pPr>
            <w:r>
              <w:rPr>
                <w:rFonts w:ascii="Arial" w:cs="Arial" w:eastAsia="Arial" w:hAnsi="Arial"/>
                <w:sz w:val="12"/>
                <w:szCs w:val="12"/>
                <w:color w:val="auto"/>
                <w:w w:val="93"/>
              </w:rPr>
              <w:t>(19)</w:t>
            </w:r>
          </w:p>
        </w:tc>
        <w:tc>
          <w:tcPr>
            <w:tcW w:w="80" w:type="dxa"/>
            <w:vAlign w:val="bottom"/>
          </w:tcPr>
          <w:p>
            <w:pPr>
              <w:spacing w:after="0"/>
              <w:rPr>
                <w:sz w:val="12"/>
                <w:szCs w:val="12"/>
                <w:color w:val="auto"/>
              </w:rPr>
            </w:pPr>
          </w:p>
        </w:tc>
        <w:tc>
          <w:tcPr>
            <w:tcW w:w="3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84</w:t>
            </w:r>
          </w:p>
        </w:tc>
        <w:tc>
          <w:tcPr>
            <w:tcW w:w="1640" w:type="dxa"/>
            <w:vAlign w:val="bottom"/>
            <w:gridSpan w:val="2"/>
          </w:tcPr>
          <w:p>
            <w:pPr>
              <w:jc w:val="right"/>
              <w:ind w:right="586"/>
              <w:spacing w:after="0"/>
              <w:rPr>
                <w:sz w:val="20"/>
                <w:szCs w:val="20"/>
                <w:color w:val="auto"/>
              </w:rPr>
            </w:pPr>
            <w:r>
              <w:rPr>
                <w:rFonts w:ascii="Arial" w:cs="Arial" w:eastAsia="Arial" w:hAnsi="Arial"/>
                <w:sz w:val="12"/>
                <w:szCs w:val="12"/>
                <w:color w:val="auto"/>
              </w:rPr>
              <w:t>459%</w:t>
            </w:r>
          </w:p>
        </w:tc>
      </w:tr>
      <w:tr>
        <w:trPr>
          <w:trHeight w:val="20"/>
        </w:trPr>
        <w:tc>
          <w:tcPr>
            <w:tcW w:w="4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144" w:lineRule="exact"/>
        <w:rPr>
          <w:sz w:val="20"/>
          <w:szCs w:val="20"/>
          <w:color w:val="auto"/>
        </w:rPr>
      </w:pPr>
    </w:p>
    <w:p>
      <w:pPr>
        <w:ind w:right="120" w:firstLine="432"/>
        <w:spacing w:after="0" w:line="276" w:lineRule="auto"/>
        <w:rPr>
          <w:sz w:val="20"/>
          <w:szCs w:val="20"/>
          <w:color w:val="auto"/>
        </w:rPr>
      </w:pPr>
      <w:r>
        <w:rPr>
          <w:rFonts w:ascii="Arial" w:cs="Arial" w:eastAsia="Arial" w:hAnsi="Arial"/>
          <w:sz w:val="12"/>
          <w:szCs w:val="12"/>
          <w:color w:val="auto"/>
        </w:rPr>
        <w:t>Development profit increased $84 million year-over-year. The change reflected $38 million from the benefit of higher contract sales volumes and lower marketing and sales spending, $55 million related to lower sales reserve activity, and $5 million of favorable product cost due mainly to the sale of lower cost inventory, partially offset by $14 million of unfavorable revenue reportability year-over-year.</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2021 First Half</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48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Six Months Ended</w:t>
            </w:r>
          </w:p>
        </w:tc>
        <w:tc>
          <w:tcPr>
            <w:tcW w:w="11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135"/>
        </w:trPr>
        <w:tc>
          <w:tcPr>
            <w:tcW w:w="484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26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402"/>
              <w:spacing w:after="0"/>
              <w:rPr>
                <w:sz w:val="20"/>
                <w:szCs w:val="20"/>
                <w:color w:val="auto"/>
              </w:rPr>
            </w:pPr>
            <w:r>
              <w:rPr>
                <w:rFonts w:ascii="Arial" w:cs="Arial" w:eastAsia="Arial" w:hAnsi="Arial"/>
                <w:sz w:val="11"/>
                <w:szCs w:val="11"/>
                <w:b w:val="1"/>
                <w:bCs w:val="1"/>
                <w:color w:val="auto"/>
              </w:rPr>
              <w:t>June 30, 2021</w:t>
            </w:r>
          </w:p>
        </w:tc>
        <w:tc>
          <w:tcPr>
            <w:tcW w:w="100" w:type="dxa"/>
            <w:vAlign w:val="bottom"/>
            <w:tcBorders>
              <w:bottom w:val="single" w:sz="8" w:color="CCEEFF"/>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401"/>
              <w:spacing w:after="0"/>
              <w:rPr>
                <w:sz w:val="20"/>
                <w:szCs w:val="20"/>
                <w:color w:val="auto"/>
              </w:rPr>
            </w:pPr>
            <w:r>
              <w:rPr>
                <w:rFonts w:ascii="Arial" w:cs="Arial" w:eastAsia="Arial" w:hAnsi="Arial"/>
                <w:sz w:val="11"/>
                <w:szCs w:val="11"/>
                <w:b w:val="1"/>
                <w:bCs w:val="1"/>
                <w:color w:val="auto"/>
                <w:w w:val="89"/>
              </w:rPr>
              <w:t>June 30, 2020</w:t>
            </w:r>
          </w:p>
        </w:tc>
        <w:tc>
          <w:tcPr>
            <w:tcW w:w="8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541"/>
              <w:spacing w:after="0"/>
              <w:rPr>
                <w:sz w:val="20"/>
                <w:szCs w:val="20"/>
                <w:color w:val="auto"/>
              </w:rPr>
            </w:pPr>
            <w:r>
              <w:rPr>
                <w:rFonts w:ascii="Arial" w:cs="Arial" w:eastAsia="Arial" w:hAnsi="Arial"/>
                <w:sz w:val="11"/>
                <w:szCs w:val="11"/>
                <w:b w:val="1"/>
                <w:bCs w:val="1"/>
                <w:color w:val="auto"/>
              </w:rPr>
              <w:t>Change</w:t>
            </w:r>
          </w:p>
        </w:tc>
        <w:tc>
          <w:tcPr>
            <w:tcW w:w="80" w:type="dxa"/>
            <w:vAlign w:val="bottom"/>
            <w:tcBorders>
              <w:bottom w:val="single" w:sz="8" w:color="CCEEFF"/>
            </w:tcBorders>
          </w:tcPr>
          <w:p>
            <w:pPr>
              <w:spacing w:after="0"/>
              <w:rPr>
                <w:sz w:val="11"/>
                <w:szCs w:val="11"/>
                <w:color w:val="auto"/>
              </w:rPr>
            </w:pPr>
          </w:p>
        </w:tc>
        <w:tc>
          <w:tcPr>
            <w:tcW w:w="1560" w:type="dxa"/>
            <w:vAlign w:val="bottom"/>
            <w:tcBorders>
              <w:bottom w:val="single" w:sz="8" w:color="auto"/>
            </w:tcBorders>
          </w:tcPr>
          <w:p>
            <w:pPr>
              <w:ind w:left="540"/>
              <w:spacing w:after="0"/>
              <w:rPr>
                <w:sz w:val="20"/>
                <w:szCs w:val="20"/>
                <w:color w:val="auto"/>
              </w:rPr>
            </w:pPr>
            <w:r>
              <w:rPr>
                <w:rFonts w:ascii="Arial" w:cs="Arial" w:eastAsia="Arial" w:hAnsi="Arial"/>
                <w:sz w:val="11"/>
                <w:szCs w:val="11"/>
                <w:b w:val="1"/>
                <w:bCs w:val="1"/>
                <w:color w:val="auto"/>
              </w:rPr>
              <w:t>% Change</w:t>
            </w:r>
          </w:p>
        </w:tc>
      </w:tr>
      <w:tr>
        <w:trPr>
          <w:trHeight w:val="144"/>
        </w:trPr>
        <w:tc>
          <w:tcPr>
            <w:tcW w:w="48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Sale of vacation ownership products</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459</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312"/>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311</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148</w:t>
            </w:r>
          </w:p>
        </w:tc>
        <w:tc>
          <w:tcPr>
            <w:tcW w:w="1640" w:type="dxa"/>
            <w:vAlign w:val="bottom"/>
            <w:gridSpan w:val="2"/>
            <w:shd w:val="clear" w:color="auto" w:fill="CCEEFF"/>
          </w:tcPr>
          <w:p>
            <w:pPr>
              <w:jc w:val="center"/>
              <w:ind w:left="40"/>
              <w:spacing w:after="0"/>
              <w:rPr>
                <w:sz w:val="20"/>
                <w:szCs w:val="20"/>
                <w:color w:val="auto"/>
              </w:rPr>
            </w:pPr>
            <w:r>
              <w:rPr>
                <w:rFonts w:ascii="Arial" w:cs="Arial" w:eastAsia="Arial" w:hAnsi="Arial"/>
                <w:sz w:val="12"/>
                <w:szCs w:val="12"/>
                <w:color w:val="auto"/>
                <w:w w:val="91"/>
              </w:rPr>
              <w:t>48%</w:t>
            </w:r>
          </w:p>
        </w:tc>
      </w:tr>
      <w:tr>
        <w:trPr>
          <w:trHeight w:val="153"/>
        </w:trPr>
        <w:tc>
          <w:tcPr>
            <w:tcW w:w="4840" w:type="dxa"/>
            <w:vAlign w:val="bottom"/>
          </w:tcPr>
          <w:p>
            <w:pPr>
              <w:spacing w:after="0"/>
              <w:rPr>
                <w:sz w:val="20"/>
                <w:szCs w:val="20"/>
                <w:color w:val="auto"/>
              </w:rPr>
            </w:pPr>
            <w:r>
              <w:rPr>
                <w:rFonts w:ascii="Arial" w:cs="Arial" w:eastAsia="Arial" w:hAnsi="Arial"/>
                <w:sz w:val="12"/>
                <w:szCs w:val="12"/>
                <w:color w:val="auto"/>
              </w:rPr>
              <w:t>Cost of vacation ownership products</w:t>
            </w:r>
          </w:p>
        </w:tc>
        <w:tc>
          <w:tcPr>
            <w:tcW w:w="26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(107)</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(83)</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(24)</w:t>
            </w:r>
          </w:p>
        </w:tc>
        <w:tc>
          <w:tcPr>
            <w:tcW w:w="1640" w:type="dxa"/>
            <w:vAlign w:val="bottom"/>
            <w:gridSpan w:val="2"/>
          </w:tcPr>
          <w:p>
            <w:pPr>
              <w:jc w:val="center"/>
              <w:ind w:left="40"/>
              <w:spacing w:after="0"/>
              <w:rPr>
                <w:sz w:val="20"/>
                <w:szCs w:val="20"/>
                <w:color w:val="auto"/>
              </w:rPr>
            </w:pPr>
            <w:r>
              <w:rPr>
                <w:rFonts w:ascii="Arial" w:cs="Arial" w:eastAsia="Arial" w:hAnsi="Arial"/>
                <w:sz w:val="12"/>
                <w:szCs w:val="12"/>
                <w:color w:val="auto"/>
                <w:w w:val="93"/>
              </w:rPr>
              <w:t>(28%)</w:t>
            </w:r>
          </w:p>
        </w:tc>
      </w:tr>
      <w:tr>
        <w:trPr>
          <w:trHeight w:val="153"/>
        </w:trPr>
        <w:tc>
          <w:tcPr>
            <w:tcW w:w="4840" w:type="dxa"/>
            <w:vAlign w:val="bottom"/>
            <w:shd w:val="clear" w:color="auto" w:fill="CCEEFF"/>
          </w:tcPr>
          <w:p>
            <w:pPr>
              <w:spacing w:after="0"/>
              <w:rPr>
                <w:sz w:val="20"/>
                <w:szCs w:val="20"/>
                <w:color w:val="auto"/>
              </w:rPr>
            </w:pPr>
            <w:r>
              <w:rPr>
                <w:rFonts w:ascii="Arial" w:cs="Arial" w:eastAsia="Arial" w:hAnsi="Arial"/>
                <w:sz w:val="12"/>
                <w:szCs w:val="12"/>
                <w:color w:val="auto"/>
              </w:rPr>
              <w:t>Marketing and sales</w:t>
            </w:r>
          </w:p>
        </w:tc>
        <w:tc>
          <w:tcPr>
            <w:tcW w:w="26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(273)</w:t>
            </w:r>
          </w:p>
        </w:tc>
        <w:tc>
          <w:tcPr>
            <w:tcW w:w="10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(219)</w:t>
            </w: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(54)</w:t>
            </w:r>
          </w:p>
        </w:tc>
        <w:tc>
          <w:tcPr>
            <w:tcW w:w="1640" w:type="dxa"/>
            <w:vAlign w:val="bottom"/>
            <w:gridSpan w:val="2"/>
            <w:shd w:val="clear" w:color="auto" w:fill="CCEEFF"/>
          </w:tcPr>
          <w:p>
            <w:pPr>
              <w:jc w:val="center"/>
              <w:ind w:left="40"/>
              <w:spacing w:after="0"/>
              <w:rPr>
                <w:sz w:val="20"/>
                <w:szCs w:val="20"/>
                <w:color w:val="auto"/>
              </w:rPr>
            </w:pPr>
            <w:r>
              <w:rPr>
                <w:rFonts w:ascii="Arial" w:cs="Arial" w:eastAsia="Arial" w:hAnsi="Arial"/>
                <w:sz w:val="12"/>
                <w:szCs w:val="12"/>
                <w:color w:val="auto"/>
                <w:w w:val="93"/>
              </w:rPr>
              <w:t>(25%)</w:t>
            </w:r>
          </w:p>
        </w:tc>
      </w:tr>
      <w:tr>
        <w:trPr>
          <w:trHeight w:val="142"/>
        </w:trPr>
        <w:tc>
          <w:tcPr>
            <w:tcW w:w="4840" w:type="dxa"/>
            <w:vAlign w:val="bottom"/>
          </w:tcPr>
          <w:p>
            <w:pPr>
              <w:spacing w:after="0" w:line="133" w:lineRule="exact"/>
              <w:rPr>
                <w:sz w:val="20"/>
                <w:szCs w:val="20"/>
                <w:color w:val="auto"/>
              </w:rPr>
            </w:pPr>
            <w:r>
              <w:rPr>
                <w:rFonts w:ascii="Arial" w:cs="Arial" w:eastAsia="Arial" w:hAnsi="Arial"/>
                <w:sz w:val="12"/>
                <w:szCs w:val="12"/>
                <w:color w:val="auto"/>
              </w:rPr>
              <w:t>Development profit</w:t>
            </w:r>
          </w:p>
        </w:tc>
        <w:tc>
          <w:tcPr>
            <w:tcW w:w="26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79</w:t>
            </w:r>
          </w:p>
        </w:tc>
        <w:tc>
          <w:tcPr>
            <w:tcW w:w="100" w:type="dxa"/>
            <w:vAlign w:val="bottom"/>
          </w:tcPr>
          <w:p>
            <w:pPr>
              <w:spacing w:after="0"/>
              <w:rPr>
                <w:sz w:val="12"/>
                <w:szCs w:val="12"/>
                <w:color w:val="auto"/>
              </w:rPr>
            </w:pPr>
          </w:p>
        </w:tc>
        <w:tc>
          <w:tcPr>
            <w:tcW w:w="42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w:t>
            </w:r>
          </w:p>
        </w:tc>
        <w:tc>
          <w:tcPr>
            <w:tcW w:w="80" w:type="dxa"/>
            <w:vAlign w:val="bottom"/>
          </w:tcPr>
          <w:p>
            <w:pPr>
              <w:spacing w:after="0"/>
              <w:rPr>
                <w:sz w:val="12"/>
                <w:szCs w:val="12"/>
                <w:color w:val="auto"/>
              </w:rPr>
            </w:pPr>
          </w:p>
        </w:tc>
        <w:tc>
          <w:tcPr>
            <w:tcW w:w="3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70</w:t>
            </w:r>
          </w:p>
        </w:tc>
        <w:tc>
          <w:tcPr>
            <w:tcW w:w="1640" w:type="dxa"/>
            <w:vAlign w:val="bottom"/>
            <w:gridSpan w:val="2"/>
          </w:tcPr>
          <w:p>
            <w:pPr>
              <w:jc w:val="center"/>
              <w:ind w:left="20"/>
              <w:spacing w:after="0"/>
              <w:rPr>
                <w:sz w:val="20"/>
                <w:szCs w:val="20"/>
                <w:color w:val="auto"/>
              </w:rPr>
            </w:pPr>
            <w:r>
              <w:rPr>
                <w:rFonts w:ascii="Arial" w:cs="Arial" w:eastAsia="Arial" w:hAnsi="Arial"/>
                <w:sz w:val="12"/>
                <w:szCs w:val="12"/>
                <w:color w:val="auto"/>
                <w:w w:val="91"/>
              </w:rPr>
              <w:t>761%</w:t>
            </w:r>
          </w:p>
        </w:tc>
      </w:tr>
      <w:tr>
        <w:trPr>
          <w:trHeight w:val="20"/>
        </w:trPr>
        <w:tc>
          <w:tcPr>
            <w:tcW w:w="4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135" w:lineRule="exact"/>
        <w:rPr>
          <w:sz w:val="20"/>
          <w:szCs w:val="20"/>
          <w:color w:val="auto"/>
        </w:rPr>
      </w:pPr>
    </w:p>
    <w:p>
      <w:pPr>
        <w:ind w:right="320" w:firstLine="432"/>
        <w:spacing w:after="0" w:line="323" w:lineRule="auto"/>
        <w:rPr>
          <w:sz w:val="20"/>
          <w:szCs w:val="20"/>
          <w:color w:val="auto"/>
        </w:rPr>
      </w:pPr>
      <w:r>
        <w:rPr>
          <w:rFonts w:ascii="Arial" w:cs="Arial" w:eastAsia="Arial" w:hAnsi="Arial"/>
          <w:sz w:val="11"/>
          <w:szCs w:val="11"/>
          <w:color w:val="auto"/>
        </w:rPr>
        <w:t>Development profit increased $70 million year-over-year. The change reflected $61 million from the benefit of higher contract sales volumes and lower marketing and sales spending and $75 million related to lower sales reserve activity, partially offset by $63 million of unfavorable revenue reportability year-over-year, and $3 million of unfavorable product cost due mainly to the sale of lower cost inventory.</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Resort Management and Other Services Revenues, Expenses and Profit</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2021 Second Quarter</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48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Three Months Ended</w:t>
            </w:r>
          </w:p>
        </w:tc>
        <w:tc>
          <w:tcPr>
            <w:tcW w:w="11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135"/>
        </w:trPr>
        <w:tc>
          <w:tcPr>
            <w:tcW w:w="484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26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401"/>
              <w:spacing w:after="0"/>
              <w:rPr>
                <w:sz w:val="20"/>
                <w:szCs w:val="20"/>
                <w:color w:val="auto"/>
              </w:rPr>
            </w:pPr>
            <w:r>
              <w:rPr>
                <w:rFonts w:ascii="Arial" w:cs="Arial" w:eastAsia="Arial" w:hAnsi="Arial"/>
                <w:sz w:val="11"/>
                <w:szCs w:val="11"/>
                <w:b w:val="1"/>
                <w:bCs w:val="1"/>
                <w:color w:val="auto"/>
              </w:rPr>
              <w:t>June 30, 2021</w:t>
            </w:r>
          </w:p>
        </w:tc>
        <w:tc>
          <w:tcPr>
            <w:tcW w:w="10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401"/>
              <w:spacing w:after="0"/>
              <w:rPr>
                <w:sz w:val="20"/>
                <w:szCs w:val="20"/>
                <w:color w:val="auto"/>
              </w:rPr>
            </w:pPr>
            <w:r>
              <w:rPr>
                <w:rFonts w:ascii="Arial" w:cs="Arial" w:eastAsia="Arial" w:hAnsi="Arial"/>
                <w:sz w:val="11"/>
                <w:szCs w:val="11"/>
                <w:b w:val="1"/>
                <w:bCs w:val="1"/>
                <w:color w:val="auto"/>
                <w:w w:val="86"/>
              </w:rPr>
              <w:t>June 30, 2020</w:t>
            </w:r>
          </w:p>
        </w:tc>
        <w:tc>
          <w:tcPr>
            <w:tcW w:w="8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541"/>
              <w:spacing w:after="0"/>
              <w:rPr>
                <w:sz w:val="20"/>
                <w:szCs w:val="20"/>
                <w:color w:val="auto"/>
              </w:rPr>
            </w:pPr>
            <w:r>
              <w:rPr>
                <w:rFonts w:ascii="Arial" w:cs="Arial" w:eastAsia="Arial" w:hAnsi="Arial"/>
                <w:sz w:val="11"/>
                <w:szCs w:val="11"/>
                <w:b w:val="1"/>
                <w:bCs w:val="1"/>
                <w:color w:val="auto"/>
              </w:rPr>
              <w:t>Change</w:t>
            </w:r>
          </w:p>
        </w:tc>
        <w:tc>
          <w:tcPr>
            <w:tcW w:w="80" w:type="dxa"/>
            <w:vAlign w:val="bottom"/>
            <w:tcBorders>
              <w:bottom w:val="single" w:sz="8" w:color="CCEEFF"/>
            </w:tcBorders>
          </w:tcPr>
          <w:p>
            <w:pPr>
              <w:spacing w:after="0"/>
              <w:rPr>
                <w:sz w:val="11"/>
                <w:szCs w:val="11"/>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 Change</w:t>
            </w:r>
          </w:p>
        </w:tc>
      </w:tr>
      <w:tr>
        <w:trPr>
          <w:trHeight w:val="144"/>
        </w:trPr>
        <w:tc>
          <w:tcPr>
            <w:tcW w:w="48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Management fee revenues</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332"/>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640" w:type="dxa"/>
            <w:vAlign w:val="bottom"/>
            <w:gridSpan w:val="2"/>
            <w:shd w:val="clear" w:color="auto" w:fill="CCEEFF"/>
          </w:tcPr>
          <w:p>
            <w:pPr>
              <w:jc w:val="center"/>
              <w:ind w:left="20"/>
              <w:spacing w:after="0"/>
              <w:rPr>
                <w:sz w:val="20"/>
                <w:szCs w:val="20"/>
                <w:color w:val="auto"/>
              </w:rPr>
            </w:pPr>
            <w:r>
              <w:rPr>
                <w:rFonts w:ascii="Arial" w:cs="Arial" w:eastAsia="Arial" w:hAnsi="Arial"/>
                <w:sz w:val="12"/>
                <w:szCs w:val="12"/>
                <w:color w:val="auto"/>
                <w:w w:val="91"/>
              </w:rPr>
              <w:t>5%</w:t>
            </w:r>
          </w:p>
        </w:tc>
      </w:tr>
      <w:tr>
        <w:trPr>
          <w:trHeight w:val="153"/>
        </w:trPr>
        <w:tc>
          <w:tcPr>
            <w:tcW w:w="4840" w:type="dxa"/>
            <w:vAlign w:val="bottom"/>
          </w:tcPr>
          <w:p>
            <w:pPr>
              <w:spacing w:after="0"/>
              <w:rPr>
                <w:sz w:val="20"/>
                <w:szCs w:val="20"/>
                <w:color w:val="auto"/>
              </w:rPr>
            </w:pPr>
            <w:r>
              <w:rPr>
                <w:rFonts w:ascii="Arial" w:cs="Arial" w:eastAsia="Arial" w:hAnsi="Arial"/>
                <w:sz w:val="12"/>
                <w:szCs w:val="12"/>
                <w:color w:val="auto"/>
              </w:rPr>
              <w:t>Ancillary revenues</w:t>
            </w:r>
          </w:p>
        </w:tc>
        <w:tc>
          <w:tcPr>
            <w:tcW w:w="26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52</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6</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46</w:t>
            </w:r>
          </w:p>
        </w:tc>
        <w:tc>
          <w:tcPr>
            <w:tcW w:w="8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Arial" w:cs="Arial" w:eastAsia="Arial" w:hAnsi="Arial"/>
                <w:sz w:val="12"/>
                <w:szCs w:val="12"/>
                <w:color w:val="auto"/>
              </w:rPr>
              <w:t>NM</w:t>
            </w:r>
          </w:p>
        </w:tc>
      </w:tr>
      <w:tr>
        <w:trPr>
          <w:trHeight w:val="153"/>
        </w:trPr>
        <w:tc>
          <w:tcPr>
            <w:tcW w:w="4840" w:type="dxa"/>
            <w:vAlign w:val="bottom"/>
            <w:shd w:val="clear" w:color="auto" w:fill="CCEEFF"/>
          </w:tcPr>
          <w:p>
            <w:pPr>
              <w:spacing w:after="0"/>
              <w:rPr>
                <w:sz w:val="20"/>
                <w:szCs w:val="20"/>
                <w:color w:val="auto"/>
              </w:rPr>
            </w:pPr>
            <w:r>
              <w:rPr>
                <w:rFonts w:ascii="Arial" w:cs="Arial" w:eastAsia="Arial" w:hAnsi="Arial"/>
                <w:sz w:val="12"/>
                <w:szCs w:val="12"/>
                <w:color w:val="auto"/>
              </w:rPr>
              <w:t>Other management and exchange revenues</w:t>
            </w:r>
          </w:p>
        </w:tc>
        <w:tc>
          <w:tcPr>
            <w:tcW w:w="26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w:t>
            </w:r>
          </w:p>
        </w:tc>
        <w:tc>
          <w:tcPr>
            <w:tcW w:w="10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w:t>
            </w: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640" w:type="dxa"/>
            <w:vAlign w:val="bottom"/>
            <w:gridSpan w:val="2"/>
            <w:shd w:val="clear" w:color="auto" w:fill="CCEEFF"/>
          </w:tcPr>
          <w:p>
            <w:pPr>
              <w:jc w:val="center"/>
              <w:ind w:left="20"/>
              <w:spacing w:after="0"/>
              <w:rPr>
                <w:sz w:val="20"/>
                <w:szCs w:val="20"/>
                <w:color w:val="auto"/>
              </w:rPr>
            </w:pPr>
            <w:r>
              <w:rPr>
                <w:rFonts w:ascii="Arial" w:cs="Arial" w:eastAsia="Arial" w:hAnsi="Arial"/>
                <w:sz w:val="12"/>
                <w:szCs w:val="12"/>
                <w:color w:val="auto"/>
                <w:w w:val="91"/>
              </w:rPr>
              <w:t>5%</w:t>
            </w:r>
          </w:p>
        </w:tc>
      </w:tr>
      <w:tr>
        <w:trPr>
          <w:trHeight w:val="142"/>
        </w:trPr>
        <w:tc>
          <w:tcPr>
            <w:tcW w:w="4840" w:type="dxa"/>
            <w:vAlign w:val="bottom"/>
          </w:tcPr>
          <w:p>
            <w:pPr>
              <w:spacing w:after="0" w:line="133" w:lineRule="exact"/>
              <w:rPr>
                <w:sz w:val="20"/>
                <w:szCs w:val="20"/>
                <w:color w:val="auto"/>
              </w:rPr>
            </w:pPr>
            <w:r>
              <w:rPr>
                <w:rFonts w:ascii="Arial" w:cs="Arial" w:eastAsia="Arial" w:hAnsi="Arial"/>
                <w:sz w:val="12"/>
                <w:szCs w:val="12"/>
                <w:color w:val="auto"/>
              </w:rPr>
              <w:t>Resort management and other services revenues</w:t>
            </w:r>
          </w:p>
        </w:tc>
        <w:tc>
          <w:tcPr>
            <w:tcW w:w="26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123</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73</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50</w:t>
            </w:r>
          </w:p>
        </w:tc>
        <w:tc>
          <w:tcPr>
            <w:tcW w:w="1640" w:type="dxa"/>
            <w:vAlign w:val="bottom"/>
            <w:gridSpan w:val="2"/>
          </w:tcPr>
          <w:p>
            <w:pPr>
              <w:jc w:val="center"/>
              <w:ind w:left="40"/>
              <w:spacing w:after="0"/>
              <w:rPr>
                <w:sz w:val="20"/>
                <w:szCs w:val="20"/>
                <w:color w:val="auto"/>
              </w:rPr>
            </w:pPr>
            <w:r>
              <w:rPr>
                <w:rFonts w:ascii="Arial" w:cs="Arial" w:eastAsia="Arial" w:hAnsi="Arial"/>
                <w:sz w:val="12"/>
                <w:szCs w:val="12"/>
                <w:color w:val="auto"/>
                <w:w w:val="91"/>
              </w:rPr>
              <w:t>68%</w:t>
            </w:r>
          </w:p>
        </w:tc>
      </w:tr>
      <w:tr>
        <w:trPr>
          <w:trHeight w:val="153"/>
        </w:trPr>
        <w:tc>
          <w:tcPr>
            <w:tcW w:w="4840" w:type="dxa"/>
            <w:vAlign w:val="bottom"/>
            <w:shd w:val="clear" w:color="auto" w:fill="CCEEFF"/>
          </w:tcPr>
          <w:p>
            <w:pPr>
              <w:spacing w:after="0"/>
              <w:rPr>
                <w:sz w:val="20"/>
                <w:szCs w:val="20"/>
                <w:color w:val="auto"/>
              </w:rPr>
            </w:pPr>
            <w:r>
              <w:rPr>
                <w:rFonts w:ascii="Arial" w:cs="Arial" w:eastAsia="Arial" w:hAnsi="Arial"/>
                <w:sz w:val="12"/>
                <w:szCs w:val="12"/>
                <w:color w:val="auto"/>
              </w:rPr>
              <w:t>Resort management and other services expenses</w:t>
            </w:r>
          </w:p>
        </w:tc>
        <w:tc>
          <w:tcPr>
            <w:tcW w:w="26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w:t>
            </w:r>
          </w:p>
        </w:tc>
        <w:tc>
          <w:tcPr>
            <w:tcW w:w="10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w:t>
            </w: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w:t>
            </w:r>
          </w:p>
        </w:tc>
        <w:tc>
          <w:tcPr>
            <w:tcW w:w="1640" w:type="dxa"/>
            <w:vAlign w:val="bottom"/>
            <w:gridSpan w:val="2"/>
            <w:shd w:val="clear" w:color="auto" w:fill="CCEEFF"/>
          </w:tcPr>
          <w:p>
            <w:pPr>
              <w:jc w:val="center"/>
              <w:ind w:left="20"/>
              <w:spacing w:after="0"/>
              <w:rPr>
                <w:sz w:val="20"/>
                <w:szCs w:val="20"/>
                <w:color w:val="auto"/>
              </w:rPr>
            </w:pPr>
            <w:r>
              <w:rPr>
                <w:rFonts w:ascii="Arial" w:cs="Arial" w:eastAsia="Arial" w:hAnsi="Arial"/>
                <w:sz w:val="12"/>
                <w:szCs w:val="12"/>
                <w:color w:val="auto"/>
                <w:w w:val="92"/>
              </w:rPr>
              <w:t>(107%)</w:t>
            </w:r>
          </w:p>
        </w:tc>
      </w:tr>
      <w:tr>
        <w:trPr>
          <w:trHeight w:val="158"/>
        </w:trPr>
        <w:tc>
          <w:tcPr>
            <w:tcW w:w="4840" w:type="dxa"/>
            <w:vAlign w:val="bottom"/>
            <w:tcBorders>
              <w:bottom w:val="single" w:sz="8" w:color="CCEEFF"/>
            </w:tcBorders>
          </w:tcPr>
          <w:p>
            <w:pPr>
              <w:spacing w:after="0" w:line="133" w:lineRule="exact"/>
              <w:rPr>
                <w:sz w:val="20"/>
                <w:szCs w:val="20"/>
                <w:color w:val="auto"/>
              </w:rPr>
            </w:pPr>
            <w:r>
              <w:rPr>
                <w:rFonts w:ascii="Arial" w:cs="Arial" w:eastAsia="Arial" w:hAnsi="Arial"/>
                <w:sz w:val="12"/>
                <w:szCs w:val="12"/>
                <w:color w:val="auto"/>
              </w:rPr>
              <w:t>Resort management and other services profit</w:t>
            </w:r>
          </w:p>
        </w:tc>
        <w:tc>
          <w:tcPr>
            <w:tcW w:w="26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77</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w:t>
            </w:r>
          </w:p>
        </w:tc>
        <w:tc>
          <w:tcPr>
            <w:tcW w:w="1640" w:type="dxa"/>
            <w:vAlign w:val="bottom"/>
            <w:tcBorders>
              <w:bottom w:val="single" w:sz="8" w:color="CCEEFF"/>
            </w:tcBorders>
            <w:gridSpan w:val="2"/>
          </w:tcPr>
          <w:p>
            <w:pPr>
              <w:jc w:val="center"/>
              <w:ind w:left="40"/>
              <w:spacing w:after="0"/>
              <w:rPr>
                <w:sz w:val="20"/>
                <w:szCs w:val="20"/>
                <w:color w:val="auto"/>
              </w:rPr>
            </w:pPr>
            <w:r>
              <w:rPr>
                <w:rFonts w:ascii="Arial" w:cs="Arial" w:eastAsia="Arial" w:hAnsi="Arial"/>
                <w:sz w:val="12"/>
                <w:szCs w:val="12"/>
                <w:color w:val="auto"/>
                <w:w w:val="91"/>
              </w:rPr>
              <w:t>51%</w:t>
            </w:r>
          </w:p>
        </w:tc>
      </w:tr>
      <w:tr>
        <w:trPr>
          <w:trHeight w:val="153"/>
        </w:trPr>
        <w:tc>
          <w:tcPr>
            <w:tcW w:w="48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Resort management and other services profit margin</w:t>
            </w:r>
          </w:p>
        </w:tc>
        <w:tc>
          <w:tcPr>
            <w:tcW w:w="26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561"/>
              <w:spacing w:after="0"/>
              <w:rPr>
                <w:sz w:val="20"/>
                <w:szCs w:val="20"/>
                <w:color w:val="auto"/>
              </w:rPr>
            </w:pPr>
            <w:r>
              <w:rPr>
                <w:rFonts w:ascii="Arial" w:cs="Arial" w:eastAsia="Arial" w:hAnsi="Arial"/>
                <w:sz w:val="12"/>
                <w:szCs w:val="12"/>
                <w:color w:val="auto"/>
              </w:rPr>
              <w:t>62.4%</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561"/>
              <w:spacing w:after="0"/>
              <w:rPr>
                <w:sz w:val="20"/>
                <w:szCs w:val="20"/>
                <w:color w:val="auto"/>
              </w:rPr>
            </w:pPr>
            <w:r>
              <w:rPr>
                <w:rFonts w:ascii="Arial" w:cs="Arial" w:eastAsia="Arial" w:hAnsi="Arial"/>
                <w:sz w:val="12"/>
                <w:szCs w:val="12"/>
                <w:color w:val="auto"/>
              </w:rPr>
              <w:t>69.5%</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521"/>
              <w:spacing w:after="0"/>
              <w:rPr>
                <w:sz w:val="20"/>
                <w:szCs w:val="20"/>
                <w:color w:val="auto"/>
              </w:rPr>
            </w:pPr>
            <w:r>
              <w:rPr>
                <w:rFonts w:ascii="Arial" w:cs="Arial" w:eastAsia="Arial" w:hAnsi="Arial"/>
                <w:sz w:val="12"/>
                <w:szCs w:val="12"/>
                <w:color w:val="auto"/>
              </w:rPr>
              <w:t>(7.1 pts)</w:t>
            </w:r>
          </w:p>
        </w:tc>
        <w:tc>
          <w:tcPr>
            <w:tcW w:w="8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r>
    </w:tbl>
    <w:p>
      <w:pPr>
        <w:spacing w:after="0" w:line="162" w:lineRule="exact"/>
        <w:rPr>
          <w:sz w:val="20"/>
          <w:szCs w:val="20"/>
          <w:color w:val="auto"/>
        </w:rPr>
      </w:pPr>
    </w:p>
    <w:p>
      <w:pPr>
        <w:jc w:val="both"/>
        <w:ind w:right="140" w:firstLine="432"/>
        <w:spacing w:after="0" w:line="263" w:lineRule="auto"/>
        <w:rPr>
          <w:sz w:val="20"/>
          <w:szCs w:val="20"/>
          <w:color w:val="auto"/>
        </w:rPr>
      </w:pPr>
      <w:r>
        <w:rPr>
          <w:rFonts w:ascii="Arial" w:cs="Arial" w:eastAsia="Arial" w:hAnsi="Arial"/>
          <w:sz w:val="12"/>
          <w:szCs w:val="12"/>
          <w:color w:val="auto"/>
        </w:rPr>
        <w:t>Resort management and other services revenues reflected higher ancillary revenues, including revenues from food and beverage and golf offerings, as a result of the continued ramp-up of the business subsequent to the initial impact of the COVID-19 pandemic late in the prior year first quarter, as well as $8 million of revenues from the acquisition of Welk. Resort occupancies have continued to increase throughout 2021 as an increasing number of resorts that were closed at the start of the COVID-19 pandemic have reopened. We expect this trend to continue throughout the remainder of 2021.</w:t>
      </w:r>
    </w:p>
    <w:p>
      <w:pPr>
        <w:spacing w:after="0" w:line="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increase in resort management and other services profit reflected the higher ancillary expenses as a result of the higher ancillary revenues mentioned above.</w:t>
      </w:r>
    </w:p>
    <w:p>
      <w:pPr>
        <w:spacing w:after="0" w:line="141" w:lineRule="exact"/>
        <w:rPr>
          <w:sz w:val="20"/>
          <w:szCs w:val="20"/>
          <w:color w:val="auto"/>
        </w:rPr>
      </w:pPr>
    </w:p>
    <w:p>
      <w:pPr>
        <w:jc w:val="center"/>
        <w:ind w:left="420"/>
        <w:spacing w:after="0"/>
        <w:rPr>
          <w:sz w:val="20"/>
          <w:szCs w:val="20"/>
          <w:color w:val="auto"/>
        </w:rPr>
      </w:pP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191135</wp:posOffset>
            </wp:positionV>
            <wp:extent cx="7203440" cy="368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57" w:name="page58"/>
    <w:bookmarkEnd w:id="57"/>
    <w:p>
      <w:pPr>
        <w:ind w:left="8"/>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83"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2021 First Half</w:t>
      </w:r>
    </w:p>
    <w:p>
      <w:pPr>
        <w:spacing w:after="0" w:line="33" w:lineRule="exact"/>
        <w:rPr>
          <w:sz w:val="20"/>
          <w:szCs w:val="20"/>
          <w:color w:val="auto"/>
        </w:rPr>
      </w:pPr>
    </w:p>
    <w:tbl>
      <w:tblPr>
        <w:tblLayout w:type="fixed"/>
        <w:tblInd w:w="8" w:type="dxa"/>
        <w:tblCellMar>
          <w:top w:w="0" w:type="dxa"/>
          <w:left w:w="0" w:type="dxa"/>
          <w:bottom w:w="0" w:type="dxa"/>
          <w:right w:w="0" w:type="dxa"/>
        </w:tblCellMar>
      </w:tblPr>
      <w:tr>
        <w:trPr>
          <w:trHeight w:val="140"/>
        </w:trPr>
        <w:tc>
          <w:tcPr>
            <w:tcW w:w="48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Six Months Ended</w:t>
            </w:r>
          </w:p>
        </w:tc>
        <w:tc>
          <w:tcPr>
            <w:tcW w:w="11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135"/>
        </w:trPr>
        <w:tc>
          <w:tcPr>
            <w:tcW w:w="484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26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401"/>
              <w:spacing w:after="0"/>
              <w:rPr>
                <w:sz w:val="20"/>
                <w:szCs w:val="20"/>
                <w:color w:val="auto"/>
              </w:rPr>
            </w:pPr>
            <w:r>
              <w:rPr>
                <w:rFonts w:ascii="Arial" w:cs="Arial" w:eastAsia="Arial" w:hAnsi="Arial"/>
                <w:sz w:val="11"/>
                <w:szCs w:val="11"/>
                <w:b w:val="1"/>
                <w:bCs w:val="1"/>
                <w:color w:val="auto"/>
              </w:rPr>
              <w:t>June 30, 2021</w:t>
            </w:r>
          </w:p>
        </w:tc>
        <w:tc>
          <w:tcPr>
            <w:tcW w:w="100" w:type="dxa"/>
            <w:vAlign w:val="bottom"/>
            <w:tcBorders>
              <w:bottom w:val="single" w:sz="8" w:color="CCEEFF"/>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401"/>
              <w:spacing w:after="0"/>
              <w:rPr>
                <w:sz w:val="20"/>
                <w:szCs w:val="20"/>
                <w:color w:val="auto"/>
              </w:rPr>
            </w:pPr>
            <w:r>
              <w:rPr>
                <w:rFonts w:ascii="Arial" w:cs="Arial" w:eastAsia="Arial" w:hAnsi="Arial"/>
                <w:sz w:val="11"/>
                <w:szCs w:val="11"/>
                <w:b w:val="1"/>
                <w:bCs w:val="1"/>
                <w:color w:val="auto"/>
                <w:w w:val="89"/>
              </w:rPr>
              <w:t>June 30, 2020</w:t>
            </w:r>
          </w:p>
        </w:tc>
        <w:tc>
          <w:tcPr>
            <w:tcW w:w="8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541"/>
              <w:spacing w:after="0"/>
              <w:rPr>
                <w:sz w:val="20"/>
                <w:szCs w:val="20"/>
                <w:color w:val="auto"/>
              </w:rPr>
            </w:pPr>
            <w:r>
              <w:rPr>
                <w:rFonts w:ascii="Arial" w:cs="Arial" w:eastAsia="Arial" w:hAnsi="Arial"/>
                <w:sz w:val="11"/>
                <w:szCs w:val="11"/>
                <w:b w:val="1"/>
                <w:bCs w:val="1"/>
                <w:color w:val="auto"/>
              </w:rPr>
              <w:t>Change</w:t>
            </w:r>
          </w:p>
        </w:tc>
        <w:tc>
          <w:tcPr>
            <w:tcW w:w="80" w:type="dxa"/>
            <w:vAlign w:val="bottom"/>
            <w:tcBorders>
              <w:bottom w:val="single" w:sz="8" w:color="CCEEFF"/>
            </w:tcBorders>
          </w:tcPr>
          <w:p>
            <w:pPr>
              <w:spacing w:after="0"/>
              <w:rPr>
                <w:sz w:val="11"/>
                <w:szCs w:val="11"/>
                <w:color w:val="auto"/>
              </w:rPr>
            </w:pPr>
          </w:p>
        </w:tc>
        <w:tc>
          <w:tcPr>
            <w:tcW w:w="1560" w:type="dxa"/>
            <w:vAlign w:val="bottom"/>
            <w:tcBorders>
              <w:bottom w:val="single" w:sz="8" w:color="auto"/>
            </w:tcBorders>
          </w:tcPr>
          <w:p>
            <w:pPr>
              <w:ind w:left="540"/>
              <w:spacing w:after="0"/>
              <w:rPr>
                <w:sz w:val="20"/>
                <w:szCs w:val="20"/>
                <w:color w:val="auto"/>
              </w:rPr>
            </w:pPr>
            <w:r>
              <w:rPr>
                <w:rFonts w:ascii="Arial" w:cs="Arial" w:eastAsia="Arial" w:hAnsi="Arial"/>
                <w:sz w:val="11"/>
                <w:szCs w:val="11"/>
                <w:b w:val="1"/>
                <w:bCs w:val="1"/>
                <w:color w:val="auto"/>
              </w:rPr>
              <w:t>% Change</w:t>
            </w:r>
          </w:p>
        </w:tc>
      </w:tr>
      <w:tr>
        <w:trPr>
          <w:trHeight w:val="144"/>
        </w:trPr>
        <w:tc>
          <w:tcPr>
            <w:tcW w:w="48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Management fee revenues</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312"/>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640" w:type="dxa"/>
            <w:vAlign w:val="bottom"/>
            <w:gridSpan w:val="2"/>
            <w:shd w:val="clear" w:color="auto" w:fill="CCEEFF"/>
          </w:tcPr>
          <w:p>
            <w:pPr>
              <w:jc w:val="center"/>
              <w:ind w:left="20"/>
              <w:spacing w:after="0"/>
              <w:rPr>
                <w:sz w:val="20"/>
                <w:szCs w:val="20"/>
                <w:color w:val="auto"/>
              </w:rPr>
            </w:pPr>
            <w:r>
              <w:rPr>
                <w:rFonts w:ascii="Arial" w:cs="Arial" w:eastAsia="Arial" w:hAnsi="Arial"/>
                <w:sz w:val="12"/>
                <w:szCs w:val="12"/>
                <w:color w:val="auto"/>
                <w:w w:val="91"/>
              </w:rPr>
              <w:t>2%</w:t>
            </w:r>
          </w:p>
        </w:tc>
      </w:tr>
      <w:tr>
        <w:trPr>
          <w:trHeight w:val="153"/>
        </w:trPr>
        <w:tc>
          <w:tcPr>
            <w:tcW w:w="4840" w:type="dxa"/>
            <w:vAlign w:val="bottom"/>
          </w:tcPr>
          <w:p>
            <w:pPr>
              <w:spacing w:after="0"/>
              <w:rPr>
                <w:sz w:val="20"/>
                <w:szCs w:val="20"/>
                <w:color w:val="auto"/>
              </w:rPr>
            </w:pPr>
            <w:r>
              <w:rPr>
                <w:rFonts w:ascii="Arial" w:cs="Arial" w:eastAsia="Arial" w:hAnsi="Arial"/>
                <w:sz w:val="12"/>
                <w:szCs w:val="12"/>
                <w:color w:val="auto"/>
              </w:rPr>
              <w:t>Ancillary revenues</w:t>
            </w:r>
          </w:p>
        </w:tc>
        <w:tc>
          <w:tcPr>
            <w:tcW w:w="26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80</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52</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28</w:t>
            </w:r>
          </w:p>
        </w:tc>
        <w:tc>
          <w:tcPr>
            <w:tcW w:w="1640" w:type="dxa"/>
            <w:vAlign w:val="bottom"/>
            <w:gridSpan w:val="2"/>
          </w:tcPr>
          <w:p>
            <w:pPr>
              <w:jc w:val="center"/>
              <w:ind w:left="40"/>
              <w:spacing w:after="0"/>
              <w:rPr>
                <w:sz w:val="20"/>
                <w:szCs w:val="20"/>
                <w:color w:val="auto"/>
              </w:rPr>
            </w:pPr>
            <w:r>
              <w:rPr>
                <w:rFonts w:ascii="Arial" w:cs="Arial" w:eastAsia="Arial" w:hAnsi="Arial"/>
                <w:sz w:val="12"/>
                <w:szCs w:val="12"/>
                <w:color w:val="auto"/>
                <w:w w:val="91"/>
              </w:rPr>
              <w:t>54%</w:t>
            </w:r>
          </w:p>
        </w:tc>
      </w:tr>
      <w:tr>
        <w:trPr>
          <w:trHeight w:val="153"/>
        </w:trPr>
        <w:tc>
          <w:tcPr>
            <w:tcW w:w="4840" w:type="dxa"/>
            <w:vAlign w:val="bottom"/>
            <w:shd w:val="clear" w:color="auto" w:fill="CCEEFF"/>
          </w:tcPr>
          <w:p>
            <w:pPr>
              <w:spacing w:after="0"/>
              <w:rPr>
                <w:sz w:val="20"/>
                <w:szCs w:val="20"/>
                <w:color w:val="auto"/>
              </w:rPr>
            </w:pPr>
            <w:r>
              <w:rPr>
                <w:rFonts w:ascii="Arial" w:cs="Arial" w:eastAsia="Arial" w:hAnsi="Arial"/>
                <w:sz w:val="12"/>
                <w:szCs w:val="12"/>
                <w:color w:val="auto"/>
              </w:rPr>
              <w:t>Other management and exchange revenues</w:t>
            </w:r>
          </w:p>
        </w:tc>
        <w:tc>
          <w:tcPr>
            <w:tcW w:w="26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60</w:t>
            </w:r>
          </w:p>
        </w:tc>
        <w:tc>
          <w:tcPr>
            <w:tcW w:w="10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57</w:t>
            </w: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640" w:type="dxa"/>
            <w:vAlign w:val="bottom"/>
            <w:gridSpan w:val="2"/>
            <w:shd w:val="clear" w:color="auto" w:fill="CCEEFF"/>
          </w:tcPr>
          <w:p>
            <w:pPr>
              <w:jc w:val="center"/>
              <w:ind w:left="20"/>
              <w:spacing w:after="0"/>
              <w:rPr>
                <w:sz w:val="20"/>
                <w:szCs w:val="20"/>
                <w:color w:val="auto"/>
              </w:rPr>
            </w:pPr>
            <w:r>
              <w:rPr>
                <w:rFonts w:ascii="Arial" w:cs="Arial" w:eastAsia="Arial" w:hAnsi="Arial"/>
                <w:sz w:val="12"/>
                <w:szCs w:val="12"/>
                <w:color w:val="auto"/>
                <w:w w:val="91"/>
              </w:rPr>
              <w:t>5%</w:t>
            </w:r>
          </w:p>
        </w:tc>
      </w:tr>
      <w:tr>
        <w:trPr>
          <w:trHeight w:val="142"/>
        </w:trPr>
        <w:tc>
          <w:tcPr>
            <w:tcW w:w="4840" w:type="dxa"/>
            <w:vAlign w:val="bottom"/>
          </w:tcPr>
          <w:p>
            <w:pPr>
              <w:spacing w:after="0" w:line="133" w:lineRule="exact"/>
              <w:rPr>
                <w:sz w:val="20"/>
                <w:szCs w:val="20"/>
                <w:color w:val="auto"/>
              </w:rPr>
            </w:pPr>
            <w:r>
              <w:rPr>
                <w:rFonts w:ascii="Arial" w:cs="Arial" w:eastAsia="Arial" w:hAnsi="Arial"/>
                <w:sz w:val="12"/>
                <w:szCs w:val="12"/>
                <w:color w:val="auto"/>
              </w:rPr>
              <w:t>Resort management and other services revenues</w:t>
            </w:r>
          </w:p>
        </w:tc>
        <w:tc>
          <w:tcPr>
            <w:tcW w:w="26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217</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185</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32</w:t>
            </w:r>
          </w:p>
        </w:tc>
        <w:tc>
          <w:tcPr>
            <w:tcW w:w="1640" w:type="dxa"/>
            <w:vAlign w:val="bottom"/>
            <w:gridSpan w:val="2"/>
          </w:tcPr>
          <w:p>
            <w:pPr>
              <w:jc w:val="center"/>
              <w:ind w:left="40"/>
              <w:spacing w:after="0"/>
              <w:rPr>
                <w:sz w:val="20"/>
                <w:szCs w:val="20"/>
                <w:color w:val="auto"/>
              </w:rPr>
            </w:pPr>
            <w:r>
              <w:rPr>
                <w:rFonts w:ascii="Arial" w:cs="Arial" w:eastAsia="Arial" w:hAnsi="Arial"/>
                <w:sz w:val="12"/>
                <w:szCs w:val="12"/>
                <w:color w:val="auto"/>
                <w:w w:val="91"/>
              </w:rPr>
              <w:t>17%</w:t>
            </w:r>
          </w:p>
        </w:tc>
      </w:tr>
      <w:tr>
        <w:trPr>
          <w:trHeight w:val="153"/>
        </w:trPr>
        <w:tc>
          <w:tcPr>
            <w:tcW w:w="4840" w:type="dxa"/>
            <w:vAlign w:val="bottom"/>
            <w:shd w:val="clear" w:color="auto" w:fill="CCEEFF"/>
          </w:tcPr>
          <w:p>
            <w:pPr>
              <w:spacing w:after="0"/>
              <w:rPr>
                <w:sz w:val="20"/>
                <w:szCs w:val="20"/>
                <w:color w:val="auto"/>
              </w:rPr>
            </w:pPr>
            <w:r>
              <w:rPr>
                <w:rFonts w:ascii="Arial" w:cs="Arial" w:eastAsia="Arial" w:hAnsi="Arial"/>
                <w:sz w:val="12"/>
                <w:szCs w:val="12"/>
                <w:color w:val="auto"/>
              </w:rPr>
              <w:t>Resort management and other services expenses</w:t>
            </w:r>
          </w:p>
        </w:tc>
        <w:tc>
          <w:tcPr>
            <w:tcW w:w="26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(81)</w:t>
            </w:r>
          </w:p>
        </w:tc>
        <w:tc>
          <w:tcPr>
            <w:tcW w:w="10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(78)</w:t>
            </w: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640" w:type="dxa"/>
            <w:vAlign w:val="bottom"/>
            <w:gridSpan w:val="2"/>
            <w:shd w:val="clear" w:color="auto" w:fill="CCEEFF"/>
          </w:tcPr>
          <w:p>
            <w:pPr>
              <w:jc w:val="center"/>
              <w:ind w:left="20"/>
              <w:spacing w:after="0"/>
              <w:rPr>
                <w:sz w:val="20"/>
                <w:szCs w:val="20"/>
                <w:color w:val="auto"/>
              </w:rPr>
            </w:pPr>
            <w:r>
              <w:rPr>
                <w:rFonts w:ascii="Arial" w:cs="Arial" w:eastAsia="Arial" w:hAnsi="Arial"/>
                <w:sz w:val="12"/>
                <w:szCs w:val="12"/>
                <w:color w:val="auto"/>
                <w:w w:val="94"/>
              </w:rPr>
              <w:t>(4%)</w:t>
            </w:r>
          </w:p>
        </w:tc>
      </w:tr>
      <w:tr>
        <w:trPr>
          <w:trHeight w:val="158"/>
        </w:trPr>
        <w:tc>
          <w:tcPr>
            <w:tcW w:w="4840" w:type="dxa"/>
            <w:vAlign w:val="bottom"/>
            <w:tcBorders>
              <w:bottom w:val="single" w:sz="8" w:color="CCEEFF"/>
            </w:tcBorders>
          </w:tcPr>
          <w:p>
            <w:pPr>
              <w:spacing w:after="0" w:line="133" w:lineRule="exact"/>
              <w:rPr>
                <w:sz w:val="20"/>
                <w:szCs w:val="20"/>
                <w:color w:val="auto"/>
              </w:rPr>
            </w:pPr>
            <w:r>
              <w:rPr>
                <w:rFonts w:ascii="Arial" w:cs="Arial" w:eastAsia="Arial" w:hAnsi="Arial"/>
                <w:sz w:val="12"/>
                <w:szCs w:val="12"/>
                <w:color w:val="auto"/>
              </w:rPr>
              <w:t>Resort management and other services profit</w:t>
            </w:r>
          </w:p>
        </w:tc>
        <w:tc>
          <w:tcPr>
            <w:tcW w:w="26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136</w:t>
            </w: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107</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w:t>
            </w:r>
          </w:p>
        </w:tc>
        <w:tc>
          <w:tcPr>
            <w:tcW w:w="1640" w:type="dxa"/>
            <w:vAlign w:val="bottom"/>
            <w:tcBorders>
              <w:bottom w:val="single" w:sz="8" w:color="CCEEFF"/>
            </w:tcBorders>
            <w:gridSpan w:val="2"/>
          </w:tcPr>
          <w:p>
            <w:pPr>
              <w:jc w:val="center"/>
              <w:ind w:left="40"/>
              <w:spacing w:after="0"/>
              <w:rPr>
                <w:sz w:val="20"/>
                <w:szCs w:val="20"/>
                <w:color w:val="auto"/>
              </w:rPr>
            </w:pPr>
            <w:r>
              <w:rPr>
                <w:rFonts w:ascii="Arial" w:cs="Arial" w:eastAsia="Arial" w:hAnsi="Arial"/>
                <w:sz w:val="12"/>
                <w:szCs w:val="12"/>
                <w:color w:val="auto"/>
                <w:w w:val="91"/>
              </w:rPr>
              <w:t>27%</w:t>
            </w:r>
          </w:p>
        </w:tc>
      </w:tr>
      <w:tr>
        <w:trPr>
          <w:trHeight w:val="153"/>
        </w:trPr>
        <w:tc>
          <w:tcPr>
            <w:tcW w:w="48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Resort management and other services profit margin</w:t>
            </w:r>
          </w:p>
        </w:tc>
        <w:tc>
          <w:tcPr>
            <w:tcW w:w="26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561"/>
              <w:spacing w:after="0"/>
              <w:rPr>
                <w:sz w:val="20"/>
                <w:szCs w:val="20"/>
                <w:color w:val="auto"/>
              </w:rPr>
            </w:pPr>
            <w:r>
              <w:rPr>
                <w:rFonts w:ascii="Arial" w:cs="Arial" w:eastAsia="Arial" w:hAnsi="Arial"/>
                <w:sz w:val="12"/>
                <w:szCs w:val="12"/>
                <w:color w:val="auto"/>
              </w:rPr>
              <w:t>62.7%</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561"/>
              <w:spacing w:after="0"/>
              <w:rPr>
                <w:sz w:val="20"/>
                <w:szCs w:val="20"/>
                <w:color w:val="auto"/>
              </w:rPr>
            </w:pPr>
            <w:r>
              <w:rPr>
                <w:rFonts w:ascii="Arial" w:cs="Arial" w:eastAsia="Arial" w:hAnsi="Arial"/>
                <w:sz w:val="12"/>
                <w:szCs w:val="12"/>
                <w:color w:val="auto"/>
              </w:rPr>
              <w:t>58.0%</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561"/>
              <w:spacing w:after="0"/>
              <w:rPr>
                <w:sz w:val="20"/>
                <w:szCs w:val="20"/>
                <w:color w:val="auto"/>
              </w:rPr>
            </w:pPr>
            <w:r>
              <w:rPr>
                <w:rFonts w:ascii="Arial" w:cs="Arial" w:eastAsia="Arial" w:hAnsi="Arial"/>
                <w:sz w:val="12"/>
                <w:szCs w:val="12"/>
                <w:color w:val="auto"/>
              </w:rPr>
              <w:t>4.7 pts</w:t>
            </w:r>
          </w:p>
        </w:tc>
        <w:tc>
          <w:tcPr>
            <w:tcW w:w="8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r>
    </w:tbl>
    <w:p>
      <w:pPr>
        <w:spacing w:after="0" w:line="162" w:lineRule="exact"/>
        <w:rPr>
          <w:sz w:val="20"/>
          <w:szCs w:val="20"/>
          <w:color w:val="auto"/>
        </w:rPr>
      </w:pPr>
    </w:p>
    <w:p>
      <w:pPr>
        <w:ind w:left="8" w:right="140" w:firstLine="432"/>
        <w:spacing w:after="0" w:line="263" w:lineRule="auto"/>
        <w:rPr>
          <w:sz w:val="20"/>
          <w:szCs w:val="20"/>
          <w:color w:val="auto"/>
        </w:rPr>
      </w:pPr>
      <w:r>
        <w:rPr>
          <w:rFonts w:ascii="Arial" w:cs="Arial" w:eastAsia="Arial" w:hAnsi="Arial"/>
          <w:sz w:val="12"/>
          <w:szCs w:val="12"/>
          <w:color w:val="auto"/>
        </w:rPr>
        <w:t>Resort management and other services revenues reflected higher ancillary revenues, including revenues from food and beverage and golf offerings, as a result of the continued ramp-up of the business subsequent to the initial impact of the COVID-19 pandemic late in the prior year first quarter, as well as $8 million from the acquisition of Welk. Resort occupancies have continued to increase throughout 2021 as an increasing number of resorts that were closed at the start of the COVID-19 pandemic have reopened. We expect this trend to continue throughout the remainder of 2021.</w:t>
      </w:r>
    </w:p>
    <w:p>
      <w:pPr>
        <w:spacing w:after="0" w:line="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increase in resort management and other services profit reflected the higher ancillary expenses as a result of the higher ancillary revenues mentioned above.</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Rental Revenues, Expenses and Profit</w:t>
      </w:r>
    </w:p>
    <w:p>
      <w:pPr>
        <w:spacing w:after="0" w:line="82"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2021 Second Quarter</w:t>
      </w:r>
    </w:p>
    <w:p>
      <w:pPr>
        <w:spacing w:after="0" w:line="33" w:lineRule="exact"/>
        <w:rPr>
          <w:sz w:val="20"/>
          <w:szCs w:val="20"/>
          <w:color w:val="auto"/>
        </w:rPr>
      </w:pPr>
    </w:p>
    <w:tbl>
      <w:tblPr>
        <w:tblLayout w:type="fixed"/>
        <w:tblInd w:w="8" w:type="dxa"/>
        <w:tblCellMar>
          <w:top w:w="0" w:type="dxa"/>
          <w:left w:w="0" w:type="dxa"/>
          <w:bottom w:w="0" w:type="dxa"/>
          <w:right w:w="0" w:type="dxa"/>
        </w:tblCellMar>
      </w:tblPr>
      <w:tr>
        <w:trPr>
          <w:trHeight w:val="140"/>
        </w:trPr>
        <w:tc>
          <w:tcPr>
            <w:tcW w:w="4840" w:type="dxa"/>
            <w:vAlign w:val="bottom"/>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0"/>
              </w:rPr>
              <w:t>Three Months Ended</w:t>
            </w:r>
          </w:p>
        </w:tc>
        <w:tc>
          <w:tcPr>
            <w:tcW w:w="11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135"/>
        </w:trPr>
        <w:tc>
          <w:tcPr>
            <w:tcW w:w="484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1080" w:type="dxa"/>
            <w:vAlign w:val="bottom"/>
            <w:tcBorders>
              <w:bottom w:val="single" w:sz="8" w:color="auto"/>
            </w:tcBorders>
          </w:tcPr>
          <w:p>
            <w:pPr>
              <w:jc w:val="center"/>
              <w:ind w:left="407"/>
              <w:spacing w:after="0"/>
              <w:rPr>
                <w:sz w:val="20"/>
                <w:szCs w:val="20"/>
                <w:color w:val="auto"/>
              </w:rPr>
            </w:pPr>
            <w:r>
              <w:rPr>
                <w:rFonts w:ascii="Arial" w:cs="Arial" w:eastAsia="Arial" w:hAnsi="Arial"/>
                <w:sz w:val="11"/>
                <w:szCs w:val="11"/>
                <w:b w:val="1"/>
                <w:bCs w:val="1"/>
                <w:color w:val="auto"/>
                <w:w w:val="86"/>
              </w:rPr>
              <w:t>June 30, 2021</w:t>
            </w:r>
          </w:p>
        </w:tc>
        <w:tc>
          <w:tcPr>
            <w:tcW w:w="4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center"/>
              <w:ind w:right="381"/>
              <w:spacing w:after="0"/>
              <w:rPr>
                <w:sz w:val="20"/>
                <w:szCs w:val="20"/>
                <w:color w:val="auto"/>
              </w:rPr>
            </w:pPr>
            <w:r>
              <w:rPr>
                <w:rFonts w:ascii="Arial" w:cs="Arial" w:eastAsia="Arial" w:hAnsi="Arial"/>
                <w:sz w:val="11"/>
                <w:szCs w:val="11"/>
                <w:b w:val="1"/>
                <w:bCs w:val="1"/>
                <w:color w:val="auto"/>
                <w:w w:val="86"/>
              </w:rPr>
              <w:t>June 30, 2020</w:t>
            </w:r>
          </w:p>
        </w:tc>
        <w:tc>
          <w:tcPr>
            <w:tcW w:w="8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ind w:left="260"/>
              <w:spacing w:after="0"/>
              <w:rPr>
                <w:sz w:val="20"/>
                <w:szCs w:val="20"/>
                <w:color w:val="auto"/>
              </w:rPr>
            </w:pPr>
            <w:r>
              <w:rPr>
                <w:rFonts w:ascii="Arial" w:cs="Arial" w:eastAsia="Arial" w:hAnsi="Arial"/>
                <w:sz w:val="11"/>
                <w:szCs w:val="11"/>
                <w:b w:val="1"/>
                <w:bCs w:val="1"/>
                <w:color w:val="auto"/>
              </w:rPr>
              <w:t>Change</w:t>
            </w:r>
          </w:p>
        </w:tc>
        <w:tc>
          <w:tcPr>
            <w:tcW w:w="80" w:type="dxa"/>
            <w:vAlign w:val="bottom"/>
            <w:tcBorders>
              <w:bottom w:val="single" w:sz="8" w:color="CCEEFF"/>
            </w:tcBorders>
          </w:tcPr>
          <w:p>
            <w:pPr>
              <w:spacing w:after="0"/>
              <w:rPr>
                <w:sz w:val="11"/>
                <w:szCs w:val="11"/>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 Change</w:t>
            </w:r>
          </w:p>
        </w:tc>
      </w:tr>
      <w:tr>
        <w:trPr>
          <w:trHeight w:val="144"/>
        </w:trPr>
        <w:tc>
          <w:tcPr>
            <w:tcW w:w="48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Rental revenues</w:t>
            </w:r>
          </w:p>
        </w:tc>
        <w:tc>
          <w:tcPr>
            <w:tcW w:w="1080" w:type="dxa"/>
            <w:vAlign w:val="bottom"/>
            <w:shd w:val="clear" w:color="auto" w:fill="CCEEFF"/>
          </w:tcPr>
          <w:p>
            <w:pPr>
              <w:jc w:val="right"/>
              <w:ind w:right="967"/>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110</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332"/>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w:t>
            </w:r>
          </w:p>
        </w:tc>
        <w:tc>
          <w:tcPr>
            <w:tcW w:w="80" w:type="dxa"/>
            <w:vAlign w:val="bottom"/>
            <w:shd w:val="clear" w:color="auto" w:fill="CCEEFF"/>
          </w:tcPr>
          <w:p>
            <w:pPr>
              <w:spacing w:after="0"/>
              <w:rPr>
                <w:sz w:val="12"/>
                <w:szCs w:val="12"/>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NM</w:t>
            </w:r>
          </w:p>
        </w:tc>
      </w:tr>
      <w:tr>
        <w:trPr>
          <w:trHeight w:val="153"/>
        </w:trPr>
        <w:tc>
          <w:tcPr>
            <w:tcW w:w="48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Rental expenses</w:t>
            </w:r>
          </w:p>
        </w:tc>
        <w:tc>
          <w:tcPr>
            <w:tcW w:w="10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(95)</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(87)</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w:t>
            </w:r>
          </w:p>
        </w:tc>
        <w:tc>
          <w:tcPr>
            <w:tcW w:w="1640" w:type="dxa"/>
            <w:vAlign w:val="bottom"/>
            <w:tcBorders>
              <w:bottom w:val="single" w:sz="8" w:color="CCEEFF"/>
            </w:tcBorders>
            <w:gridSpan w:val="2"/>
          </w:tcPr>
          <w:p>
            <w:pPr>
              <w:jc w:val="center"/>
              <w:ind w:left="20"/>
              <w:spacing w:after="0"/>
              <w:rPr>
                <w:sz w:val="20"/>
                <w:szCs w:val="20"/>
                <w:color w:val="auto"/>
              </w:rPr>
            </w:pPr>
            <w:r>
              <w:rPr>
                <w:rFonts w:ascii="Arial" w:cs="Arial" w:eastAsia="Arial" w:hAnsi="Arial"/>
                <w:sz w:val="12"/>
                <w:szCs w:val="12"/>
                <w:color w:val="auto"/>
                <w:w w:val="94"/>
              </w:rPr>
              <w:t>(9%)</w:t>
            </w:r>
          </w:p>
        </w:tc>
      </w:tr>
      <w:tr>
        <w:trPr>
          <w:trHeight w:val="162"/>
        </w:trPr>
        <w:tc>
          <w:tcPr>
            <w:tcW w:w="4840" w:type="dxa"/>
            <w:vAlign w:val="bottom"/>
            <w:tcBorders>
              <w:bottom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Rental profit</w:t>
            </w:r>
          </w:p>
        </w:tc>
        <w:tc>
          <w:tcPr>
            <w:tcW w:w="1080" w:type="dxa"/>
            <w:vAlign w:val="bottom"/>
            <w:tcBorders>
              <w:bottom w:val="single" w:sz="8" w:color="auto"/>
            </w:tcBorders>
            <w:shd w:val="clear" w:color="auto" w:fill="CCEEFF"/>
          </w:tcPr>
          <w:p>
            <w:pPr>
              <w:jc w:val="right"/>
              <w:ind w:right="967"/>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w:t>
            </w:r>
          </w:p>
        </w:tc>
        <w:tc>
          <w:tcPr>
            <w:tcW w:w="1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(75)</w:t>
            </w: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90</w:t>
            </w:r>
          </w:p>
        </w:tc>
        <w:tc>
          <w:tcPr>
            <w:tcW w:w="1640" w:type="dxa"/>
            <w:vAlign w:val="bottom"/>
            <w:tcBorders>
              <w:bottom w:val="single" w:sz="8" w:color="CCEEFF"/>
            </w:tcBorders>
            <w:gridSpan w:val="2"/>
            <w:shd w:val="clear" w:color="auto" w:fill="CCEEFF"/>
          </w:tcPr>
          <w:p>
            <w:pPr>
              <w:jc w:val="center"/>
              <w:ind w:left="20"/>
              <w:spacing w:after="0"/>
              <w:rPr>
                <w:sz w:val="20"/>
                <w:szCs w:val="20"/>
                <w:color w:val="auto"/>
              </w:rPr>
            </w:pPr>
            <w:r>
              <w:rPr>
                <w:rFonts w:ascii="Arial" w:cs="Arial" w:eastAsia="Arial" w:hAnsi="Arial"/>
                <w:sz w:val="12"/>
                <w:szCs w:val="12"/>
                <w:color w:val="auto"/>
                <w:w w:val="91"/>
              </w:rPr>
              <w:t>119%</w:t>
            </w:r>
          </w:p>
        </w:tc>
      </w:tr>
      <w:tr>
        <w:trPr>
          <w:trHeight w:val="149"/>
        </w:trPr>
        <w:tc>
          <w:tcPr>
            <w:tcW w:w="4840" w:type="dxa"/>
            <w:vAlign w:val="bottom"/>
          </w:tcPr>
          <w:p>
            <w:pPr>
              <w:spacing w:after="0"/>
              <w:rPr>
                <w:sz w:val="20"/>
                <w:szCs w:val="20"/>
                <w:color w:val="auto"/>
              </w:rPr>
            </w:pPr>
            <w:r>
              <w:rPr>
                <w:rFonts w:ascii="Arial" w:cs="Arial" w:eastAsia="Arial" w:hAnsi="Arial"/>
                <w:sz w:val="12"/>
                <w:szCs w:val="12"/>
                <w:color w:val="auto"/>
              </w:rPr>
              <w:t>Rental profit margin</w:t>
            </w:r>
          </w:p>
        </w:tc>
        <w:tc>
          <w:tcPr>
            <w:tcW w:w="1080" w:type="dxa"/>
            <w:vAlign w:val="bottom"/>
          </w:tcPr>
          <w:p>
            <w:pPr>
              <w:jc w:val="center"/>
              <w:ind w:left="407"/>
              <w:spacing w:after="0"/>
              <w:rPr>
                <w:sz w:val="20"/>
                <w:szCs w:val="20"/>
                <w:color w:val="auto"/>
              </w:rPr>
            </w:pPr>
            <w:r>
              <w:rPr>
                <w:rFonts w:ascii="Arial" w:cs="Arial" w:eastAsia="Arial" w:hAnsi="Arial"/>
                <w:sz w:val="12"/>
                <w:szCs w:val="12"/>
                <w:color w:val="auto"/>
                <w:w w:val="88"/>
              </w:rPr>
              <w:t>13.2%</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gridSpan w:val="2"/>
          </w:tcPr>
          <w:p>
            <w:pPr>
              <w:jc w:val="center"/>
              <w:ind w:right="540"/>
              <w:spacing w:after="0"/>
              <w:rPr>
                <w:sz w:val="20"/>
                <w:szCs w:val="20"/>
                <w:color w:val="auto"/>
              </w:rPr>
            </w:pPr>
            <w:r>
              <w:rPr>
                <w:rFonts w:ascii="Arial" w:cs="Arial" w:eastAsia="Arial" w:hAnsi="Arial"/>
                <w:sz w:val="12"/>
                <w:szCs w:val="12"/>
                <w:color w:val="auto"/>
              </w:rPr>
              <w:t>NM</w:t>
            </w: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284"/>
        </w:trPr>
        <w:tc>
          <w:tcPr>
            <w:tcW w:w="484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0"/>
              </w:rPr>
              <w:t>Three Months Ended</w:t>
            </w:r>
          </w:p>
        </w:tc>
        <w:tc>
          <w:tcPr>
            <w:tcW w:w="11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35"/>
        </w:trPr>
        <w:tc>
          <w:tcPr>
            <w:tcW w:w="4840" w:type="dxa"/>
            <w:vAlign w:val="bottom"/>
            <w:tcBorders>
              <w:bottom w:val="single" w:sz="8" w:color="CCEEFF"/>
            </w:tcBorders>
          </w:tcPr>
          <w:p>
            <w:pPr>
              <w:spacing w:after="0"/>
              <w:rPr>
                <w:sz w:val="11"/>
                <w:szCs w:val="11"/>
                <w:color w:val="auto"/>
              </w:rPr>
            </w:pPr>
          </w:p>
        </w:tc>
        <w:tc>
          <w:tcPr>
            <w:tcW w:w="1080" w:type="dxa"/>
            <w:vAlign w:val="bottom"/>
            <w:tcBorders>
              <w:bottom w:val="single" w:sz="8" w:color="auto"/>
            </w:tcBorders>
          </w:tcPr>
          <w:p>
            <w:pPr>
              <w:jc w:val="center"/>
              <w:ind w:left="407"/>
              <w:spacing w:after="0"/>
              <w:rPr>
                <w:sz w:val="20"/>
                <w:szCs w:val="20"/>
                <w:color w:val="auto"/>
              </w:rPr>
            </w:pPr>
            <w:r>
              <w:rPr>
                <w:rFonts w:ascii="Arial" w:cs="Arial" w:eastAsia="Arial" w:hAnsi="Arial"/>
                <w:sz w:val="11"/>
                <w:szCs w:val="11"/>
                <w:b w:val="1"/>
                <w:bCs w:val="1"/>
                <w:color w:val="auto"/>
                <w:w w:val="86"/>
              </w:rPr>
              <w:t>June 30, 2021</w:t>
            </w:r>
          </w:p>
        </w:tc>
        <w:tc>
          <w:tcPr>
            <w:tcW w:w="4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center"/>
              <w:ind w:right="381"/>
              <w:spacing w:after="0"/>
              <w:rPr>
                <w:sz w:val="20"/>
                <w:szCs w:val="20"/>
                <w:color w:val="auto"/>
              </w:rPr>
            </w:pPr>
            <w:r>
              <w:rPr>
                <w:rFonts w:ascii="Arial" w:cs="Arial" w:eastAsia="Arial" w:hAnsi="Arial"/>
                <w:sz w:val="11"/>
                <w:szCs w:val="11"/>
                <w:b w:val="1"/>
                <w:bCs w:val="1"/>
                <w:color w:val="auto"/>
                <w:w w:val="86"/>
              </w:rPr>
              <w:t>June 30, 2020</w:t>
            </w:r>
          </w:p>
        </w:tc>
        <w:tc>
          <w:tcPr>
            <w:tcW w:w="8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ind w:left="260"/>
              <w:spacing w:after="0"/>
              <w:rPr>
                <w:sz w:val="20"/>
                <w:szCs w:val="20"/>
                <w:color w:val="auto"/>
              </w:rPr>
            </w:pPr>
            <w:r>
              <w:rPr>
                <w:rFonts w:ascii="Arial" w:cs="Arial" w:eastAsia="Arial" w:hAnsi="Arial"/>
                <w:sz w:val="11"/>
                <w:szCs w:val="11"/>
                <w:b w:val="1"/>
                <w:bCs w:val="1"/>
                <w:color w:val="auto"/>
              </w:rPr>
              <w:t>Change</w:t>
            </w:r>
          </w:p>
        </w:tc>
        <w:tc>
          <w:tcPr>
            <w:tcW w:w="80" w:type="dxa"/>
            <w:vAlign w:val="bottom"/>
            <w:tcBorders>
              <w:bottom w:val="single" w:sz="8" w:color="CCEEFF"/>
            </w:tcBorders>
          </w:tcPr>
          <w:p>
            <w:pPr>
              <w:spacing w:after="0"/>
              <w:rPr>
                <w:sz w:val="11"/>
                <w:szCs w:val="11"/>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 Change</w:t>
            </w:r>
          </w:p>
        </w:tc>
      </w:tr>
      <w:tr>
        <w:trPr>
          <w:trHeight w:val="144"/>
        </w:trPr>
        <w:tc>
          <w:tcPr>
            <w:tcW w:w="4840" w:type="dxa"/>
            <w:vAlign w:val="bottom"/>
            <w:shd w:val="clear" w:color="auto" w:fill="CCEEFF"/>
          </w:tcPr>
          <w:p>
            <w:pPr>
              <w:spacing w:after="0"/>
              <w:rPr>
                <w:sz w:val="20"/>
                <w:szCs w:val="20"/>
                <w:color w:val="auto"/>
              </w:rPr>
            </w:pPr>
            <w:r>
              <w:rPr>
                <w:rFonts w:ascii="Arial" w:cs="Arial" w:eastAsia="Arial" w:hAnsi="Arial"/>
                <w:sz w:val="12"/>
                <w:szCs w:val="12"/>
                <w:color w:val="auto"/>
              </w:rPr>
              <w:t>Transient keys rented</w:t>
            </w:r>
            <w:r>
              <w:rPr>
                <w:rFonts w:ascii="Arial" w:cs="Arial" w:eastAsia="Arial" w:hAnsi="Arial"/>
                <w:sz w:val="7"/>
                <w:szCs w:val="7"/>
                <w:color w:val="auto"/>
              </w:rPr>
              <w:t>(1)</w:t>
            </w:r>
          </w:p>
        </w:tc>
        <w:tc>
          <w:tcPr>
            <w:tcW w:w="10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2"/>
              </w:rPr>
              <w:t>547,041</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44,985</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502,056</w:t>
            </w:r>
          </w:p>
        </w:tc>
        <w:tc>
          <w:tcPr>
            <w:tcW w:w="80" w:type="dxa"/>
            <w:vAlign w:val="bottom"/>
            <w:shd w:val="clear" w:color="auto" w:fill="CCEEFF"/>
          </w:tcPr>
          <w:p>
            <w:pPr>
              <w:spacing w:after="0"/>
              <w:rPr>
                <w:sz w:val="12"/>
                <w:szCs w:val="12"/>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NM</w:t>
            </w:r>
          </w:p>
        </w:tc>
      </w:tr>
      <w:tr>
        <w:trPr>
          <w:trHeight w:val="153"/>
        </w:trPr>
        <w:tc>
          <w:tcPr>
            <w:tcW w:w="4840" w:type="dxa"/>
            <w:vAlign w:val="bottom"/>
          </w:tcPr>
          <w:p>
            <w:pPr>
              <w:spacing w:after="0"/>
              <w:rPr>
                <w:sz w:val="20"/>
                <w:szCs w:val="20"/>
                <w:color w:val="auto"/>
              </w:rPr>
            </w:pPr>
            <w:r>
              <w:rPr>
                <w:rFonts w:ascii="Arial" w:cs="Arial" w:eastAsia="Arial" w:hAnsi="Arial"/>
                <w:sz w:val="12"/>
                <w:szCs w:val="12"/>
                <w:color w:val="auto"/>
              </w:rPr>
              <w:t>Average transient key rate</w:t>
            </w:r>
          </w:p>
        </w:tc>
        <w:tc>
          <w:tcPr>
            <w:tcW w:w="1080" w:type="dxa"/>
            <w:vAlign w:val="bottom"/>
          </w:tcPr>
          <w:p>
            <w:pPr>
              <w:jc w:val="right"/>
              <w:ind w:right="967"/>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230.67</w:t>
            </w:r>
          </w:p>
        </w:tc>
        <w:tc>
          <w:tcPr>
            <w:tcW w:w="100" w:type="dxa"/>
            <w:vAlign w:val="bottom"/>
          </w:tcPr>
          <w:p>
            <w:pPr>
              <w:spacing w:after="0"/>
              <w:rPr>
                <w:sz w:val="13"/>
                <w:szCs w:val="13"/>
                <w:color w:val="auto"/>
              </w:rPr>
            </w:pPr>
          </w:p>
        </w:tc>
        <w:tc>
          <w:tcPr>
            <w:tcW w:w="440" w:type="dxa"/>
            <w:vAlign w:val="bottom"/>
          </w:tcPr>
          <w:p>
            <w:pPr>
              <w:jc w:val="right"/>
              <w:ind w:right="332"/>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191.61</w:t>
            </w:r>
          </w:p>
        </w:tc>
        <w:tc>
          <w:tcPr>
            <w:tcW w:w="8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39.06</w:t>
            </w:r>
          </w:p>
        </w:tc>
        <w:tc>
          <w:tcPr>
            <w:tcW w:w="1640" w:type="dxa"/>
            <w:vAlign w:val="bottom"/>
            <w:gridSpan w:val="2"/>
          </w:tcPr>
          <w:p>
            <w:pPr>
              <w:jc w:val="center"/>
              <w:ind w:left="40"/>
              <w:spacing w:after="0"/>
              <w:rPr>
                <w:sz w:val="20"/>
                <w:szCs w:val="20"/>
                <w:color w:val="auto"/>
              </w:rPr>
            </w:pPr>
            <w:r>
              <w:rPr>
                <w:rFonts w:ascii="Arial" w:cs="Arial" w:eastAsia="Arial" w:hAnsi="Arial"/>
                <w:sz w:val="12"/>
                <w:szCs w:val="12"/>
                <w:color w:val="auto"/>
                <w:w w:val="91"/>
              </w:rPr>
              <w:t>20%</w:t>
            </w:r>
          </w:p>
        </w:tc>
      </w:tr>
      <w:tr>
        <w:trPr>
          <w:trHeight w:val="153"/>
        </w:trPr>
        <w:tc>
          <w:tcPr>
            <w:tcW w:w="4840" w:type="dxa"/>
            <w:vAlign w:val="bottom"/>
            <w:shd w:val="clear" w:color="auto" w:fill="CCEEFF"/>
          </w:tcPr>
          <w:p>
            <w:pPr>
              <w:spacing w:after="0"/>
              <w:rPr>
                <w:sz w:val="20"/>
                <w:szCs w:val="20"/>
                <w:color w:val="auto"/>
              </w:rPr>
            </w:pPr>
            <w:r>
              <w:rPr>
                <w:rFonts w:ascii="Arial" w:cs="Arial" w:eastAsia="Arial" w:hAnsi="Arial"/>
                <w:sz w:val="12"/>
                <w:szCs w:val="12"/>
                <w:color w:val="auto"/>
              </w:rPr>
              <w:t>Resort occupancy</w:t>
            </w:r>
          </w:p>
        </w:tc>
        <w:tc>
          <w:tcPr>
            <w:tcW w:w="1080" w:type="dxa"/>
            <w:vAlign w:val="bottom"/>
            <w:shd w:val="clear" w:color="auto" w:fill="CCEEFF"/>
          </w:tcPr>
          <w:p>
            <w:pPr>
              <w:jc w:val="center"/>
              <w:ind w:left="407"/>
              <w:spacing w:after="0"/>
              <w:rPr>
                <w:sz w:val="20"/>
                <w:szCs w:val="20"/>
                <w:color w:val="auto"/>
              </w:rPr>
            </w:pPr>
            <w:r>
              <w:rPr>
                <w:rFonts w:ascii="Arial" w:cs="Arial" w:eastAsia="Arial" w:hAnsi="Arial"/>
                <w:sz w:val="12"/>
                <w:szCs w:val="12"/>
                <w:color w:val="auto"/>
                <w:w w:val="88"/>
              </w:rPr>
              <w:t>85.0%</w:t>
            </w: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100" w:type="dxa"/>
            <w:vAlign w:val="bottom"/>
            <w:shd w:val="clear" w:color="auto" w:fill="CCEEFF"/>
          </w:tcPr>
          <w:p>
            <w:pPr>
              <w:jc w:val="center"/>
              <w:ind w:right="381"/>
              <w:spacing w:after="0"/>
              <w:rPr>
                <w:sz w:val="20"/>
                <w:szCs w:val="20"/>
                <w:color w:val="auto"/>
              </w:rPr>
            </w:pPr>
            <w:r>
              <w:rPr>
                <w:rFonts w:ascii="Arial" w:cs="Arial" w:eastAsia="Arial" w:hAnsi="Arial"/>
                <w:sz w:val="12"/>
                <w:szCs w:val="12"/>
                <w:color w:val="auto"/>
                <w:w w:val="88"/>
              </w:rPr>
              <w:t>24.5%</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60.5 pts</w:t>
            </w:r>
          </w:p>
        </w:tc>
        <w:tc>
          <w:tcPr>
            <w:tcW w:w="8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r>
    </w:tbl>
    <w:p>
      <w:pPr>
        <w:spacing w:after="0" w:line="54" w:lineRule="exact"/>
        <w:rPr>
          <w:sz w:val="20"/>
          <w:szCs w:val="20"/>
          <w:color w:val="auto"/>
        </w:rPr>
      </w:pPr>
    </w:p>
    <w:p>
      <w:pPr>
        <w:ind w:left="8"/>
        <w:spacing w:after="0"/>
        <w:rPr>
          <w:sz w:val="20"/>
          <w:szCs w:val="20"/>
          <w:color w:val="auto"/>
        </w:rPr>
      </w:pPr>
      <w:r>
        <w:rPr>
          <w:rFonts w:ascii="Arial" w:cs="Arial" w:eastAsia="Arial" w:hAnsi="Arial"/>
          <w:sz w:val="12"/>
          <w:szCs w:val="12"/>
          <w:color w:val="auto"/>
        </w:rPr>
        <w:t>_________________________</w:t>
      </w:r>
    </w:p>
    <w:p>
      <w:pPr>
        <w:spacing w:after="0" w:line="11" w:lineRule="exact"/>
        <w:rPr>
          <w:sz w:val="20"/>
          <w:szCs w:val="20"/>
          <w:color w:val="auto"/>
        </w:rPr>
      </w:pPr>
    </w:p>
    <w:p>
      <w:pPr>
        <w:ind w:left="428" w:hanging="428"/>
        <w:spacing w:after="0"/>
        <w:tabs>
          <w:tab w:leader="none" w:pos="428" w:val="left"/>
        </w:tabs>
        <w:numPr>
          <w:ilvl w:val="0"/>
          <w:numId w:val="36"/>
        </w:numPr>
        <w:rPr>
          <w:rFonts w:ascii="Arial" w:cs="Arial" w:eastAsia="Arial" w:hAnsi="Arial"/>
          <w:sz w:val="16"/>
          <w:szCs w:val="16"/>
          <w:color w:val="auto"/>
          <w:vertAlign w:val="superscript"/>
        </w:rPr>
      </w:pPr>
      <w:r>
        <w:rPr>
          <w:rFonts w:ascii="Arial" w:cs="Arial" w:eastAsia="Arial" w:hAnsi="Arial"/>
          <w:sz w:val="12"/>
          <w:szCs w:val="12"/>
          <w:color w:val="auto"/>
        </w:rPr>
        <w:t>Transient keys rented exclude those occupied through the use of plus points and preview stays.</w:t>
      </w:r>
    </w:p>
    <w:p>
      <w:pPr>
        <w:spacing w:after="0" w:line="63" w:lineRule="exact"/>
        <w:rPr>
          <w:sz w:val="20"/>
          <w:szCs w:val="20"/>
          <w:color w:val="auto"/>
        </w:rPr>
      </w:pPr>
    </w:p>
    <w:p>
      <w:pPr>
        <w:ind w:left="8" w:firstLine="432"/>
        <w:spacing w:after="0" w:line="298" w:lineRule="auto"/>
        <w:rPr>
          <w:sz w:val="20"/>
          <w:szCs w:val="20"/>
          <w:color w:val="auto"/>
        </w:rPr>
      </w:pPr>
      <w:r>
        <w:rPr>
          <w:rFonts w:ascii="Arial" w:cs="Arial" w:eastAsia="Arial" w:hAnsi="Arial"/>
          <w:sz w:val="11"/>
          <w:szCs w:val="11"/>
          <w:color w:val="auto"/>
        </w:rPr>
        <w:t>The improvement in rental profit resulted from an increase in keys rented and average transient rate due to the continued ramp-up of the business subsequent to the initial impact of the COVID-19 pandemic late in the prior year first quarter and higher plus point revenue as COVID-19-related restrictions continued to ease. These increases were partially offset by higher inventory carrying costs (due to low sales volumes as a result of the COVID-19 pandemic, the acquisition of new inventory in the first quarter of 2021, and higher utilization of third-party vacation offerings for owners who elect to exchange their inventory).</w:t>
      </w:r>
    </w:p>
    <w:p>
      <w:pPr>
        <w:spacing w:after="0" w:line="33" w:lineRule="exact"/>
        <w:rPr>
          <w:sz w:val="20"/>
          <w:szCs w:val="20"/>
          <w:color w:val="auto"/>
        </w:rPr>
      </w:pPr>
    </w:p>
    <w:p>
      <w:pPr>
        <w:ind w:left="8" w:right="60" w:firstLine="432"/>
        <w:spacing w:after="0" w:line="276" w:lineRule="auto"/>
        <w:rPr>
          <w:sz w:val="20"/>
          <w:szCs w:val="20"/>
          <w:color w:val="auto"/>
        </w:rPr>
      </w:pPr>
      <w:r>
        <w:rPr>
          <w:rFonts w:ascii="Arial" w:cs="Arial" w:eastAsia="Arial" w:hAnsi="Arial"/>
          <w:sz w:val="12"/>
          <w:szCs w:val="12"/>
          <w:color w:val="auto"/>
        </w:rPr>
        <w:t>As the majority of the governmental restrictions in response to the pandemic that caused rental activity to decline, such as travel restrictions and quarantine requirements, either were lifted by the end of the first quarter of 2021 or shortly thereafter, we expect rental occupancies to continue to increase throughout 2021.</w:t>
      </w:r>
    </w:p>
    <w:p>
      <w:pPr>
        <w:spacing w:after="0" w:line="106" w:lineRule="exact"/>
        <w:rPr>
          <w:sz w:val="20"/>
          <w:szCs w:val="20"/>
          <w:color w:val="auto"/>
        </w:rPr>
      </w:pPr>
    </w:p>
    <w:p>
      <w:pPr>
        <w:jc w:val="center"/>
        <w:ind w:left="420"/>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191135</wp:posOffset>
            </wp:positionV>
            <wp:extent cx="7203440" cy="368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75" w:right="299" w:bottom="1440" w:gutter="0" w:footer="0" w:header="0"/>
        </w:sectPr>
      </w:pPr>
    </w:p>
    <w:bookmarkStart w:id="58" w:name="page59"/>
    <w:bookmarkEnd w:id="58"/>
    <w:p>
      <w:pPr>
        <w:ind w:left="8"/>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83"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2021 First Half</w:t>
      </w:r>
    </w:p>
    <w:p>
      <w:pPr>
        <w:spacing w:after="0" w:line="33" w:lineRule="exact"/>
        <w:rPr>
          <w:sz w:val="20"/>
          <w:szCs w:val="20"/>
          <w:color w:val="auto"/>
        </w:rPr>
      </w:pPr>
    </w:p>
    <w:tbl>
      <w:tblPr>
        <w:tblLayout w:type="fixed"/>
        <w:tblInd w:w="8" w:type="dxa"/>
        <w:tblCellMar>
          <w:top w:w="0" w:type="dxa"/>
          <w:left w:w="0" w:type="dxa"/>
          <w:bottom w:w="0" w:type="dxa"/>
          <w:right w:w="0" w:type="dxa"/>
        </w:tblCellMar>
      </w:tblPr>
      <w:tr>
        <w:trPr>
          <w:trHeight w:val="140"/>
        </w:trPr>
        <w:tc>
          <w:tcPr>
            <w:tcW w:w="4840" w:type="dxa"/>
            <w:vAlign w:val="bottom"/>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4"/>
              </w:rPr>
              <w:t>Six Months Ended</w:t>
            </w:r>
          </w:p>
        </w:tc>
        <w:tc>
          <w:tcPr>
            <w:tcW w:w="11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135"/>
        </w:trPr>
        <w:tc>
          <w:tcPr>
            <w:tcW w:w="484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1100" w:type="dxa"/>
            <w:vAlign w:val="bottom"/>
            <w:tcBorders>
              <w:bottom w:val="single" w:sz="8" w:color="auto"/>
            </w:tcBorders>
          </w:tcPr>
          <w:p>
            <w:pPr>
              <w:jc w:val="center"/>
              <w:ind w:left="387"/>
              <w:spacing w:after="0"/>
              <w:rPr>
                <w:sz w:val="20"/>
                <w:szCs w:val="20"/>
                <w:color w:val="auto"/>
              </w:rPr>
            </w:pPr>
            <w:r>
              <w:rPr>
                <w:rFonts w:ascii="Arial" w:cs="Arial" w:eastAsia="Arial" w:hAnsi="Arial"/>
                <w:sz w:val="11"/>
                <w:szCs w:val="11"/>
                <w:b w:val="1"/>
                <w:bCs w:val="1"/>
                <w:color w:val="auto"/>
                <w:w w:val="86"/>
              </w:rPr>
              <w:t>June 30, 2021</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center"/>
              <w:ind w:right="361"/>
              <w:spacing w:after="0"/>
              <w:rPr>
                <w:sz w:val="20"/>
                <w:szCs w:val="20"/>
                <w:color w:val="auto"/>
              </w:rPr>
            </w:pPr>
            <w:r>
              <w:rPr>
                <w:rFonts w:ascii="Arial" w:cs="Arial" w:eastAsia="Arial" w:hAnsi="Arial"/>
                <w:sz w:val="11"/>
                <w:szCs w:val="11"/>
                <w:b w:val="1"/>
                <w:bCs w:val="1"/>
                <w:color w:val="auto"/>
                <w:w w:val="86"/>
              </w:rPr>
              <w:t>June 30, 2020</w:t>
            </w:r>
          </w:p>
        </w:tc>
        <w:tc>
          <w:tcPr>
            <w:tcW w:w="8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ind w:left="260"/>
              <w:spacing w:after="0"/>
              <w:rPr>
                <w:sz w:val="20"/>
                <w:szCs w:val="20"/>
                <w:color w:val="auto"/>
              </w:rPr>
            </w:pPr>
            <w:r>
              <w:rPr>
                <w:rFonts w:ascii="Arial" w:cs="Arial" w:eastAsia="Arial" w:hAnsi="Arial"/>
                <w:sz w:val="11"/>
                <w:szCs w:val="11"/>
                <w:b w:val="1"/>
                <w:bCs w:val="1"/>
                <w:color w:val="auto"/>
              </w:rPr>
              <w:t>Change</w:t>
            </w:r>
          </w:p>
        </w:tc>
        <w:tc>
          <w:tcPr>
            <w:tcW w:w="80" w:type="dxa"/>
            <w:vAlign w:val="bottom"/>
            <w:tcBorders>
              <w:bottom w:val="single" w:sz="8" w:color="CCEEFF"/>
            </w:tcBorders>
          </w:tcPr>
          <w:p>
            <w:pPr>
              <w:spacing w:after="0"/>
              <w:rPr>
                <w:sz w:val="11"/>
                <w:szCs w:val="11"/>
                <w:color w:val="auto"/>
              </w:rPr>
            </w:pPr>
          </w:p>
        </w:tc>
        <w:tc>
          <w:tcPr>
            <w:tcW w:w="1560" w:type="dxa"/>
            <w:vAlign w:val="bottom"/>
            <w:tcBorders>
              <w:bottom w:val="single" w:sz="8" w:color="auto"/>
            </w:tcBorders>
          </w:tcPr>
          <w:p>
            <w:pPr>
              <w:ind w:left="540"/>
              <w:spacing w:after="0"/>
              <w:rPr>
                <w:sz w:val="20"/>
                <w:szCs w:val="20"/>
                <w:color w:val="auto"/>
              </w:rPr>
            </w:pPr>
            <w:r>
              <w:rPr>
                <w:rFonts w:ascii="Arial" w:cs="Arial" w:eastAsia="Arial" w:hAnsi="Arial"/>
                <w:sz w:val="11"/>
                <w:szCs w:val="11"/>
                <w:b w:val="1"/>
                <w:bCs w:val="1"/>
                <w:color w:val="auto"/>
              </w:rPr>
              <w:t>% Change</w:t>
            </w:r>
          </w:p>
        </w:tc>
      </w:tr>
      <w:tr>
        <w:trPr>
          <w:trHeight w:val="144"/>
        </w:trPr>
        <w:tc>
          <w:tcPr>
            <w:tcW w:w="48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Rental revenues</w:t>
            </w:r>
          </w:p>
        </w:tc>
        <w:tc>
          <w:tcPr>
            <w:tcW w:w="1100" w:type="dxa"/>
            <w:vAlign w:val="bottom"/>
            <w:shd w:val="clear" w:color="auto" w:fill="CCEEFF"/>
          </w:tcPr>
          <w:p>
            <w:pPr>
              <w:jc w:val="right"/>
              <w:ind w:right="987"/>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187</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312"/>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134</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w:t>
            </w:r>
          </w:p>
        </w:tc>
        <w:tc>
          <w:tcPr>
            <w:tcW w:w="1640" w:type="dxa"/>
            <w:vAlign w:val="bottom"/>
            <w:gridSpan w:val="2"/>
            <w:shd w:val="clear" w:color="auto" w:fill="CCEEFF"/>
          </w:tcPr>
          <w:p>
            <w:pPr>
              <w:jc w:val="center"/>
              <w:ind w:left="40"/>
              <w:spacing w:after="0"/>
              <w:rPr>
                <w:sz w:val="20"/>
                <w:szCs w:val="20"/>
                <w:color w:val="auto"/>
              </w:rPr>
            </w:pPr>
            <w:r>
              <w:rPr>
                <w:rFonts w:ascii="Arial" w:cs="Arial" w:eastAsia="Arial" w:hAnsi="Arial"/>
                <w:sz w:val="12"/>
                <w:szCs w:val="12"/>
                <w:color w:val="auto"/>
                <w:w w:val="91"/>
              </w:rPr>
              <w:t>39%</w:t>
            </w:r>
          </w:p>
        </w:tc>
      </w:tr>
      <w:tr>
        <w:trPr>
          <w:trHeight w:val="153"/>
        </w:trPr>
        <w:tc>
          <w:tcPr>
            <w:tcW w:w="48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Rental expenses</w:t>
            </w:r>
          </w:p>
        </w:tc>
        <w:tc>
          <w:tcPr>
            <w:tcW w:w="1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(191)</w:t>
            </w: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(194)</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w:t>
            </w:r>
          </w:p>
        </w:tc>
        <w:tc>
          <w:tcPr>
            <w:tcW w:w="1640" w:type="dxa"/>
            <w:vAlign w:val="bottom"/>
            <w:tcBorders>
              <w:bottom w:val="single" w:sz="8" w:color="CCEEFF"/>
            </w:tcBorders>
            <w:gridSpan w:val="2"/>
          </w:tcPr>
          <w:p>
            <w:pPr>
              <w:jc w:val="center"/>
              <w:ind w:left="20"/>
              <w:spacing w:after="0"/>
              <w:rPr>
                <w:sz w:val="20"/>
                <w:szCs w:val="20"/>
                <w:color w:val="auto"/>
              </w:rPr>
            </w:pPr>
            <w:r>
              <w:rPr>
                <w:rFonts w:ascii="Arial" w:cs="Arial" w:eastAsia="Arial" w:hAnsi="Arial"/>
                <w:sz w:val="12"/>
                <w:szCs w:val="12"/>
                <w:color w:val="auto"/>
                <w:w w:val="91"/>
              </w:rPr>
              <w:t>1%</w:t>
            </w:r>
          </w:p>
        </w:tc>
      </w:tr>
      <w:tr>
        <w:trPr>
          <w:trHeight w:val="162"/>
        </w:trPr>
        <w:tc>
          <w:tcPr>
            <w:tcW w:w="4840" w:type="dxa"/>
            <w:vAlign w:val="bottom"/>
            <w:tcBorders>
              <w:bottom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Rental profit</w:t>
            </w:r>
          </w:p>
        </w:tc>
        <w:tc>
          <w:tcPr>
            <w:tcW w:w="1100" w:type="dxa"/>
            <w:vAlign w:val="bottom"/>
            <w:tcBorders>
              <w:bottom w:val="single" w:sz="8" w:color="auto"/>
            </w:tcBorders>
            <w:shd w:val="clear" w:color="auto" w:fill="CCEEFF"/>
          </w:tcPr>
          <w:p>
            <w:pPr>
              <w:jc w:val="right"/>
              <w:ind w:right="987"/>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10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(60)</w:t>
            </w: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w:t>
            </w:r>
          </w:p>
        </w:tc>
        <w:tc>
          <w:tcPr>
            <w:tcW w:w="1640" w:type="dxa"/>
            <w:vAlign w:val="bottom"/>
            <w:tcBorders>
              <w:bottom w:val="single" w:sz="8" w:color="CCEEFF"/>
            </w:tcBorders>
            <w:gridSpan w:val="2"/>
            <w:shd w:val="clear" w:color="auto" w:fill="CCEEFF"/>
          </w:tcPr>
          <w:p>
            <w:pPr>
              <w:jc w:val="center"/>
              <w:ind w:left="40"/>
              <w:spacing w:after="0"/>
              <w:rPr>
                <w:sz w:val="20"/>
                <w:szCs w:val="20"/>
                <w:color w:val="auto"/>
              </w:rPr>
            </w:pPr>
            <w:r>
              <w:rPr>
                <w:rFonts w:ascii="Arial" w:cs="Arial" w:eastAsia="Arial" w:hAnsi="Arial"/>
                <w:sz w:val="12"/>
                <w:szCs w:val="12"/>
                <w:color w:val="auto"/>
                <w:w w:val="91"/>
              </w:rPr>
              <w:t>92%</w:t>
            </w:r>
          </w:p>
        </w:tc>
      </w:tr>
      <w:tr>
        <w:trPr>
          <w:trHeight w:val="149"/>
        </w:trPr>
        <w:tc>
          <w:tcPr>
            <w:tcW w:w="4840" w:type="dxa"/>
            <w:vAlign w:val="bottom"/>
          </w:tcPr>
          <w:p>
            <w:pPr>
              <w:spacing w:after="0"/>
              <w:rPr>
                <w:sz w:val="20"/>
                <w:szCs w:val="20"/>
                <w:color w:val="auto"/>
              </w:rPr>
            </w:pPr>
            <w:r>
              <w:rPr>
                <w:rFonts w:ascii="Arial" w:cs="Arial" w:eastAsia="Arial" w:hAnsi="Arial"/>
                <w:sz w:val="12"/>
                <w:szCs w:val="12"/>
                <w:color w:val="auto"/>
              </w:rPr>
              <w:t>Rental profit margin</w:t>
            </w:r>
          </w:p>
        </w:tc>
        <w:tc>
          <w:tcPr>
            <w:tcW w:w="1100" w:type="dxa"/>
            <w:vAlign w:val="bottom"/>
          </w:tcPr>
          <w:p>
            <w:pPr>
              <w:jc w:val="center"/>
              <w:ind w:left="387"/>
              <w:spacing w:after="0"/>
              <w:rPr>
                <w:sz w:val="20"/>
                <w:szCs w:val="20"/>
                <w:color w:val="auto"/>
              </w:rPr>
            </w:pPr>
            <w:r>
              <w:rPr>
                <w:rFonts w:ascii="Arial" w:cs="Arial" w:eastAsia="Arial" w:hAnsi="Arial"/>
                <w:sz w:val="12"/>
                <w:szCs w:val="12"/>
                <w:color w:val="auto"/>
                <w:w w:val="96"/>
              </w:rPr>
              <w:t>NM</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0" w:type="dxa"/>
            <w:vAlign w:val="bottom"/>
            <w:gridSpan w:val="2"/>
          </w:tcPr>
          <w:p>
            <w:pPr>
              <w:jc w:val="center"/>
              <w:ind w:right="520"/>
              <w:spacing w:after="0"/>
              <w:rPr>
                <w:sz w:val="20"/>
                <w:szCs w:val="20"/>
                <w:color w:val="auto"/>
              </w:rPr>
            </w:pPr>
            <w:r>
              <w:rPr>
                <w:rFonts w:ascii="Arial" w:cs="Arial" w:eastAsia="Arial" w:hAnsi="Arial"/>
                <w:sz w:val="12"/>
                <w:szCs w:val="12"/>
                <w:color w:val="auto"/>
              </w:rPr>
              <w:t>NM</w:t>
            </w: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293"/>
        </w:trPr>
        <w:tc>
          <w:tcPr>
            <w:tcW w:w="484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4"/>
              </w:rPr>
              <w:t>Six Months Ended</w:t>
            </w:r>
          </w:p>
        </w:tc>
        <w:tc>
          <w:tcPr>
            <w:tcW w:w="11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35"/>
        </w:trPr>
        <w:tc>
          <w:tcPr>
            <w:tcW w:w="4840" w:type="dxa"/>
            <w:vAlign w:val="bottom"/>
            <w:tcBorders>
              <w:bottom w:val="single" w:sz="8" w:color="CCEEFF"/>
            </w:tcBorders>
          </w:tcPr>
          <w:p>
            <w:pPr>
              <w:spacing w:after="0"/>
              <w:rPr>
                <w:sz w:val="11"/>
                <w:szCs w:val="11"/>
                <w:color w:val="auto"/>
              </w:rPr>
            </w:pPr>
          </w:p>
        </w:tc>
        <w:tc>
          <w:tcPr>
            <w:tcW w:w="1100" w:type="dxa"/>
            <w:vAlign w:val="bottom"/>
            <w:tcBorders>
              <w:bottom w:val="single" w:sz="8" w:color="auto"/>
            </w:tcBorders>
          </w:tcPr>
          <w:p>
            <w:pPr>
              <w:jc w:val="center"/>
              <w:ind w:left="387"/>
              <w:spacing w:after="0"/>
              <w:rPr>
                <w:sz w:val="20"/>
                <w:szCs w:val="20"/>
                <w:color w:val="auto"/>
              </w:rPr>
            </w:pPr>
            <w:r>
              <w:rPr>
                <w:rFonts w:ascii="Arial" w:cs="Arial" w:eastAsia="Arial" w:hAnsi="Arial"/>
                <w:sz w:val="11"/>
                <w:szCs w:val="11"/>
                <w:b w:val="1"/>
                <w:bCs w:val="1"/>
                <w:color w:val="auto"/>
                <w:w w:val="86"/>
              </w:rPr>
              <w:t>June 30, 2021</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center"/>
              <w:ind w:right="361"/>
              <w:spacing w:after="0"/>
              <w:rPr>
                <w:sz w:val="20"/>
                <w:szCs w:val="20"/>
                <w:color w:val="auto"/>
              </w:rPr>
            </w:pPr>
            <w:r>
              <w:rPr>
                <w:rFonts w:ascii="Arial" w:cs="Arial" w:eastAsia="Arial" w:hAnsi="Arial"/>
                <w:sz w:val="11"/>
                <w:szCs w:val="11"/>
                <w:b w:val="1"/>
                <w:bCs w:val="1"/>
                <w:color w:val="auto"/>
                <w:w w:val="86"/>
              </w:rPr>
              <w:t>June 30, 2020</w:t>
            </w:r>
          </w:p>
        </w:tc>
        <w:tc>
          <w:tcPr>
            <w:tcW w:w="8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ind w:left="260"/>
              <w:spacing w:after="0"/>
              <w:rPr>
                <w:sz w:val="20"/>
                <w:szCs w:val="20"/>
                <w:color w:val="auto"/>
              </w:rPr>
            </w:pPr>
            <w:r>
              <w:rPr>
                <w:rFonts w:ascii="Arial" w:cs="Arial" w:eastAsia="Arial" w:hAnsi="Arial"/>
                <w:sz w:val="11"/>
                <w:szCs w:val="11"/>
                <w:b w:val="1"/>
                <w:bCs w:val="1"/>
                <w:color w:val="auto"/>
              </w:rPr>
              <w:t>Change</w:t>
            </w:r>
          </w:p>
        </w:tc>
        <w:tc>
          <w:tcPr>
            <w:tcW w:w="80" w:type="dxa"/>
            <w:vAlign w:val="bottom"/>
            <w:tcBorders>
              <w:bottom w:val="single" w:sz="8" w:color="CCEEFF"/>
            </w:tcBorders>
          </w:tcPr>
          <w:p>
            <w:pPr>
              <w:spacing w:after="0"/>
              <w:rPr>
                <w:sz w:val="11"/>
                <w:szCs w:val="11"/>
                <w:color w:val="auto"/>
              </w:rPr>
            </w:pPr>
          </w:p>
        </w:tc>
        <w:tc>
          <w:tcPr>
            <w:tcW w:w="1560" w:type="dxa"/>
            <w:vAlign w:val="bottom"/>
            <w:tcBorders>
              <w:bottom w:val="single" w:sz="8" w:color="auto"/>
            </w:tcBorders>
          </w:tcPr>
          <w:p>
            <w:pPr>
              <w:ind w:left="540"/>
              <w:spacing w:after="0"/>
              <w:rPr>
                <w:sz w:val="20"/>
                <w:szCs w:val="20"/>
                <w:color w:val="auto"/>
              </w:rPr>
            </w:pPr>
            <w:r>
              <w:rPr>
                <w:rFonts w:ascii="Arial" w:cs="Arial" w:eastAsia="Arial" w:hAnsi="Arial"/>
                <w:sz w:val="11"/>
                <w:szCs w:val="11"/>
                <w:b w:val="1"/>
                <w:bCs w:val="1"/>
                <w:color w:val="auto"/>
              </w:rPr>
              <w:t>% Change</w:t>
            </w:r>
          </w:p>
        </w:tc>
      </w:tr>
      <w:tr>
        <w:trPr>
          <w:trHeight w:val="144"/>
        </w:trPr>
        <w:tc>
          <w:tcPr>
            <w:tcW w:w="4840" w:type="dxa"/>
            <w:vAlign w:val="bottom"/>
            <w:shd w:val="clear" w:color="auto" w:fill="CCEEFF"/>
          </w:tcPr>
          <w:p>
            <w:pPr>
              <w:spacing w:after="0" w:line="144" w:lineRule="exact"/>
              <w:rPr>
                <w:sz w:val="20"/>
                <w:szCs w:val="20"/>
                <w:color w:val="auto"/>
              </w:rPr>
            </w:pPr>
            <w:r>
              <w:rPr>
                <w:rFonts w:ascii="Arial" w:cs="Arial" w:eastAsia="Arial" w:hAnsi="Arial"/>
                <w:sz w:val="12"/>
                <w:szCs w:val="12"/>
                <w:color w:val="auto"/>
              </w:rPr>
              <w:t>Transient keys rented</w:t>
            </w:r>
            <w:r>
              <w:rPr>
                <w:rFonts w:ascii="Arial" w:cs="Arial" w:eastAsia="Arial" w:hAnsi="Arial"/>
                <w:sz w:val="14"/>
                <w:szCs w:val="14"/>
                <w:color w:val="auto"/>
                <w:vertAlign w:val="superscript"/>
              </w:rPr>
              <w:t>(1)</w:t>
            </w:r>
          </w:p>
        </w:tc>
        <w:tc>
          <w:tcPr>
            <w:tcW w:w="1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7"/>
              </w:rPr>
              <w:t>932,786</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578,655</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354,131</w:t>
            </w:r>
          </w:p>
        </w:tc>
        <w:tc>
          <w:tcPr>
            <w:tcW w:w="1640" w:type="dxa"/>
            <w:vAlign w:val="bottom"/>
            <w:gridSpan w:val="2"/>
            <w:shd w:val="clear" w:color="auto" w:fill="CCEEFF"/>
          </w:tcPr>
          <w:p>
            <w:pPr>
              <w:jc w:val="center"/>
              <w:ind w:left="40"/>
              <w:spacing w:after="0"/>
              <w:rPr>
                <w:sz w:val="20"/>
                <w:szCs w:val="20"/>
                <w:color w:val="auto"/>
              </w:rPr>
            </w:pPr>
            <w:r>
              <w:rPr>
                <w:rFonts w:ascii="Arial" w:cs="Arial" w:eastAsia="Arial" w:hAnsi="Arial"/>
                <w:sz w:val="12"/>
                <w:szCs w:val="12"/>
                <w:color w:val="auto"/>
                <w:w w:val="91"/>
              </w:rPr>
              <w:t>61%</w:t>
            </w:r>
          </w:p>
        </w:tc>
      </w:tr>
      <w:tr>
        <w:trPr>
          <w:trHeight w:val="153"/>
        </w:trPr>
        <w:tc>
          <w:tcPr>
            <w:tcW w:w="4840" w:type="dxa"/>
            <w:vAlign w:val="bottom"/>
          </w:tcPr>
          <w:p>
            <w:pPr>
              <w:spacing w:after="0"/>
              <w:rPr>
                <w:sz w:val="20"/>
                <w:szCs w:val="20"/>
                <w:color w:val="auto"/>
              </w:rPr>
            </w:pPr>
            <w:r>
              <w:rPr>
                <w:rFonts w:ascii="Arial" w:cs="Arial" w:eastAsia="Arial" w:hAnsi="Arial"/>
                <w:sz w:val="12"/>
                <w:szCs w:val="12"/>
                <w:color w:val="auto"/>
              </w:rPr>
              <w:t>Average transient key rate</w:t>
            </w:r>
          </w:p>
        </w:tc>
        <w:tc>
          <w:tcPr>
            <w:tcW w:w="1100" w:type="dxa"/>
            <w:vAlign w:val="bottom"/>
          </w:tcPr>
          <w:p>
            <w:pPr>
              <w:jc w:val="right"/>
              <w:ind w:right="987"/>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229.99</w:t>
            </w:r>
          </w:p>
        </w:tc>
        <w:tc>
          <w:tcPr>
            <w:tcW w:w="100" w:type="dxa"/>
            <w:vAlign w:val="bottom"/>
          </w:tcPr>
          <w:p>
            <w:pPr>
              <w:spacing w:after="0"/>
              <w:rPr>
                <w:sz w:val="13"/>
                <w:szCs w:val="13"/>
                <w:color w:val="auto"/>
              </w:rPr>
            </w:pPr>
          </w:p>
        </w:tc>
        <w:tc>
          <w:tcPr>
            <w:tcW w:w="420" w:type="dxa"/>
            <w:vAlign w:val="bottom"/>
          </w:tcPr>
          <w:p>
            <w:pPr>
              <w:jc w:val="right"/>
              <w:ind w:right="312"/>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238.68</w:t>
            </w:r>
          </w:p>
        </w:tc>
        <w:tc>
          <w:tcPr>
            <w:tcW w:w="8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(8.69)</w:t>
            </w:r>
          </w:p>
        </w:tc>
        <w:tc>
          <w:tcPr>
            <w:tcW w:w="1640" w:type="dxa"/>
            <w:vAlign w:val="bottom"/>
            <w:gridSpan w:val="2"/>
          </w:tcPr>
          <w:p>
            <w:pPr>
              <w:jc w:val="center"/>
              <w:ind w:left="20"/>
              <w:spacing w:after="0"/>
              <w:rPr>
                <w:sz w:val="20"/>
                <w:szCs w:val="20"/>
                <w:color w:val="auto"/>
              </w:rPr>
            </w:pPr>
            <w:r>
              <w:rPr>
                <w:rFonts w:ascii="Arial" w:cs="Arial" w:eastAsia="Arial" w:hAnsi="Arial"/>
                <w:sz w:val="12"/>
                <w:szCs w:val="12"/>
                <w:color w:val="auto"/>
                <w:w w:val="94"/>
              </w:rPr>
              <w:t>(4%)</w:t>
            </w:r>
          </w:p>
        </w:tc>
      </w:tr>
      <w:tr>
        <w:trPr>
          <w:trHeight w:val="153"/>
        </w:trPr>
        <w:tc>
          <w:tcPr>
            <w:tcW w:w="4840" w:type="dxa"/>
            <w:vAlign w:val="bottom"/>
            <w:shd w:val="clear" w:color="auto" w:fill="CCEEFF"/>
          </w:tcPr>
          <w:p>
            <w:pPr>
              <w:spacing w:after="0"/>
              <w:rPr>
                <w:sz w:val="20"/>
                <w:szCs w:val="20"/>
                <w:color w:val="auto"/>
              </w:rPr>
            </w:pPr>
            <w:r>
              <w:rPr>
                <w:rFonts w:ascii="Arial" w:cs="Arial" w:eastAsia="Arial" w:hAnsi="Arial"/>
                <w:sz w:val="12"/>
                <w:szCs w:val="12"/>
                <w:color w:val="auto"/>
              </w:rPr>
              <w:t>Resort occupancy</w:t>
            </w:r>
          </w:p>
        </w:tc>
        <w:tc>
          <w:tcPr>
            <w:tcW w:w="1100" w:type="dxa"/>
            <w:vAlign w:val="bottom"/>
            <w:shd w:val="clear" w:color="auto" w:fill="CCEEFF"/>
          </w:tcPr>
          <w:p>
            <w:pPr>
              <w:jc w:val="center"/>
              <w:ind w:left="387"/>
              <w:spacing w:after="0"/>
              <w:rPr>
                <w:sz w:val="20"/>
                <w:szCs w:val="20"/>
                <w:color w:val="auto"/>
              </w:rPr>
            </w:pPr>
            <w:r>
              <w:rPr>
                <w:rFonts w:ascii="Arial" w:cs="Arial" w:eastAsia="Arial" w:hAnsi="Arial"/>
                <w:sz w:val="12"/>
                <w:szCs w:val="12"/>
                <w:color w:val="auto"/>
                <w:w w:val="88"/>
              </w:rPr>
              <w:t>76.1%</w:t>
            </w: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120" w:type="dxa"/>
            <w:vAlign w:val="bottom"/>
            <w:shd w:val="clear" w:color="auto" w:fill="CCEEFF"/>
          </w:tcPr>
          <w:p>
            <w:pPr>
              <w:jc w:val="center"/>
              <w:ind w:right="361"/>
              <w:spacing w:after="0"/>
              <w:rPr>
                <w:sz w:val="20"/>
                <w:szCs w:val="20"/>
                <w:color w:val="auto"/>
              </w:rPr>
            </w:pPr>
            <w:r>
              <w:rPr>
                <w:rFonts w:ascii="Arial" w:cs="Arial" w:eastAsia="Arial" w:hAnsi="Arial"/>
                <w:sz w:val="12"/>
                <w:szCs w:val="12"/>
                <w:color w:val="auto"/>
                <w:w w:val="88"/>
              </w:rPr>
              <w:t>52.4%</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23.7 pts</w:t>
            </w:r>
          </w:p>
        </w:tc>
        <w:tc>
          <w:tcPr>
            <w:tcW w:w="8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r>
    </w:tbl>
    <w:p>
      <w:pPr>
        <w:spacing w:after="0" w:line="45" w:lineRule="exact"/>
        <w:rPr>
          <w:sz w:val="20"/>
          <w:szCs w:val="20"/>
          <w:color w:val="auto"/>
        </w:rPr>
      </w:pPr>
    </w:p>
    <w:p>
      <w:pPr>
        <w:ind w:left="8"/>
        <w:spacing w:after="0"/>
        <w:rPr>
          <w:sz w:val="20"/>
          <w:szCs w:val="20"/>
          <w:color w:val="auto"/>
        </w:rPr>
      </w:pPr>
      <w:r>
        <w:rPr>
          <w:rFonts w:ascii="Arial" w:cs="Arial" w:eastAsia="Arial" w:hAnsi="Arial"/>
          <w:sz w:val="12"/>
          <w:szCs w:val="12"/>
          <w:color w:val="auto"/>
        </w:rPr>
        <w:t>_________________________</w:t>
      </w:r>
    </w:p>
    <w:p>
      <w:pPr>
        <w:spacing w:after="0" w:line="11" w:lineRule="exact"/>
        <w:rPr>
          <w:sz w:val="20"/>
          <w:szCs w:val="20"/>
          <w:color w:val="auto"/>
        </w:rPr>
      </w:pPr>
    </w:p>
    <w:p>
      <w:pPr>
        <w:ind w:left="428" w:hanging="428"/>
        <w:spacing w:after="0"/>
        <w:tabs>
          <w:tab w:leader="none" w:pos="428" w:val="left"/>
        </w:tabs>
        <w:numPr>
          <w:ilvl w:val="0"/>
          <w:numId w:val="37"/>
        </w:numPr>
        <w:rPr>
          <w:rFonts w:ascii="Arial" w:cs="Arial" w:eastAsia="Arial" w:hAnsi="Arial"/>
          <w:sz w:val="16"/>
          <w:szCs w:val="16"/>
          <w:color w:val="auto"/>
          <w:vertAlign w:val="superscript"/>
        </w:rPr>
      </w:pPr>
      <w:r>
        <w:rPr>
          <w:rFonts w:ascii="Arial" w:cs="Arial" w:eastAsia="Arial" w:hAnsi="Arial"/>
          <w:sz w:val="12"/>
          <w:szCs w:val="12"/>
          <w:color w:val="auto"/>
        </w:rPr>
        <w:t>Transient keys rented exclude those occupied through the use of plus points and preview stays.</w:t>
      </w:r>
    </w:p>
    <w:p>
      <w:pPr>
        <w:spacing w:after="0" w:line="63" w:lineRule="exact"/>
        <w:rPr>
          <w:sz w:val="20"/>
          <w:szCs w:val="20"/>
          <w:color w:val="auto"/>
        </w:rPr>
      </w:pPr>
    </w:p>
    <w:p>
      <w:pPr>
        <w:ind w:left="8" w:right="140" w:firstLine="432"/>
        <w:spacing w:after="0" w:line="298" w:lineRule="auto"/>
        <w:rPr>
          <w:sz w:val="20"/>
          <w:szCs w:val="20"/>
          <w:color w:val="auto"/>
        </w:rPr>
      </w:pPr>
      <w:r>
        <w:rPr>
          <w:rFonts w:ascii="Arial" w:cs="Arial" w:eastAsia="Arial" w:hAnsi="Arial"/>
          <w:sz w:val="11"/>
          <w:szCs w:val="11"/>
          <w:color w:val="auto"/>
        </w:rPr>
        <w:t>The improvement in rental profit resulted from an increase in keys rented due to the continued ramp-up of the business subsequent to the initial impact of the COVID-19 pandemic late in the prior year first quarter and higher plus point revenue as COVID-19-related restrictions continued to ease. These increases were partially offset by a slightly lower transient rate as well as higher inventory carrying costs (due to low sales volumes as a result of the COVID-19 pandemic, the acquisition of new inventory in the first quarter of 2021, and higher utilization of third-party vacation offerings for owners who elect to exchange their inventory).</w:t>
      </w:r>
    </w:p>
    <w:p>
      <w:pPr>
        <w:spacing w:after="0" w:line="33" w:lineRule="exact"/>
        <w:rPr>
          <w:sz w:val="20"/>
          <w:szCs w:val="20"/>
          <w:color w:val="auto"/>
        </w:rPr>
      </w:pPr>
    </w:p>
    <w:p>
      <w:pPr>
        <w:ind w:left="8" w:right="60" w:firstLine="432"/>
        <w:spacing w:after="0" w:line="276" w:lineRule="auto"/>
        <w:rPr>
          <w:sz w:val="20"/>
          <w:szCs w:val="20"/>
          <w:color w:val="auto"/>
        </w:rPr>
      </w:pPr>
      <w:r>
        <w:rPr>
          <w:rFonts w:ascii="Arial" w:cs="Arial" w:eastAsia="Arial" w:hAnsi="Arial"/>
          <w:sz w:val="12"/>
          <w:szCs w:val="12"/>
          <w:color w:val="auto"/>
        </w:rPr>
        <w:t>As the majority of the governmental restrictions in response to the pandemic that caused rental activity to decline, such as travel restrictions and quarantine requirements, either were lifted by the end of the first quarter of 2021 or shortly thereafter, we expect rental occupancies to continue to increase throughout 2021.</w:t>
      </w:r>
    </w:p>
    <w:p>
      <w:pPr>
        <w:spacing w:after="0" w:line="11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Financing Revenues, Expenses and Profit</w:t>
      </w:r>
    </w:p>
    <w:p>
      <w:pPr>
        <w:spacing w:after="0" w:line="82"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2021 Second Quarter</w:t>
      </w:r>
    </w:p>
    <w:p>
      <w:pPr>
        <w:spacing w:after="0" w:line="33" w:lineRule="exact"/>
        <w:rPr>
          <w:sz w:val="20"/>
          <w:szCs w:val="20"/>
          <w:color w:val="auto"/>
        </w:rPr>
      </w:pPr>
    </w:p>
    <w:tbl>
      <w:tblPr>
        <w:tblLayout w:type="fixed"/>
        <w:tblInd w:w="8" w:type="dxa"/>
        <w:tblCellMar>
          <w:top w:w="0" w:type="dxa"/>
          <w:left w:w="0" w:type="dxa"/>
          <w:bottom w:w="0" w:type="dxa"/>
          <w:right w:w="0" w:type="dxa"/>
        </w:tblCellMar>
      </w:tblPr>
      <w:tr>
        <w:trPr>
          <w:trHeight w:val="140"/>
        </w:trPr>
        <w:tc>
          <w:tcPr>
            <w:tcW w:w="50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Three Months Ended</w:t>
            </w:r>
          </w:p>
        </w:tc>
        <w:tc>
          <w:tcPr>
            <w:tcW w:w="11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r>
      <w:tr>
        <w:trPr>
          <w:trHeight w:val="135"/>
        </w:trPr>
        <w:tc>
          <w:tcPr>
            <w:tcW w:w="502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26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402"/>
              <w:spacing w:after="0"/>
              <w:rPr>
                <w:sz w:val="20"/>
                <w:szCs w:val="20"/>
                <w:color w:val="auto"/>
              </w:rPr>
            </w:pPr>
            <w:r>
              <w:rPr>
                <w:rFonts w:ascii="Arial" w:cs="Arial" w:eastAsia="Arial" w:hAnsi="Arial"/>
                <w:sz w:val="11"/>
                <w:szCs w:val="11"/>
                <w:b w:val="1"/>
                <w:bCs w:val="1"/>
                <w:color w:val="auto"/>
              </w:rPr>
              <w:t>June 30, 2021</w:t>
            </w:r>
          </w:p>
        </w:tc>
        <w:tc>
          <w:tcPr>
            <w:tcW w:w="10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401"/>
              <w:spacing w:after="0"/>
              <w:rPr>
                <w:sz w:val="20"/>
                <w:szCs w:val="20"/>
                <w:color w:val="auto"/>
              </w:rPr>
            </w:pPr>
            <w:r>
              <w:rPr>
                <w:rFonts w:ascii="Arial" w:cs="Arial" w:eastAsia="Arial" w:hAnsi="Arial"/>
                <w:sz w:val="11"/>
                <w:szCs w:val="11"/>
                <w:b w:val="1"/>
                <w:bCs w:val="1"/>
                <w:color w:val="auto"/>
                <w:w w:val="86"/>
              </w:rPr>
              <w:t>June 30, 2020</w:t>
            </w:r>
          </w:p>
        </w:tc>
        <w:tc>
          <w:tcPr>
            <w:tcW w:w="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ind w:left="240"/>
              <w:spacing w:after="0"/>
              <w:rPr>
                <w:sz w:val="20"/>
                <w:szCs w:val="20"/>
                <w:color w:val="auto"/>
              </w:rPr>
            </w:pPr>
            <w:r>
              <w:rPr>
                <w:rFonts w:ascii="Arial" w:cs="Arial" w:eastAsia="Arial" w:hAnsi="Arial"/>
                <w:sz w:val="11"/>
                <w:szCs w:val="11"/>
                <w:b w:val="1"/>
                <w:bCs w:val="1"/>
                <w:color w:val="auto"/>
              </w:rPr>
              <w:t>Change</w:t>
            </w:r>
          </w:p>
        </w:tc>
        <w:tc>
          <w:tcPr>
            <w:tcW w:w="100" w:type="dxa"/>
            <w:vAlign w:val="bottom"/>
            <w:tcBorders>
              <w:bottom w:val="single" w:sz="8" w:color="CCEEFF"/>
            </w:tcBorders>
          </w:tcPr>
          <w:p>
            <w:pPr>
              <w:spacing w:after="0"/>
              <w:rPr>
                <w:sz w:val="11"/>
                <w:szCs w:val="11"/>
                <w:color w:val="auto"/>
              </w:rPr>
            </w:pPr>
          </w:p>
        </w:tc>
        <w:tc>
          <w:tcPr>
            <w:tcW w:w="1460" w:type="dxa"/>
            <w:vAlign w:val="bottom"/>
            <w:tcBorders>
              <w:bottom w:val="single" w:sz="8" w:color="auto"/>
            </w:tcBorders>
          </w:tcPr>
          <w:p>
            <w:pPr>
              <w:ind w:left="480"/>
              <w:spacing w:after="0"/>
              <w:rPr>
                <w:sz w:val="20"/>
                <w:szCs w:val="20"/>
                <w:color w:val="auto"/>
              </w:rPr>
            </w:pPr>
            <w:r>
              <w:rPr>
                <w:rFonts w:ascii="Arial" w:cs="Arial" w:eastAsia="Arial" w:hAnsi="Arial"/>
                <w:sz w:val="11"/>
                <w:szCs w:val="11"/>
                <w:b w:val="1"/>
                <w:bCs w:val="1"/>
                <w:color w:val="auto"/>
              </w:rPr>
              <w:t>% Change</w:t>
            </w:r>
          </w:p>
        </w:tc>
      </w:tr>
      <w:tr>
        <w:trPr>
          <w:trHeight w:val="144"/>
        </w:trPr>
        <w:tc>
          <w:tcPr>
            <w:tcW w:w="50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Financing revenues</w:t>
            </w:r>
          </w:p>
        </w:tc>
        <w:tc>
          <w:tcPr>
            <w:tcW w:w="26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40" w:type="dxa"/>
            <w:vAlign w:val="bottom"/>
            <w:shd w:val="clear" w:color="auto" w:fill="CCEEFF"/>
          </w:tcPr>
          <w:p>
            <w:pPr>
              <w:jc w:val="center"/>
              <w:ind w:left="941"/>
              <w:spacing w:after="0"/>
              <w:rPr>
                <w:sz w:val="20"/>
                <w:szCs w:val="20"/>
                <w:color w:val="auto"/>
              </w:rPr>
            </w:pPr>
            <w:r>
              <w:rPr>
                <w:rFonts w:ascii="Arial" w:cs="Arial" w:eastAsia="Arial" w:hAnsi="Arial"/>
                <w:sz w:val="12"/>
                <w:szCs w:val="12"/>
                <w:color w:val="auto"/>
                <w:w w:val="95"/>
              </w:rPr>
              <w:t>(1)</w:t>
            </w:r>
          </w:p>
        </w:tc>
        <w:tc>
          <w:tcPr>
            <w:tcW w:w="1560" w:type="dxa"/>
            <w:vAlign w:val="bottom"/>
            <w:gridSpan w:val="2"/>
            <w:shd w:val="clear" w:color="auto" w:fill="CCEEFF"/>
          </w:tcPr>
          <w:p>
            <w:pPr>
              <w:jc w:val="center"/>
              <w:ind w:left="20"/>
              <w:spacing w:after="0"/>
              <w:rPr>
                <w:sz w:val="20"/>
                <w:szCs w:val="20"/>
                <w:color w:val="auto"/>
              </w:rPr>
            </w:pPr>
            <w:r>
              <w:rPr>
                <w:rFonts w:ascii="Arial" w:cs="Arial" w:eastAsia="Arial" w:hAnsi="Arial"/>
                <w:sz w:val="12"/>
                <w:szCs w:val="12"/>
                <w:color w:val="auto"/>
                <w:w w:val="94"/>
              </w:rPr>
              <w:t>(1%)</w:t>
            </w:r>
          </w:p>
        </w:tc>
      </w:tr>
      <w:tr>
        <w:trPr>
          <w:trHeight w:val="153"/>
        </w:trPr>
        <w:tc>
          <w:tcPr>
            <w:tcW w:w="5020" w:type="dxa"/>
            <w:vAlign w:val="bottom"/>
          </w:tcPr>
          <w:p>
            <w:pPr>
              <w:spacing w:after="0"/>
              <w:rPr>
                <w:sz w:val="20"/>
                <w:szCs w:val="20"/>
                <w:color w:val="auto"/>
              </w:rPr>
            </w:pPr>
            <w:r>
              <w:rPr>
                <w:rFonts w:ascii="Arial" w:cs="Arial" w:eastAsia="Arial" w:hAnsi="Arial"/>
                <w:sz w:val="12"/>
                <w:szCs w:val="12"/>
                <w:color w:val="auto"/>
              </w:rPr>
              <w:t>Financing expenses</w:t>
            </w:r>
          </w:p>
        </w:tc>
        <w:tc>
          <w:tcPr>
            <w:tcW w:w="26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(8)</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(9)</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jc w:val="center"/>
              <w:ind w:left="941"/>
              <w:spacing w:after="0"/>
              <w:rPr>
                <w:sz w:val="20"/>
                <w:szCs w:val="20"/>
                <w:color w:val="auto"/>
              </w:rPr>
            </w:pPr>
            <w:r>
              <w:rPr>
                <w:rFonts w:ascii="Arial" w:cs="Arial" w:eastAsia="Arial" w:hAnsi="Arial"/>
                <w:sz w:val="12"/>
                <w:szCs w:val="12"/>
                <w:color w:val="auto"/>
                <w:w w:val="89"/>
              </w:rPr>
              <w:t>1</w:t>
            </w:r>
          </w:p>
        </w:tc>
        <w:tc>
          <w:tcPr>
            <w:tcW w:w="1560" w:type="dxa"/>
            <w:vAlign w:val="bottom"/>
            <w:gridSpan w:val="2"/>
          </w:tcPr>
          <w:p>
            <w:pPr>
              <w:jc w:val="center"/>
              <w:ind w:left="40"/>
              <w:spacing w:after="0"/>
              <w:rPr>
                <w:sz w:val="20"/>
                <w:szCs w:val="20"/>
                <w:color w:val="auto"/>
              </w:rPr>
            </w:pPr>
            <w:r>
              <w:rPr>
                <w:rFonts w:ascii="Arial" w:cs="Arial" w:eastAsia="Arial" w:hAnsi="Arial"/>
                <w:sz w:val="12"/>
                <w:szCs w:val="12"/>
                <w:color w:val="auto"/>
                <w:w w:val="91"/>
              </w:rPr>
              <w:t>12%</w:t>
            </w:r>
          </w:p>
        </w:tc>
      </w:tr>
      <w:tr>
        <w:trPr>
          <w:trHeight w:val="153"/>
        </w:trPr>
        <w:tc>
          <w:tcPr>
            <w:tcW w:w="5020" w:type="dxa"/>
            <w:vAlign w:val="bottom"/>
            <w:shd w:val="clear" w:color="auto" w:fill="CCEEFF"/>
          </w:tcPr>
          <w:p>
            <w:pPr>
              <w:spacing w:after="0"/>
              <w:rPr>
                <w:sz w:val="20"/>
                <w:szCs w:val="20"/>
                <w:color w:val="auto"/>
              </w:rPr>
            </w:pPr>
            <w:r>
              <w:rPr>
                <w:rFonts w:ascii="Arial" w:cs="Arial" w:eastAsia="Arial" w:hAnsi="Arial"/>
                <w:sz w:val="12"/>
                <w:szCs w:val="12"/>
                <w:color w:val="auto"/>
              </w:rPr>
              <w:t>Consumer financing interest expense</w:t>
            </w:r>
          </w:p>
        </w:tc>
        <w:tc>
          <w:tcPr>
            <w:tcW w:w="26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10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8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center"/>
              <w:ind w:left="941"/>
              <w:spacing w:after="0"/>
              <w:rPr>
                <w:sz w:val="20"/>
                <w:szCs w:val="20"/>
                <w:color w:val="auto"/>
              </w:rPr>
            </w:pPr>
            <w:r>
              <w:rPr>
                <w:rFonts w:ascii="Arial" w:cs="Arial" w:eastAsia="Arial" w:hAnsi="Arial"/>
                <w:sz w:val="12"/>
                <w:szCs w:val="12"/>
                <w:color w:val="auto"/>
                <w:w w:val="89"/>
              </w:rPr>
              <w:t>1</w:t>
            </w:r>
          </w:p>
        </w:tc>
        <w:tc>
          <w:tcPr>
            <w:tcW w:w="1560" w:type="dxa"/>
            <w:vAlign w:val="bottom"/>
            <w:gridSpan w:val="2"/>
            <w:shd w:val="clear" w:color="auto" w:fill="CCEEFF"/>
          </w:tcPr>
          <w:p>
            <w:pPr>
              <w:jc w:val="center"/>
              <w:ind w:left="20"/>
              <w:spacing w:after="0"/>
              <w:rPr>
                <w:sz w:val="20"/>
                <w:szCs w:val="20"/>
                <w:color w:val="auto"/>
              </w:rPr>
            </w:pPr>
            <w:r>
              <w:rPr>
                <w:rFonts w:ascii="Arial" w:cs="Arial" w:eastAsia="Arial" w:hAnsi="Arial"/>
                <w:sz w:val="12"/>
                <w:szCs w:val="12"/>
                <w:color w:val="auto"/>
                <w:w w:val="91"/>
              </w:rPr>
              <w:t>2%</w:t>
            </w:r>
          </w:p>
        </w:tc>
      </w:tr>
      <w:tr>
        <w:trPr>
          <w:trHeight w:val="158"/>
        </w:trPr>
        <w:tc>
          <w:tcPr>
            <w:tcW w:w="5020" w:type="dxa"/>
            <w:vAlign w:val="bottom"/>
            <w:tcBorders>
              <w:bottom w:val="single" w:sz="8" w:color="CCEEFF"/>
            </w:tcBorders>
          </w:tcPr>
          <w:p>
            <w:pPr>
              <w:spacing w:after="0" w:line="133" w:lineRule="exact"/>
              <w:rPr>
                <w:sz w:val="20"/>
                <w:szCs w:val="20"/>
                <w:color w:val="auto"/>
              </w:rPr>
            </w:pPr>
            <w:r>
              <w:rPr>
                <w:rFonts w:ascii="Arial" w:cs="Arial" w:eastAsia="Arial" w:hAnsi="Arial"/>
                <w:sz w:val="12"/>
                <w:szCs w:val="12"/>
                <w:color w:val="auto"/>
              </w:rPr>
              <w:t>Financing profit</w:t>
            </w:r>
          </w:p>
        </w:tc>
        <w:tc>
          <w:tcPr>
            <w:tcW w:w="26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tcPr>
          <w:p>
            <w:pPr>
              <w:jc w:val="center"/>
              <w:ind w:left="941"/>
              <w:spacing w:after="0"/>
              <w:rPr>
                <w:sz w:val="20"/>
                <w:szCs w:val="20"/>
                <w:color w:val="auto"/>
              </w:rPr>
            </w:pPr>
            <w:r>
              <w:rPr>
                <w:rFonts w:ascii="Arial" w:cs="Arial" w:eastAsia="Arial" w:hAnsi="Arial"/>
                <w:sz w:val="12"/>
                <w:szCs w:val="12"/>
                <w:color w:val="auto"/>
                <w:w w:val="89"/>
              </w:rPr>
              <w:t>1</w:t>
            </w:r>
          </w:p>
        </w:tc>
        <w:tc>
          <w:tcPr>
            <w:tcW w:w="1560" w:type="dxa"/>
            <w:vAlign w:val="bottom"/>
            <w:tcBorders>
              <w:bottom w:val="single" w:sz="8" w:color="CCEEFF"/>
            </w:tcBorders>
            <w:gridSpan w:val="2"/>
          </w:tcPr>
          <w:p>
            <w:pPr>
              <w:jc w:val="center"/>
              <w:ind w:left="20"/>
              <w:spacing w:after="0"/>
              <w:rPr>
                <w:sz w:val="20"/>
                <w:szCs w:val="20"/>
                <w:color w:val="auto"/>
              </w:rPr>
            </w:pPr>
            <w:r>
              <w:rPr>
                <w:rFonts w:ascii="Arial" w:cs="Arial" w:eastAsia="Arial" w:hAnsi="Arial"/>
                <w:sz w:val="12"/>
                <w:szCs w:val="12"/>
                <w:color w:val="auto"/>
                <w:w w:val="91"/>
              </w:rPr>
              <w:t>2%</w:t>
            </w:r>
          </w:p>
        </w:tc>
      </w:tr>
      <w:tr>
        <w:trPr>
          <w:trHeight w:val="153"/>
        </w:trPr>
        <w:tc>
          <w:tcPr>
            <w:tcW w:w="5020" w:type="dxa"/>
            <w:vAlign w:val="bottom"/>
            <w:shd w:val="clear" w:color="auto" w:fill="CCEEFF"/>
          </w:tcPr>
          <w:p>
            <w:pPr>
              <w:spacing w:after="0"/>
              <w:rPr>
                <w:sz w:val="20"/>
                <w:szCs w:val="20"/>
                <w:color w:val="auto"/>
              </w:rPr>
            </w:pPr>
            <w:r>
              <w:rPr>
                <w:rFonts w:ascii="Arial" w:cs="Arial" w:eastAsia="Arial" w:hAnsi="Arial"/>
                <w:sz w:val="12"/>
                <w:szCs w:val="12"/>
                <w:color w:val="auto"/>
              </w:rPr>
              <w:t>Financing propensity</w:t>
            </w:r>
          </w:p>
        </w:tc>
        <w:tc>
          <w:tcPr>
            <w:tcW w:w="26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602"/>
              <w:spacing w:after="0"/>
              <w:rPr>
                <w:sz w:val="20"/>
                <w:szCs w:val="20"/>
                <w:color w:val="auto"/>
              </w:rPr>
            </w:pPr>
            <w:r>
              <w:rPr>
                <w:rFonts w:ascii="Arial" w:cs="Arial" w:eastAsia="Arial" w:hAnsi="Arial"/>
                <w:sz w:val="12"/>
                <w:szCs w:val="12"/>
                <w:color w:val="auto"/>
              </w:rPr>
              <w:t>52%</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601"/>
              <w:spacing w:after="0"/>
              <w:rPr>
                <w:sz w:val="20"/>
                <w:szCs w:val="20"/>
                <w:color w:val="auto"/>
              </w:rPr>
            </w:pPr>
            <w:r>
              <w:rPr>
                <w:rFonts w:ascii="Arial" w:cs="Arial" w:eastAsia="Arial" w:hAnsi="Arial"/>
                <w:sz w:val="12"/>
                <w:szCs w:val="12"/>
                <w:color w:val="auto"/>
              </w:rPr>
              <w:t>37%</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r>
    </w:tbl>
    <w:p>
      <w:pPr>
        <w:spacing w:after="0" w:line="162" w:lineRule="exact"/>
        <w:rPr>
          <w:sz w:val="20"/>
          <w:szCs w:val="20"/>
          <w:color w:val="auto"/>
        </w:rPr>
      </w:pPr>
    </w:p>
    <w:p>
      <w:pPr>
        <w:ind w:left="8" w:right="20" w:firstLine="432"/>
        <w:spacing w:after="0" w:line="254" w:lineRule="auto"/>
        <w:rPr>
          <w:sz w:val="20"/>
          <w:szCs w:val="20"/>
          <w:color w:val="auto"/>
        </w:rPr>
      </w:pPr>
      <w:r>
        <w:rPr>
          <w:rFonts w:ascii="Arial" w:cs="Arial" w:eastAsia="Arial" w:hAnsi="Arial"/>
          <w:sz w:val="12"/>
          <w:szCs w:val="12"/>
          <w:color w:val="auto"/>
        </w:rPr>
        <w:t>Financing revenues decreased due to a $206 million decrease in the average net vacation ownership notes receivable balance resulting from the continued pay-down of the existing vacation ownership notes receivable portfolio without a corresponding increase from new loan originations ($11 million), offset partially by higher interest income from the acquisition of Welk ($10 million). As contract sales volumes continue to grow throughout 2021, we expect that this growth should begin to more than offset the normal decline from loan payment activity, which would cause interest income to begin to increase again. Financing expenses decreased due to lower bad debt expense associated with acquired vacation ownership notes receivable and favorable lien fee income in the current year quarter, offset partially by $1 million of higher costs from the acquisition of Welk. Lower consumer financing interest expense resulted from the continued pay-down of securitized debt balances, offset partially by $1 million of costs from the acquisition of Welk. The higher financing propensity reflects a higher mix of sales to first time buyers, who tend to have a higher financing propensity. The low propensity in the prior year reflected the impact of sales programs that incented cash purchases during the initial periods of the COVID-19 pandemic. Going forward, we expect to continue to shift back to an increased focus on sales to first-time buyers, which should increase propensity (60 percent or higher) and increase interest income as and when new originations of vacation ownership notes receivable outpace the decline in principal of existing vacation ownership notes receivable.</w:t>
      </w:r>
    </w:p>
    <w:p>
      <w:pPr>
        <w:spacing w:after="0" w:line="119" w:lineRule="exact"/>
        <w:rPr>
          <w:sz w:val="20"/>
          <w:szCs w:val="20"/>
          <w:color w:val="auto"/>
        </w:rPr>
      </w:pPr>
    </w:p>
    <w:p>
      <w:pPr>
        <w:jc w:val="center"/>
        <w:ind w:left="420"/>
        <w:spacing w:after="0"/>
        <w:rPr>
          <w:sz w:val="20"/>
          <w:szCs w:val="20"/>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191135</wp:posOffset>
            </wp:positionV>
            <wp:extent cx="7203440" cy="36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75" w:right="299" w:bottom="1440" w:gutter="0" w:footer="0" w:header="0"/>
        </w:sectPr>
      </w:pPr>
    </w:p>
    <w:bookmarkStart w:id="59" w:name="page60"/>
    <w:bookmarkEnd w:id="59"/>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2021 First Half</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50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Six Months Ended</w:t>
            </w:r>
          </w:p>
        </w:tc>
        <w:tc>
          <w:tcPr>
            <w:tcW w:w="11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r>
      <w:tr>
        <w:trPr>
          <w:trHeight w:val="135"/>
        </w:trPr>
        <w:tc>
          <w:tcPr>
            <w:tcW w:w="502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26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402"/>
              <w:spacing w:after="0"/>
              <w:rPr>
                <w:sz w:val="20"/>
                <w:szCs w:val="20"/>
                <w:color w:val="auto"/>
              </w:rPr>
            </w:pPr>
            <w:r>
              <w:rPr>
                <w:rFonts w:ascii="Arial" w:cs="Arial" w:eastAsia="Arial" w:hAnsi="Arial"/>
                <w:sz w:val="11"/>
                <w:szCs w:val="11"/>
                <w:b w:val="1"/>
                <w:bCs w:val="1"/>
                <w:color w:val="auto"/>
              </w:rPr>
              <w:t>June 30, 2021</w:t>
            </w:r>
          </w:p>
        </w:tc>
        <w:tc>
          <w:tcPr>
            <w:tcW w:w="100" w:type="dxa"/>
            <w:vAlign w:val="bottom"/>
            <w:tcBorders>
              <w:bottom w:val="single" w:sz="8" w:color="CCEEFF"/>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401"/>
              <w:spacing w:after="0"/>
              <w:rPr>
                <w:sz w:val="20"/>
                <w:szCs w:val="20"/>
                <w:color w:val="auto"/>
              </w:rPr>
            </w:pPr>
            <w:r>
              <w:rPr>
                <w:rFonts w:ascii="Arial" w:cs="Arial" w:eastAsia="Arial" w:hAnsi="Arial"/>
                <w:sz w:val="11"/>
                <w:szCs w:val="11"/>
                <w:b w:val="1"/>
                <w:bCs w:val="1"/>
                <w:color w:val="auto"/>
                <w:w w:val="89"/>
              </w:rPr>
              <w:t>June 30, 2020</w:t>
            </w:r>
          </w:p>
        </w:tc>
        <w:tc>
          <w:tcPr>
            <w:tcW w:w="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481"/>
              <w:spacing w:after="0"/>
              <w:rPr>
                <w:sz w:val="20"/>
                <w:szCs w:val="20"/>
                <w:color w:val="auto"/>
              </w:rPr>
            </w:pPr>
            <w:r>
              <w:rPr>
                <w:rFonts w:ascii="Arial" w:cs="Arial" w:eastAsia="Arial" w:hAnsi="Arial"/>
                <w:sz w:val="11"/>
                <w:szCs w:val="11"/>
                <w:b w:val="1"/>
                <w:bCs w:val="1"/>
                <w:color w:val="auto"/>
              </w:rPr>
              <w:t>Change</w:t>
            </w:r>
          </w:p>
        </w:tc>
        <w:tc>
          <w:tcPr>
            <w:tcW w:w="100" w:type="dxa"/>
            <w:vAlign w:val="bottom"/>
            <w:tcBorders>
              <w:bottom w:val="single" w:sz="8" w:color="CCEEFF"/>
            </w:tcBorders>
          </w:tcPr>
          <w:p>
            <w:pPr>
              <w:spacing w:after="0"/>
              <w:rPr>
                <w:sz w:val="11"/>
                <w:szCs w:val="11"/>
                <w:color w:val="auto"/>
              </w:rPr>
            </w:pPr>
          </w:p>
        </w:tc>
        <w:tc>
          <w:tcPr>
            <w:tcW w:w="1460" w:type="dxa"/>
            <w:vAlign w:val="bottom"/>
            <w:tcBorders>
              <w:bottom w:val="single" w:sz="8" w:color="auto"/>
            </w:tcBorders>
          </w:tcPr>
          <w:p>
            <w:pPr>
              <w:ind w:left="480"/>
              <w:spacing w:after="0"/>
              <w:rPr>
                <w:sz w:val="20"/>
                <w:szCs w:val="20"/>
                <w:color w:val="auto"/>
              </w:rPr>
            </w:pPr>
            <w:r>
              <w:rPr>
                <w:rFonts w:ascii="Arial" w:cs="Arial" w:eastAsia="Arial" w:hAnsi="Arial"/>
                <w:sz w:val="11"/>
                <w:szCs w:val="11"/>
                <w:b w:val="1"/>
                <w:bCs w:val="1"/>
                <w:color w:val="auto"/>
              </w:rPr>
              <w:t>% Change</w:t>
            </w:r>
          </w:p>
        </w:tc>
      </w:tr>
      <w:tr>
        <w:trPr>
          <w:trHeight w:val="144"/>
        </w:trPr>
        <w:tc>
          <w:tcPr>
            <w:tcW w:w="50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Financing revenues</w:t>
            </w:r>
          </w:p>
        </w:tc>
        <w:tc>
          <w:tcPr>
            <w:tcW w:w="26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127</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140</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1560" w:type="dxa"/>
            <w:vAlign w:val="bottom"/>
            <w:gridSpan w:val="2"/>
            <w:shd w:val="clear" w:color="auto" w:fill="CCEEFF"/>
          </w:tcPr>
          <w:p>
            <w:pPr>
              <w:jc w:val="center"/>
              <w:ind w:left="20"/>
              <w:spacing w:after="0"/>
              <w:rPr>
                <w:sz w:val="20"/>
                <w:szCs w:val="20"/>
                <w:color w:val="auto"/>
              </w:rPr>
            </w:pPr>
            <w:r>
              <w:rPr>
                <w:rFonts w:ascii="Arial" w:cs="Arial" w:eastAsia="Arial" w:hAnsi="Arial"/>
                <w:sz w:val="12"/>
                <w:szCs w:val="12"/>
                <w:color w:val="auto"/>
                <w:w w:val="94"/>
              </w:rPr>
              <w:t>(9%)</w:t>
            </w:r>
          </w:p>
        </w:tc>
      </w:tr>
      <w:tr>
        <w:trPr>
          <w:trHeight w:val="153"/>
        </w:trPr>
        <w:tc>
          <w:tcPr>
            <w:tcW w:w="5020" w:type="dxa"/>
            <w:vAlign w:val="bottom"/>
          </w:tcPr>
          <w:p>
            <w:pPr>
              <w:spacing w:after="0"/>
              <w:rPr>
                <w:sz w:val="20"/>
                <w:szCs w:val="20"/>
                <w:color w:val="auto"/>
              </w:rPr>
            </w:pPr>
            <w:r>
              <w:rPr>
                <w:rFonts w:ascii="Arial" w:cs="Arial" w:eastAsia="Arial" w:hAnsi="Arial"/>
                <w:sz w:val="12"/>
                <w:szCs w:val="12"/>
                <w:color w:val="auto"/>
              </w:rPr>
              <w:t>Financing expenses</w:t>
            </w:r>
          </w:p>
        </w:tc>
        <w:tc>
          <w:tcPr>
            <w:tcW w:w="26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(16)</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(31)</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15</w:t>
            </w:r>
          </w:p>
        </w:tc>
        <w:tc>
          <w:tcPr>
            <w:tcW w:w="1560" w:type="dxa"/>
            <w:vAlign w:val="bottom"/>
            <w:gridSpan w:val="2"/>
          </w:tcPr>
          <w:p>
            <w:pPr>
              <w:jc w:val="center"/>
              <w:ind w:left="40"/>
              <w:spacing w:after="0"/>
              <w:rPr>
                <w:sz w:val="20"/>
                <w:szCs w:val="20"/>
                <w:color w:val="auto"/>
              </w:rPr>
            </w:pPr>
            <w:r>
              <w:rPr>
                <w:rFonts w:ascii="Arial" w:cs="Arial" w:eastAsia="Arial" w:hAnsi="Arial"/>
                <w:sz w:val="12"/>
                <w:szCs w:val="12"/>
                <w:color w:val="auto"/>
                <w:w w:val="91"/>
              </w:rPr>
              <w:t>47%</w:t>
            </w:r>
          </w:p>
        </w:tc>
      </w:tr>
      <w:tr>
        <w:trPr>
          <w:trHeight w:val="153"/>
        </w:trPr>
        <w:tc>
          <w:tcPr>
            <w:tcW w:w="5020" w:type="dxa"/>
            <w:vAlign w:val="bottom"/>
            <w:shd w:val="clear" w:color="auto" w:fill="CCEEFF"/>
          </w:tcPr>
          <w:p>
            <w:pPr>
              <w:spacing w:after="0"/>
              <w:rPr>
                <w:sz w:val="20"/>
                <w:szCs w:val="20"/>
                <w:color w:val="auto"/>
              </w:rPr>
            </w:pPr>
            <w:r>
              <w:rPr>
                <w:rFonts w:ascii="Arial" w:cs="Arial" w:eastAsia="Arial" w:hAnsi="Arial"/>
                <w:sz w:val="12"/>
                <w:szCs w:val="12"/>
                <w:color w:val="auto"/>
              </w:rPr>
              <w:t>Consumer financing interest expense</w:t>
            </w:r>
          </w:p>
        </w:tc>
        <w:tc>
          <w:tcPr>
            <w:tcW w:w="26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w:t>
            </w:r>
          </w:p>
        </w:tc>
        <w:tc>
          <w:tcPr>
            <w:tcW w:w="10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w:t>
            </w:r>
          </w:p>
        </w:tc>
        <w:tc>
          <w:tcPr>
            <w:tcW w:w="8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560" w:type="dxa"/>
            <w:vAlign w:val="bottom"/>
            <w:gridSpan w:val="2"/>
            <w:shd w:val="clear" w:color="auto" w:fill="CCEEFF"/>
          </w:tcPr>
          <w:p>
            <w:pPr>
              <w:jc w:val="center"/>
              <w:ind w:left="40"/>
              <w:spacing w:after="0"/>
              <w:rPr>
                <w:sz w:val="20"/>
                <w:szCs w:val="20"/>
                <w:color w:val="auto"/>
              </w:rPr>
            </w:pPr>
            <w:r>
              <w:rPr>
                <w:rFonts w:ascii="Arial" w:cs="Arial" w:eastAsia="Arial" w:hAnsi="Arial"/>
                <w:sz w:val="12"/>
                <w:szCs w:val="12"/>
                <w:color w:val="auto"/>
                <w:w w:val="91"/>
              </w:rPr>
              <w:t>10%</w:t>
            </w:r>
          </w:p>
        </w:tc>
      </w:tr>
      <w:tr>
        <w:trPr>
          <w:trHeight w:val="158"/>
        </w:trPr>
        <w:tc>
          <w:tcPr>
            <w:tcW w:w="5020" w:type="dxa"/>
            <w:vAlign w:val="bottom"/>
            <w:tcBorders>
              <w:bottom w:val="single" w:sz="8" w:color="CCEEFF"/>
            </w:tcBorders>
          </w:tcPr>
          <w:p>
            <w:pPr>
              <w:spacing w:after="0" w:line="133" w:lineRule="exact"/>
              <w:rPr>
                <w:sz w:val="20"/>
                <w:szCs w:val="20"/>
                <w:color w:val="auto"/>
              </w:rPr>
            </w:pPr>
            <w:r>
              <w:rPr>
                <w:rFonts w:ascii="Arial" w:cs="Arial" w:eastAsia="Arial" w:hAnsi="Arial"/>
                <w:sz w:val="12"/>
                <w:szCs w:val="12"/>
                <w:color w:val="auto"/>
              </w:rPr>
              <w:t>Financing profit</w:t>
            </w:r>
          </w:p>
        </w:tc>
        <w:tc>
          <w:tcPr>
            <w:tcW w:w="26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85</w:t>
            </w: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80</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w:t>
            </w:r>
          </w:p>
        </w:tc>
        <w:tc>
          <w:tcPr>
            <w:tcW w:w="1560" w:type="dxa"/>
            <w:vAlign w:val="bottom"/>
            <w:tcBorders>
              <w:bottom w:val="single" w:sz="8" w:color="CCEEFF"/>
            </w:tcBorders>
            <w:gridSpan w:val="2"/>
          </w:tcPr>
          <w:p>
            <w:pPr>
              <w:jc w:val="center"/>
              <w:ind w:left="20"/>
              <w:spacing w:after="0"/>
              <w:rPr>
                <w:sz w:val="20"/>
                <w:szCs w:val="20"/>
                <w:color w:val="auto"/>
              </w:rPr>
            </w:pPr>
            <w:r>
              <w:rPr>
                <w:rFonts w:ascii="Arial" w:cs="Arial" w:eastAsia="Arial" w:hAnsi="Arial"/>
                <w:sz w:val="12"/>
                <w:szCs w:val="12"/>
                <w:color w:val="auto"/>
                <w:w w:val="91"/>
              </w:rPr>
              <w:t>6%</w:t>
            </w:r>
          </w:p>
        </w:tc>
      </w:tr>
      <w:tr>
        <w:trPr>
          <w:trHeight w:val="153"/>
        </w:trPr>
        <w:tc>
          <w:tcPr>
            <w:tcW w:w="5020" w:type="dxa"/>
            <w:vAlign w:val="bottom"/>
            <w:shd w:val="clear" w:color="auto" w:fill="CCEEFF"/>
          </w:tcPr>
          <w:p>
            <w:pPr>
              <w:spacing w:after="0"/>
              <w:rPr>
                <w:sz w:val="20"/>
                <w:szCs w:val="20"/>
                <w:color w:val="auto"/>
              </w:rPr>
            </w:pPr>
            <w:r>
              <w:rPr>
                <w:rFonts w:ascii="Arial" w:cs="Arial" w:eastAsia="Arial" w:hAnsi="Arial"/>
                <w:sz w:val="12"/>
                <w:szCs w:val="12"/>
                <w:color w:val="auto"/>
              </w:rPr>
              <w:t>Financing propensity</w:t>
            </w:r>
          </w:p>
        </w:tc>
        <w:tc>
          <w:tcPr>
            <w:tcW w:w="26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602"/>
              <w:spacing w:after="0"/>
              <w:rPr>
                <w:sz w:val="20"/>
                <w:szCs w:val="20"/>
                <w:color w:val="auto"/>
              </w:rPr>
            </w:pPr>
            <w:r>
              <w:rPr>
                <w:rFonts w:ascii="Arial" w:cs="Arial" w:eastAsia="Arial" w:hAnsi="Arial"/>
                <w:sz w:val="12"/>
                <w:szCs w:val="12"/>
                <w:color w:val="auto"/>
              </w:rPr>
              <w:t>49%</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601"/>
              <w:spacing w:after="0"/>
              <w:rPr>
                <w:sz w:val="20"/>
                <w:szCs w:val="20"/>
                <w:color w:val="auto"/>
              </w:rPr>
            </w:pPr>
            <w:r>
              <w:rPr>
                <w:rFonts w:ascii="Arial" w:cs="Arial" w:eastAsia="Arial" w:hAnsi="Arial"/>
                <w:sz w:val="12"/>
                <w:szCs w:val="12"/>
                <w:color w:val="auto"/>
              </w:rPr>
              <w:t>54%</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r>
    </w:tbl>
    <w:p>
      <w:pPr>
        <w:spacing w:after="0" w:line="162" w:lineRule="exact"/>
        <w:rPr>
          <w:sz w:val="20"/>
          <w:szCs w:val="20"/>
          <w:color w:val="auto"/>
        </w:rPr>
      </w:pPr>
    </w:p>
    <w:p>
      <w:pPr>
        <w:ind w:right="60" w:firstLine="432"/>
        <w:spacing w:after="0" w:line="255" w:lineRule="auto"/>
        <w:rPr>
          <w:sz w:val="20"/>
          <w:szCs w:val="20"/>
          <w:color w:val="auto"/>
        </w:rPr>
      </w:pPr>
      <w:r>
        <w:rPr>
          <w:rFonts w:ascii="Arial" w:cs="Arial" w:eastAsia="Arial" w:hAnsi="Arial"/>
          <w:sz w:val="12"/>
          <w:szCs w:val="12"/>
          <w:color w:val="auto"/>
        </w:rPr>
        <w:t>Financing revenues decreased due to a $269 million decrease in the average net vacation ownership notes receivable balance resulting from the continued pay-down of the existing vacation ownership notes receivable portfolio without a corresponding increase from new loan originations. As contract sales volumes continue to grow throughout 2021, we expect that this growth should begin to more than offset the normal decline from loan payment activity, which would cause interest income to begin to increase again. Financing expenses decreased due to $14 million of lower bad debt expense associated with acquired vacation ownership notes receivable in the prior year quarter and lower credit card fees and other expenses, offset partially by $1 million of higher costs from the acquisition of Welk. Lower consumer financing interest expense resulted from the continued pay-down of securitized debt balances, partially offset by $1 million of costs from the acquisition of Welk. The lower financing propensity in the first half of 2021 is due to a higher percentage of sales during this period to existing owners, who tend to have a lower financing propensity.</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Royalty Fee</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2021 Second Quarter</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4840" w:type="dxa"/>
            <w:vAlign w:val="bottom"/>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3"/>
          </w:tcPr>
          <w:p>
            <w:pPr>
              <w:jc w:val="right"/>
              <w:ind w:right="729"/>
              <w:spacing w:after="0"/>
              <w:rPr>
                <w:sz w:val="20"/>
                <w:szCs w:val="20"/>
                <w:color w:val="auto"/>
              </w:rPr>
            </w:pPr>
            <w:r>
              <w:rPr>
                <w:rFonts w:ascii="Arial" w:cs="Arial" w:eastAsia="Arial" w:hAnsi="Arial"/>
                <w:sz w:val="11"/>
                <w:szCs w:val="11"/>
                <w:b w:val="1"/>
                <w:bCs w:val="1"/>
                <w:color w:val="auto"/>
                <w:w w:val="90"/>
              </w:rPr>
              <w:t>Three Months Ended</w:t>
            </w:r>
          </w:p>
        </w:tc>
        <w:tc>
          <w:tcPr>
            <w:tcW w:w="3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135"/>
        </w:trPr>
        <w:tc>
          <w:tcPr>
            <w:tcW w:w="484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June 30, 2021</w:t>
            </w:r>
          </w:p>
        </w:tc>
        <w:tc>
          <w:tcPr>
            <w:tcW w:w="4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20" w:type="dxa"/>
            <w:vAlign w:val="bottom"/>
            <w:tcBorders>
              <w:bottom w:val="single" w:sz="8" w:color="auto"/>
            </w:tcBorders>
          </w:tcPr>
          <w:p>
            <w:pPr>
              <w:jc w:val="right"/>
              <w:ind w:right="89"/>
              <w:spacing w:after="0"/>
              <w:rPr>
                <w:sz w:val="20"/>
                <w:szCs w:val="20"/>
                <w:color w:val="auto"/>
              </w:rPr>
            </w:pPr>
            <w:r>
              <w:rPr>
                <w:rFonts w:ascii="Arial" w:cs="Arial" w:eastAsia="Arial" w:hAnsi="Arial"/>
                <w:sz w:val="11"/>
                <w:szCs w:val="11"/>
                <w:b w:val="1"/>
                <w:bCs w:val="1"/>
                <w:color w:val="auto"/>
              </w:rPr>
              <w:t>June 30, 2020</w:t>
            </w: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20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b w:val="1"/>
                <w:bCs w:val="1"/>
                <w:color w:val="auto"/>
              </w:rPr>
              <w:t>Change</w:t>
            </w:r>
          </w:p>
        </w:tc>
        <w:tc>
          <w:tcPr>
            <w:tcW w:w="3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 Change</w:t>
            </w:r>
          </w:p>
        </w:tc>
      </w:tr>
      <w:tr>
        <w:trPr>
          <w:trHeight w:val="144"/>
        </w:trPr>
        <w:tc>
          <w:tcPr>
            <w:tcW w:w="48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Royalty fee</w:t>
            </w:r>
          </w:p>
        </w:tc>
        <w:tc>
          <w:tcPr>
            <w:tcW w:w="1080" w:type="dxa"/>
            <w:vAlign w:val="bottom"/>
            <w:shd w:val="clear" w:color="auto" w:fill="CCEEFF"/>
          </w:tcPr>
          <w:p>
            <w:pPr>
              <w:jc w:val="right"/>
              <w:ind w:right="969"/>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w:t>
            </w: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jc w:val="right"/>
              <w:ind w:right="1109"/>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w:t>
            </w:r>
          </w:p>
        </w:tc>
        <w:tc>
          <w:tcPr>
            <w:tcW w:w="8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1063"/>
              <w:spacing w:after="0"/>
              <w:rPr>
                <w:sz w:val="20"/>
                <w:szCs w:val="20"/>
                <w:color w:val="auto"/>
              </w:rPr>
            </w:pPr>
            <w:r>
              <w:rPr>
                <w:rFonts w:ascii="Arial" w:cs="Arial" w:eastAsia="Arial" w:hAnsi="Arial"/>
                <w:sz w:val="12"/>
                <w:szCs w:val="12"/>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80" w:type="dxa"/>
            <w:vAlign w:val="bottom"/>
            <w:shd w:val="clear" w:color="auto" w:fill="CCEEFF"/>
          </w:tcPr>
          <w:p>
            <w:pPr>
              <w:spacing w:after="0"/>
              <w:rPr>
                <w:sz w:val="12"/>
                <w:szCs w:val="12"/>
                <w:color w:val="auto"/>
              </w:rPr>
            </w:pPr>
          </w:p>
        </w:tc>
        <w:tc>
          <w:tcPr>
            <w:tcW w:w="1560" w:type="dxa"/>
            <w:vAlign w:val="bottom"/>
            <w:shd w:val="clear" w:color="auto" w:fill="CCEEFF"/>
          </w:tcPr>
          <w:p>
            <w:pPr>
              <w:jc w:val="right"/>
              <w:ind w:right="603"/>
              <w:spacing w:after="0"/>
              <w:rPr>
                <w:sz w:val="20"/>
                <w:szCs w:val="20"/>
                <w:color w:val="auto"/>
              </w:rPr>
            </w:pPr>
            <w:r>
              <w:rPr>
                <w:rFonts w:ascii="Arial" w:cs="Arial" w:eastAsia="Arial" w:hAnsi="Arial"/>
                <w:sz w:val="12"/>
                <w:szCs w:val="12"/>
                <w:color w:val="auto"/>
              </w:rPr>
              <w:t>19%</w:t>
            </w:r>
          </w:p>
        </w:tc>
      </w:tr>
    </w:tbl>
    <w:p>
      <w:pPr>
        <w:spacing w:after="0" w:line="15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Royalty fee expense increased in the second quarter of 2021 as a result of higher contract closings compared to the prior year quarter.</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2021 First Half</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4840" w:type="dxa"/>
            <w:vAlign w:val="bottom"/>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gridSpan w:val="3"/>
          </w:tcPr>
          <w:p>
            <w:pPr>
              <w:jc w:val="right"/>
              <w:ind w:right="789"/>
              <w:spacing w:after="0"/>
              <w:rPr>
                <w:sz w:val="20"/>
                <w:szCs w:val="20"/>
                <w:color w:val="auto"/>
              </w:rPr>
            </w:pPr>
            <w:r>
              <w:rPr>
                <w:rFonts w:ascii="Arial" w:cs="Arial" w:eastAsia="Arial" w:hAnsi="Arial"/>
                <w:sz w:val="11"/>
                <w:szCs w:val="11"/>
                <w:b w:val="1"/>
                <w:bCs w:val="1"/>
                <w:color w:val="auto"/>
                <w:w w:val="92"/>
              </w:rPr>
              <w:t>Six Months Ended</w:t>
            </w:r>
          </w:p>
        </w:tc>
        <w:tc>
          <w:tcPr>
            <w:tcW w:w="3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135"/>
        </w:trPr>
        <w:tc>
          <w:tcPr>
            <w:tcW w:w="484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June 30, 2021</w:t>
            </w:r>
          </w:p>
        </w:tc>
        <w:tc>
          <w:tcPr>
            <w:tcW w:w="4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20" w:type="dxa"/>
            <w:vAlign w:val="bottom"/>
            <w:tcBorders>
              <w:bottom w:val="single" w:sz="8" w:color="auto"/>
            </w:tcBorders>
          </w:tcPr>
          <w:p>
            <w:pPr>
              <w:jc w:val="right"/>
              <w:ind w:right="89"/>
              <w:spacing w:after="0"/>
              <w:rPr>
                <w:sz w:val="20"/>
                <w:szCs w:val="20"/>
                <w:color w:val="auto"/>
              </w:rPr>
            </w:pPr>
            <w:r>
              <w:rPr>
                <w:rFonts w:ascii="Arial" w:cs="Arial" w:eastAsia="Arial" w:hAnsi="Arial"/>
                <w:sz w:val="11"/>
                <w:szCs w:val="11"/>
                <w:b w:val="1"/>
                <w:bCs w:val="1"/>
                <w:color w:val="auto"/>
              </w:rPr>
              <w:t>June 30, 2020</w:t>
            </w: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20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b w:val="1"/>
                <w:bCs w:val="1"/>
                <w:color w:val="auto"/>
              </w:rPr>
              <w:t>Change</w:t>
            </w:r>
          </w:p>
        </w:tc>
        <w:tc>
          <w:tcPr>
            <w:tcW w:w="3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 Change</w:t>
            </w:r>
          </w:p>
        </w:tc>
      </w:tr>
      <w:tr>
        <w:trPr>
          <w:trHeight w:val="144"/>
        </w:trPr>
        <w:tc>
          <w:tcPr>
            <w:tcW w:w="48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Royalty fee</w:t>
            </w:r>
          </w:p>
        </w:tc>
        <w:tc>
          <w:tcPr>
            <w:tcW w:w="1120" w:type="dxa"/>
            <w:vAlign w:val="bottom"/>
            <w:shd w:val="clear" w:color="auto" w:fill="CCEEFF"/>
          </w:tcPr>
          <w:p>
            <w:pPr>
              <w:jc w:val="right"/>
              <w:ind w:right="1009"/>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w:t>
            </w: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jc w:val="right"/>
              <w:ind w:right="1109"/>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w:t>
            </w:r>
          </w:p>
        </w:tc>
        <w:tc>
          <w:tcPr>
            <w:tcW w:w="8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1063"/>
              <w:spacing w:after="0"/>
              <w:rPr>
                <w:sz w:val="20"/>
                <w:szCs w:val="20"/>
                <w:color w:val="auto"/>
              </w:rPr>
            </w:pPr>
            <w:r>
              <w:rPr>
                <w:rFonts w:ascii="Arial" w:cs="Arial" w:eastAsia="Arial" w:hAnsi="Arial"/>
                <w:sz w:val="12"/>
                <w:szCs w:val="12"/>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80" w:type="dxa"/>
            <w:vAlign w:val="bottom"/>
            <w:shd w:val="clear" w:color="auto" w:fill="CCEEFF"/>
          </w:tcPr>
          <w:p>
            <w:pPr>
              <w:spacing w:after="0"/>
              <w:rPr>
                <w:sz w:val="12"/>
                <w:szCs w:val="12"/>
                <w:color w:val="auto"/>
              </w:rPr>
            </w:pPr>
          </w:p>
        </w:tc>
        <w:tc>
          <w:tcPr>
            <w:tcW w:w="1560" w:type="dxa"/>
            <w:vAlign w:val="bottom"/>
            <w:shd w:val="clear" w:color="auto" w:fill="CCEEFF"/>
          </w:tcPr>
          <w:p>
            <w:pPr>
              <w:jc w:val="right"/>
              <w:ind w:right="643"/>
              <w:spacing w:after="0"/>
              <w:rPr>
                <w:sz w:val="20"/>
                <w:szCs w:val="20"/>
                <w:color w:val="auto"/>
              </w:rPr>
            </w:pPr>
            <w:r>
              <w:rPr>
                <w:rFonts w:ascii="Arial" w:cs="Arial" w:eastAsia="Arial" w:hAnsi="Arial"/>
                <w:sz w:val="12"/>
                <w:szCs w:val="12"/>
                <w:color w:val="auto"/>
              </w:rPr>
              <w:t>6%</w:t>
            </w:r>
          </w:p>
        </w:tc>
      </w:tr>
    </w:tbl>
    <w:p>
      <w:pPr>
        <w:spacing w:after="0" w:line="16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Royalty fee expense increased in the first half of 2021 as a result of higher contract closings compared to the prior year period.</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Litigation Charges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2021 Second Quarter</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4840" w:type="dxa"/>
            <w:vAlign w:val="bottom"/>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3"/>
          </w:tcPr>
          <w:p>
            <w:pPr>
              <w:jc w:val="right"/>
              <w:ind w:right="729"/>
              <w:spacing w:after="0"/>
              <w:rPr>
                <w:sz w:val="20"/>
                <w:szCs w:val="20"/>
                <w:color w:val="auto"/>
              </w:rPr>
            </w:pPr>
            <w:r>
              <w:rPr>
                <w:rFonts w:ascii="Arial" w:cs="Arial" w:eastAsia="Arial" w:hAnsi="Arial"/>
                <w:sz w:val="11"/>
                <w:szCs w:val="11"/>
                <w:b w:val="1"/>
                <w:bCs w:val="1"/>
                <w:color w:val="auto"/>
                <w:w w:val="90"/>
              </w:rPr>
              <w:t>Three Months Ended</w:t>
            </w:r>
          </w:p>
        </w:tc>
        <w:tc>
          <w:tcPr>
            <w:tcW w:w="3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135"/>
        </w:trPr>
        <w:tc>
          <w:tcPr>
            <w:tcW w:w="484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June 30, 2021</w:t>
            </w:r>
          </w:p>
        </w:tc>
        <w:tc>
          <w:tcPr>
            <w:tcW w:w="4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20" w:type="dxa"/>
            <w:vAlign w:val="bottom"/>
            <w:tcBorders>
              <w:bottom w:val="single" w:sz="8" w:color="auto"/>
            </w:tcBorders>
          </w:tcPr>
          <w:p>
            <w:pPr>
              <w:jc w:val="right"/>
              <w:ind w:right="89"/>
              <w:spacing w:after="0"/>
              <w:rPr>
                <w:sz w:val="20"/>
                <w:szCs w:val="20"/>
                <w:color w:val="auto"/>
              </w:rPr>
            </w:pPr>
            <w:r>
              <w:rPr>
                <w:rFonts w:ascii="Arial" w:cs="Arial" w:eastAsia="Arial" w:hAnsi="Arial"/>
                <w:sz w:val="11"/>
                <w:szCs w:val="11"/>
                <w:b w:val="1"/>
                <w:bCs w:val="1"/>
                <w:color w:val="auto"/>
              </w:rPr>
              <w:t>June 30, 2020</w:t>
            </w: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200" w:type="dxa"/>
            <w:vAlign w:val="bottom"/>
            <w:tcBorders>
              <w:bottom w:val="single" w:sz="8" w:color="auto"/>
            </w:tcBorders>
          </w:tcPr>
          <w:p>
            <w:pPr>
              <w:ind w:left="600"/>
              <w:spacing w:after="0"/>
              <w:rPr>
                <w:sz w:val="20"/>
                <w:szCs w:val="20"/>
                <w:color w:val="auto"/>
              </w:rPr>
            </w:pPr>
            <w:r>
              <w:rPr>
                <w:rFonts w:ascii="Arial" w:cs="Arial" w:eastAsia="Arial" w:hAnsi="Arial"/>
                <w:sz w:val="11"/>
                <w:szCs w:val="11"/>
                <w:b w:val="1"/>
                <w:bCs w:val="1"/>
                <w:color w:val="auto"/>
              </w:rPr>
              <w:t>Change</w:t>
            </w:r>
          </w:p>
        </w:tc>
        <w:tc>
          <w:tcPr>
            <w:tcW w:w="3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 Change</w:t>
            </w:r>
          </w:p>
        </w:tc>
      </w:tr>
      <w:tr>
        <w:trPr>
          <w:trHeight w:val="144"/>
        </w:trPr>
        <w:tc>
          <w:tcPr>
            <w:tcW w:w="48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Litigation charges</w:t>
            </w:r>
          </w:p>
        </w:tc>
        <w:tc>
          <w:tcPr>
            <w:tcW w:w="1080" w:type="dxa"/>
            <w:vAlign w:val="bottom"/>
            <w:shd w:val="clear" w:color="auto" w:fill="CCEEFF"/>
          </w:tcPr>
          <w:p>
            <w:pPr>
              <w:jc w:val="right"/>
              <w:ind w:right="969"/>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jc w:val="right"/>
              <w:ind w:right="1109"/>
              <w:spacing w:after="0"/>
              <w:rPr>
                <w:sz w:val="20"/>
                <w:szCs w:val="20"/>
                <w:color w:val="auto"/>
              </w:rPr>
            </w:pPr>
            <w:r>
              <w:rPr>
                <w:rFonts w:ascii="Arial" w:cs="Arial" w:eastAsia="Arial" w:hAnsi="Arial"/>
                <w:sz w:val="10"/>
                <w:szCs w:val="10"/>
                <w:color w:val="auto"/>
                <w:w w:val="71"/>
              </w:rPr>
              <w:t>$</w:t>
            </w:r>
          </w:p>
        </w:tc>
        <w:tc>
          <w:tcPr>
            <w:tcW w:w="160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   $</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80" w:type="dxa"/>
            <w:vAlign w:val="bottom"/>
            <w:shd w:val="clear" w:color="auto" w:fill="CCEEFF"/>
          </w:tcPr>
          <w:p>
            <w:pPr>
              <w:spacing w:after="0"/>
              <w:rPr>
                <w:sz w:val="12"/>
                <w:szCs w:val="12"/>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NM</w:t>
            </w:r>
          </w:p>
        </w:tc>
      </w:tr>
    </w:tbl>
    <w:p>
      <w:pPr>
        <w:spacing w:after="0" w:line="9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During the second quarter of 2021, we incurred $3 million of litigation charges related primarily to projects in Europe. No litigation charges were recorded for the second quarter of 2020.</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2021 First Half</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4840" w:type="dxa"/>
            <w:vAlign w:val="bottom"/>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3"/>
          </w:tcPr>
          <w:p>
            <w:pPr>
              <w:jc w:val="right"/>
              <w:ind w:right="829"/>
              <w:spacing w:after="0"/>
              <w:rPr>
                <w:sz w:val="20"/>
                <w:szCs w:val="20"/>
                <w:color w:val="auto"/>
              </w:rPr>
            </w:pPr>
            <w:r>
              <w:rPr>
                <w:rFonts w:ascii="Arial" w:cs="Arial" w:eastAsia="Arial" w:hAnsi="Arial"/>
                <w:sz w:val="11"/>
                <w:szCs w:val="11"/>
                <w:b w:val="1"/>
                <w:bCs w:val="1"/>
                <w:color w:val="auto"/>
                <w:w w:val="92"/>
              </w:rPr>
              <w:t>Six Months Ended</w:t>
            </w:r>
          </w:p>
        </w:tc>
        <w:tc>
          <w:tcPr>
            <w:tcW w:w="2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135"/>
        </w:trPr>
        <w:tc>
          <w:tcPr>
            <w:tcW w:w="484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June 30, 2021</w:t>
            </w:r>
          </w:p>
        </w:tc>
        <w:tc>
          <w:tcPr>
            <w:tcW w:w="4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60" w:type="dxa"/>
            <w:vAlign w:val="bottom"/>
            <w:tcBorders>
              <w:bottom w:val="single" w:sz="8" w:color="auto"/>
            </w:tcBorders>
          </w:tcPr>
          <w:p>
            <w:pPr>
              <w:jc w:val="right"/>
              <w:ind w:right="129"/>
              <w:spacing w:after="0"/>
              <w:rPr>
                <w:sz w:val="20"/>
                <w:szCs w:val="20"/>
                <w:color w:val="auto"/>
              </w:rPr>
            </w:pPr>
            <w:r>
              <w:rPr>
                <w:rFonts w:ascii="Arial" w:cs="Arial" w:eastAsia="Arial" w:hAnsi="Arial"/>
                <w:sz w:val="11"/>
                <w:szCs w:val="11"/>
                <w:b w:val="1"/>
                <w:bCs w:val="1"/>
                <w:color w:val="auto"/>
              </w:rPr>
              <w:t>June 30, 2020</w:t>
            </w: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20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b w:val="1"/>
                <w:bCs w:val="1"/>
                <w:color w:val="auto"/>
              </w:rPr>
              <w:t>Change</w:t>
            </w:r>
          </w:p>
        </w:tc>
        <w:tc>
          <w:tcPr>
            <w:tcW w:w="3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 Change</w:t>
            </w:r>
          </w:p>
        </w:tc>
      </w:tr>
      <w:tr>
        <w:trPr>
          <w:trHeight w:val="144"/>
        </w:trPr>
        <w:tc>
          <w:tcPr>
            <w:tcW w:w="48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Litigation charges</w:t>
            </w:r>
          </w:p>
        </w:tc>
        <w:tc>
          <w:tcPr>
            <w:tcW w:w="1120" w:type="dxa"/>
            <w:vAlign w:val="bottom"/>
            <w:shd w:val="clear" w:color="auto" w:fill="CCEEFF"/>
          </w:tcPr>
          <w:p>
            <w:pPr>
              <w:jc w:val="right"/>
              <w:ind w:right="1009"/>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1149"/>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8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1063"/>
              <w:spacing w:after="0"/>
              <w:rPr>
                <w:sz w:val="20"/>
                <w:szCs w:val="20"/>
                <w:color w:val="auto"/>
              </w:rPr>
            </w:pPr>
            <w:r>
              <w:rPr>
                <w:rFonts w:ascii="Arial" w:cs="Arial" w:eastAsia="Arial" w:hAnsi="Arial"/>
                <w:sz w:val="12"/>
                <w:szCs w:val="12"/>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80" w:type="dxa"/>
            <w:vAlign w:val="bottom"/>
            <w:shd w:val="clear" w:color="auto" w:fill="CCEEFF"/>
          </w:tcPr>
          <w:p>
            <w:pPr>
              <w:spacing w:after="0"/>
              <w:rPr>
                <w:sz w:val="12"/>
                <w:szCs w:val="12"/>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NM</w:t>
            </w:r>
          </w:p>
        </w:tc>
      </w:tr>
    </w:tbl>
    <w:p>
      <w:pPr>
        <w:spacing w:after="0" w:line="8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During the first half of 2021 and first half of 2020, we incurred $6 million and $2 million, respectively, of litigation charges related primarily to projects in Europe.</w:t>
      </w:r>
    </w:p>
    <w:p>
      <w:pPr>
        <w:spacing w:after="0" w:line="141" w:lineRule="exact"/>
        <w:rPr>
          <w:sz w:val="20"/>
          <w:szCs w:val="20"/>
          <w:color w:val="auto"/>
        </w:rPr>
      </w:pPr>
    </w:p>
    <w:p>
      <w:pPr>
        <w:jc w:val="center"/>
        <w:ind w:left="420"/>
        <w:spacing w:after="0"/>
        <w:rPr>
          <w:sz w:val="20"/>
          <w:szCs w:val="20"/>
          <w:color w:val="auto"/>
        </w:rPr>
      </w:pPr>
      <w:r>
        <w:rPr>
          <w:rFonts w:ascii="Arial" w:cs="Arial" w:eastAsia="Arial" w:hAnsi="Arial"/>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191135</wp:posOffset>
            </wp:positionV>
            <wp:extent cx="7203440" cy="36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60" w:name="page61"/>
    <w:bookmarkEnd w:id="60"/>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Impairment</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2021 Second Quarter</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4840" w:type="dxa"/>
            <w:vAlign w:val="bottom"/>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3"/>
          </w:tcPr>
          <w:p>
            <w:pPr>
              <w:ind w:left="20"/>
              <w:spacing w:after="0"/>
              <w:rPr>
                <w:sz w:val="20"/>
                <w:szCs w:val="20"/>
                <w:color w:val="auto"/>
              </w:rPr>
            </w:pPr>
            <w:r>
              <w:rPr>
                <w:rFonts w:ascii="Arial" w:cs="Arial" w:eastAsia="Arial" w:hAnsi="Arial"/>
                <w:sz w:val="11"/>
                <w:szCs w:val="11"/>
                <w:b w:val="1"/>
                <w:bCs w:val="1"/>
                <w:color w:val="auto"/>
              </w:rPr>
              <w:t>Three Months Ended</w:t>
            </w:r>
          </w:p>
        </w:tc>
        <w:tc>
          <w:tcPr>
            <w:tcW w:w="2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135"/>
        </w:trPr>
        <w:tc>
          <w:tcPr>
            <w:tcW w:w="484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June 30, 2021</w:t>
            </w:r>
          </w:p>
        </w:tc>
        <w:tc>
          <w:tcPr>
            <w:tcW w:w="4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60" w:type="dxa"/>
            <w:vAlign w:val="bottom"/>
            <w:tcBorders>
              <w:bottom w:val="single" w:sz="8" w:color="auto"/>
            </w:tcBorders>
          </w:tcPr>
          <w:p>
            <w:pPr>
              <w:ind w:left="460"/>
              <w:spacing w:after="0"/>
              <w:rPr>
                <w:sz w:val="20"/>
                <w:szCs w:val="20"/>
                <w:color w:val="auto"/>
              </w:rPr>
            </w:pPr>
            <w:r>
              <w:rPr>
                <w:rFonts w:ascii="Arial" w:cs="Arial" w:eastAsia="Arial" w:hAnsi="Arial"/>
                <w:sz w:val="11"/>
                <w:szCs w:val="11"/>
                <w:b w:val="1"/>
                <w:bCs w:val="1"/>
                <w:color w:val="auto"/>
              </w:rPr>
              <w:t>June 30, 2020</w:t>
            </w: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18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rPr>
              <w:t>Change</w:t>
            </w:r>
          </w:p>
        </w:tc>
        <w:tc>
          <w:tcPr>
            <w:tcW w:w="3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 Change</w:t>
            </w:r>
          </w:p>
        </w:tc>
      </w:tr>
      <w:tr>
        <w:trPr>
          <w:trHeight w:val="144"/>
        </w:trPr>
        <w:tc>
          <w:tcPr>
            <w:tcW w:w="4840" w:type="dxa"/>
            <w:vAlign w:val="bottom"/>
            <w:shd w:val="clear" w:color="auto" w:fill="CCEEFF"/>
          </w:tcPr>
          <w:p>
            <w:pPr>
              <w:spacing w:after="0"/>
              <w:rPr>
                <w:sz w:val="20"/>
                <w:szCs w:val="20"/>
                <w:color w:val="auto"/>
              </w:rPr>
            </w:pPr>
            <w:r>
              <w:rPr>
                <w:rFonts w:ascii="Arial" w:cs="Arial" w:eastAsia="Arial" w:hAnsi="Arial"/>
                <w:sz w:val="12"/>
                <w:szCs w:val="12"/>
                <w:color w:val="auto"/>
              </w:rPr>
              <w:t>Impairment</w:t>
            </w:r>
          </w:p>
        </w:tc>
        <w:tc>
          <w:tcPr>
            <w:tcW w:w="1080" w:type="dxa"/>
            <w:vAlign w:val="bottom"/>
            <w:shd w:val="clear" w:color="auto" w:fill="CCEEFF"/>
          </w:tcPr>
          <w:p>
            <w:pPr>
              <w:jc w:val="right"/>
              <w:ind w:right="969"/>
              <w:spacing w:after="0"/>
              <w:rPr>
                <w:sz w:val="20"/>
                <w:szCs w:val="20"/>
                <w:color w:val="auto"/>
              </w:rPr>
            </w:pPr>
            <w:r>
              <w:rPr>
                <w:rFonts w:ascii="Arial" w:cs="Arial" w:eastAsia="Arial" w:hAnsi="Arial"/>
                <w:sz w:val="10"/>
                <w:szCs w:val="10"/>
                <w:color w:val="auto"/>
                <w:w w:val="71"/>
              </w:rPr>
              <w:t>$</w:t>
            </w:r>
          </w:p>
        </w:tc>
        <w:tc>
          <w:tcPr>
            <w:tcW w:w="1820" w:type="dxa"/>
            <w:vAlign w:val="bottom"/>
            <w:gridSpan w:val="3"/>
            <w:shd w:val="clear" w:color="auto" w:fill="CCEEFF"/>
          </w:tcPr>
          <w:p>
            <w:pPr>
              <w:ind w:left="300"/>
              <w:spacing w:after="0"/>
              <w:rPr>
                <w:sz w:val="20"/>
                <w:szCs w:val="20"/>
                <w:color w:val="auto"/>
              </w:rPr>
            </w:pPr>
            <w:r>
              <w:rPr>
                <w:rFonts w:ascii="Arial" w:cs="Arial" w:eastAsia="Arial" w:hAnsi="Arial"/>
                <w:sz w:val="12"/>
                <w:szCs w:val="12"/>
                <w:color w:val="auto"/>
              </w:rPr>
              <w:t>—   $</w:t>
            </w: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1043"/>
              <w:spacing w:after="0"/>
              <w:rPr>
                <w:sz w:val="20"/>
                <w:szCs w:val="20"/>
                <w:color w:val="auto"/>
              </w:rPr>
            </w:pPr>
            <w:r>
              <w:rPr>
                <w:rFonts w:ascii="Arial" w:cs="Arial" w:eastAsia="Arial" w:hAnsi="Arial"/>
                <w:sz w:val="12"/>
                <w:szCs w:val="12"/>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2"/>
                <w:szCs w:val="12"/>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NM</w:t>
            </w:r>
          </w:p>
        </w:tc>
      </w:tr>
    </w:tbl>
    <w:p>
      <w:pPr>
        <w:spacing w:after="0" w:line="126" w:lineRule="exact"/>
        <w:rPr>
          <w:sz w:val="20"/>
          <w:szCs w:val="20"/>
          <w:color w:val="auto"/>
        </w:rPr>
      </w:pPr>
    </w:p>
    <w:p>
      <w:pPr>
        <w:ind w:right="80" w:firstLine="432"/>
        <w:spacing w:after="0" w:line="276" w:lineRule="auto"/>
        <w:rPr>
          <w:sz w:val="20"/>
          <w:szCs w:val="20"/>
          <w:color w:val="auto"/>
        </w:rPr>
      </w:pPr>
      <w:r>
        <w:rPr>
          <w:rFonts w:ascii="Arial" w:cs="Arial" w:eastAsia="Arial" w:hAnsi="Arial"/>
          <w:sz w:val="12"/>
          <w:szCs w:val="12"/>
          <w:color w:val="auto"/>
        </w:rPr>
        <w:t>No asset impairment charges were recorded for the second quarter of 2021. During the second quarter of 2020, we recorded a non-cash impairment of $1 million related to our Asia Pacific inventory as a result of the impact of the COVID-19 pandemic.</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2021 First Half</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4840" w:type="dxa"/>
            <w:vAlign w:val="bottom"/>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3"/>
          </w:tcPr>
          <w:p>
            <w:pPr>
              <w:ind w:left="40"/>
              <w:spacing w:after="0"/>
              <w:rPr>
                <w:sz w:val="20"/>
                <w:szCs w:val="20"/>
                <w:color w:val="auto"/>
              </w:rPr>
            </w:pPr>
            <w:r>
              <w:rPr>
                <w:rFonts w:ascii="Arial" w:cs="Arial" w:eastAsia="Arial" w:hAnsi="Arial"/>
                <w:sz w:val="11"/>
                <w:szCs w:val="11"/>
                <w:b w:val="1"/>
                <w:bCs w:val="1"/>
                <w:color w:val="auto"/>
              </w:rPr>
              <w:t>Six Months Ended</w:t>
            </w:r>
          </w:p>
        </w:tc>
        <w:tc>
          <w:tcPr>
            <w:tcW w:w="2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135"/>
        </w:trPr>
        <w:tc>
          <w:tcPr>
            <w:tcW w:w="484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June 30, 2021</w:t>
            </w:r>
          </w:p>
        </w:tc>
        <w:tc>
          <w:tcPr>
            <w:tcW w:w="4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60" w:type="dxa"/>
            <w:vAlign w:val="bottom"/>
            <w:tcBorders>
              <w:bottom w:val="single" w:sz="8" w:color="auto"/>
            </w:tcBorders>
          </w:tcPr>
          <w:p>
            <w:pPr>
              <w:ind w:left="460"/>
              <w:spacing w:after="0"/>
              <w:rPr>
                <w:sz w:val="20"/>
                <w:szCs w:val="20"/>
                <w:color w:val="auto"/>
              </w:rPr>
            </w:pPr>
            <w:r>
              <w:rPr>
                <w:rFonts w:ascii="Arial" w:cs="Arial" w:eastAsia="Arial" w:hAnsi="Arial"/>
                <w:sz w:val="11"/>
                <w:szCs w:val="11"/>
                <w:b w:val="1"/>
                <w:bCs w:val="1"/>
                <w:color w:val="auto"/>
              </w:rPr>
              <w:t>June 30, 2020</w:t>
            </w: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18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rPr>
              <w:t>Change</w:t>
            </w:r>
          </w:p>
        </w:tc>
        <w:tc>
          <w:tcPr>
            <w:tcW w:w="3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 Change</w:t>
            </w:r>
          </w:p>
        </w:tc>
      </w:tr>
      <w:tr>
        <w:trPr>
          <w:trHeight w:val="144"/>
        </w:trPr>
        <w:tc>
          <w:tcPr>
            <w:tcW w:w="4840" w:type="dxa"/>
            <w:vAlign w:val="bottom"/>
            <w:shd w:val="clear" w:color="auto" w:fill="CCEEFF"/>
          </w:tcPr>
          <w:p>
            <w:pPr>
              <w:spacing w:after="0"/>
              <w:rPr>
                <w:sz w:val="20"/>
                <w:szCs w:val="20"/>
                <w:color w:val="auto"/>
              </w:rPr>
            </w:pPr>
            <w:r>
              <w:rPr>
                <w:rFonts w:ascii="Arial" w:cs="Arial" w:eastAsia="Arial" w:hAnsi="Arial"/>
                <w:sz w:val="12"/>
                <w:szCs w:val="12"/>
                <w:color w:val="auto"/>
              </w:rPr>
              <w:t>Impairment</w:t>
            </w:r>
          </w:p>
        </w:tc>
        <w:tc>
          <w:tcPr>
            <w:tcW w:w="1120" w:type="dxa"/>
            <w:vAlign w:val="bottom"/>
            <w:shd w:val="clear" w:color="auto" w:fill="CCEEFF"/>
          </w:tcPr>
          <w:p>
            <w:pPr>
              <w:jc w:val="right"/>
              <w:ind w:right="1009"/>
              <w:spacing w:after="0"/>
              <w:rPr>
                <w:sz w:val="20"/>
                <w:szCs w:val="20"/>
                <w:color w:val="auto"/>
              </w:rPr>
            </w:pPr>
            <w:r>
              <w:rPr>
                <w:rFonts w:ascii="Arial" w:cs="Arial" w:eastAsia="Arial" w:hAnsi="Arial"/>
                <w:sz w:val="10"/>
                <w:szCs w:val="10"/>
                <w:color w:val="auto"/>
                <w:w w:val="71"/>
              </w:rPr>
              <w:t>$</w:t>
            </w:r>
          </w:p>
        </w:tc>
        <w:tc>
          <w:tcPr>
            <w:tcW w:w="1780" w:type="dxa"/>
            <w:vAlign w:val="bottom"/>
            <w:gridSpan w:val="3"/>
            <w:shd w:val="clear" w:color="auto" w:fill="CCEEFF"/>
          </w:tcPr>
          <w:p>
            <w:pPr>
              <w:ind w:left="260"/>
              <w:spacing w:after="0"/>
              <w:rPr>
                <w:sz w:val="20"/>
                <w:szCs w:val="20"/>
                <w:color w:val="auto"/>
              </w:rPr>
            </w:pPr>
            <w:r>
              <w:rPr>
                <w:rFonts w:ascii="Arial" w:cs="Arial" w:eastAsia="Arial" w:hAnsi="Arial"/>
                <w:sz w:val="12"/>
                <w:szCs w:val="12"/>
                <w:color w:val="auto"/>
              </w:rPr>
              <w:t>—   $</w:t>
            </w: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1043"/>
              <w:spacing w:after="0"/>
              <w:rPr>
                <w:sz w:val="20"/>
                <w:szCs w:val="20"/>
                <w:color w:val="auto"/>
              </w:rPr>
            </w:pPr>
            <w:r>
              <w:rPr>
                <w:rFonts w:ascii="Arial" w:cs="Arial" w:eastAsia="Arial" w:hAnsi="Arial"/>
                <w:sz w:val="12"/>
                <w:szCs w:val="12"/>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80" w:type="dxa"/>
            <w:vAlign w:val="bottom"/>
            <w:shd w:val="clear" w:color="auto" w:fill="CCEEFF"/>
          </w:tcPr>
          <w:p>
            <w:pPr>
              <w:spacing w:after="0"/>
              <w:rPr>
                <w:sz w:val="12"/>
                <w:szCs w:val="12"/>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NM</w:t>
            </w:r>
          </w:p>
        </w:tc>
      </w:tr>
    </w:tbl>
    <w:p>
      <w:pPr>
        <w:spacing w:after="0" w:line="117" w:lineRule="exact"/>
        <w:rPr>
          <w:sz w:val="20"/>
          <w:szCs w:val="20"/>
          <w:color w:val="auto"/>
        </w:rPr>
      </w:pPr>
    </w:p>
    <w:p>
      <w:pPr>
        <w:ind w:right="40" w:firstLine="432"/>
        <w:spacing w:after="0" w:line="276" w:lineRule="auto"/>
        <w:rPr>
          <w:sz w:val="20"/>
          <w:szCs w:val="20"/>
          <w:color w:val="auto"/>
        </w:rPr>
      </w:pPr>
      <w:r>
        <w:rPr>
          <w:rFonts w:ascii="Arial" w:cs="Arial" w:eastAsia="Arial" w:hAnsi="Arial"/>
          <w:sz w:val="12"/>
          <w:szCs w:val="12"/>
          <w:color w:val="auto"/>
        </w:rPr>
        <w:t>No asset impairment charges were recorded for the first half of 2021. During the first half of 2020, we recorded a non-cash impairment of $5 million related to our Asia Pacific inventory as a result of the impact of the COVID-19 pandemic.</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Gains and Other Income</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2021 Second Quarter</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4940" w:type="dxa"/>
            <w:vAlign w:val="bottom"/>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3"/>
          </w:tcPr>
          <w:p>
            <w:pPr>
              <w:spacing w:after="0"/>
              <w:rPr>
                <w:sz w:val="20"/>
                <w:szCs w:val="20"/>
                <w:color w:val="auto"/>
              </w:rPr>
            </w:pPr>
            <w:r>
              <w:rPr>
                <w:rFonts w:ascii="Arial" w:cs="Arial" w:eastAsia="Arial" w:hAnsi="Arial"/>
                <w:sz w:val="11"/>
                <w:szCs w:val="11"/>
                <w:b w:val="1"/>
                <w:bCs w:val="1"/>
                <w:color w:val="auto"/>
              </w:rPr>
              <w:t>Three Months Ended</w:t>
            </w:r>
          </w:p>
        </w:tc>
        <w:tc>
          <w:tcPr>
            <w:tcW w:w="2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135"/>
        </w:trPr>
        <w:tc>
          <w:tcPr>
            <w:tcW w:w="494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June 30, 2021</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40" w:type="dxa"/>
            <w:vAlign w:val="bottom"/>
            <w:tcBorders>
              <w:bottom w:val="single" w:sz="8" w:color="auto"/>
            </w:tcBorders>
          </w:tcPr>
          <w:p>
            <w:pPr>
              <w:ind w:left="440"/>
              <w:spacing w:after="0"/>
              <w:rPr>
                <w:sz w:val="20"/>
                <w:szCs w:val="20"/>
                <w:color w:val="auto"/>
              </w:rPr>
            </w:pPr>
            <w:r>
              <w:rPr>
                <w:rFonts w:ascii="Arial" w:cs="Arial" w:eastAsia="Arial" w:hAnsi="Arial"/>
                <w:sz w:val="11"/>
                <w:szCs w:val="11"/>
                <w:b w:val="1"/>
                <w:bCs w:val="1"/>
                <w:color w:val="auto"/>
              </w:rPr>
              <w:t>June 30, 2020</w:t>
            </w: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16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rPr>
              <w:t>Change</w:t>
            </w:r>
          </w:p>
        </w:tc>
        <w:tc>
          <w:tcPr>
            <w:tcW w:w="3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 Change</w:t>
            </w:r>
          </w:p>
        </w:tc>
      </w:tr>
      <w:tr>
        <w:trPr>
          <w:trHeight w:val="144"/>
        </w:trPr>
        <w:tc>
          <w:tcPr>
            <w:tcW w:w="49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Gains and other income, net</w:t>
            </w:r>
          </w:p>
        </w:tc>
        <w:tc>
          <w:tcPr>
            <w:tcW w:w="1080" w:type="dxa"/>
            <w:vAlign w:val="bottom"/>
            <w:shd w:val="clear" w:color="auto" w:fill="CCEEFF"/>
          </w:tcPr>
          <w:p>
            <w:pPr>
              <w:jc w:val="right"/>
              <w:ind w:right="943"/>
              <w:spacing w:after="0"/>
              <w:rPr>
                <w:sz w:val="20"/>
                <w:szCs w:val="20"/>
                <w:color w:val="auto"/>
              </w:rPr>
            </w:pPr>
            <w:r>
              <w:rPr>
                <w:rFonts w:ascii="Arial" w:cs="Arial" w:eastAsia="Arial" w:hAnsi="Arial"/>
                <w:sz w:val="12"/>
                <w:szCs w:val="12"/>
                <w:color w:val="auto"/>
                <w:w w:val="89"/>
              </w:rPr>
              <w:t>$</w:t>
            </w:r>
          </w:p>
        </w:tc>
        <w:tc>
          <w:tcPr>
            <w:tcW w:w="1780" w:type="dxa"/>
            <w:vAlign w:val="bottom"/>
            <w:gridSpan w:val="3"/>
            <w:shd w:val="clear" w:color="auto" w:fill="CCEEFF"/>
          </w:tcPr>
          <w:p>
            <w:pPr>
              <w:ind w:left="280"/>
              <w:spacing w:after="0"/>
              <w:rPr>
                <w:sz w:val="20"/>
                <w:szCs w:val="20"/>
                <w:color w:val="auto"/>
              </w:rPr>
            </w:pPr>
            <w:r>
              <w:rPr>
                <w:rFonts w:ascii="Arial" w:cs="Arial" w:eastAsia="Arial" w:hAnsi="Arial"/>
                <w:sz w:val="12"/>
                <w:szCs w:val="12"/>
                <w:color w:val="auto"/>
              </w:rPr>
              <w:t>—   $</w:t>
            </w: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1023"/>
              <w:spacing w:after="0"/>
              <w:rPr>
                <w:sz w:val="20"/>
                <w:szCs w:val="20"/>
                <w:color w:val="auto"/>
              </w:rPr>
            </w:pPr>
            <w:r>
              <w:rPr>
                <w:rFonts w:ascii="Arial" w:cs="Arial" w:eastAsia="Arial" w:hAnsi="Arial"/>
                <w:sz w:val="12"/>
                <w:szCs w:val="12"/>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00" w:type="dxa"/>
            <w:vAlign w:val="bottom"/>
            <w:shd w:val="clear" w:color="auto" w:fill="CCEEFF"/>
          </w:tcPr>
          <w:p>
            <w:pPr>
              <w:spacing w:after="0"/>
              <w:rPr>
                <w:sz w:val="12"/>
                <w:szCs w:val="12"/>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NM</w:t>
            </w:r>
          </w:p>
        </w:tc>
      </w:tr>
    </w:tbl>
    <w:p>
      <w:pPr>
        <w:spacing w:after="0" w:line="135" w:lineRule="exact"/>
        <w:rPr>
          <w:sz w:val="20"/>
          <w:szCs w:val="20"/>
          <w:color w:val="auto"/>
        </w:rPr>
      </w:pPr>
    </w:p>
    <w:p>
      <w:pPr>
        <w:ind w:right="280" w:firstLine="432"/>
        <w:spacing w:after="0" w:line="276" w:lineRule="auto"/>
        <w:rPr>
          <w:sz w:val="20"/>
          <w:szCs w:val="20"/>
          <w:color w:val="auto"/>
        </w:rPr>
      </w:pPr>
      <w:r>
        <w:rPr>
          <w:rFonts w:ascii="Arial" w:cs="Arial" w:eastAsia="Arial" w:hAnsi="Arial"/>
          <w:sz w:val="12"/>
          <w:szCs w:val="12"/>
          <w:color w:val="auto"/>
        </w:rPr>
        <w:t>No gains and other income were recorded for the second quarter of 2021. During the second quarter of 2020, we recorded $5 million of gains and other income, including $4 million of net insurance proceeds related to the settlement of Legacy-MVW business interruption insurance claims arising from a prior year hurricane.</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2021 First Half</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4940" w:type="dxa"/>
            <w:vAlign w:val="bottom"/>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gridSpan w:val="3"/>
          </w:tcPr>
          <w:p>
            <w:pPr>
              <w:ind w:left="40"/>
              <w:spacing w:after="0"/>
              <w:rPr>
                <w:sz w:val="20"/>
                <w:szCs w:val="20"/>
                <w:color w:val="auto"/>
              </w:rPr>
            </w:pPr>
            <w:r>
              <w:rPr>
                <w:rFonts w:ascii="Arial" w:cs="Arial" w:eastAsia="Arial" w:hAnsi="Arial"/>
                <w:sz w:val="11"/>
                <w:szCs w:val="11"/>
                <w:b w:val="1"/>
                <w:bCs w:val="1"/>
                <w:color w:val="auto"/>
              </w:rPr>
              <w:t>Six Months Ended</w:t>
            </w:r>
          </w:p>
        </w:tc>
        <w:tc>
          <w:tcPr>
            <w:tcW w:w="2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135"/>
        </w:trPr>
        <w:tc>
          <w:tcPr>
            <w:tcW w:w="494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June 30, 2021</w:t>
            </w:r>
          </w:p>
        </w:tc>
        <w:tc>
          <w:tcPr>
            <w:tcW w:w="4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40" w:type="dxa"/>
            <w:vAlign w:val="bottom"/>
            <w:tcBorders>
              <w:bottom w:val="single" w:sz="8" w:color="auto"/>
            </w:tcBorders>
          </w:tcPr>
          <w:p>
            <w:pPr>
              <w:ind w:left="440"/>
              <w:spacing w:after="0"/>
              <w:rPr>
                <w:sz w:val="20"/>
                <w:szCs w:val="20"/>
                <w:color w:val="auto"/>
              </w:rPr>
            </w:pPr>
            <w:r>
              <w:rPr>
                <w:rFonts w:ascii="Arial" w:cs="Arial" w:eastAsia="Arial" w:hAnsi="Arial"/>
                <w:sz w:val="11"/>
                <w:szCs w:val="11"/>
                <w:b w:val="1"/>
                <w:bCs w:val="1"/>
                <w:color w:val="auto"/>
              </w:rPr>
              <w:t>June 30, 2020</w:t>
            </w: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16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rPr>
              <w:t>Change</w:t>
            </w:r>
          </w:p>
        </w:tc>
        <w:tc>
          <w:tcPr>
            <w:tcW w:w="3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 Change</w:t>
            </w:r>
          </w:p>
        </w:tc>
      </w:tr>
      <w:tr>
        <w:trPr>
          <w:trHeight w:val="144"/>
        </w:trPr>
        <w:tc>
          <w:tcPr>
            <w:tcW w:w="49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Gains and other income, net</w:t>
            </w:r>
          </w:p>
        </w:tc>
        <w:tc>
          <w:tcPr>
            <w:tcW w:w="1100" w:type="dxa"/>
            <w:vAlign w:val="bottom"/>
            <w:shd w:val="clear" w:color="auto" w:fill="CCEEFF"/>
          </w:tcPr>
          <w:p>
            <w:pPr>
              <w:jc w:val="right"/>
              <w:ind w:right="963"/>
              <w:spacing w:after="0"/>
              <w:rPr>
                <w:sz w:val="20"/>
                <w:szCs w:val="20"/>
                <w:color w:val="auto"/>
              </w:rPr>
            </w:pPr>
            <w:r>
              <w:rPr>
                <w:rFonts w:ascii="Arial" w:cs="Arial" w:eastAsia="Arial" w:hAnsi="Arial"/>
                <w:sz w:val="12"/>
                <w:szCs w:val="12"/>
                <w:color w:val="auto"/>
                <w:w w:val="89"/>
              </w:rPr>
              <w:t>$</w:t>
            </w:r>
          </w:p>
        </w:tc>
        <w:tc>
          <w:tcPr>
            <w:tcW w:w="1760" w:type="dxa"/>
            <w:vAlign w:val="bottom"/>
            <w:gridSpan w:val="3"/>
            <w:shd w:val="clear" w:color="auto" w:fill="CCEEFF"/>
          </w:tcPr>
          <w:p>
            <w:pPr>
              <w:ind w:left="260"/>
              <w:spacing w:after="0"/>
              <w:rPr>
                <w:sz w:val="20"/>
                <w:szCs w:val="20"/>
                <w:color w:val="auto"/>
              </w:rPr>
            </w:pPr>
            <w:r>
              <w:rPr>
                <w:rFonts w:ascii="Arial" w:cs="Arial" w:eastAsia="Arial" w:hAnsi="Arial"/>
                <w:sz w:val="12"/>
                <w:szCs w:val="12"/>
                <w:color w:val="auto"/>
              </w:rPr>
              <w:t>—   $</w:t>
            </w: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1023"/>
              <w:spacing w:after="0"/>
              <w:rPr>
                <w:sz w:val="20"/>
                <w:szCs w:val="20"/>
                <w:color w:val="auto"/>
              </w:rPr>
            </w:pPr>
            <w:r>
              <w:rPr>
                <w:rFonts w:ascii="Arial" w:cs="Arial" w:eastAsia="Arial" w:hAnsi="Arial"/>
                <w:sz w:val="12"/>
                <w:szCs w:val="12"/>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100" w:type="dxa"/>
            <w:vAlign w:val="bottom"/>
            <w:shd w:val="clear" w:color="auto" w:fill="CCEEFF"/>
          </w:tcPr>
          <w:p>
            <w:pPr>
              <w:spacing w:after="0"/>
              <w:rPr>
                <w:sz w:val="12"/>
                <w:szCs w:val="12"/>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NM</w:t>
            </w:r>
          </w:p>
        </w:tc>
      </w:tr>
    </w:tbl>
    <w:p>
      <w:pPr>
        <w:spacing w:after="0" w:line="135" w:lineRule="exact"/>
        <w:rPr>
          <w:sz w:val="20"/>
          <w:szCs w:val="20"/>
          <w:color w:val="auto"/>
        </w:rPr>
      </w:pPr>
    </w:p>
    <w:p>
      <w:pPr>
        <w:ind w:right="240" w:firstLine="432"/>
        <w:spacing w:after="0" w:line="276" w:lineRule="auto"/>
        <w:rPr>
          <w:sz w:val="20"/>
          <w:szCs w:val="20"/>
          <w:color w:val="auto"/>
        </w:rPr>
      </w:pPr>
      <w:r>
        <w:rPr>
          <w:rFonts w:ascii="Arial" w:cs="Arial" w:eastAsia="Arial" w:hAnsi="Arial"/>
          <w:sz w:val="12"/>
          <w:szCs w:val="12"/>
          <w:color w:val="auto"/>
        </w:rPr>
        <w:t>No gains and other income were recorded for the first half of 2021.During the first half of 2020, we recorded $6 million of gains and other income, including $4 million of net insurance proceeds related to the settlement of Legacy-MVW business interruption insurance claims arising from a prior year hurricane.</w:t>
      </w:r>
    </w:p>
    <w:p>
      <w:pPr>
        <w:spacing w:after="0" w:line="106" w:lineRule="exact"/>
        <w:rPr>
          <w:sz w:val="20"/>
          <w:szCs w:val="20"/>
          <w:color w:val="auto"/>
        </w:rPr>
      </w:pPr>
    </w:p>
    <w:p>
      <w:pPr>
        <w:jc w:val="center"/>
        <w:ind w:left="420"/>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191135</wp:posOffset>
            </wp:positionV>
            <wp:extent cx="7203440" cy="368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61" w:name="page62"/>
    <w:bookmarkEnd w:id="61"/>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Exchange &amp; Third-Party Management</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8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Three Months Ended</w:t>
            </w:r>
          </w:p>
        </w:tc>
        <w:tc>
          <w:tcPr>
            <w:tcW w:w="11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Six Months Ended</w:t>
            </w:r>
          </w:p>
        </w:tc>
        <w:tc>
          <w:tcPr>
            <w:tcW w:w="11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840" w:type="dxa"/>
            <w:vAlign w:val="bottom"/>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86"/>
              </w:rPr>
              <w:t>June 30, 2021</w:t>
            </w:r>
          </w:p>
        </w:tc>
        <w:tc>
          <w:tcPr>
            <w:tcW w:w="440" w:type="dxa"/>
            <w:vAlign w:val="bottom"/>
          </w:tcPr>
          <w:p>
            <w:pPr>
              <w:spacing w:after="0"/>
              <w:rPr>
                <w:sz w:val="11"/>
                <w:szCs w:val="11"/>
                <w:color w:val="auto"/>
              </w:rPr>
            </w:pPr>
          </w:p>
        </w:tc>
        <w:tc>
          <w:tcPr>
            <w:tcW w:w="1100" w:type="dxa"/>
            <w:vAlign w:val="bottom"/>
          </w:tcPr>
          <w:p>
            <w:pPr>
              <w:jc w:val="center"/>
              <w:ind w:right="381"/>
              <w:spacing w:after="0"/>
              <w:rPr>
                <w:sz w:val="20"/>
                <w:szCs w:val="20"/>
                <w:color w:val="auto"/>
              </w:rPr>
            </w:pPr>
            <w:r>
              <w:rPr>
                <w:rFonts w:ascii="Arial" w:cs="Arial" w:eastAsia="Arial" w:hAnsi="Arial"/>
                <w:sz w:val="11"/>
                <w:szCs w:val="11"/>
                <w:b w:val="1"/>
                <w:bCs w:val="1"/>
                <w:color w:val="auto"/>
                <w:w w:val="86"/>
              </w:rPr>
              <w:t>June 30, 2020</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86"/>
              </w:rPr>
              <w:t>June 30, 2021</w:t>
            </w:r>
          </w:p>
        </w:tc>
        <w:tc>
          <w:tcPr>
            <w:tcW w:w="420" w:type="dxa"/>
            <w:vAlign w:val="bottom"/>
          </w:tcPr>
          <w:p>
            <w:pPr>
              <w:spacing w:after="0"/>
              <w:rPr>
                <w:sz w:val="11"/>
                <w:szCs w:val="11"/>
                <w:color w:val="auto"/>
              </w:rPr>
            </w:pPr>
          </w:p>
        </w:tc>
        <w:tc>
          <w:tcPr>
            <w:tcW w:w="1140" w:type="dxa"/>
            <w:vAlign w:val="bottom"/>
          </w:tcPr>
          <w:p>
            <w:pPr>
              <w:jc w:val="right"/>
              <w:ind w:right="401"/>
              <w:spacing w:after="0"/>
              <w:rPr>
                <w:sz w:val="20"/>
                <w:szCs w:val="20"/>
                <w:color w:val="auto"/>
              </w:rPr>
            </w:pPr>
            <w:r>
              <w:rPr>
                <w:rFonts w:ascii="Arial" w:cs="Arial" w:eastAsia="Arial" w:hAnsi="Arial"/>
                <w:sz w:val="11"/>
                <w:szCs w:val="11"/>
                <w:b w:val="1"/>
                <w:bCs w:val="1"/>
                <w:color w:val="auto"/>
                <w:w w:val="92"/>
              </w:rPr>
              <w:t>June 30, 2020</w:t>
            </w:r>
          </w:p>
        </w:tc>
        <w:tc>
          <w:tcPr>
            <w:tcW w:w="0" w:type="dxa"/>
            <w:vAlign w:val="bottom"/>
          </w:tcPr>
          <w:p>
            <w:pPr>
              <w:spacing w:after="0"/>
              <w:rPr>
                <w:sz w:val="1"/>
                <w:szCs w:val="1"/>
                <w:color w:val="auto"/>
              </w:rPr>
            </w:pPr>
          </w:p>
        </w:tc>
      </w:tr>
      <w:tr>
        <w:trPr>
          <w:trHeight w:val="135"/>
        </w:trPr>
        <w:tc>
          <w:tcPr>
            <w:tcW w:w="4840" w:type="dxa"/>
            <w:vAlign w:val="bottom"/>
            <w:tcBorders>
              <w:top w:val="single" w:sz="8" w:color="CCEEFF"/>
            </w:tcBorders>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REVENUES</w:t>
            </w:r>
          </w:p>
        </w:tc>
        <w:tc>
          <w:tcPr>
            <w:tcW w:w="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840" w:type="dxa"/>
            <w:vAlign w:val="bottom"/>
          </w:tcPr>
          <w:p>
            <w:pPr>
              <w:ind w:left="140"/>
              <w:spacing w:after="0"/>
              <w:rPr>
                <w:sz w:val="20"/>
                <w:szCs w:val="20"/>
                <w:color w:val="auto"/>
              </w:rPr>
            </w:pPr>
            <w:r>
              <w:rPr>
                <w:rFonts w:ascii="Arial" w:cs="Arial" w:eastAsia="Arial" w:hAnsi="Arial"/>
                <w:sz w:val="12"/>
                <w:szCs w:val="12"/>
                <w:color w:val="auto"/>
              </w:rPr>
              <w:t>Management and exchange</w:t>
            </w:r>
          </w:p>
        </w:tc>
        <w:tc>
          <w:tcPr>
            <w:tcW w:w="260" w:type="dxa"/>
            <w:vAlign w:val="bottom"/>
            <w:gridSpan w:val="2"/>
          </w:tcPr>
          <w:p>
            <w:pPr>
              <w:jc w:val="right"/>
              <w:ind w:right="152"/>
              <w:spacing w:after="0"/>
              <w:rPr>
                <w:sz w:val="20"/>
                <w:szCs w:val="20"/>
                <w:color w:val="auto"/>
              </w:rPr>
            </w:pPr>
            <w:r>
              <w:rPr>
                <w:rFonts w:ascii="Arial" w:cs="Arial" w:eastAsia="Arial" w:hAnsi="Arial"/>
                <w:sz w:val="10"/>
                <w:szCs w:val="10"/>
                <w:color w:val="auto"/>
                <w:w w:val="71"/>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60</w:t>
            </w:r>
          </w:p>
        </w:tc>
        <w:tc>
          <w:tcPr>
            <w:tcW w:w="100" w:type="dxa"/>
            <w:vAlign w:val="bottom"/>
          </w:tcPr>
          <w:p>
            <w:pPr>
              <w:spacing w:after="0"/>
              <w:rPr>
                <w:sz w:val="13"/>
                <w:szCs w:val="13"/>
                <w:color w:val="auto"/>
              </w:rPr>
            </w:pPr>
          </w:p>
        </w:tc>
        <w:tc>
          <w:tcPr>
            <w:tcW w:w="440" w:type="dxa"/>
            <w:vAlign w:val="bottom"/>
          </w:tcPr>
          <w:p>
            <w:pPr>
              <w:jc w:val="right"/>
              <w:ind w:right="332"/>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39</w:t>
            </w:r>
          </w:p>
        </w:tc>
        <w:tc>
          <w:tcPr>
            <w:tcW w:w="80" w:type="dxa"/>
            <w:vAlign w:val="bottom"/>
          </w:tcPr>
          <w:p>
            <w:pPr>
              <w:spacing w:after="0"/>
              <w:rPr>
                <w:sz w:val="13"/>
                <w:szCs w:val="13"/>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120</w:t>
            </w:r>
          </w:p>
        </w:tc>
        <w:tc>
          <w:tcPr>
            <w:tcW w:w="80" w:type="dxa"/>
            <w:vAlign w:val="bottom"/>
          </w:tcPr>
          <w:p>
            <w:pPr>
              <w:spacing w:after="0"/>
              <w:rPr>
                <w:sz w:val="13"/>
                <w:szCs w:val="13"/>
                <w:color w:val="auto"/>
              </w:rPr>
            </w:pPr>
          </w:p>
        </w:tc>
        <w:tc>
          <w:tcPr>
            <w:tcW w:w="420" w:type="dxa"/>
            <w:vAlign w:val="bottom"/>
          </w:tcPr>
          <w:p>
            <w:pPr>
              <w:jc w:val="right"/>
              <w:ind w:right="280"/>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111</w:t>
            </w:r>
          </w:p>
        </w:tc>
        <w:tc>
          <w:tcPr>
            <w:tcW w:w="0" w:type="dxa"/>
            <w:vAlign w:val="bottom"/>
          </w:tcPr>
          <w:p>
            <w:pPr>
              <w:spacing w:after="0"/>
              <w:rPr>
                <w:sz w:val="1"/>
                <w:szCs w:val="1"/>
                <w:color w:val="auto"/>
              </w:rPr>
            </w:pPr>
          </w:p>
        </w:tc>
      </w:tr>
      <w:tr>
        <w:trPr>
          <w:trHeight w:val="153"/>
        </w:trPr>
        <w:tc>
          <w:tcPr>
            <w:tcW w:w="48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Rental</w:t>
            </w: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19</w:t>
            </w:r>
          </w:p>
        </w:tc>
        <w:tc>
          <w:tcPr>
            <w:tcW w:w="0" w:type="dxa"/>
            <w:vAlign w:val="bottom"/>
          </w:tcPr>
          <w:p>
            <w:pPr>
              <w:spacing w:after="0"/>
              <w:rPr>
                <w:sz w:val="1"/>
                <w:szCs w:val="1"/>
                <w:color w:val="auto"/>
              </w:rPr>
            </w:pPr>
          </w:p>
        </w:tc>
      </w:tr>
      <w:tr>
        <w:trPr>
          <w:trHeight w:val="153"/>
        </w:trPr>
        <w:tc>
          <w:tcPr>
            <w:tcW w:w="4840" w:type="dxa"/>
            <w:vAlign w:val="bottom"/>
          </w:tcPr>
          <w:p>
            <w:pPr>
              <w:ind w:left="140"/>
              <w:spacing w:after="0"/>
              <w:rPr>
                <w:sz w:val="20"/>
                <w:szCs w:val="20"/>
                <w:color w:val="auto"/>
              </w:rPr>
            </w:pPr>
            <w:r>
              <w:rPr>
                <w:rFonts w:ascii="Arial" w:cs="Arial" w:eastAsia="Arial" w:hAnsi="Arial"/>
                <w:sz w:val="12"/>
                <w:szCs w:val="12"/>
                <w:color w:val="auto"/>
              </w:rPr>
              <w:t>Financing</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3"/>
                <w:szCs w:val="13"/>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53"/>
        </w:trPr>
        <w:tc>
          <w:tcPr>
            <w:tcW w:w="48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Cost reimbursements</w:t>
            </w:r>
          </w:p>
        </w:tc>
        <w:tc>
          <w:tcPr>
            <w:tcW w:w="2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w:t>
            </w:r>
          </w:p>
        </w:tc>
        <w:tc>
          <w:tcPr>
            <w:tcW w:w="10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w:t>
            </w:r>
          </w:p>
        </w:tc>
        <w:tc>
          <w:tcPr>
            <w:tcW w:w="8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33</w:t>
            </w:r>
          </w:p>
        </w:tc>
        <w:tc>
          <w:tcPr>
            <w:tcW w:w="0" w:type="dxa"/>
            <w:vAlign w:val="bottom"/>
          </w:tcPr>
          <w:p>
            <w:pPr>
              <w:spacing w:after="0"/>
              <w:rPr>
                <w:sz w:val="1"/>
                <w:szCs w:val="1"/>
                <w:color w:val="auto"/>
              </w:rPr>
            </w:pPr>
          </w:p>
        </w:tc>
      </w:tr>
      <w:tr>
        <w:trPr>
          <w:trHeight w:val="142"/>
        </w:trPr>
        <w:tc>
          <w:tcPr>
            <w:tcW w:w="4840" w:type="dxa"/>
            <w:vAlign w:val="bottom"/>
            <w:tcBorders>
              <w:bottom w:val="single" w:sz="8" w:color="CCEEFF"/>
            </w:tcBorders>
          </w:tcPr>
          <w:p>
            <w:pPr>
              <w:ind w:left="300"/>
              <w:spacing w:after="0"/>
              <w:rPr>
                <w:sz w:val="20"/>
                <w:szCs w:val="20"/>
                <w:color w:val="auto"/>
              </w:rPr>
            </w:pPr>
            <w:r>
              <w:rPr>
                <w:rFonts w:ascii="Arial" w:cs="Arial" w:eastAsia="Arial" w:hAnsi="Arial"/>
                <w:sz w:val="12"/>
                <w:szCs w:val="12"/>
                <w:b w:val="1"/>
                <w:bCs w:val="1"/>
                <w:color w:val="auto"/>
              </w:rPr>
              <w:t>TOTAL REVENUES</w:t>
            </w: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86</w:t>
            </w: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58</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172</w:t>
            </w:r>
          </w:p>
        </w:tc>
        <w:tc>
          <w:tcPr>
            <w:tcW w:w="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165</w:t>
            </w:r>
          </w:p>
        </w:tc>
        <w:tc>
          <w:tcPr>
            <w:tcW w:w="0" w:type="dxa"/>
            <w:vAlign w:val="bottom"/>
          </w:tcPr>
          <w:p>
            <w:pPr>
              <w:spacing w:after="0"/>
              <w:rPr>
                <w:sz w:val="1"/>
                <w:szCs w:val="1"/>
                <w:color w:val="auto"/>
              </w:rPr>
            </w:pPr>
          </w:p>
        </w:tc>
      </w:tr>
      <w:tr>
        <w:trPr>
          <w:trHeight w:val="133"/>
        </w:trPr>
        <w:tc>
          <w:tcPr>
            <w:tcW w:w="4840" w:type="dxa"/>
            <w:vAlign w:val="bottom"/>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EXPENSES</w:t>
            </w: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840" w:type="dxa"/>
            <w:vAlign w:val="bottom"/>
          </w:tcPr>
          <w:p>
            <w:pPr>
              <w:ind w:left="140"/>
              <w:spacing w:after="0"/>
              <w:rPr>
                <w:sz w:val="20"/>
                <w:szCs w:val="20"/>
                <w:color w:val="auto"/>
              </w:rPr>
            </w:pPr>
            <w:r>
              <w:rPr>
                <w:rFonts w:ascii="Arial" w:cs="Arial" w:eastAsia="Arial" w:hAnsi="Arial"/>
                <w:sz w:val="12"/>
                <w:szCs w:val="12"/>
                <w:color w:val="auto"/>
              </w:rPr>
              <w:t>Management and exchange</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35</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26</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66</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66</w:t>
            </w:r>
          </w:p>
        </w:tc>
        <w:tc>
          <w:tcPr>
            <w:tcW w:w="0" w:type="dxa"/>
            <w:vAlign w:val="bottom"/>
          </w:tcPr>
          <w:p>
            <w:pPr>
              <w:spacing w:after="0"/>
              <w:rPr>
                <w:sz w:val="1"/>
                <w:szCs w:val="1"/>
                <w:color w:val="auto"/>
              </w:rPr>
            </w:pPr>
          </w:p>
        </w:tc>
      </w:tr>
      <w:tr>
        <w:trPr>
          <w:trHeight w:val="153"/>
        </w:trPr>
        <w:tc>
          <w:tcPr>
            <w:tcW w:w="48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Rental</w:t>
            </w: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53"/>
        </w:trPr>
        <w:tc>
          <w:tcPr>
            <w:tcW w:w="4840" w:type="dxa"/>
            <w:vAlign w:val="bottom"/>
          </w:tcPr>
          <w:p>
            <w:pPr>
              <w:ind w:left="140"/>
              <w:spacing w:after="0"/>
              <w:rPr>
                <w:sz w:val="20"/>
                <w:szCs w:val="20"/>
                <w:color w:val="auto"/>
              </w:rPr>
            </w:pPr>
            <w:r>
              <w:rPr>
                <w:rFonts w:ascii="Arial" w:cs="Arial" w:eastAsia="Arial" w:hAnsi="Arial"/>
                <w:sz w:val="12"/>
                <w:szCs w:val="12"/>
                <w:color w:val="auto"/>
              </w:rPr>
              <w:t>Financing</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3"/>
                <w:szCs w:val="13"/>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3"/>
                <w:szCs w:val="13"/>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53"/>
        </w:trPr>
        <w:tc>
          <w:tcPr>
            <w:tcW w:w="48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Depreciation and amortization</w:t>
            </w: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16</w:t>
            </w:r>
          </w:p>
        </w:tc>
        <w:tc>
          <w:tcPr>
            <w:tcW w:w="0" w:type="dxa"/>
            <w:vAlign w:val="bottom"/>
          </w:tcPr>
          <w:p>
            <w:pPr>
              <w:spacing w:after="0"/>
              <w:rPr>
                <w:sz w:val="1"/>
                <w:szCs w:val="1"/>
                <w:color w:val="auto"/>
              </w:rPr>
            </w:pPr>
          </w:p>
        </w:tc>
      </w:tr>
      <w:tr>
        <w:trPr>
          <w:trHeight w:val="153"/>
        </w:trPr>
        <w:tc>
          <w:tcPr>
            <w:tcW w:w="4840" w:type="dxa"/>
            <w:vAlign w:val="bottom"/>
          </w:tcPr>
          <w:p>
            <w:pPr>
              <w:ind w:left="140"/>
              <w:spacing w:after="0"/>
              <w:rPr>
                <w:sz w:val="20"/>
                <w:szCs w:val="20"/>
                <w:color w:val="auto"/>
              </w:rPr>
            </w:pPr>
            <w:r>
              <w:rPr>
                <w:rFonts w:ascii="Arial" w:cs="Arial" w:eastAsia="Arial" w:hAnsi="Arial"/>
                <w:sz w:val="12"/>
                <w:szCs w:val="12"/>
                <w:color w:val="auto"/>
              </w:rPr>
              <w:t>Impairment</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3"/>
                <w:szCs w:val="13"/>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3"/>
                <w:szCs w:val="13"/>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91</w:t>
            </w:r>
          </w:p>
        </w:tc>
        <w:tc>
          <w:tcPr>
            <w:tcW w:w="0" w:type="dxa"/>
            <w:vAlign w:val="bottom"/>
          </w:tcPr>
          <w:p>
            <w:pPr>
              <w:spacing w:after="0"/>
              <w:rPr>
                <w:sz w:val="1"/>
                <w:szCs w:val="1"/>
                <w:color w:val="auto"/>
              </w:rPr>
            </w:pPr>
          </w:p>
        </w:tc>
      </w:tr>
      <w:tr>
        <w:trPr>
          <w:trHeight w:val="153"/>
        </w:trPr>
        <w:tc>
          <w:tcPr>
            <w:tcW w:w="48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Cost reimbursements</w:t>
            </w:r>
          </w:p>
        </w:tc>
        <w:tc>
          <w:tcPr>
            <w:tcW w:w="2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w:t>
            </w:r>
          </w:p>
        </w:tc>
        <w:tc>
          <w:tcPr>
            <w:tcW w:w="10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w:t>
            </w:r>
          </w:p>
        </w:tc>
        <w:tc>
          <w:tcPr>
            <w:tcW w:w="8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33</w:t>
            </w:r>
          </w:p>
        </w:tc>
        <w:tc>
          <w:tcPr>
            <w:tcW w:w="0" w:type="dxa"/>
            <w:vAlign w:val="bottom"/>
          </w:tcPr>
          <w:p>
            <w:pPr>
              <w:spacing w:after="0"/>
              <w:rPr>
                <w:sz w:val="1"/>
                <w:szCs w:val="1"/>
                <w:color w:val="auto"/>
              </w:rPr>
            </w:pPr>
          </w:p>
        </w:tc>
      </w:tr>
      <w:tr>
        <w:trPr>
          <w:trHeight w:val="142"/>
        </w:trPr>
        <w:tc>
          <w:tcPr>
            <w:tcW w:w="4840" w:type="dxa"/>
            <w:vAlign w:val="bottom"/>
            <w:tcBorders>
              <w:bottom w:val="single" w:sz="8" w:color="CCEEFF"/>
            </w:tcBorders>
          </w:tcPr>
          <w:p>
            <w:pPr>
              <w:ind w:left="300"/>
              <w:spacing w:after="0"/>
              <w:rPr>
                <w:sz w:val="20"/>
                <w:szCs w:val="20"/>
                <w:color w:val="auto"/>
              </w:rPr>
            </w:pPr>
            <w:r>
              <w:rPr>
                <w:rFonts w:ascii="Arial" w:cs="Arial" w:eastAsia="Arial" w:hAnsi="Arial"/>
                <w:sz w:val="12"/>
                <w:szCs w:val="12"/>
                <w:b w:val="1"/>
                <w:bCs w:val="1"/>
                <w:color w:val="auto"/>
              </w:rPr>
              <w:t>TOTAL EXPENSES</w:t>
            </w: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59</w:t>
            </w: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124</w:t>
            </w:r>
          </w:p>
        </w:tc>
        <w:tc>
          <w:tcPr>
            <w:tcW w:w="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213</w:t>
            </w:r>
          </w:p>
        </w:tc>
        <w:tc>
          <w:tcPr>
            <w:tcW w:w="0" w:type="dxa"/>
            <w:vAlign w:val="bottom"/>
          </w:tcPr>
          <w:p>
            <w:pPr>
              <w:spacing w:after="0"/>
              <w:rPr>
                <w:sz w:val="1"/>
                <w:szCs w:val="1"/>
                <w:color w:val="auto"/>
              </w:rPr>
            </w:pPr>
          </w:p>
        </w:tc>
      </w:tr>
      <w:tr>
        <w:trPr>
          <w:trHeight w:val="142"/>
        </w:trPr>
        <w:tc>
          <w:tcPr>
            <w:tcW w:w="48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Losses and other expense, net</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4840" w:type="dxa"/>
            <w:vAlign w:val="bottom"/>
          </w:tcPr>
          <w:p>
            <w:pPr>
              <w:spacing w:after="0"/>
              <w:rPr>
                <w:sz w:val="20"/>
                <w:szCs w:val="20"/>
                <w:color w:val="auto"/>
              </w:rPr>
            </w:pPr>
            <w:r>
              <w:rPr>
                <w:rFonts w:ascii="Arial" w:cs="Arial" w:eastAsia="Arial" w:hAnsi="Arial"/>
                <w:sz w:val="12"/>
                <w:szCs w:val="12"/>
                <w:b w:val="1"/>
                <w:bCs w:val="1"/>
                <w:color w:val="auto"/>
              </w:rPr>
              <w:t>SEGMENT FINANCIAL RESULTS ATTRIBUTABLE TO COMMON SHAREHOLDERS</w:t>
            </w:r>
          </w:p>
        </w:tc>
        <w:tc>
          <w:tcPr>
            <w:tcW w:w="260" w:type="dxa"/>
            <w:vAlign w:val="bottom"/>
            <w:tcBorders>
              <w:top w:val="single" w:sz="8" w:color="auto"/>
              <w:bottom w:val="single" w:sz="8" w:color="auto"/>
            </w:tcBorders>
            <w:gridSpan w:val="2"/>
          </w:tcPr>
          <w:p>
            <w:pPr>
              <w:jc w:val="right"/>
              <w:ind w:right="152"/>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27</w:t>
            </w:r>
          </w:p>
        </w:tc>
        <w:tc>
          <w:tcPr>
            <w:tcW w:w="10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11</w:t>
            </w:r>
          </w:p>
        </w:tc>
        <w:tc>
          <w:tcPr>
            <w:tcW w:w="8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48</w:t>
            </w:r>
          </w:p>
        </w:tc>
        <w:tc>
          <w:tcPr>
            <w:tcW w:w="8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2"/>
                <w:szCs w:val="12"/>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(48)</w:t>
            </w: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Arial" w:cs="Arial" w:eastAsia="Arial" w:hAnsi="Arial"/>
                <w:sz w:val="12"/>
                <w:szCs w:val="12"/>
                <w:b w:val="1"/>
                <w:bCs w:val="1"/>
                <w:color w:val="auto"/>
              </w:rPr>
              <w:t>Management and Exchange Profit</w:t>
            </w: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8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2"/>
                <w:szCs w:val="12"/>
                <w:i w:val="1"/>
                <w:iCs w:val="1"/>
                <w:color w:val="auto"/>
              </w:rPr>
              <w:t>2021 Second Quarter</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Three Months Ended</w:t>
            </w:r>
          </w:p>
        </w:tc>
        <w:tc>
          <w:tcPr>
            <w:tcW w:w="11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84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2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center"/>
              <w:ind w:right="181"/>
              <w:spacing w:after="0"/>
              <w:rPr>
                <w:sz w:val="20"/>
                <w:szCs w:val="20"/>
                <w:color w:val="auto"/>
              </w:rPr>
            </w:pPr>
            <w:r>
              <w:rPr>
                <w:rFonts w:ascii="Arial" w:cs="Arial" w:eastAsia="Arial" w:hAnsi="Arial"/>
                <w:sz w:val="11"/>
                <w:szCs w:val="11"/>
                <w:b w:val="1"/>
                <w:bCs w:val="1"/>
                <w:color w:val="auto"/>
                <w:w w:val="89"/>
              </w:rPr>
              <w:t>June 30, 2021</w:t>
            </w:r>
          </w:p>
        </w:tc>
        <w:tc>
          <w:tcPr>
            <w:tcW w:w="10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center"/>
              <w:ind w:right="381"/>
              <w:spacing w:after="0"/>
              <w:rPr>
                <w:sz w:val="20"/>
                <w:szCs w:val="20"/>
                <w:color w:val="auto"/>
              </w:rPr>
            </w:pPr>
            <w:r>
              <w:rPr>
                <w:rFonts w:ascii="Arial" w:cs="Arial" w:eastAsia="Arial" w:hAnsi="Arial"/>
                <w:sz w:val="11"/>
                <w:szCs w:val="11"/>
                <w:b w:val="1"/>
                <w:bCs w:val="1"/>
                <w:color w:val="auto"/>
                <w:w w:val="86"/>
              </w:rPr>
              <w:t>June 30, 2020</w:t>
            </w:r>
          </w:p>
        </w:tc>
        <w:tc>
          <w:tcPr>
            <w:tcW w:w="8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center"/>
              <w:ind w:right="221"/>
              <w:spacing w:after="0"/>
              <w:rPr>
                <w:sz w:val="20"/>
                <w:szCs w:val="20"/>
                <w:color w:val="auto"/>
              </w:rPr>
            </w:pPr>
            <w:r>
              <w:rPr>
                <w:rFonts w:ascii="Arial" w:cs="Arial" w:eastAsia="Arial" w:hAnsi="Arial"/>
                <w:sz w:val="11"/>
                <w:szCs w:val="11"/>
                <w:b w:val="1"/>
                <w:bCs w:val="1"/>
                <w:color w:val="auto"/>
                <w:w w:val="89"/>
              </w:rPr>
              <w:t>Change</w:t>
            </w:r>
          </w:p>
        </w:tc>
        <w:tc>
          <w:tcPr>
            <w:tcW w:w="80" w:type="dxa"/>
            <w:vAlign w:val="bottom"/>
            <w:tcBorders>
              <w:bottom w:val="single" w:sz="8" w:color="CCEEFF"/>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481"/>
              <w:spacing w:after="0"/>
              <w:rPr>
                <w:sz w:val="20"/>
                <w:szCs w:val="20"/>
                <w:color w:val="auto"/>
              </w:rPr>
            </w:pPr>
            <w:r>
              <w:rPr>
                <w:rFonts w:ascii="Arial" w:cs="Arial" w:eastAsia="Arial" w:hAnsi="Arial"/>
                <w:sz w:val="11"/>
                <w:szCs w:val="11"/>
                <w:b w:val="1"/>
                <w:bCs w:val="1"/>
                <w:color w:val="auto"/>
              </w:rPr>
              <w:t>% Change</w:t>
            </w:r>
          </w:p>
        </w:tc>
        <w:tc>
          <w:tcPr>
            <w:tcW w:w="0" w:type="dxa"/>
            <w:vAlign w:val="bottom"/>
          </w:tcPr>
          <w:p>
            <w:pPr>
              <w:spacing w:after="0"/>
              <w:rPr>
                <w:sz w:val="1"/>
                <w:szCs w:val="1"/>
                <w:color w:val="auto"/>
              </w:rPr>
            </w:pPr>
          </w:p>
        </w:tc>
      </w:tr>
      <w:tr>
        <w:trPr>
          <w:trHeight w:val="144"/>
        </w:trPr>
        <w:tc>
          <w:tcPr>
            <w:tcW w:w="48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Management and exchange revenue</w:t>
            </w:r>
          </w:p>
        </w:tc>
        <w:tc>
          <w:tcPr>
            <w:tcW w:w="260" w:type="dxa"/>
            <w:vAlign w:val="bottom"/>
            <w:gridSpan w:val="2"/>
            <w:shd w:val="clear" w:color="auto" w:fill="CCEEFF"/>
          </w:tcPr>
          <w:p>
            <w:pPr>
              <w:jc w:val="right"/>
              <w:ind w:right="132"/>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332"/>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601"/>
              <w:spacing w:after="0"/>
              <w:rPr>
                <w:sz w:val="20"/>
                <w:szCs w:val="20"/>
                <w:color w:val="auto"/>
              </w:rPr>
            </w:pPr>
            <w:r>
              <w:rPr>
                <w:rFonts w:ascii="Arial" w:cs="Arial" w:eastAsia="Arial" w:hAnsi="Arial"/>
                <w:sz w:val="12"/>
                <w:szCs w:val="12"/>
                <w:color w:val="auto"/>
              </w:rPr>
              <w:t>55%</w:t>
            </w:r>
          </w:p>
        </w:tc>
        <w:tc>
          <w:tcPr>
            <w:tcW w:w="0" w:type="dxa"/>
            <w:vAlign w:val="bottom"/>
          </w:tcPr>
          <w:p>
            <w:pPr>
              <w:spacing w:after="0"/>
              <w:rPr>
                <w:sz w:val="1"/>
                <w:szCs w:val="1"/>
                <w:color w:val="auto"/>
              </w:rPr>
            </w:pPr>
          </w:p>
        </w:tc>
      </w:tr>
      <w:tr>
        <w:trPr>
          <w:trHeight w:val="153"/>
        </w:trPr>
        <w:tc>
          <w:tcPr>
            <w:tcW w:w="48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Management and exchange expense</w:t>
            </w:r>
          </w:p>
        </w:tc>
        <w:tc>
          <w:tcPr>
            <w:tcW w:w="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w:t>
            </w:r>
          </w:p>
        </w:tc>
        <w:tc>
          <w:tcPr>
            <w:tcW w:w="80" w:type="dxa"/>
            <w:vAlign w:val="bottom"/>
            <w:tcBorders>
              <w:bottom w:val="single" w:sz="8" w:color="CCEEFF"/>
            </w:tcBorders>
          </w:tcPr>
          <w:p>
            <w:pPr>
              <w:spacing w:after="0"/>
              <w:rPr>
                <w:sz w:val="13"/>
                <w:szCs w:val="13"/>
                <w:color w:val="auto"/>
              </w:rPr>
            </w:pPr>
          </w:p>
        </w:tc>
        <w:tc>
          <w:tcPr>
            <w:tcW w:w="420" w:type="dxa"/>
            <w:vAlign w:val="bottom"/>
            <w:tcBorders>
              <w:bottom w:val="single" w:sz="8" w:color="CCEEFF"/>
            </w:tcBorders>
          </w:tcPr>
          <w:p>
            <w:pPr>
              <w:spacing w:after="0"/>
              <w:rPr>
                <w:sz w:val="13"/>
                <w:szCs w:val="13"/>
                <w:color w:val="auto"/>
              </w:rPr>
            </w:pPr>
          </w:p>
        </w:tc>
        <w:tc>
          <w:tcPr>
            <w:tcW w:w="1140" w:type="dxa"/>
            <w:vAlign w:val="bottom"/>
            <w:tcBorders>
              <w:bottom w:val="single" w:sz="8" w:color="CCEEFF"/>
            </w:tcBorders>
          </w:tcPr>
          <w:p>
            <w:pPr>
              <w:jc w:val="right"/>
              <w:ind w:right="561"/>
              <w:spacing w:after="0"/>
              <w:rPr>
                <w:sz w:val="20"/>
                <w:szCs w:val="20"/>
                <w:color w:val="auto"/>
              </w:rPr>
            </w:pPr>
            <w:r>
              <w:rPr>
                <w:rFonts w:ascii="Arial" w:cs="Arial" w:eastAsia="Arial" w:hAnsi="Arial"/>
                <w:sz w:val="12"/>
                <w:szCs w:val="12"/>
                <w:color w:val="auto"/>
              </w:rPr>
              <w:t>(35%)</w:t>
            </w:r>
          </w:p>
        </w:tc>
        <w:tc>
          <w:tcPr>
            <w:tcW w:w="0" w:type="dxa"/>
            <w:vAlign w:val="bottom"/>
          </w:tcPr>
          <w:p>
            <w:pPr>
              <w:spacing w:after="0"/>
              <w:rPr>
                <w:sz w:val="1"/>
                <w:szCs w:val="1"/>
                <w:color w:val="auto"/>
              </w:rPr>
            </w:pPr>
          </w:p>
        </w:tc>
      </w:tr>
      <w:tr>
        <w:trPr>
          <w:trHeight w:val="162"/>
        </w:trPr>
        <w:tc>
          <w:tcPr>
            <w:tcW w:w="4840" w:type="dxa"/>
            <w:vAlign w:val="bottom"/>
            <w:tcBorders>
              <w:bottom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Management and exchange profit</w:t>
            </w:r>
          </w:p>
        </w:tc>
        <w:tc>
          <w:tcPr>
            <w:tcW w:w="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w:t>
            </w:r>
          </w:p>
        </w:tc>
        <w:tc>
          <w:tcPr>
            <w:tcW w:w="1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ind w:right="601"/>
              <w:spacing w:after="0"/>
              <w:rPr>
                <w:sz w:val="20"/>
                <w:szCs w:val="20"/>
                <w:color w:val="auto"/>
              </w:rPr>
            </w:pPr>
            <w:r>
              <w:rPr>
                <w:rFonts w:ascii="Arial" w:cs="Arial" w:eastAsia="Arial" w:hAnsi="Arial"/>
                <w:sz w:val="12"/>
                <w:szCs w:val="12"/>
                <w:color w:val="auto"/>
              </w:rPr>
              <w:t>93%</w:t>
            </w:r>
          </w:p>
        </w:tc>
        <w:tc>
          <w:tcPr>
            <w:tcW w:w="0" w:type="dxa"/>
            <w:vAlign w:val="bottom"/>
          </w:tcPr>
          <w:p>
            <w:pPr>
              <w:spacing w:after="0"/>
              <w:rPr>
                <w:sz w:val="1"/>
                <w:szCs w:val="1"/>
                <w:color w:val="auto"/>
              </w:rPr>
            </w:pPr>
          </w:p>
        </w:tc>
      </w:tr>
      <w:tr>
        <w:trPr>
          <w:trHeight w:val="149"/>
        </w:trPr>
        <w:tc>
          <w:tcPr>
            <w:tcW w:w="4840" w:type="dxa"/>
            <w:vAlign w:val="bottom"/>
          </w:tcPr>
          <w:p>
            <w:pPr>
              <w:spacing w:after="0" w:line="133" w:lineRule="exact"/>
              <w:rPr>
                <w:sz w:val="20"/>
                <w:szCs w:val="20"/>
                <w:color w:val="auto"/>
              </w:rPr>
            </w:pPr>
            <w:r>
              <w:rPr>
                <w:rFonts w:ascii="Arial" w:cs="Arial" w:eastAsia="Arial" w:hAnsi="Arial"/>
                <w:sz w:val="12"/>
                <w:szCs w:val="12"/>
                <w:color w:val="auto"/>
              </w:rPr>
              <w:t>Management and exchange profit margin</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jc w:val="center"/>
              <w:ind w:right="181"/>
              <w:spacing w:after="0"/>
              <w:rPr>
                <w:sz w:val="20"/>
                <w:szCs w:val="20"/>
                <w:color w:val="auto"/>
              </w:rPr>
            </w:pPr>
            <w:r>
              <w:rPr>
                <w:rFonts w:ascii="Arial" w:cs="Arial" w:eastAsia="Arial" w:hAnsi="Arial"/>
                <w:sz w:val="12"/>
                <w:szCs w:val="12"/>
                <w:color w:val="auto"/>
                <w:w w:val="93"/>
              </w:rPr>
              <w:t>42.2%</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00" w:type="dxa"/>
            <w:vAlign w:val="bottom"/>
          </w:tcPr>
          <w:p>
            <w:pPr>
              <w:jc w:val="center"/>
              <w:ind w:right="381"/>
              <w:spacing w:after="0"/>
              <w:rPr>
                <w:sz w:val="20"/>
                <w:szCs w:val="20"/>
                <w:color w:val="auto"/>
              </w:rPr>
            </w:pPr>
            <w:r>
              <w:rPr>
                <w:rFonts w:ascii="Arial" w:cs="Arial" w:eastAsia="Arial" w:hAnsi="Arial"/>
                <w:sz w:val="12"/>
                <w:szCs w:val="12"/>
                <w:color w:val="auto"/>
                <w:w w:val="88"/>
              </w:rPr>
              <w:t>33.8%</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2"/>
                <w:szCs w:val="12"/>
                <w:color w:val="auto"/>
                <w:w w:val="88"/>
              </w:rPr>
              <w:t>8.4 pts</w:t>
            </w:r>
          </w:p>
        </w:tc>
        <w:tc>
          <w:tcPr>
            <w:tcW w:w="4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right="80" w:firstLine="432"/>
        <w:spacing w:after="0" w:line="263" w:lineRule="auto"/>
        <w:rPr>
          <w:sz w:val="20"/>
          <w:szCs w:val="20"/>
          <w:color w:val="auto"/>
        </w:rPr>
      </w:pPr>
      <w:r>
        <w:rPr>
          <w:rFonts w:ascii="Arial" w:cs="Arial" w:eastAsia="Arial" w:hAnsi="Arial"/>
          <w:sz w:val="12"/>
          <w:szCs w:val="12"/>
          <w:color w:val="auto"/>
        </w:rPr>
        <w:t>The increase in management and exchange revenue and profit reflected higher management fees and exchange revenue due to the continued ramp-up of the business subsequent to the initial impact of the COVID-19 pandemic late in the prior year first quarter. These increases were partially offset by lower membership revenue as a result of lower renewal activity, driven by a decline in active members, and higher costs to support the increased volumes. For Interval International, exchange transactions and average exchange fee increased 13 percent and 22 percent, respectively, over the prior year period.</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2021 First Half</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48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Six Months Ended</w:t>
            </w:r>
          </w:p>
        </w:tc>
        <w:tc>
          <w:tcPr>
            <w:tcW w:w="11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135"/>
        </w:trPr>
        <w:tc>
          <w:tcPr>
            <w:tcW w:w="486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26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382"/>
              <w:spacing w:after="0"/>
              <w:rPr>
                <w:sz w:val="20"/>
                <w:szCs w:val="20"/>
                <w:color w:val="auto"/>
              </w:rPr>
            </w:pPr>
            <w:r>
              <w:rPr>
                <w:rFonts w:ascii="Arial" w:cs="Arial" w:eastAsia="Arial" w:hAnsi="Arial"/>
                <w:sz w:val="11"/>
                <w:szCs w:val="11"/>
                <w:b w:val="1"/>
                <w:bCs w:val="1"/>
                <w:color w:val="auto"/>
              </w:rPr>
              <w:t>June 30, 2021</w:t>
            </w:r>
          </w:p>
        </w:tc>
        <w:tc>
          <w:tcPr>
            <w:tcW w:w="100" w:type="dxa"/>
            <w:vAlign w:val="bottom"/>
            <w:tcBorders>
              <w:bottom w:val="single" w:sz="8" w:color="CCEEFF"/>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401"/>
              <w:spacing w:after="0"/>
              <w:rPr>
                <w:sz w:val="20"/>
                <w:szCs w:val="20"/>
                <w:color w:val="auto"/>
              </w:rPr>
            </w:pPr>
            <w:r>
              <w:rPr>
                <w:rFonts w:ascii="Arial" w:cs="Arial" w:eastAsia="Arial" w:hAnsi="Arial"/>
                <w:sz w:val="11"/>
                <w:szCs w:val="11"/>
                <w:b w:val="1"/>
                <w:bCs w:val="1"/>
                <w:color w:val="auto"/>
                <w:w w:val="89"/>
              </w:rPr>
              <w:t>June 30, 2020</w:t>
            </w:r>
          </w:p>
        </w:tc>
        <w:tc>
          <w:tcPr>
            <w:tcW w:w="8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541"/>
              <w:spacing w:after="0"/>
              <w:rPr>
                <w:sz w:val="20"/>
                <w:szCs w:val="20"/>
                <w:color w:val="auto"/>
              </w:rPr>
            </w:pPr>
            <w:r>
              <w:rPr>
                <w:rFonts w:ascii="Arial" w:cs="Arial" w:eastAsia="Arial" w:hAnsi="Arial"/>
                <w:sz w:val="11"/>
                <w:szCs w:val="11"/>
                <w:b w:val="1"/>
                <w:bCs w:val="1"/>
                <w:color w:val="auto"/>
              </w:rPr>
              <w:t>Change</w:t>
            </w:r>
          </w:p>
        </w:tc>
        <w:tc>
          <w:tcPr>
            <w:tcW w:w="80" w:type="dxa"/>
            <w:vAlign w:val="bottom"/>
            <w:tcBorders>
              <w:bottom w:val="single" w:sz="8" w:color="CCEEFF"/>
            </w:tcBorders>
          </w:tcPr>
          <w:p>
            <w:pPr>
              <w:spacing w:after="0"/>
              <w:rPr>
                <w:sz w:val="11"/>
                <w:szCs w:val="11"/>
                <w:color w:val="auto"/>
              </w:rPr>
            </w:pPr>
          </w:p>
        </w:tc>
        <w:tc>
          <w:tcPr>
            <w:tcW w:w="1560" w:type="dxa"/>
            <w:vAlign w:val="bottom"/>
            <w:tcBorders>
              <w:bottom w:val="single" w:sz="8" w:color="auto"/>
            </w:tcBorders>
          </w:tcPr>
          <w:p>
            <w:pPr>
              <w:ind w:left="540"/>
              <w:spacing w:after="0"/>
              <w:rPr>
                <w:sz w:val="20"/>
                <w:szCs w:val="20"/>
                <w:color w:val="auto"/>
              </w:rPr>
            </w:pPr>
            <w:r>
              <w:rPr>
                <w:rFonts w:ascii="Arial" w:cs="Arial" w:eastAsia="Arial" w:hAnsi="Arial"/>
                <w:sz w:val="11"/>
                <w:szCs w:val="11"/>
                <w:b w:val="1"/>
                <w:bCs w:val="1"/>
                <w:color w:val="auto"/>
              </w:rPr>
              <w:t>% Change</w:t>
            </w:r>
          </w:p>
        </w:tc>
      </w:tr>
      <w:tr>
        <w:trPr>
          <w:trHeight w:val="144"/>
        </w:trPr>
        <w:tc>
          <w:tcPr>
            <w:tcW w:w="48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Management and exchange revenue</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312"/>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111</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w:t>
            </w:r>
          </w:p>
        </w:tc>
        <w:tc>
          <w:tcPr>
            <w:tcW w:w="1640" w:type="dxa"/>
            <w:vAlign w:val="bottom"/>
            <w:gridSpan w:val="2"/>
            <w:shd w:val="clear" w:color="auto" w:fill="CCEEFF"/>
          </w:tcPr>
          <w:p>
            <w:pPr>
              <w:jc w:val="center"/>
              <w:ind w:left="20"/>
              <w:spacing w:after="0"/>
              <w:rPr>
                <w:sz w:val="20"/>
                <w:szCs w:val="20"/>
                <w:color w:val="auto"/>
              </w:rPr>
            </w:pPr>
            <w:r>
              <w:rPr>
                <w:rFonts w:ascii="Arial" w:cs="Arial" w:eastAsia="Arial" w:hAnsi="Arial"/>
                <w:sz w:val="12"/>
                <w:szCs w:val="12"/>
                <w:color w:val="auto"/>
                <w:w w:val="91"/>
              </w:rPr>
              <w:t>9%</w:t>
            </w:r>
          </w:p>
        </w:tc>
      </w:tr>
      <w:tr>
        <w:trPr>
          <w:trHeight w:val="153"/>
        </w:trPr>
        <w:tc>
          <w:tcPr>
            <w:tcW w:w="48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Management and exchange expense</w:t>
            </w:r>
          </w:p>
        </w:tc>
        <w:tc>
          <w:tcPr>
            <w:tcW w:w="2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(66)</w:t>
            </w: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(66)</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1560" w:type="dxa"/>
            <w:vAlign w:val="bottom"/>
            <w:tcBorders>
              <w:bottom w:val="single" w:sz="8" w:color="CCEEFF"/>
            </w:tcBorders>
          </w:tcPr>
          <w:p>
            <w:pPr>
              <w:jc w:val="center"/>
              <w:spacing w:after="0"/>
              <w:rPr>
                <w:sz w:val="20"/>
                <w:szCs w:val="20"/>
                <w:color w:val="auto"/>
              </w:rPr>
            </w:pPr>
            <w:r>
              <w:rPr>
                <w:rFonts w:ascii="Arial" w:cs="Arial" w:eastAsia="Arial" w:hAnsi="Arial"/>
                <w:sz w:val="12"/>
                <w:szCs w:val="12"/>
                <w:color w:val="auto"/>
                <w:w w:val="96"/>
              </w:rPr>
              <w:t>—%</w:t>
            </w:r>
          </w:p>
        </w:tc>
      </w:tr>
      <w:tr>
        <w:trPr>
          <w:trHeight w:val="162"/>
        </w:trPr>
        <w:tc>
          <w:tcPr>
            <w:tcW w:w="4860" w:type="dxa"/>
            <w:vAlign w:val="bottom"/>
            <w:tcBorders>
              <w:bottom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Management and exchange profit</w:t>
            </w:r>
          </w:p>
        </w:tc>
        <w:tc>
          <w:tcPr>
            <w:tcW w:w="2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54</w:t>
            </w:r>
          </w:p>
        </w:tc>
        <w:tc>
          <w:tcPr>
            <w:tcW w:w="10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45</w:t>
            </w: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w:t>
            </w:r>
          </w:p>
        </w:tc>
        <w:tc>
          <w:tcPr>
            <w:tcW w:w="1640" w:type="dxa"/>
            <w:vAlign w:val="bottom"/>
            <w:tcBorders>
              <w:bottom w:val="single" w:sz="8" w:color="CCEEFF"/>
            </w:tcBorders>
            <w:gridSpan w:val="2"/>
            <w:shd w:val="clear" w:color="auto" w:fill="CCEEFF"/>
          </w:tcPr>
          <w:p>
            <w:pPr>
              <w:jc w:val="center"/>
              <w:ind w:left="40"/>
              <w:spacing w:after="0"/>
              <w:rPr>
                <w:sz w:val="20"/>
                <w:szCs w:val="20"/>
                <w:color w:val="auto"/>
              </w:rPr>
            </w:pPr>
            <w:r>
              <w:rPr>
                <w:rFonts w:ascii="Arial" w:cs="Arial" w:eastAsia="Arial" w:hAnsi="Arial"/>
                <w:sz w:val="12"/>
                <w:szCs w:val="12"/>
                <w:color w:val="auto"/>
                <w:w w:val="91"/>
              </w:rPr>
              <w:t>22%</w:t>
            </w:r>
          </w:p>
        </w:tc>
      </w:tr>
      <w:tr>
        <w:trPr>
          <w:trHeight w:val="149"/>
        </w:trPr>
        <w:tc>
          <w:tcPr>
            <w:tcW w:w="4860" w:type="dxa"/>
            <w:vAlign w:val="bottom"/>
          </w:tcPr>
          <w:p>
            <w:pPr>
              <w:spacing w:after="0" w:line="133" w:lineRule="exact"/>
              <w:rPr>
                <w:sz w:val="20"/>
                <w:szCs w:val="20"/>
                <w:color w:val="auto"/>
              </w:rPr>
            </w:pPr>
            <w:r>
              <w:rPr>
                <w:rFonts w:ascii="Arial" w:cs="Arial" w:eastAsia="Arial" w:hAnsi="Arial"/>
                <w:sz w:val="12"/>
                <w:szCs w:val="12"/>
                <w:color w:val="auto"/>
              </w:rPr>
              <w:t>Management and exchange profit margin</w:t>
            </w:r>
          </w:p>
        </w:tc>
        <w:tc>
          <w:tcPr>
            <w:tcW w:w="260" w:type="dxa"/>
            <w:vAlign w:val="bottom"/>
          </w:tcPr>
          <w:p>
            <w:pPr>
              <w:spacing w:after="0"/>
              <w:rPr>
                <w:sz w:val="12"/>
                <w:szCs w:val="12"/>
                <w:color w:val="auto"/>
              </w:rPr>
            </w:pPr>
          </w:p>
        </w:tc>
        <w:tc>
          <w:tcPr>
            <w:tcW w:w="1260" w:type="dxa"/>
            <w:vAlign w:val="bottom"/>
          </w:tcPr>
          <w:p>
            <w:pPr>
              <w:jc w:val="right"/>
              <w:ind w:right="542"/>
              <w:spacing w:after="0"/>
              <w:rPr>
                <w:sz w:val="20"/>
                <w:szCs w:val="20"/>
                <w:color w:val="auto"/>
              </w:rPr>
            </w:pPr>
            <w:r>
              <w:rPr>
                <w:rFonts w:ascii="Arial" w:cs="Arial" w:eastAsia="Arial" w:hAnsi="Arial"/>
                <w:sz w:val="12"/>
                <w:szCs w:val="12"/>
                <w:color w:val="auto"/>
              </w:rPr>
              <w:t>45.1%</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tcPr>
          <w:p>
            <w:pPr>
              <w:jc w:val="right"/>
              <w:ind w:right="561"/>
              <w:spacing w:after="0"/>
              <w:rPr>
                <w:sz w:val="20"/>
                <w:szCs w:val="20"/>
                <w:color w:val="auto"/>
              </w:rPr>
            </w:pPr>
            <w:r>
              <w:rPr>
                <w:rFonts w:ascii="Arial" w:cs="Arial" w:eastAsia="Arial" w:hAnsi="Arial"/>
                <w:sz w:val="12"/>
                <w:szCs w:val="12"/>
                <w:color w:val="auto"/>
              </w:rPr>
              <w:t>40.3%</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jc w:val="right"/>
              <w:ind w:right="601"/>
              <w:spacing w:after="0"/>
              <w:rPr>
                <w:sz w:val="20"/>
                <w:szCs w:val="20"/>
                <w:color w:val="auto"/>
              </w:rPr>
            </w:pPr>
            <w:r>
              <w:rPr>
                <w:rFonts w:ascii="Arial" w:cs="Arial" w:eastAsia="Arial" w:hAnsi="Arial"/>
                <w:sz w:val="12"/>
                <w:szCs w:val="12"/>
                <w:color w:val="auto"/>
              </w:rPr>
              <w:t>4.8%</w:t>
            </w: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r>
    </w:tbl>
    <w:p>
      <w:pPr>
        <w:spacing w:after="0" w:line="126" w:lineRule="exact"/>
        <w:rPr>
          <w:sz w:val="20"/>
          <w:szCs w:val="20"/>
          <w:color w:val="auto"/>
        </w:rPr>
      </w:pPr>
    </w:p>
    <w:p>
      <w:pPr>
        <w:ind w:right="80" w:firstLine="432"/>
        <w:spacing w:after="0" w:line="263" w:lineRule="auto"/>
        <w:rPr>
          <w:sz w:val="20"/>
          <w:szCs w:val="20"/>
          <w:color w:val="auto"/>
        </w:rPr>
      </w:pPr>
      <w:r>
        <w:rPr>
          <w:rFonts w:ascii="Arial" w:cs="Arial" w:eastAsia="Arial" w:hAnsi="Arial"/>
          <w:sz w:val="12"/>
          <w:szCs w:val="12"/>
          <w:color w:val="auto"/>
        </w:rPr>
        <w:t>The increase in management and exchange revenue and profit reflected higher management fees and exchange revenue due to the continued ramp-up of the business subsequent to the initial impact of the COVID-19 pandemic late in the prior year first quarter. These increases were partially offset by lower membership revenue as a result of lower renewal activity, driven by a decline in active members. For Interval International, exchange transactions and average exchange fee increased 15 percent and 3 percent, respectively, over the prior year period.</w:t>
      </w:r>
    </w:p>
    <w:p>
      <w:pPr>
        <w:spacing w:after="0" w:line="113" w:lineRule="exact"/>
        <w:rPr>
          <w:sz w:val="20"/>
          <w:szCs w:val="20"/>
          <w:color w:val="auto"/>
        </w:rPr>
      </w:pPr>
    </w:p>
    <w:p>
      <w:pPr>
        <w:jc w:val="center"/>
        <w:ind w:left="420"/>
        <w:spacing w:after="0"/>
        <w:rPr>
          <w:sz w:val="20"/>
          <w:szCs w:val="20"/>
          <w:color w:val="auto"/>
        </w:rPr>
      </w:pPr>
      <w:r>
        <w:rPr>
          <w:rFonts w:ascii="Arial" w:cs="Arial" w:eastAsia="Arial" w:hAnsi="Arial"/>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191135</wp:posOffset>
            </wp:positionV>
            <wp:extent cx="7203440" cy="36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62" w:name="page63"/>
    <w:bookmarkEnd w:id="62"/>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Rental Revenues, Expenses and Profit</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2021 Second Quarter</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4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960" w:type="dxa"/>
            <w:vAlign w:val="bottom"/>
            <w:gridSpan w:val="5"/>
          </w:tcPr>
          <w:p>
            <w:pPr>
              <w:ind w:left="820"/>
              <w:spacing w:after="0"/>
              <w:rPr>
                <w:sz w:val="20"/>
                <w:szCs w:val="20"/>
                <w:color w:val="auto"/>
              </w:rPr>
            </w:pPr>
            <w:r>
              <w:rPr>
                <w:rFonts w:ascii="Arial" w:cs="Arial" w:eastAsia="Arial" w:hAnsi="Arial"/>
                <w:sz w:val="11"/>
                <w:szCs w:val="11"/>
                <w:b w:val="1"/>
                <w:bCs w:val="1"/>
                <w:color w:val="auto"/>
              </w:rPr>
              <w:t>Three Months Ended</w:t>
            </w:r>
          </w:p>
        </w:tc>
        <w:tc>
          <w:tcPr>
            <w:tcW w:w="3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tcPr>
          <w:p>
            <w:pPr>
              <w:spacing w:after="0"/>
              <w:rPr>
                <w:sz w:val="12"/>
                <w:szCs w:val="12"/>
                <w:color w:val="auto"/>
              </w:rPr>
            </w:pPr>
          </w:p>
        </w:tc>
      </w:tr>
      <w:tr>
        <w:trPr>
          <w:trHeight w:val="135"/>
        </w:trPr>
        <w:tc>
          <w:tcPr>
            <w:tcW w:w="492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260" w:type="dxa"/>
            <w:vAlign w:val="bottom"/>
            <w:tcBorders>
              <w:top w:val="single" w:sz="8" w:color="auto"/>
              <w:bottom w:val="single" w:sz="8" w:color="auto"/>
            </w:tcBorders>
          </w:tcPr>
          <w:p>
            <w:pPr>
              <w:spacing w:after="0"/>
              <w:rPr>
                <w:sz w:val="11"/>
                <w:szCs w:val="11"/>
                <w:color w:val="auto"/>
              </w:rPr>
            </w:pPr>
          </w:p>
        </w:tc>
        <w:tc>
          <w:tcPr>
            <w:tcW w:w="1260" w:type="dxa"/>
            <w:vAlign w:val="bottom"/>
            <w:tcBorders>
              <w:top w:val="single" w:sz="8" w:color="auto"/>
              <w:bottom w:val="single" w:sz="8" w:color="auto"/>
            </w:tcBorders>
          </w:tcPr>
          <w:p>
            <w:pPr>
              <w:jc w:val="right"/>
              <w:ind w:right="382"/>
              <w:spacing w:after="0"/>
              <w:rPr>
                <w:sz w:val="20"/>
                <w:szCs w:val="20"/>
                <w:color w:val="auto"/>
              </w:rPr>
            </w:pPr>
            <w:r>
              <w:rPr>
                <w:rFonts w:ascii="Arial" w:cs="Arial" w:eastAsia="Arial" w:hAnsi="Arial"/>
                <w:sz w:val="11"/>
                <w:szCs w:val="11"/>
                <w:b w:val="1"/>
                <w:bCs w:val="1"/>
                <w:color w:val="auto"/>
              </w:rPr>
              <w:t>June 30, 2021</w:t>
            </w:r>
          </w:p>
        </w:tc>
        <w:tc>
          <w:tcPr>
            <w:tcW w:w="80" w:type="dxa"/>
            <w:vAlign w:val="bottom"/>
            <w:tcBorders>
              <w:top w:val="single" w:sz="8" w:color="auto"/>
              <w:bottom w:val="single" w:sz="8" w:color="CCEEFF"/>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1280" w:type="dxa"/>
            <w:vAlign w:val="bottom"/>
            <w:tcBorders>
              <w:top w:val="single" w:sz="8" w:color="auto"/>
              <w:bottom w:val="single" w:sz="8" w:color="auto"/>
            </w:tcBorders>
          </w:tcPr>
          <w:p>
            <w:pPr>
              <w:jc w:val="center"/>
              <w:ind w:right="201"/>
              <w:spacing w:after="0"/>
              <w:rPr>
                <w:sz w:val="20"/>
                <w:szCs w:val="20"/>
                <w:color w:val="auto"/>
              </w:rPr>
            </w:pPr>
            <w:r>
              <w:rPr>
                <w:rFonts w:ascii="Arial" w:cs="Arial" w:eastAsia="Arial" w:hAnsi="Arial"/>
                <w:sz w:val="11"/>
                <w:szCs w:val="11"/>
                <w:b w:val="1"/>
                <w:bCs w:val="1"/>
                <w:color w:val="auto"/>
                <w:w w:val="86"/>
              </w:rPr>
              <w:t>June 30, 2020</w:t>
            </w:r>
          </w:p>
        </w:tc>
        <w:tc>
          <w:tcPr>
            <w:tcW w:w="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541"/>
              <w:spacing w:after="0"/>
              <w:rPr>
                <w:sz w:val="20"/>
                <w:szCs w:val="20"/>
                <w:color w:val="auto"/>
              </w:rPr>
            </w:pPr>
            <w:r>
              <w:rPr>
                <w:rFonts w:ascii="Arial" w:cs="Arial" w:eastAsia="Arial" w:hAnsi="Arial"/>
                <w:sz w:val="11"/>
                <w:szCs w:val="11"/>
                <w:b w:val="1"/>
                <w:bCs w:val="1"/>
                <w:color w:val="auto"/>
              </w:rPr>
              <w:t>Change</w:t>
            </w:r>
          </w:p>
        </w:tc>
        <w:tc>
          <w:tcPr>
            <w:tcW w:w="80" w:type="dxa"/>
            <w:vAlign w:val="bottom"/>
            <w:tcBorders>
              <w:bottom w:val="single" w:sz="8" w:color="CCEEFF"/>
            </w:tcBorders>
          </w:tcPr>
          <w:p>
            <w:pPr>
              <w:spacing w:after="0"/>
              <w:rPr>
                <w:sz w:val="11"/>
                <w:szCs w:val="11"/>
                <w:color w:val="auto"/>
              </w:rPr>
            </w:pPr>
          </w:p>
        </w:tc>
        <w:tc>
          <w:tcPr>
            <w:tcW w:w="1540" w:type="dxa"/>
            <w:vAlign w:val="bottom"/>
            <w:tcBorders>
              <w:bottom w:val="single" w:sz="8" w:color="auto"/>
            </w:tcBorders>
          </w:tcPr>
          <w:p>
            <w:pPr>
              <w:ind w:left="520"/>
              <w:spacing w:after="0"/>
              <w:rPr>
                <w:sz w:val="20"/>
                <w:szCs w:val="20"/>
                <w:color w:val="auto"/>
              </w:rPr>
            </w:pPr>
            <w:r>
              <w:rPr>
                <w:rFonts w:ascii="Arial" w:cs="Arial" w:eastAsia="Arial" w:hAnsi="Arial"/>
                <w:sz w:val="11"/>
                <w:szCs w:val="11"/>
                <w:b w:val="1"/>
                <w:bCs w:val="1"/>
                <w:color w:val="auto"/>
              </w:rPr>
              <w:t>% Change</w:t>
            </w:r>
          </w:p>
        </w:tc>
      </w:tr>
      <w:tr>
        <w:trPr>
          <w:trHeight w:val="144"/>
        </w:trPr>
        <w:tc>
          <w:tcPr>
            <w:tcW w:w="49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Rental revenues</w:t>
            </w: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11</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CCEEFF"/>
          </w:tcPr>
          <w:p>
            <w:pPr>
              <w:jc w:val="center"/>
              <w:ind w:left="1041"/>
              <w:spacing w:after="0"/>
              <w:rPr>
                <w:sz w:val="20"/>
                <w:szCs w:val="20"/>
                <w:color w:val="auto"/>
              </w:rPr>
            </w:pPr>
            <w:r>
              <w:rPr>
                <w:rFonts w:ascii="Arial" w:cs="Arial" w:eastAsia="Arial" w:hAnsi="Arial"/>
                <w:sz w:val="12"/>
                <w:szCs w:val="12"/>
                <w:color w:val="auto"/>
                <w:w w:val="89"/>
              </w:rPr>
              <w:t>6</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w:t>
            </w:r>
          </w:p>
        </w:tc>
        <w:tc>
          <w:tcPr>
            <w:tcW w:w="1620" w:type="dxa"/>
            <w:vAlign w:val="bottom"/>
            <w:gridSpan w:val="2"/>
            <w:shd w:val="clear" w:color="auto" w:fill="CCEEFF"/>
          </w:tcPr>
          <w:p>
            <w:pPr>
              <w:jc w:val="center"/>
              <w:ind w:left="20"/>
              <w:spacing w:after="0"/>
              <w:rPr>
                <w:sz w:val="20"/>
                <w:szCs w:val="20"/>
                <w:color w:val="auto"/>
              </w:rPr>
            </w:pPr>
            <w:r>
              <w:rPr>
                <w:rFonts w:ascii="Arial" w:cs="Arial" w:eastAsia="Arial" w:hAnsi="Arial"/>
                <w:sz w:val="12"/>
                <w:szCs w:val="12"/>
                <w:color w:val="auto"/>
                <w:w w:val="91"/>
              </w:rPr>
              <w:t>87%</w:t>
            </w:r>
          </w:p>
        </w:tc>
      </w:tr>
      <w:tr>
        <w:trPr>
          <w:trHeight w:val="153"/>
        </w:trPr>
        <w:tc>
          <w:tcPr>
            <w:tcW w:w="4920" w:type="dxa"/>
            <w:vAlign w:val="bottom"/>
          </w:tcPr>
          <w:p>
            <w:pPr>
              <w:spacing w:after="0"/>
              <w:rPr>
                <w:sz w:val="20"/>
                <w:szCs w:val="20"/>
                <w:color w:val="auto"/>
              </w:rPr>
            </w:pPr>
            <w:r>
              <w:rPr>
                <w:rFonts w:ascii="Arial" w:cs="Arial" w:eastAsia="Arial" w:hAnsi="Arial"/>
                <w:sz w:val="12"/>
                <w:szCs w:val="12"/>
                <w:color w:val="auto"/>
              </w:rPr>
              <w:t>Rental expenses</w:t>
            </w:r>
          </w:p>
        </w:tc>
        <w:tc>
          <w:tcPr>
            <w:tcW w:w="260" w:type="dxa"/>
            <w:vAlign w:val="bottom"/>
          </w:tcPr>
          <w:p>
            <w:pPr>
              <w:spacing w:after="0"/>
              <w:rPr>
                <w:sz w:val="13"/>
                <w:szCs w:val="13"/>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1280" w:type="dxa"/>
            <w:vAlign w:val="bottom"/>
          </w:tcPr>
          <w:p>
            <w:pPr>
              <w:jc w:val="center"/>
              <w:ind w:left="1041"/>
              <w:spacing w:after="0"/>
              <w:rPr>
                <w:sz w:val="20"/>
                <w:szCs w:val="20"/>
                <w:color w:val="auto"/>
              </w:rPr>
            </w:pPr>
            <w:r>
              <w:rPr>
                <w:rFonts w:ascii="Arial" w:cs="Arial" w:eastAsia="Arial" w:hAnsi="Arial"/>
                <w:sz w:val="12"/>
                <w:szCs w:val="12"/>
                <w:color w:val="auto"/>
                <w:w w:val="95"/>
              </w:rPr>
              <w:t>(1)</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tcPr>
          <w:p>
            <w:pPr>
              <w:jc w:val="right"/>
              <w:ind w:right="1"/>
              <w:spacing w:after="0"/>
              <w:rPr>
                <w:sz w:val="20"/>
                <w:szCs w:val="20"/>
                <w:color w:val="auto"/>
              </w:rPr>
            </w:pPr>
            <w:r>
              <w:rPr>
                <w:rFonts w:ascii="Arial" w:cs="Arial" w:eastAsia="Arial" w:hAnsi="Arial"/>
                <w:sz w:val="12"/>
                <w:szCs w:val="12"/>
                <w:color w:val="auto"/>
              </w:rPr>
              <w:t>1</w:t>
            </w:r>
          </w:p>
        </w:tc>
        <w:tc>
          <w:tcPr>
            <w:tcW w:w="1620" w:type="dxa"/>
            <w:vAlign w:val="bottom"/>
            <w:gridSpan w:val="2"/>
          </w:tcPr>
          <w:p>
            <w:pPr>
              <w:jc w:val="center"/>
              <w:ind w:left="40"/>
              <w:spacing w:after="0"/>
              <w:rPr>
                <w:sz w:val="20"/>
                <w:szCs w:val="20"/>
                <w:color w:val="auto"/>
              </w:rPr>
            </w:pPr>
            <w:r>
              <w:rPr>
                <w:rFonts w:ascii="Arial" w:cs="Arial" w:eastAsia="Arial" w:hAnsi="Arial"/>
                <w:sz w:val="12"/>
                <w:szCs w:val="12"/>
                <w:color w:val="auto"/>
                <w:w w:val="91"/>
              </w:rPr>
              <w:t>101%</w:t>
            </w:r>
          </w:p>
        </w:tc>
      </w:tr>
      <w:tr>
        <w:trPr>
          <w:trHeight w:val="162"/>
        </w:trPr>
        <w:tc>
          <w:tcPr>
            <w:tcW w:w="492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Rental profit</w:t>
            </w:r>
          </w:p>
        </w:tc>
        <w:tc>
          <w:tcPr>
            <w:tcW w:w="26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2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11</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280" w:type="dxa"/>
            <w:vAlign w:val="bottom"/>
            <w:tcBorders>
              <w:top w:val="single" w:sz="8" w:color="auto"/>
              <w:bottom w:val="single" w:sz="8" w:color="auto"/>
            </w:tcBorders>
            <w:shd w:val="clear" w:color="auto" w:fill="CCEEFF"/>
          </w:tcPr>
          <w:p>
            <w:pPr>
              <w:jc w:val="center"/>
              <w:ind w:left="1041"/>
              <w:spacing w:after="0"/>
              <w:rPr>
                <w:sz w:val="20"/>
                <w:szCs w:val="20"/>
                <w:color w:val="auto"/>
              </w:rPr>
            </w:pPr>
            <w:r>
              <w:rPr>
                <w:rFonts w:ascii="Arial" w:cs="Arial" w:eastAsia="Arial" w:hAnsi="Arial"/>
                <w:sz w:val="12"/>
                <w:szCs w:val="12"/>
                <w:color w:val="auto"/>
                <w:w w:val="89"/>
              </w:rPr>
              <w:t>5</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2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6</w:t>
            </w:r>
          </w:p>
        </w:tc>
        <w:tc>
          <w:tcPr>
            <w:tcW w:w="1620" w:type="dxa"/>
            <w:vAlign w:val="bottom"/>
            <w:tcBorders>
              <w:top w:val="single" w:sz="8" w:color="CCEEFF"/>
              <w:bottom w:val="single" w:sz="8" w:color="CCEEFF"/>
            </w:tcBorders>
            <w:gridSpan w:val="2"/>
            <w:shd w:val="clear" w:color="auto" w:fill="CCEEFF"/>
          </w:tcPr>
          <w:p>
            <w:pPr>
              <w:jc w:val="center"/>
              <w:ind w:left="40"/>
              <w:spacing w:after="0"/>
              <w:rPr>
                <w:sz w:val="20"/>
                <w:szCs w:val="20"/>
                <w:color w:val="auto"/>
              </w:rPr>
            </w:pPr>
            <w:r>
              <w:rPr>
                <w:rFonts w:ascii="Arial" w:cs="Arial" w:eastAsia="Arial" w:hAnsi="Arial"/>
                <w:sz w:val="12"/>
                <w:szCs w:val="12"/>
                <w:color w:val="auto"/>
                <w:w w:val="91"/>
              </w:rPr>
              <w:t>138%</w:t>
            </w:r>
          </w:p>
        </w:tc>
      </w:tr>
      <w:tr>
        <w:trPr>
          <w:trHeight w:val="149"/>
        </w:trPr>
        <w:tc>
          <w:tcPr>
            <w:tcW w:w="4920" w:type="dxa"/>
            <w:vAlign w:val="bottom"/>
          </w:tcPr>
          <w:p>
            <w:pPr>
              <w:spacing w:after="0"/>
              <w:rPr>
                <w:sz w:val="20"/>
                <w:szCs w:val="20"/>
                <w:color w:val="auto"/>
              </w:rPr>
            </w:pPr>
            <w:r>
              <w:rPr>
                <w:rFonts w:ascii="Arial" w:cs="Arial" w:eastAsia="Arial" w:hAnsi="Arial"/>
                <w:sz w:val="12"/>
                <w:szCs w:val="12"/>
                <w:color w:val="auto"/>
              </w:rPr>
              <w:t>Rental profit margin</w:t>
            </w:r>
          </w:p>
        </w:tc>
        <w:tc>
          <w:tcPr>
            <w:tcW w:w="260" w:type="dxa"/>
            <w:vAlign w:val="bottom"/>
          </w:tcPr>
          <w:p>
            <w:pPr>
              <w:spacing w:after="0"/>
              <w:rPr>
                <w:sz w:val="12"/>
                <w:szCs w:val="12"/>
                <w:color w:val="auto"/>
              </w:rPr>
            </w:pPr>
          </w:p>
        </w:tc>
        <w:tc>
          <w:tcPr>
            <w:tcW w:w="1260" w:type="dxa"/>
            <w:vAlign w:val="bottom"/>
          </w:tcPr>
          <w:p>
            <w:pPr>
              <w:jc w:val="right"/>
              <w:ind w:right="522"/>
              <w:spacing w:after="0"/>
              <w:rPr>
                <w:sz w:val="20"/>
                <w:szCs w:val="20"/>
                <w:color w:val="auto"/>
              </w:rPr>
            </w:pPr>
            <w:r>
              <w:rPr>
                <w:rFonts w:ascii="Arial" w:cs="Arial" w:eastAsia="Arial" w:hAnsi="Arial"/>
                <w:sz w:val="12"/>
                <w:szCs w:val="12"/>
                <w:color w:val="auto"/>
              </w:rPr>
              <w:t>100.1%</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right"/>
              <w:ind w:right="561"/>
              <w:spacing w:after="0"/>
              <w:rPr>
                <w:sz w:val="20"/>
                <w:szCs w:val="20"/>
                <w:color w:val="auto"/>
              </w:rPr>
            </w:pPr>
            <w:r>
              <w:rPr>
                <w:rFonts w:ascii="Arial" w:cs="Arial" w:eastAsia="Arial" w:hAnsi="Arial"/>
                <w:sz w:val="12"/>
                <w:szCs w:val="12"/>
                <w:color w:val="auto"/>
              </w:rPr>
              <w:t>78.7%</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tcPr>
          <w:p>
            <w:pPr>
              <w:jc w:val="right"/>
              <w:ind w:right="521"/>
              <w:spacing w:after="0"/>
              <w:rPr>
                <w:sz w:val="20"/>
                <w:szCs w:val="20"/>
                <w:color w:val="auto"/>
              </w:rPr>
            </w:pPr>
            <w:r>
              <w:rPr>
                <w:rFonts w:ascii="Arial" w:cs="Arial" w:eastAsia="Arial" w:hAnsi="Arial"/>
                <w:sz w:val="12"/>
                <w:szCs w:val="12"/>
                <w:color w:val="auto"/>
              </w:rPr>
              <w:t>21.4 pts</w:t>
            </w:r>
          </w:p>
        </w:tc>
        <w:tc>
          <w:tcPr>
            <w:tcW w:w="80" w:type="dxa"/>
            <w:vAlign w:val="bottom"/>
          </w:tcPr>
          <w:p>
            <w:pPr>
              <w:spacing w:after="0"/>
              <w:rPr>
                <w:sz w:val="12"/>
                <w:szCs w:val="12"/>
                <w:color w:val="auto"/>
              </w:rPr>
            </w:pPr>
          </w:p>
        </w:tc>
        <w:tc>
          <w:tcPr>
            <w:tcW w:w="1540" w:type="dxa"/>
            <w:vAlign w:val="bottom"/>
          </w:tcPr>
          <w:p>
            <w:pPr>
              <w:spacing w:after="0"/>
              <w:rPr>
                <w:sz w:val="12"/>
                <w:szCs w:val="12"/>
                <w:color w:val="auto"/>
              </w:rPr>
            </w:pPr>
          </w:p>
        </w:tc>
      </w:tr>
    </w:tbl>
    <w:p>
      <w:pPr>
        <w:spacing w:after="0" w:line="126" w:lineRule="exact"/>
        <w:rPr>
          <w:sz w:val="20"/>
          <w:szCs w:val="20"/>
          <w:color w:val="auto"/>
        </w:rPr>
      </w:pPr>
    </w:p>
    <w:p>
      <w:pPr>
        <w:ind w:right="340" w:firstLine="432"/>
        <w:spacing w:after="0" w:line="323" w:lineRule="auto"/>
        <w:rPr>
          <w:sz w:val="20"/>
          <w:szCs w:val="20"/>
          <w:color w:val="auto"/>
        </w:rPr>
      </w:pPr>
      <w:r>
        <w:rPr>
          <w:rFonts w:ascii="Arial" w:cs="Arial" w:eastAsia="Arial" w:hAnsi="Arial"/>
          <w:sz w:val="11"/>
          <w:szCs w:val="11"/>
          <w:color w:val="auto"/>
        </w:rPr>
        <w:t>The increase in rental profit reflected a 132 percent increase in Getaway program transactions and a 21 percent increase in average fee, reflecting customers’ desire to travel and pent-up demand due to COVID-19-related restrictions. Late in the first quarter of 2021, we also introduced Getaway rentals of less than seven nights, providing members more opportunities to use their membership in ways that better fit their lifestyles.</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2021 First Half</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49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Six Months Ended</w:t>
            </w:r>
          </w:p>
        </w:tc>
        <w:tc>
          <w:tcPr>
            <w:tcW w:w="11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tcPr>
          <w:p>
            <w:pPr>
              <w:spacing w:after="0"/>
              <w:rPr>
                <w:sz w:val="12"/>
                <w:szCs w:val="12"/>
                <w:color w:val="auto"/>
              </w:rPr>
            </w:pPr>
          </w:p>
        </w:tc>
      </w:tr>
      <w:tr>
        <w:trPr>
          <w:trHeight w:val="135"/>
        </w:trPr>
        <w:tc>
          <w:tcPr>
            <w:tcW w:w="492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26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382"/>
              <w:spacing w:after="0"/>
              <w:rPr>
                <w:sz w:val="20"/>
                <w:szCs w:val="20"/>
                <w:color w:val="auto"/>
              </w:rPr>
            </w:pPr>
            <w:r>
              <w:rPr>
                <w:rFonts w:ascii="Arial" w:cs="Arial" w:eastAsia="Arial" w:hAnsi="Arial"/>
                <w:sz w:val="11"/>
                <w:szCs w:val="11"/>
                <w:b w:val="1"/>
                <w:bCs w:val="1"/>
                <w:color w:val="auto"/>
              </w:rPr>
              <w:t>June 30, 2021</w:t>
            </w:r>
          </w:p>
        </w:tc>
        <w:tc>
          <w:tcPr>
            <w:tcW w:w="80" w:type="dxa"/>
            <w:vAlign w:val="bottom"/>
            <w:tcBorders>
              <w:bottom w:val="single" w:sz="8" w:color="CCEEFF"/>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center"/>
              <w:ind w:right="361"/>
              <w:spacing w:after="0"/>
              <w:rPr>
                <w:sz w:val="20"/>
                <w:szCs w:val="20"/>
                <w:color w:val="auto"/>
              </w:rPr>
            </w:pPr>
            <w:r>
              <w:rPr>
                <w:rFonts w:ascii="Arial" w:cs="Arial" w:eastAsia="Arial" w:hAnsi="Arial"/>
                <w:sz w:val="11"/>
                <w:szCs w:val="11"/>
                <w:b w:val="1"/>
                <w:bCs w:val="1"/>
                <w:color w:val="auto"/>
                <w:w w:val="86"/>
              </w:rPr>
              <w:t>June 30, 2020</w:t>
            </w:r>
          </w:p>
        </w:tc>
        <w:tc>
          <w:tcPr>
            <w:tcW w:w="8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541"/>
              <w:spacing w:after="0"/>
              <w:rPr>
                <w:sz w:val="20"/>
                <w:szCs w:val="20"/>
                <w:color w:val="auto"/>
              </w:rPr>
            </w:pPr>
            <w:r>
              <w:rPr>
                <w:rFonts w:ascii="Arial" w:cs="Arial" w:eastAsia="Arial" w:hAnsi="Arial"/>
                <w:sz w:val="11"/>
                <w:szCs w:val="11"/>
                <w:b w:val="1"/>
                <w:bCs w:val="1"/>
                <w:color w:val="auto"/>
              </w:rPr>
              <w:t>Change</w:t>
            </w:r>
          </w:p>
        </w:tc>
        <w:tc>
          <w:tcPr>
            <w:tcW w:w="80" w:type="dxa"/>
            <w:vAlign w:val="bottom"/>
            <w:tcBorders>
              <w:bottom w:val="single" w:sz="8" w:color="CCEEFF"/>
            </w:tcBorders>
          </w:tcPr>
          <w:p>
            <w:pPr>
              <w:spacing w:after="0"/>
              <w:rPr>
                <w:sz w:val="11"/>
                <w:szCs w:val="11"/>
                <w:color w:val="auto"/>
              </w:rPr>
            </w:pPr>
          </w:p>
        </w:tc>
        <w:tc>
          <w:tcPr>
            <w:tcW w:w="1540" w:type="dxa"/>
            <w:vAlign w:val="bottom"/>
            <w:tcBorders>
              <w:bottom w:val="single" w:sz="8" w:color="auto"/>
            </w:tcBorders>
          </w:tcPr>
          <w:p>
            <w:pPr>
              <w:ind w:left="520"/>
              <w:spacing w:after="0"/>
              <w:rPr>
                <w:sz w:val="20"/>
                <w:szCs w:val="20"/>
                <w:color w:val="auto"/>
              </w:rPr>
            </w:pPr>
            <w:r>
              <w:rPr>
                <w:rFonts w:ascii="Arial" w:cs="Arial" w:eastAsia="Arial" w:hAnsi="Arial"/>
                <w:sz w:val="11"/>
                <w:szCs w:val="11"/>
                <w:b w:val="1"/>
                <w:bCs w:val="1"/>
                <w:color w:val="auto"/>
              </w:rPr>
              <w:t>% Change</w:t>
            </w:r>
          </w:p>
        </w:tc>
      </w:tr>
      <w:tr>
        <w:trPr>
          <w:trHeight w:val="144"/>
        </w:trPr>
        <w:tc>
          <w:tcPr>
            <w:tcW w:w="49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Rental revenues</w:t>
            </w: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23</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CCEEFF"/>
          </w:tcPr>
          <w:p>
            <w:pPr>
              <w:ind w:left="940"/>
              <w:spacing w:after="0"/>
              <w:rPr>
                <w:sz w:val="20"/>
                <w:szCs w:val="20"/>
                <w:color w:val="auto"/>
              </w:rPr>
            </w:pPr>
            <w:r>
              <w:rPr>
                <w:rFonts w:ascii="Arial" w:cs="Arial" w:eastAsia="Arial" w:hAnsi="Arial"/>
                <w:sz w:val="12"/>
                <w:szCs w:val="12"/>
                <w:color w:val="auto"/>
              </w:rPr>
              <w:t>19</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w:t>
            </w:r>
          </w:p>
        </w:tc>
        <w:tc>
          <w:tcPr>
            <w:tcW w:w="1620" w:type="dxa"/>
            <w:vAlign w:val="bottom"/>
            <w:gridSpan w:val="2"/>
            <w:shd w:val="clear" w:color="auto" w:fill="CCEEFF"/>
          </w:tcPr>
          <w:p>
            <w:pPr>
              <w:jc w:val="center"/>
              <w:ind w:left="20"/>
              <w:spacing w:after="0"/>
              <w:rPr>
                <w:sz w:val="20"/>
                <w:szCs w:val="20"/>
                <w:color w:val="auto"/>
              </w:rPr>
            </w:pPr>
            <w:r>
              <w:rPr>
                <w:rFonts w:ascii="Arial" w:cs="Arial" w:eastAsia="Arial" w:hAnsi="Arial"/>
                <w:sz w:val="12"/>
                <w:szCs w:val="12"/>
                <w:color w:val="auto"/>
                <w:w w:val="91"/>
              </w:rPr>
              <w:t>24%</w:t>
            </w:r>
          </w:p>
        </w:tc>
      </w:tr>
      <w:tr>
        <w:trPr>
          <w:trHeight w:val="153"/>
        </w:trPr>
        <w:tc>
          <w:tcPr>
            <w:tcW w:w="4920" w:type="dxa"/>
            <w:vAlign w:val="bottom"/>
          </w:tcPr>
          <w:p>
            <w:pPr>
              <w:spacing w:after="0"/>
              <w:rPr>
                <w:sz w:val="20"/>
                <w:szCs w:val="20"/>
                <w:color w:val="auto"/>
              </w:rPr>
            </w:pPr>
            <w:r>
              <w:rPr>
                <w:rFonts w:ascii="Arial" w:cs="Arial" w:eastAsia="Arial" w:hAnsi="Arial"/>
                <w:sz w:val="12"/>
                <w:szCs w:val="12"/>
                <w:color w:val="auto"/>
              </w:rPr>
              <w:t>Rental expenses</w:t>
            </w:r>
          </w:p>
        </w:tc>
        <w:tc>
          <w:tcPr>
            <w:tcW w:w="260" w:type="dxa"/>
            <w:vAlign w:val="bottom"/>
          </w:tcPr>
          <w:p>
            <w:pPr>
              <w:spacing w:after="0"/>
              <w:rPr>
                <w:sz w:val="13"/>
                <w:szCs w:val="13"/>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3"/>
                <w:szCs w:val="13"/>
                <w:color w:val="auto"/>
              </w:rPr>
            </w:pPr>
          </w:p>
        </w:tc>
        <w:tc>
          <w:tcPr>
            <w:tcW w:w="1120" w:type="dxa"/>
            <w:vAlign w:val="bottom"/>
          </w:tcPr>
          <w:p>
            <w:pPr>
              <w:ind w:left="960"/>
              <w:spacing w:after="0"/>
              <w:rPr>
                <w:sz w:val="20"/>
                <w:szCs w:val="20"/>
                <w:color w:val="auto"/>
              </w:rPr>
            </w:pPr>
            <w:r>
              <w:rPr>
                <w:rFonts w:ascii="Arial" w:cs="Arial" w:eastAsia="Arial" w:hAnsi="Arial"/>
                <w:sz w:val="12"/>
                <w:szCs w:val="12"/>
                <w:color w:val="auto"/>
                <w:w w:val="95"/>
              </w:rPr>
              <w:t>(6)</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jc w:val="right"/>
              <w:ind w:right="1"/>
              <w:spacing w:after="0"/>
              <w:rPr>
                <w:sz w:val="20"/>
                <w:szCs w:val="20"/>
                <w:color w:val="auto"/>
              </w:rPr>
            </w:pPr>
            <w:r>
              <w:rPr>
                <w:rFonts w:ascii="Arial" w:cs="Arial" w:eastAsia="Arial" w:hAnsi="Arial"/>
                <w:sz w:val="12"/>
                <w:szCs w:val="12"/>
                <w:color w:val="auto"/>
              </w:rPr>
              <w:t>6</w:t>
            </w:r>
          </w:p>
        </w:tc>
        <w:tc>
          <w:tcPr>
            <w:tcW w:w="1620" w:type="dxa"/>
            <w:vAlign w:val="bottom"/>
            <w:gridSpan w:val="2"/>
          </w:tcPr>
          <w:p>
            <w:pPr>
              <w:jc w:val="center"/>
              <w:ind w:left="40"/>
              <w:spacing w:after="0"/>
              <w:rPr>
                <w:sz w:val="20"/>
                <w:szCs w:val="20"/>
                <w:color w:val="auto"/>
              </w:rPr>
            </w:pPr>
            <w:r>
              <w:rPr>
                <w:rFonts w:ascii="Arial" w:cs="Arial" w:eastAsia="Arial" w:hAnsi="Arial"/>
                <w:sz w:val="12"/>
                <w:szCs w:val="12"/>
                <w:color w:val="auto"/>
                <w:w w:val="91"/>
              </w:rPr>
              <w:t>100%</w:t>
            </w:r>
          </w:p>
        </w:tc>
      </w:tr>
      <w:tr>
        <w:trPr>
          <w:trHeight w:val="162"/>
        </w:trPr>
        <w:tc>
          <w:tcPr>
            <w:tcW w:w="492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Rental profit</w:t>
            </w:r>
          </w:p>
        </w:tc>
        <w:tc>
          <w:tcPr>
            <w:tcW w:w="26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2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23</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jc w:val="right"/>
              <w:ind w:right="280"/>
              <w:spacing w:after="0"/>
              <w:rPr>
                <w:sz w:val="20"/>
                <w:szCs w:val="20"/>
                <w:color w:val="auto"/>
              </w:rPr>
            </w:pPr>
            <w:r>
              <w:rPr>
                <w:rFonts w:ascii="Arial" w:cs="Arial" w:eastAsia="Arial" w:hAnsi="Arial"/>
                <w:sz w:val="12"/>
                <w:szCs w:val="12"/>
                <w:color w:val="auto"/>
                <w:w w:val="89"/>
              </w:rPr>
              <w:t>$</w:t>
            </w:r>
          </w:p>
        </w:tc>
        <w:tc>
          <w:tcPr>
            <w:tcW w:w="1120" w:type="dxa"/>
            <w:vAlign w:val="bottom"/>
            <w:tcBorders>
              <w:top w:val="single" w:sz="8" w:color="auto"/>
              <w:bottom w:val="single" w:sz="8" w:color="auto"/>
            </w:tcBorders>
            <w:shd w:val="clear" w:color="auto" w:fill="CCEEFF"/>
          </w:tcPr>
          <w:p>
            <w:pPr>
              <w:ind w:left="940"/>
              <w:spacing w:after="0"/>
              <w:rPr>
                <w:sz w:val="20"/>
                <w:szCs w:val="20"/>
                <w:color w:val="auto"/>
              </w:rPr>
            </w:pPr>
            <w:r>
              <w:rPr>
                <w:rFonts w:ascii="Arial" w:cs="Arial" w:eastAsia="Arial" w:hAnsi="Arial"/>
                <w:sz w:val="12"/>
                <w:szCs w:val="12"/>
                <w:color w:val="auto"/>
              </w:rPr>
              <w:t>13</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2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10</w:t>
            </w:r>
          </w:p>
        </w:tc>
        <w:tc>
          <w:tcPr>
            <w:tcW w:w="1620" w:type="dxa"/>
            <w:vAlign w:val="bottom"/>
            <w:tcBorders>
              <w:top w:val="single" w:sz="8" w:color="CCEEFF"/>
              <w:bottom w:val="single" w:sz="8" w:color="CCEEFF"/>
            </w:tcBorders>
            <w:gridSpan w:val="2"/>
            <w:shd w:val="clear" w:color="auto" w:fill="CCEEFF"/>
          </w:tcPr>
          <w:p>
            <w:pPr>
              <w:jc w:val="center"/>
              <w:ind w:left="20"/>
              <w:spacing w:after="0"/>
              <w:rPr>
                <w:sz w:val="20"/>
                <w:szCs w:val="20"/>
                <w:color w:val="auto"/>
              </w:rPr>
            </w:pPr>
            <w:r>
              <w:rPr>
                <w:rFonts w:ascii="Arial" w:cs="Arial" w:eastAsia="Arial" w:hAnsi="Arial"/>
                <w:sz w:val="12"/>
                <w:szCs w:val="12"/>
                <w:color w:val="auto"/>
                <w:w w:val="91"/>
              </w:rPr>
              <w:t>78%</w:t>
            </w:r>
          </w:p>
        </w:tc>
      </w:tr>
      <w:tr>
        <w:trPr>
          <w:trHeight w:val="149"/>
        </w:trPr>
        <w:tc>
          <w:tcPr>
            <w:tcW w:w="4920" w:type="dxa"/>
            <w:vAlign w:val="bottom"/>
          </w:tcPr>
          <w:p>
            <w:pPr>
              <w:spacing w:after="0"/>
              <w:rPr>
                <w:sz w:val="20"/>
                <w:szCs w:val="20"/>
                <w:color w:val="auto"/>
              </w:rPr>
            </w:pPr>
            <w:r>
              <w:rPr>
                <w:rFonts w:ascii="Arial" w:cs="Arial" w:eastAsia="Arial" w:hAnsi="Arial"/>
                <w:sz w:val="12"/>
                <w:szCs w:val="12"/>
                <w:color w:val="auto"/>
              </w:rPr>
              <w:t>Rental profit margin</w:t>
            </w:r>
          </w:p>
        </w:tc>
        <w:tc>
          <w:tcPr>
            <w:tcW w:w="260" w:type="dxa"/>
            <w:vAlign w:val="bottom"/>
          </w:tcPr>
          <w:p>
            <w:pPr>
              <w:spacing w:after="0"/>
              <w:rPr>
                <w:sz w:val="12"/>
                <w:szCs w:val="12"/>
                <w:color w:val="auto"/>
              </w:rPr>
            </w:pPr>
          </w:p>
        </w:tc>
        <w:tc>
          <w:tcPr>
            <w:tcW w:w="1260" w:type="dxa"/>
            <w:vAlign w:val="bottom"/>
          </w:tcPr>
          <w:p>
            <w:pPr>
              <w:jc w:val="right"/>
              <w:ind w:right="522"/>
              <w:spacing w:after="0"/>
              <w:rPr>
                <w:sz w:val="20"/>
                <w:szCs w:val="20"/>
                <w:color w:val="auto"/>
              </w:rPr>
            </w:pPr>
            <w:r>
              <w:rPr>
                <w:rFonts w:ascii="Arial" w:cs="Arial" w:eastAsia="Arial" w:hAnsi="Arial"/>
                <w:sz w:val="12"/>
                <w:szCs w:val="12"/>
                <w:color w:val="auto"/>
              </w:rPr>
              <w:t>100.1%</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tcPr>
          <w:p>
            <w:pPr>
              <w:jc w:val="right"/>
              <w:ind w:right="561"/>
              <w:spacing w:after="0"/>
              <w:rPr>
                <w:sz w:val="20"/>
                <w:szCs w:val="20"/>
                <w:color w:val="auto"/>
              </w:rPr>
            </w:pPr>
            <w:r>
              <w:rPr>
                <w:rFonts w:ascii="Arial" w:cs="Arial" w:eastAsia="Arial" w:hAnsi="Arial"/>
                <w:sz w:val="12"/>
                <w:szCs w:val="12"/>
                <w:color w:val="auto"/>
              </w:rPr>
              <w:t>69.9%</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jc w:val="right"/>
              <w:ind w:right="561"/>
              <w:spacing w:after="0"/>
              <w:rPr>
                <w:sz w:val="20"/>
                <w:szCs w:val="20"/>
                <w:color w:val="auto"/>
              </w:rPr>
            </w:pPr>
            <w:r>
              <w:rPr>
                <w:rFonts w:ascii="Arial" w:cs="Arial" w:eastAsia="Arial" w:hAnsi="Arial"/>
                <w:sz w:val="12"/>
                <w:szCs w:val="12"/>
                <w:color w:val="auto"/>
              </w:rPr>
              <w:t>30.2%</w:t>
            </w:r>
          </w:p>
        </w:tc>
        <w:tc>
          <w:tcPr>
            <w:tcW w:w="80" w:type="dxa"/>
            <w:vAlign w:val="bottom"/>
          </w:tcPr>
          <w:p>
            <w:pPr>
              <w:spacing w:after="0"/>
              <w:rPr>
                <w:sz w:val="12"/>
                <w:szCs w:val="12"/>
                <w:color w:val="auto"/>
              </w:rPr>
            </w:pPr>
          </w:p>
        </w:tc>
        <w:tc>
          <w:tcPr>
            <w:tcW w:w="1540" w:type="dxa"/>
            <w:vAlign w:val="bottom"/>
          </w:tcPr>
          <w:p>
            <w:pPr>
              <w:spacing w:after="0"/>
              <w:rPr>
                <w:sz w:val="12"/>
                <w:szCs w:val="12"/>
                <w:color w:val="auto"/>
              </w:rPr>
            </w:pPr>
          </w:p>
        </w:tc>
      </w:tr>
    </w:tbl>
    <w:p>
      <w:pPr>
        <w:spacing w:after="0" w:line="117" w:lineRule="exact"/>
        <w:rPr>
          <w:sz w:val="20"/>
          <w:szCs w:val="20"/>
          <w:color w:val="auto"/>
        </w:rPr>
      </w:pPr>
    </w:p>
    <w:p>
      <w:pPr>
        <w:ind w:right="460" w:firstLine="432"/>
        <w:spacing w:after="0" w:line="323" w:lineRule="auto"/>
        <w:rPr>
          <w:sz w:val="20"/>
          <w:szCs w:val="20"/>
          <w:color w:val="auto"/>
        </w:rPr>
      </w:pPr>
      <w:r>
        <w:rPr>
          <w:rFonts w:ascii="Arial" w:cs="Arial" w:eastAsia="Arial" w:hAnsi="Arial"/>
          <w:sz w:val="11"/>
          <w:szCs w:val="11"/>
          <w:color w:val="auto"/>
        </w:rPr>
        <w:t>The increase in rental profit reflected a 64 percent increase in Getaway program transactions and a 7 percent increase in average fee, reflecting customers’ desire to travel and pent up-demand due to COVID-19-related restrictions. Late in the first quarter of 2021, we also introduced Getaway rentals of less than seven nights, providing members more opportunities to use their membership in ways that better fit their lifestyles.</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Depreciation and Amortization</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2021 Second Quarter</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4840" w:type="dxa"/>
            <w:vAlign w:val="bottom"/>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0"/>
              </w:rPr>
              <w:t>Three Months Ended</w:t>
            </w:r>
          </w:p>
        </w:tc>
        <w:tc>
          <w:tcPr>
            <w:tcW w:w="11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135"/>
        </w:trPr>
        <w:tc>
          <w:tcPr>
            <w:tcW w:w="4840" w:type="dxa"/>
            <w:vAlign w:val="bottom"/>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1080" w:type="dxa"/>
            <w:vAlign w:val="bottom"/>
          </w:tcPr>
          <w:p>
            <w:pPr>
              <w:jc w:val="right"/>
              <w:spacing w:after="0"/>
              <w:rPr>
                <w:sz w:val="20"/>
                <w:szCs w:val="20"/>
                <w:color w:val="auto"/>
              </w:rPr>
            </w:pPr>
            <w:r>
              <w:rPr>
                <w:rFonts w:ascii="Arial" w:cs="Arial" w:eastAsia="Arial" w:hAnsi="Arial"/>
                <w:sz w:val="11"/>
                <w:szCs w:val="11"/>
                <w:b w:val="1"/>
                <w:bCs w:val="1"/>
                <w:color w:val="auto"/>
              </w:rPr>
              <w:t>June 30, 2021</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tcPr>
          <w:p>
            <w:pPr>
              <w:jc w:val="right"/>
              <w:ind w:right="403"/>
              <w:spacing w:after="0"/>
              <w:rPr>
                <w:sz w:val="20"/>
                <w:szCs w:val="20"/>
                <w:color w:val="auto"/>
              </w:rPr>
            </w:pPr>
            <w:r>
              <w:rPr>
                <w:rFonts w:ascii="Arial" w:cs="Arial" w:eastAsia="Arial" w:hAnsi="Arial"/>
                <w:sz w:val="11"/>
                <w:szCs w:val="11"/>
                <w:b w:val="1"/>
                <w:bCs w:val="1"/>
                <w:color w:val="auto"/>
                <w:w w:val="86"/>
              </w:rPr>
              <w:t>June 30, 2020</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00" w:type="dxa"/>
            <w:vAlign w:val="bottom"/>
            <w:gridSpan w:val="2"/>
          </w:tcPr>
          <w:p>
            <w:pPr>
              <w:ind w:left="260"/>
              <w:spacing w:after="0"/>
              <w:rPr>
                <w:sz w:val="20"/>
                <w:szCs w:val="20"/>
                <w:color w:val="auto"/>
              </w:rPr>
            </w:pPr>
            <w:r>
              <w:rPr>
                <w:rFonts w:ascii="Arial" w:cs="Arial" w:eastAsia="Arial" w:hAnsi="Arial"/>
                <w:sz w:val="11"/>
                <w:szCs w:val="11"/>
                <w:b w:val="1"/>
                <w:bCs w:val="1"/>
                <w:color w:val="auto"/>
              </w:rPr>
              <w:t>Change</w:t>
            </w:r>
          </w:p>
        </w:tc>
        <w:tc>
          <w:tcPr>
            <w:tcW w:w="1560" w:type="dxa"/>
            <w:vAlign w:val="bottom"/>
          </w:tcPr>
          <w:p>
            <w:pPr>
              <w:jc w:val="center"/>
              <w:spacing w:after="0"/>
              <w:rPr>
                <w:sz w:val="20"/>
                <w:szCs w:val="20"/>
                <w:color w:val="auto"/>
              </w:rPr>
            </w:pPr>
            <w:r>
              <w:rPr>
                <w:rFonts w:ascii="Arial" w:cs="Arial" w:eastAsia="Arial" w:hAnsi="Arial"/>
                <w:sz w:val="11"/>
                <w:szCs w:val="11"/>
                <w:b w:val="1"/>
                <w:bCs w:val="1"/>
                <w:color w:val="auto"/>
                <w:w w:val="90"/>
              </w:rPr>
              <w:t>% Change</w:t>
            </w:r>
          </w:p>
        </w:tc>
      </w:tr>
      <w:tr>
        <w:trPr>
          <w:trHeight w:val="144"/>
        </w:trPr>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Depreciation and amortization</w:t>
            </w:r>
          </w:p>
        </w:tc>
        <w:tc>
          <w:tcPr>
            <w:tcW w:w="1080" w:type="dxa"/>
            <w:vAlign w:val="bottom"/>
            <w:tcBorders>
              <w:top w:val="single" w:sz="8" w:color="auto"/>
            </w:tcBorders>
            <w:shd w:val="clear" w:color="auto" w:fill="CCEEFF"/>
          </w:tcPr>
          <w:p>
            <w:pPr>
              <w:jc w:val="right"/>
              <w:ind w:right="969"/>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w:t>
            </w:r>
          </w:p>
        </w:tc>
        <w:tc>
          <w:tcPr>
            <w:tcW w:w="10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ind w:right="332"/>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8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80" w:type="dxa"/>
            <w:vAlign w:val="bottom"/>
            <w:tcBorders>
              <w:top w:val="single" w:sz="8" w:color="CCEEFF"/>
            </w:tcBorders>
            <w:shd w:val="clear" w:color="auto" w:fill="CCEEFF"/>
          </w:tcPr>
          <w:p>
            <w:pPr>
              <w:spacing w:after="0"/>
              <w:rPr>
                <w:sz w:val="12"/>
                <w:szCs w:val="12"/>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91"/>
              </w:rPr>
              <w:t>12%</w:t>
            </w:r>
          </w:p>
        </w:tc>
      </w:tr>
      <w:tr>
        <w:trPr>
          <w:trHeight w:val="315"/>
        </w:trPr>
        <w:tc>
          <w:tcPr>
            <w:tcW w:w="4840" w:type="dxa"/>
            <w:vAlign w:val="bottom"/>
          </w:tcPr>
          <w:p>
            <w:pPr>
              <w:spacing w:after="0"/>
              <w:rPr>
                <w:sz w:val="20"/>
                <w:szCs w:val="20"/>
                <w:color w:val="auto"/>
              </w:rPr>
            </w:pPr>
            <w:r>
              <w:rPr>
                <w:rFonts w:ascii="Arial" w:cs="Arial" w:eastAsia="Arial" w:hAnsi="Arial"/>
                <w:sz w:val="12"/>
                <w:szCs w:val="12"/>
                <w:i w:val="1"/>
                <w:iCs w:val="1"/>
                <w:color w:val="auto"/>
              </w:rPr>
              <w:t>2021 First Half</w:t>
            </w: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58"/>
        </w:trPr>
        <w:tc>
          <w:tcPr>
            <w:tcW w:w="484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1"/>
                <w:szCs w:val="11"/>
                <w:b w:val="1"/>
                <w:bCs w:val="1"/>
                <w:color w:val="auto"/>
                <w:w w:val="96"/>
              </w:rPr>
              <w:t>Six Months Ended</w:t>
            </w:r>
          </w:p>
        </w:tc>
        <w:tc>
          <w:tcPr>
            <w:tcW w:w="11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135"/>
        </w:trPr>
        <w:tc>
          <w:tcPr>
            <w:tcW w:w="4840" w:type="dxa"/>
            <w:vAlign w:val="bottom"/>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1080" w:type="dxa"/>
            <w:vAlign w:val="bottom"/>
          </w:tcPr>
          <w:p>
            <w:pPr>
              <w:jc w:val="right"/>
              <w:spacing w:after="0"/>
              <w:rPr>
                <w:sz w:val="20"/>
                <w:szCs w:val="20"/>
                <w:color w:val="auto"/>
              </w:rPr>
            </w:pPr>
            <w:r>
              <w:rPr>
                <w:rFonts w:ascii="Arial" w:cs="Arial" w:eastAsia="Arial" w:hAnsi="Arial"/>
                <w:sz w:val="11"/>
                <w:szCs w:val="11"/>
                <w:b w:val="1"/>
                <w:bCs w:val="1"/>
                <w:color w:val="auto"/>
              </w:rPr>
              <w:t>June 30, 2021</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tcPr>
          <w:p>
            <w:pPr>
              <w:jc w:val="right"/>
              <w:ind w:right="403"/>
              <w:spacing w:after="0"/>
              <w:rPr>
                <w:sz w:val="20"/>
                <w:szCs w:val="20"/>
                <w:color w:val="auto"/>
              </w:rPr>
            </w:pPr>
            <w:r>
              <w:rPr>
                <w:rFonts w:ascii="Arial" w:cs="Arial" w:eastAsia="Arial" w:hAnsi="Arial"/>
                <w:sz w:val="11"/>
                <w:szCs w:val="11"/>
                <w:b w:val="1"/>
                <w:bCs w:val="1"/>
                <w:color w:val="auto"/>
                <w:w w:val="86"/>
              </w:rPr>
              <w:t>June 30, 2020</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00" w:type="dxa"/>
            <w:vAlign w:val="bottom"/>
            <w:gridSpan w:val="2"/>
          </w:tcPr>
          <w:p>
            <w:pPr>
              <w:ind w:left="260"/>
              <w:spacing w:after="0"/>
              <w:rPr>
                <w:sz w:val="20"/>
                <w:szCs w:val="20"/>
                <w:color w:val="auto"/>
              </w:rPr>
            </w:pPr>
            <w:r>
              <w:rPr>
                <w:rFonts w:ascii="Arial" w:cs="Arial" w:eastAsia="Arial" w:hAnsi="Arial"/>
                <w:sz w:val="11"/>
                <w:szCs w:val="11"/>
                <w:b w:val="1"/>
                <w:bCs w:val="1"/>
                <w:color w:val="auto"/>
              </w:rPr>
              <w:t>Change</w:t>
            </w:r>
          </w:p>
        </w:tc>
        <w:tc>
          <w:tcPr>
            <w:tcW w:w="1560" w:type="dxa"/>
            <w:vAlign w:val="bottom"/>
          </w:tcPr>
          <w:p>
            <w:pPr>
              <w:jc w:val="center"/>
              <w:spacing w:after="0"/>
              <w:rPr>
                <w:sz w:val="20"/>
                <w:szCs w:val="20"/>
                <w:color w:val="auto"/>
              </w:rPr>
            </w:pPr>
            <w:r>
              <w:rPr>
                <w:rFonts w:ascii="Arial" w:cs="Arial" w:eastAsia="Arial" w:hAnsi="Arial"/>
                <w:sz w:val="11"/>
                <w:szCs w:val="11"/>
                <w:b w:val="1"/>
                <w:bCs w:val="1"/>
                <w:color w:val="auto"/>
                <w:w w:val="90"/>
              </w:rPr>
              <w:t>% Change</w:t>
            </w:r>
          </w:p>
        </w:tc>
      </w:tr>
      <w:tr>
        <w:trPr>
          <w:trHeight w:val="144"/>
        </w:trPr>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Depreciation and amortization</w:t>
            </w:r>
          </w:p>
        </w:tc>
        <w:tc>
          <w:tcPr>
            <w:tcW w:w="1080" w:type="dxa"/>
            <w:vAlign w:val="bottom"/>
            <w:tcBorders>
              <w:top w:val="single" w:sz="8" w:color="auto"/>
            </w:tcBorders>
            <w:shd w:val="clear" w:color="auto" w:fill="CCEEFF"/>
          </w:tcPr>
          <w:p>
            <w:pPr>
              <w:jc w:val="right"/>
              <w:ind w:right="969"/>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w:t>
            </w:r>
          </w:p>
        </w:tc>
        <w:tc>
          <w:tcPr>
            <w:tcW w:w="10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ind w:right="332"/>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w:t>
            </w:r>
          </w:p>
        </w:tc>
        <w:tc>
          <w:tcPr>
            <w:tcW w:w="8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80" w:type="dxa"/>
            <w:vAlign w:val="bottom"/>
            <w:tcBorders>
              <w:top w:val="single" w:sz="8" w:color="CCEEFF"/>
            </w:tcBorders>
            <w:shd w:val="clear" w:color="auto" w:fill="CCEEFF"/>
          </w:tcPr>
          <w:p>
            <w:pPr>
              <w:spacing w:after="0"/>
              <w:rPr>
                <w:sz w:val="12"/>
                <w:szCs w:val="12"/>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91"/>
              </w:rPr>
              <w:t>69%</w:t>
            </w:r>
          </w:p>
        </w:tc>
      </w:tr>
    </w:tbl>
    <w:p>
      <w:pPr>
        <w:spacing w:after="0" w:line="12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Increase in depreciation expense relates to a true-up made to accelerate depreciation on a technology asset.</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Impairment</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2021 First Half</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4840" w:type="dxa"/>
            <w:vAlign w:val="bottom"/>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3"/>
          </w:tcPr>
          <w:p>
            <w:pPr>
              <w:ind w:left="40"/>
              <w:spacing w:after="0"/>
              <w:rPr>
                <w:sz w:val="20"/>
                <w:szCs w:val="20"/>
                <w:color w:val="auto"/>
              </w:rPr>
            </w:pPr>
            <w:r>
              <w:rPr>
                <w:rFonts w:ascii="Arial" w:cs="Arial" w:eastAsia="Arial" w:hAnsi="Arial"/>
                <w:sz w:val="11"/>
                <w:szCs w:val="11"/>
                <w:b w:val="1"/>
                <w:bCs w:val="1"/>
                <w:color w:val="auto"/>
                <w:w w:val="92"/>
              </w:rPr>
              <w:t>Six Months Ended</w:t>
            </w:r>
          </w:p>
        </w:tc>
        <w:tc>
          <w:tcPr>
            <w:tcW w:w="11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137"/>
        </w:trPr>
        <w:tc>
          <w:tcPr>
            <w:tcW w:w="48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 in millions)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June 30, 2021</w:t>
            </w:r>
          </w:p>
        </w:tc>
        <w:tc>
          <w:tcPr>
            <w:tcW w:w="4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403"/>
              <w:spacing w:after="0"/>
              <w:rPr>
                <w:sz w:val="20"/>
                <w:szCs w:val="20"/>
                <w:color w:val="auto"/>
              </w:rPr>
            </w:pPr>
            <w:r>
              <w:rPr>
                <w:rFonts w:ascii="Arial" w:cs="Arial" w:eastAsia="Arial" w:hAnsi="Arial"/>
                <w:sz w:val="11"/>
                <w:szCs w:val="11"/>
                <w:b w:val="1"/>
                <w:bCs w:val="1"/>
                <w:color w:val="auto"/>
                <w:w w:val="89"/>
              </w:rPr>
              <w:t>June 30, 2020</w:t>
            </w:r>
          </w:p>
        </w:tc>
        <w:tc>
          <w:tcPr>
            <w:tcW w:w="8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543"/>
              <w:spacing w:after="0"/>
              <w:rPr>
                <w:sz w:val="20"/>
                <w:szCs w:val="20"/>
                <w:color w:val="auto"/>
              </w:rPr>
            </w:pPr>
            <w:r>
              <w:rPr>
                <w:rFonts w:ascii="Arial" w:cs="Arial" w:eastAsia="Arial" w:hAnsi="Arial"/>
                <w:sz w:val="11"/>
                <w:szCs w:val="11"/>
                <w:b w:val="1"/>
                <w:bCs w:val="1"/>
                <w:color w:val="auto"/>
              </w:rPr>
              <w:t>Change</w:t>
            </w:r>
          </w:p>
        </w:tc>
        <w:tc>
          <w:tcPr>
            <w:tcW w:w="80" w:type="dxa"/>
            <w:vAlign w:val="bottom"/>
            <w:tcBorders>
              <w:bottom w:val="single" w:sz="8" w:color="CCEEFF"/>
            </w:tcBorders>
          </w:tcPr>
          <w:p>
            <w:pPr>
              <w:spacing w:after="0"/>
              <w:rPr>
                <w:sz w:val="11"/>
                <w:szCs w:val="11"/>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 Change</w:t>
            </w:r>
          </w:p>
        </w:tc>
      </w:tr>
      <w:tr>
        <w:trPr>
          <w:trHeight w:val="142"/>
        </w:trPr>
        <w:tc>
          <w:tcPr>
            <w:tcW w:w="4840" w:type="dxa"/>
            <w:vAlign w:val="bottom"/>
            <w:shd w:val="clear" w:color="auto" w:fill="CCEEFF"/>
          </w:tcPr>
          <w:p>
            <w:pPr>
              <w:spacing w:after="0"/>
              <w:rPr>
                <w:sz w:val="20"/>
                <w:szCs w:val="20"/>
                <w:color w:val="auto"/>
              </w:rPr>
            </w:pPr>
            <w:r>
              <w:rPr>
                <w:rFonts w:ascii="Arial" w:cs="Arial" w:eastAsia="Arial" w:hAnsi="Arial"/>
                <w:sz w:val="12"/>
                <w:szCs w:val="12"/>
                <w:color w:val="auto"/>
              </w:rPr>
              <w:t>Impairment</w:t>
            </w:r>
          </w:p>
        </w:tc>
        <w:tc>
          <w:tcPr>
            <w:tcW w:w="1120" w:type="dxa"/>
            <w:vAlign w:val="bottom"/>
            <w:shd w:val="clear" w:color="auto" w:fill="CCEEFF"/>
          </w:tcPr>
          <w:p>
            <w:pPr>
              <w:jc w:val="right"/>
              <w:ind w:right="1009"/>
              <w:spacing w:after="0"/>
              <w:rPr>
                <w:sz w:val="20"/>
                <w:szCs w:val="20"/>
                <w:color w:val="auto"/>
              </w:rPr>
            </w:pPr>
            <w:r>
              <w:rPr>
                <w:rFonts w:ascii="Arial" w:cs="Arial" w:eastAsia="Arial" w:hAnsi="Arial"/>
                <w:sz w:val="10"/>
                <w:szCs w:val="10"/>
                <w:color w:val="auto"/>
                <w:w w:val="71"/>
              </w:rPr>
              <w:t>$</w:t>
            </w:r>
          </w:p>
        </w:tc>
        <w:tc>
          <w:tcPr>
            <w:tcW w:w="940" w:type="dxa"/>
            <w:vAlign w:val="bottom"/>
            <w:gridSpan w:val="3"/>
            <w:shd w:val="clear" w:color="auto" w:fill="CCEEFF"/>
          </w:tcPr>
          <w:p>
            <w:pPr>
              <w:ind w:left="260"/>
              <w:spacing w:after="0"/>
              <w:rPr>
                <w:sz w:val="20"/>
                <w:szCs w:val="20"/>
                <w:color w:val="auto"/>
              </w:rPr>
            </w:pPr>
            <w:r>
              <w:rPr>
                <w:rFonts w:ascii="Arial" w:cs="Arial" w:eastAsia="Arial" w:hAnsi="Arial"/>
                <w:sz w:val="12"/>
                <w:szCs w:val="12"/>
                <w:color w:val="auto"/>
              </w:rPr>
              <w:t>—   $</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w:t>
            </w:r>
          </w:p>
        </w:tc>
        <w:tc>
          <w:tcPr>
            <w:tcW w:w="80" w:type="dxa"/>
            <w:vAlign w:val="bottom"/>
            <w:shd w:val="clear" w:color="auto" w:fill="CCEEFF"/>
          </w:tcPr>
          <w:p>
            <w:pPr>
              <w:spacing w:after="0"/>
              <w:rPr>
                <w:sz w:val="12"/>
                <w:szCs w:val="12"/>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NM</w:t>
            </w:r>
          </w:p>
        </w:tc>
      </w:tr>
    </w:tbl>
    <w:p>
      <w:pPr>
        <w:spacing w:after="0" w:line="117" w:lineRule="exact"/>
        <w:rPr>
          <w:sz w:val="20"/>
          <w:szCs w:val="20"/>
          <w:color w:val="auto"/>
        </w:rPr>
      </w:pPr>
    </w:p>
    <w:p>
      <w:pPr>
        <w:ind w:right="180" w:firstLine="432"/>
        <w:spacing w:after="0" w:line="276" w:lineRule="auto"/>
        <w:rPr>
          <w:sz w:val="20"/>
          <w:szCs w:val="20"/>
          <w:color w:val="auto"/>
        </w:rPr>
      </w:pPr>
      <w:r>
        <w:rPr>
          <w:rFonts w:ascii="Arial" w:cs="Arial" w:eastAsia="Arial" w:hAnsi="Arial"/>
          <w:sz w:val="12"/>
          <w:szCs w:val="12"/>
          <w:color w:val="auto"/>
        </w:rPr>
        <w:t>No asset impairment charges were recorded for the first half of 2021. During the first half of 2020, we recorded a non-cash impairment of $91 million related to a decrease in the fair value of goodwill and certain trademarks resulting from the impact of the COVID-19 pandemic.</w:t>
      </w:r>
    </w:p>
    <w:p>
      <w:pPr>
        <w:spacing w:after="0" w:line="106" w:lineRule="exact"/>
        <w:rPr>
          <w:sz w:val="20"/>
          <w:szCs w:val="20"/>
          <w:color w:val="auto"/>
        </w:rPr>
      </w:pPr>
    </w:p>
    <w:p>
      <w:pPr>
        <w:jc w:val="center"/>
        <w:ind w:left="420"/>
        <w:spacing w:after="0"/>
        <w:rPr>
          <w:sz w:val="20"/>
          <w:szCs w:val="20"/>
          <w:color w:val="auto"/>
        </w:rPr>
      </w:pPr>
      <w:r>
        <w:rPr>
          <w:rFonts w:ascii="Arial" w:cs="Arial" w:eastAsia="Arial" w:hAnsi="Arial"/>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191135</wp:posOffset>
            </wp:positionV>
            <wp:extent cx="7203440" cy="368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63" w:name="page64"/>
    <w:bookmarkEnd w:id="63"/>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Corporate and Other</w:t>
      </w:r>
    </w:p>
    <w:p>
      <w:pPr>
        <w:spacing w:after="0" w:line="82" w:lineRule="exact"/>
        <w:rPr>
          <w:sz w:val="20"/>
          <w:szCs w:val="20"/>
          <w:color w:val="auto"/>
        </w:rPr>
      </w:pPr>
    </w:p>
    <w:p>
      <w:pPr>
        <w:ind w:right="200" w:firstLine="432"/>
        <w:spacing w:after="0" w:line="276" w:lineRule="auto"/>
        <w:rPr>
          <w:sz w:val="20"/>
          <w:szCs w:val="20"/>
          <w:color w:val="auto"/>
        </w:rPr>
      </w:pPr>
      <w:r>
        <w:rPr>
          <w:rFonts w:ascii="Arial" w:cs="Arial" w:eastAsia="Arial" w:hAnsi="Arial"/>
          <w:sz w:val="12"/>
          <w:szCs w:val="12"/>
          <w:color w:val="auto"/>
        </w:rPr>
        <w:t>Corporate and Other consists of results that are not allocable to our segments, including company-wide general and administrative costs, corporate interest expense, transaction and integration costs, and benefit from income taxes. In addition, Corporate and Other includes the revenues and expenses from the Consolidated Property Owners’ Associations.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8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Three Months Ended</w:t>
            </w:r>
          </w:p>
        </w:tc>
        <w:tc>
          <w:tcPr>
            <w:tcW w:w="11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Six Months Ended</w:t>
            </w:r>
          </w:p>
        </w:tc>
        <w:tc>
          <w:tcPr>
            <w:tcW w:w="11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840" w:type="dxa"/>
            <w:vAlign w:val="bottom"/>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260" w:type="dxa"/>
            <w:vAlign w:val="bottom"/>
          </w:tcPr>
          <w:p>
            <w:pPr>
              <w:spacing w:after="0"/>
              <w:rPr>
                <w:sz w:val="11"/>
                <w:szCs w:val="11"/>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1"/>
                <w:szCs w:val="11"/>
                <w:b w:val="1"/>
                <w:bCs w:val="1"/>
                <w:color w:val="auto"/>
              </w:rPr>
              <w:t>June 30, 2021</w:t>
            </w:r>
          </w:p>
        </w:tc>
        <w:tc>
          <w:tcPr>
            <w:tcW w:w="440" w:type="dxa"/>
            <w:vAlign w:val="bottom"/>
          </w:tcPr>
          <w:p>
            <w:pPr>
              <w:spacing w:after="0"/>
              <w:rPr>
                <w:sz w:val="11"/>
                <w:szCs w:val="11"/>
                <w:color w:val="auto"/>
              </w:rPr>
            </w:pPr>
          </w:p>
        </w:tc>
        <w:tc>
          <w:tcPr>
            <w:tcW w:w="1100" w:type="dxa"/>
            <w:vAlign w:val="bottom"/>
          </w:tcPr>
          <w:p>
            <w:pPr>
              <w:jc w:val="right"/>
              <w:ind w:right="400"/>
              <w:spacing w:after="0"/>
              <w:rPr>
                <w:sz w:val="20"/>
                <w:szCs w:val="20"/>
                <w:color w:val="auto"/>
              </w:rPr>
            </w:pPr>
            <w:r>
              <w:rPr>
                <w:rFonts w:ascii="Arial" w:cs="Arial" w:eastAsia="Arial" w:hAnsi="Arial"/>
                <w:sz w:val="11"/>
                <w:szCs w:val="11"/>
                <w:b w:val="1"/>
                <w:bCs w:val="1"/>
                <w:color w:val="auto"/>
                <w:w w:val="86"/>
              </w:rPr>
              <w:t>June 30, 2020</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gridSpan w:val="2"/>
          </w:tcPr>
          <w:p>
            <w:pPr>
              <w:ind w:left="200"/>
              <w:spacing w:after="0"/>
              <w:rPr>
                <w:sz w:val="20"/>
                <w:szCs w:val="20"/>
                <w:color w:val="auto"/>
              </w:rPr>
            </w:pPr>
            <w:r>
              <w:rPr>
                <w:rFonts w:ascii="Arial" w:cs="Arial" w:eastAsia="Arial" w:hAnsi="Arial"/>
                <w:sz w:val="11"/>
                <w:szCs w:val="11"/>
                <w:b w:val="1"/>
                <w:bCs w:val="1"/>
                <w:color w:val="auto"/>
              </w:rPr>
              <w:t>June 30, 2021</w:t>
            </w:r>
          </w:p>
        </w:tc>
        <w:tc>
          <w:tcPr>
            <w:tcW w:w="420" w:type="dxa"/>
            <w:vAlign w:val="bottom"/>
          </w:tcPr>
          <w:p>
            <w:pPr>
              <w:spacing w:after="0"/>
              <w:rPr>
                <w:sz w:val="11"/>
                <w:szCs w:val="11"/>
                <w:color w:val="auto"/>
              </w:rPr>
            </w:pPr>
          </w:p>
        </w:tc>
        <w:tc>
          <w:tcPr>
            <w:tcW w:w="1140" w:type="dxa"/>
            <w:vAlign w:val="bottom"/>
          </w:tcPr>
          <w:p>
            <w:pPr>
              <w:jc w:val="right"/>
              <w:ind w:right="400"/>
              <w:spacing w:after="0"/>
              <w:rPr>
                <w:sz w:val="20"/>
                <w:szCs w:val="20"/>
                <w:color w:val="auto"/>
              </w:rPr>
            </w:pPr>
            <w:r>
              <w:rPr>
                <w:rFonts w:ascii="Arial" w:cs="Arial" w:eastAsia="Arial" w:hAnsi="Arial"/>
                <w:sz w:val="11"/>
                <w:szCs w:val="11"/>
                <w:b w:val="1"/>
                <w:bCs w:val="1"/>
                <w:color w:val="auto"/>
                <w:w w:val="92"/>
              </w:rPr>
              <w:t>June 30, 2020</w:t>
            </w:r>
          </w:p>
        </w:tc>
        <w:tc>
          <w:tcPr>
            <w:tcW w:w="0" w:type="dxa"/>
            <w:vAlign w:val="bottom"/>
          </w:tcPr>
          <w:p>
            <w:pPr>
              <w:spacing w:after="0"/>
              <w:rPr>
                <w:sz w:val="1"/>
                <w:szCs w:val="1"/>
                <w:color w:val="auto"/>
              </w:rPr>
            </w:pPr>
          </w:p>
        </w:tc>
      </w:tr>
      <w:tr>
        <w:trPr>
          <w:trHeight w:val="135"/>
        </w:trPr>
        <w:tc>
          <w:tcPr>
            <w:tcW w:w="4840" w:type="dxa"/>
            <w:vAlign w:val="bottom"/>
            <w:tcBorders>
              <w:top w:val="single" w:sz="8" w:color="CCEEFF"/>
            </w:tcBorders>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REVENUES</w:t>
            </w:r>
          </w:p>
        </w:tc>
        <w:tc>
          <w:tcPr>
            <w:tcW w:w="260" w:type="dxa"/>
            <w:vAlign w:val="bottom"/>
            <w:tcBorders>
              <w:top w:val="single" w:sz="8" w:color="auto"/>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840" w:type="dxa"/>
            <w:vAlign w:val="bottom"/>
          </w:tcPr>
          <w:p>
            <w:pPr>
              <w:ind w:left="140"/>
              <w:spacing w:after="0"/>
              <w:rPr>
                <w:sz w:val="20"/>
                <w:szCs w:val="20"/>
                <w:color w:val="auto"/>
              </w:rPr>
            </w:pPr>
            <w:r>
              <w:rPr>
                <w:rFonts w:ascii="Arial" w:cs="Arial" w:eastAsia="Arial" w:hAnsi="Arial"/>
                <w:sz w:val="12"/>
                <w:szCs w:val="12"/>
                <w:color w:val="auto"/>
              </w:rPr>
              <w:t>Resort management and other services</w:t>
            </w: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37</w:t>
            </w:r>
          </w:p>
        </w:tc>
        <w:tc>
          <w:tcPr>
            <w:tcW w:w="100" w:type="dxa"/>
            <w:vAlign w:val="bottom"/>
          </w:tcPr>
          <w:p>
            <w:pPr>
              <w:spacing w:after="0"/>
              <w:rPr>
                <w:sz w:val="13"/>
                <w:szCs w:val="13"/>
                <w:color w:val="auto"/>
              </w:rPr>
            </w:pPr>
          </w:p>
        </w:tc>
        <w:tc>
          <w:tcPr>
            <w:tcW w:w="440" w:type="dxa"/>
            <w:vAlign w:val="bottom"/>
          </w:tcPr>
          <w:p>
            <w:pPr>
              <w:jc w:val="right"/>
              <w:ind w:right="332"/>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33</w:t>
            </w:r>
          </w:p>
        </w:tc>
        <w:tc>
          <w:tcPr>
            <w:tcW w:w="80" w:type="dxa"/>
            <w:vAlign w:val="bottom"/>
          </w:tcPr>
          <w:p>
            <w:pPr>
              <w:spacing w:after="0"/>
              <w:rPr>
                <w:sz w:val="13"/>
                <w:szCs w:val="13"/>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76</w:t>
            </w:r>
          </w:p>
        </w:tc>
        <w:tc>
          <w:tcPr>
            <w:tcW w:w="80" w:type="dxa"/>
            <w:vAlign w:val="bottom"/>
          </w:tcPr>
          <w:p>
            <w:pPr>
              <w:spacing w:after="0"/>
              <w:rPr>
                <w:sz w:val="13"/>
                <w:szCs w:val="13"/>
                <w:color w:val="auto"/>
              </w:rPr>
            </w:pPr>
          </w:p>
        </w:tc>
        <w:tc>
          <w:tcPr>
            <w:tcW w:w="420" w:type="dxa"/>
            <w:vAlign w:val="bottom"/>
          </w:tcPr>
          <w:p>
            <w:pPr>
              <w:jc w:val="right"/>
              <w:ind w:right="280"/>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76</w:t>
            </w:r>
          </w:p>
        </w:tc>
        <w:tc>
          <w:tcPr>
            <w:tcW w:w="0" w:type="dxa"/>
            <w:vAlign w:val="bottom"/>
          </w:tcPr>
          <w:p>
            <w:pPr>
              <w:spacing w:after="0"/>
              <w:rPr>
                <w:sz w:val="1"/>
                <w:szCs w:val="1"/>
                <w:color w:val="auto"/>
              </w:rPr>
            </w:pPr>
          </w:p>
        </w:tc>
      </w:tr>
      <w:tr>
        <w:trPr>
          <w:trHeight w:val="153"/>
        </w:trPr>
        <w:tc>
          <w:tcPr>
            <w:tcW w:w="48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Cost reimbursements</w:t>
            </w:r>
          </w:p>
        </w:tc>
        <w:tc>
          <w:tcPr>
            <w:tcW w:w="26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w:t>
            </w:r>
          </w:p>
        </w:tc>
        <w:tc>
          <w:tcPr>
            <w:tcW w:w="10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(54)</w:t>
            </w:r>
          </w:p>
        </w:tc>
        <w:tc>
          <w:tcPr>
            <w:tcW w:w="8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(64)</w:t>
            </w:r>
          </w:p>
        </w:tc>
        <w:tc>
          <w:tcPr>
            <w:tcW w:w="0" w:type="dxa"/>
            <w:vAlign w:val="bottom"/>
          </w:tcPr>
          <w:p>
            <w:pPr>
              <w:spacing w:after="0"/>
              <w:rPr>
                <w:sz w:val="1"/>
                <w:szCs w:val="1"/>
                <w:color w:val="auto"/>
              </w:rPr>
            </w:pPr>
          </w:p>
        </w:tc>
      </w:tr>
      <w:tr>
        <w:trPr>
          <w:trHeight w:val="142"/>
        </w:trPr>
        <w:tc>
          <w:tcPr>
            <w:tcW w:w="4840" w:type="dxa"/>
            <w:vAlign w:val="bottom"/>
            <w:tcBorders>
              <w:bottom w:val="single" w:sz="8" w:color="CCEEFF"/>
            </w:tcBorders>
          </w:tcPr>
          <w:p>
            <w:pPr>
              <w:ind w:left="300"/>
              <w:spacing w:after="0"/>
              <w:rPr>
                <w:sz w:val="20"/>
                <w:szCs w:val="20"/>
                <w:color w:val="auto"/>
              </w:rPr>
            </w:pPr>
            <w:r>
              <w:rPr>
                <w:rFonts w:ascii="Arial" w:cs="Arial" w:eastAsia="Arial" w:hAnsi="Arial"/>
                <w:sz w:val="12"/>
                <w:szCs w:val="12"/>
                <w:b w:val="1"/>
                <w:bCs w:val="1"/>
                <w:color w:val="auto"/>
              </w:rPr>
              <w:t>TOTAL REVENUES</w:t>
            </w:r>
          </w:p>
        </w:tc>
        <w:tc>
          <w:tcPr>
            <w:tcW w:w="2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w:t>
            </w: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w:t>
            </w:r>
          </w:p>
        </w:tc>
        <w:tc>
          <w:tcPr>
            <w:tcW w:w="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w:t>
            </w:r>
          </w:p>
        </w:tc>
        <w:tc>
          <w:tcPr>
            <w:tcW w:w="0" w:type="dxa"/>
            <w:vAlign w:val="bottom"/>
          </w:tcPr>
          <w:p>
            <w:pPr>
              <w:spacing w:after="0"/>
              <w:rPr>
                <w:sz w:val="1"/>
                <w:szCs w:val="1"/>
                <w:color w:val="auto"/>
              </w:rPr>
            </w:pPr>
          </w:p>
        </w:tc>
      </w:tr>
      <w:tr>
        <w:trPr>
          <w:trHeight w:val="133"/>
        </w:trPr>
        <w:tc>
          <w:tcPr>
            <w:tcW w:w="4840" w:type="dxa"/>
            <w:vAlign w:val="bottom"/>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EXPENSES</w:t>
            </w:r>
          </w:p>
        </w:tc>
        <w:tc>
          <w:tcPr>
            <w:tcW w:w="26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840" w:type="dxa"/>
            <w:vAlign w:val="bottom"/>
          </w:tcPr>
          <w:p>
            <w:pPr>
              <w:ind w:left="140"/>
              <w:spacing w:after="0"/>
              <w:rPr>
                <w:sz w:val="20"/>
                <w:szCs w:val="20"/>
                <w:color w:val="auto"/>
              </w:rPr>
            </w:pPr>
            <w:r>
              <w:rPr>
                <w:rFonts w:ascii="Arial" w:cs="Arial" w:eastAsia="Arial" w:hAnsi="Arial"/>
                <w:sz w:val="12"/>
                <w:szCs w:val="12"/>
                <w:color w:val="auto"/>
              </w:rPr>
              <w:t>Resort management and other services</w:t>
            </w:r>
          </w:p>
        </w:tc>
        <w:tc>
          <w:tcPr>
            <w:tcW w:w="26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45</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37</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96</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92</w:t>
            </w:r>
          </w:p>
        </w:tc>
        <w:tc>
          <w:tcPr>
            <w:tcW w:w="0" w:type="dxa"/>
            <w:vAlign w:val="bottom"/>
          </w:tcPr>
          <w:p>
            <w:pPr>
              <w:spacing w:after="0"/>
              <w:rPr>
                <w:sz w:val="1"/>
                <w:szCs w:val="1"/>
                <w:color w:val="auto"/>
              </w:rPr>
            </w:pPr>
          </w:p>
        </w:tc>
      </w:tr>
      <w:tr>
        <w:trPr>
          <w:trHeight w:val="153"/>
        </w:trPr>
        <w:tc>
          <w:tcPr>
            <w:tcW w:w="48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Rental</w:t>
            </w:r>
          </w:p>
        </w:tc>
        <w:tc>
          <w:tcPr>
            <w:tcW w:w="26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w:t>
            </w:r>
          </w:p>
        </w:tc>
        <w:tc>
          <w:tcPr>
            <w:tcW w:w="0" w:type="dxa"/>
            <w:vAlign w:val="bottom"/>
          </w:tcPr>
          <w:p>
            <w:pPr>
              <w:spacing w:after="0"/>
              <w:rPr>
                <w:sz w:val="1"/>
                <w:szCs w:val="1"/>
                <w:color w:val="auto"/>
              </w:rPr>
            </w:pPr>
          </w:p>
        </w:tc>
      </w:tr>
      <w:tr>
        <w:trPr>
          <w:trHeight w:val="153"/>
        </w:trPr>
        <w:tc>
          <w:tcPr>
            <w:tcW w:w="4840" w:type="dxa"/>
            <w:vAlign w:val="bottom"/>
          </w:tcPr>
          <w:p>
            <w:pPr>
              <w:ind w:left="140"/>
              <w:spacing w:after="0"/>
              <w:rPr>
                <w:sz w:val="20"/>
                <w:szCs w:val="20"/>
                <w:color w:val="auto"/>
              </w:rPr>
            </w:pPr>
            <w:r>
              <w:rPr>
                <w:rFonts w:ascii="Arial" w:cs="Arial" w:eastAsia="Arial" w:hAnsi="Arial"/>
                <w:sz w:val="12"/>
                <w:szCs w:val="12"/>
                <w:color w:val="auto"/>
              </w:rPr>
              <w:t>General and administrative</w:t>
            </w:r>
          </w:p>
        </w:tc>
        <w:tc>
          <w:tcPr>
            <w:tcW w:w="26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66</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19</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112</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89</w:t>
            </w:r>
          </w:p>
        </w:tc>
        <w:tc>
          <w:tcPr>
            <w:tcW w:w="0" w:type="dxa"/>
            <w:vAlign w:val="bottom"/>
          </w:tcPr>
          <w:p>
            <w:pPr>
              <w:spacing w:after="0"/>
              <w:rPr>
                <w:sz w:val="1"/>
                <w:szCs w:val="1"/>
                <w:color w:val="auto"/>
              </w:rPr>
            </w:pPr>
          </w:p>
        </w:tc>
      </w:tr>
      <w:tr>
        <w:trPr>
          <w:trHeight w:val="153"/>
        </w:trPr>
        <w:tc>
          <w:tcPr>
            <w:tcW w:w="48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Depreciation and amortization</w:t>
            </w:r>
          </w:p>
        </w:tc>
        <w:tc>
          <w:tcPr>
            <w:tcW w:w="26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53"/>
        </w:trPr>
        <w:tc>
          <w:tcPr>
            <w:tcW w:w="4840" w:type="dxa"/>
            <w:vAlign w:val="bottom"/>
          </w:tcPr>
          <w:p>
            <w:pPr>
              <w:ind w:left="140"/>
              <w:spacing w:after="0"/>
              <w:rPr>
                <w:sz w:val="20"/>
                <w:szCs w:val="20"/>
                <w:color w:val="auto"/>
              </w:rPr>
            </w:pPr>
            <w:r>
              <w:rPr>
                <w:rFonts w:ascii="Arial" w:cs="Arial" w:eastAsia="Arial" w:hAnsi="Arial"/>
                <w:sz w:val="12"/>
                <w:szCs w:val="12"/>
                <w:color w:val="auto"/>
              </w:rPr>
              <w:t>Restructuring</w:t>
            </w:r>
          </w:p>
        </w:tc>
        <w:tc>
          <w:tcPr>
            <w:tcW w:w="260" w:type="dxa"/>
            <w:vAlign w:val="bottom"/>
          </w:tcPr>
          <w:p>
            <w:pPr>
              <w:spacing w:after="0"/>
              <w:rPr>
                <w:sz w:val="13"/>
                <w:szCs w:val="13"/>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3"/>
                <w:szCs w:val="13"/>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48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Impairment</w:t>
            </w:r>
          </w:p>
        </w:tc>
        <w:tc>
          <w:tcPr>
            <w:tcW w:w="26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484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Cost reimbursements</w:t>
            </w:r>
          </w:p>
        </w:tc>
        <w:tc>
          <w:tcPr>
            <w:tcW w:w="2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(54)</w:t>
            </w:r>
          </w:p>
        </w:tc>
        <w:tc>
          <w:tcPr>
            <w:tcW w:w="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(64)</w:t>
            </w:r>
          </w:p>
        </w:tc>
        <w:tc>
          <w:tcPr>
            <w:tcW w:w="0" w:type="dxa"/>
            <w:vAlign w:val="bottom"/>
          </w:tcPr>
          <w:p>
            <w:pPr>
              <w:spacing w:after="0"/>
              <w:rPr>
                <w:sz w:val="1"/>
                <w:szCs w:val="1"/>
                <w:color w:val="auto"/>
              </w:rPr>
            </w:pPr>
          </w:p>
        </w:tc>
      </w:tr>
      <w:tr>
        <w:trPr>
          <w:trHeight w:val="142"/>
        </w:trPr>
        <w:tc>
          <w:tcPr>
            <w:tcW w:w="4840" w:type="dxa"/>
            <w:vAlign w:val="bottom"/>
            <w:shd w:val="clear" w:color="auto" w:fill="CCEEFF"/>
          </w:tcPr>
          <w:p>
            <w:pPr>
              <w:ind w:left="300"/>
              <w:spacing w:after="0"/>
              <w:rPr>
                <w:sz w:val="20"/>
                <w:szCs w:val="20"/>
                <w:color w:val="auto"/>
              </w:rPr>
            </w:pPr>
            <w:r>
              <w:rPr>
                <w:rFonts w:ascii="Arial" w:cs="Arial" w:eastAsia="Arial" w:hAnsi="Arial"/>
                <w:sz w:val="12"/>
                <w:szCs w:val="12"/>
                <w:b w:val="1"/>
                <w:bCs w:val="1"/>
                <w:color w:val="auto"/>
              </w:rPr>
              <w:t>TOTAL EXPENSES</w:t>
            </w:r>
          </w:p>
        </w:tc>
        <w:tc>
          <w:tcPr>
            <w:tcW w:w="26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79</w:t>
            </w:r>
          </w:p>
        </w:tc>
        <w:tc>
          <w:tcPr>
            <w:tcW w:w="100" w:type="dxa"/>
            <w:vAlign w:val="bottom"/>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w:t>
            </w:r>
          </w:p>
        </w:tc>
        <w:tc>
          <w:tcPr>
            <w:tcW w:w="8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136</w:t>
            </w:r>
          </w:p>
        </w:tc>
        <w:tc>
          <w:tcPr>
            <w:tcW w:w="80" w:type="dxa"/>
            <w:vAlign w:val="bottom"/>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94</w:t>
            </w:r>
          </w:p>
        </w:tc>
        <w:tc>
          <w:tcPr>
            <w:tcW w:w="0" w:type="dxa"/>
            <w:vAlign w:val="bottom"/>
          </w:tcPr>
          <w:p>
            <w:pPr>
              <w:spacing w:after="0"/>
              <w:rPr>
                <w:sz w:val="1"/>
                <w:szCs w:val="1"/>
                <w:color w:val="auto"/>
              </w:rPr>
            </w:pPr>
          </w:p>
        </w:tc>
      </w:tr>
      <w:tr>
        <w:trPr>
          <w:trHeight w:val="142"/>
        </w:trPr>
        <w:tc>
          <w:tcPr>
            <w:tcW w:w="4840" w:type="dxa"/>
            <w:vAlign w:val="bottom"/>
          </w:tcPr>
          <w:p>
            <w:pPr>
              <w:ind w:left="140"/>
              <w:spacing w:after="0"/>
              <w:rPr>
                <w:sz w:val="20"/>
                <w:szCs w:val="20"/>
                <w:color w:val="auto"/>
              </w:rPr>
            </w:pPr>
            <w:r>
              <w:rPr>
                <w:rFonts w:ascii="Arial" w:cs="Arial" w:eastAsia="Arial" w:hAnsi="Arial"/>
                <w:sz w:val="12"/>
                <w:szCs w:val="12"/>
                <w:color w:val="auto"/>
              </w:rPr>
              <w:t>(Losses) gains and other (expense) income, net</w:t>
            </w:r>
          </w:p>
        </w:tc>
        <w:tc>
          <w:tcPr>
            <w:tcW w:w="26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10</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4</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(48)</w:t>
            </w:r>
          </w:p>
        </w:tc>
        <w:tc>
          <w:tcPr>
            <w:tcW w:w="0" w:type="dxa"/>
            <w:vAlign w:val="bottom"/>
          </w:tcPr>
          <w:p>
            <w:pPr>
              <w:spacing w:after="0"/>
              <w:rPr>
                <w:sz w:val="1"/>
                <w:szCs w:val="1"/>
                <w:color w:val="auto"/>
              </w:rPr>
            </w:pPr>
          </w:p>
        </w:tc>
      </w:tr>
      <w:tr>
        <w:trPr>
          <w:trHeight w:val="153"/>
        </w:trPr>
        <w:tc>
          <w:tcPr>
            <w:tcW w:w="48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Interest expense</w:t>
            </w:r>
          </w:p>
        </w:tc>
        <w:tc>
          <w:tcPr>
            <w:tcW w:w="26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w:t>
            </w:r>
          </w:p>
        </w:tc>
        <w:tc>
          <w:tcPr>
            <w:tcW w:w="0" w:type="dxa"/>
            <w:vAlign w:val="bottom"/>
          </w:tcPr>
          <w:p>
            <w:pPr>
              <w:spacing w:after="0"/>
              <w:rPr>
                <w:sz w:val="1"/>
                <w:szCs w:val="1"/>
                <w:color w:val="auto"/>
              </w:rPr>
            </w:pPr>
          </w:p>
        </w:tc>
      </w:tr>
      <w:tr>
        <w:trPr>
          <w:trHeight w:val="153"/>
        </w:trPr>
        <w:tc>
          <w:tcPr>
            <w:tcW w:w="484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Transaction and integration costs</w:t>
            </w:r>
          </w:p>
        </w:tc>
        <w:tc>
          <w:tcPr>
            <w:tcW w:w="2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w:t>
            </w:r>
          </w:p>
        </w:tc>
        <w:tc>
          <w:tcPr>
            <w:tcW w:w="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w:t>
            </w:r>
          </w:p>
        </w:tc>
        <w:tc>
          <w:tcPr>
            <w:tcW w:w="0" w:type="dxa"/>
            <w:vAlign w:val="bottom"/>
          </w:tcPr>
          <w:p>
            <w:pPr>
              <w:spacing w:after="0"/>
              <w:rPr>
                <w:sz w:val="1"/>
                <w:szCs w:val="1"/>
                <w:color w:val="auto"/>
              </w:rPr>
            </w:pPr>
          </w:p>
        </w:tc>
      </w:tr>
      <w:tr>
        <w:trPr>
          <w:trHeight w:val="97"/>
        </w:trPr>
        <w:tc>
          <w:tcPr>
            <w:tcW w:w="4840" w:type="dxa"/>
            <w:vAlign w:val="bottom"/>
            <w:shd w:val="clear" w:color="auto" w:fill="CCEEFF"/>
          </w:tcPr>
          <w:p>
            <w:pPr>
              <w:spacing w:after="0" w:line="97" w:lineRule="exact"/>
              <w:rPr>
                <w:sz w:val="20"/>
                <w:szCs w:val="20"/>
                <w:color w:val="auto"/>
              </w:rPr>
            </w:pPr>
            <w:r>
              <w:rPr>
                <w:rFonts w:ascii="Arial" w:cs="Arial" w:eastAsia="Arial" w:hAnsi="Arial"/>
                <w:sz w:val="11"/>
                <w:szCs w:val="11"/>
                <w:b w:val="1"/>
                <w:bCs w:val="1"/>
                <w:color w:val="auto"/>
              </w:rPr>
              <w:t>FINANCIAL RESULTS BEFORE INCOME TAXES AND NONCONTROLLING</w:t>
            </w:r>
          </w:p>
        </w:tc>
        <w:tc>
          <w:tcPr>
            <w:tcW w:w="260" w:type="dxa"/>
            <w:vAlign w:val="bottom"/>
            <w:shd w:val="clear" w:color="auto" w:fill="CCEEFF"/>
          </w:tcPr>
          <w:p>
            <w:pPr>
              <w:spacing w:after="0"/>
              <w:rPr>
                <w:sz w:val="8"/>
                <w:szCs w:val="8"/>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(143)</w:t>
            </w: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(56)</w:t>
            </w:r>
          </w:p>
        </w:tc>
        <w:tc>
          <w:tcPr>
            <w:tcW w:w="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(244)</w:t>
            </w: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(238)</w:t>
            </w:r>
          </w:p>
        </w:tc>
        <w:tc>
          <w:tcPr>
            <w:tcW w:w="0" w:type="dxa"/>
            <w:vAlign w:val="bottom"/>
          </w:tcPr>
          <w:p>
            <w:pPr>
              <w:spacing w:after="0"/>
              <w:rPr>
                <w:sz w:val="1"/>
                <w:szCs w:val="1"/>
                <w:color w:val="auto"/>
              </w:rPr>
            </w:pPr>
          </w:p>
        </w:tc>
      </w:tr>
      <w:tr>
        <w:trPr>
          <w:trHeight w:val="153"/>
        </w:trPr>
        <w:tc>
          <w:tcPr>
            <w:tcW w:w="48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INTERESTS</w:t>
            </w:r>
          </w:p>
        </w:tc>
        <w:tc>
          <w:tcPr>
            <w:tcW w:w="260" w:type="dxa"/>
            <w:vAlign w:val="bottom"/>
            <w:shd w:val="clear" w:color="auto" w:fill="CCEEFF"/>
          </w:tcPr>
          <w:p>
            <w:pPr>
              <w:spacing w:after="0"/>
              <w:rPr>
                <w:sz w:val="13"/>
                <w:szCs w:val="13"/>
                <w:color w:val="auto"/>
              </w:rPr>
            </w:pPr>
          </w:p>
        </w:tc>
        <w:tc>
          <w:tcPr>
            <w:tcW w:w="12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1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1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840" w:type="dxa"/>
            <w:vAlign w:val="bottom"/>
          </w:tcPr>
          <w:p>
            <w:pPr>
              <w:spacing w:after="0"/>
              <w:rPr>
                <w:sz w:val="20"/>
                <w:szCs w:val="20"/>
                <w:color w:val="auto"/>
              </w:rPr>
            </w:pPr>
            <w:r>
              <w:rPr>
                <w:rFonts w:ascii="Arial" w:cs="Arial" w:eastAsia="Arial" w:hAnsi="Arial"/>
                <w:sz w:val="12"/>
                <w:szCs w:val="12"/>
                <w:color w:val="auto"/>
              </w:rPr>
              <w:t>(Provision for) benefit from income taxes</w:t>
            </w:r>
          </w:p>
        </w:tc>
        <w:tc>
          <w:tcPr>
            <w:tcW w:w="26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(27)</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19</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(16)</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77</w:t>
            </w:r>
          </w:p>
        </w:tc>
        <w:tc>
          <w:tcPr>
            <w:tcW w:w="0" w:type="dxa"/>
            <w:vAlign w:val="bottom"/>
          </w:tcPr>
          <w:p>
            <w:pPr>
              <w:spacing w:after="0"/>
              <w:rPr>
                <w:sz w:val="1"/>
                <w:szCs w:val="1"/>
                <w:color w:val="auto"/>
              </w:rPr>
            </w:pPr>
          </w:p>
        </w:tc>
      </w:tr>
      <w:tr>
        <w:trPr>
          <w:trHeight w:val="153"/>
        </w:trPr>
        <w:tc>
          <w:tcPr>
            <w:tcW w:w="4840" w:type="dxa"/>
            <w:vAlign w:val="bottom"/>
            <w:shd w:val="clear" w:color="auto" w:fill="CCEEFF"/>
          </w:tcPr>
          <w:p>
            <w:pPr>
              <w:spacing w:after="0"/>
              <w:rPr>
                <w:sz w:val="20"/>
                <w:szCs w:val="20"/>
                <w:color w:val="auto"/>
              </w:rPr>
            </w:pPr>
            <w:r>
              <w:rPr>
                <w:rFonts w:ascii="Arial" w:cs="Arial" w:eastAsia="Arial" w:hAnsi="Arial"/>
                <w:sz w:val="12"/>
                <w:szCs w:val="12"/>
                <w:color w:val="auto"/>
              </w:rPr>
              <w:t>Net income attributable to noncontrolling interests</w:t>
            </w:r>
          </w:p>
        </w:tc>
        <w:tc>
          <w:tcPr>
            <w:tcW w:w="26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8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w:t>
            </w:r>
          </w:p>
        </w:tc>
        <w:tc>
          <w:tcPr>
            <w:tcW w:w="0" w:type="dxa"/>
            <w:vAlign w:val="bottom"/>
          </w:tcPr>
          <w:p>
            <w:pPr>
              <w:spacing w:after="0"/>
              <w:rPr>
                <w:sz w:val="1"/>
                <w:szCs w:val="1"/>
                <w:color w:val="auto"/>
              </w:rPr>
            </w:pPr>
          </w:p>
        </w:tc>
      </w:tr>
      <w:tr>
        <w:trPr>
          <w:trHeight w:val="142"/>
        </w:trPr>
        <w:tc>
          <w:tcPr>
            <w:tcW w:w="4840" w:type="dxa"/>
            <w:vAlign w:val="bottom"/>
          </w:tcPr>
          <w:p>
            <w:pPr>
              <w:spacing w:after="0"/>
              <w:rPr>
                <w:sz w:val="20"/>
                <w:szCs w:val="20"/>
                <w:color w:val="auto"/>
              </w:rPr>
            </w:pPr>
            <w:r>
              <w:rPr>
                <w:rFonts w:ascii="Arial" w:cs="Arial" w:eastAsia="Arial" w:hAnsi="Arial"/>
                <w:sz w:val="12"/>
                <w:szCs w:val="12"/>
                <w:b w:val="1"/>
                <w:bCs w:val="1"/>
                <w:color w:val="auto"/>
              </w:rPr>
              <w:t>FINANCIAL RESULTS ATTRIBUTABLE TO COMMON SHAREHOLDERS</w:t>
            </w:r>
          </w:p>
        </w:tc>
        <w:tc>
          <w:tcPr>
            <w:tcW w:w="26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(172)</w:t>
            </w:r>
          </w:p>
        </w:tc>
        <w:tc>
          <w:tcPr>
            <w:tcW w:w="100" w:type="dxa"/>
            <w:vAlign w:val="bottom"/>
          </w:tcPr>
          <w:p>
            <w:pPr>
              <w:spacing w:after="0"/>
              <w:rPr>
                <w:sz w:val="12"/>
                <w:szCs w:val="12"/>
                <w:color w:val="auto"/>
              </w:rPr>
            </w:pPr>
          </w:p>
        </w:tc>
        <w:tc>
          <w:tcPr>
            <w:tcW w:w="44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w:t>
            </w:r>
          </w:p>
        </w:tc>
        <w:tc>
          <w:tcPr>
            <w:tcW w:w="80" w:type="dxa"/>
            <w:vAlign w:val="bottom"/>
          </w:tcPr>
          <w:p>
            <w:pPr>
              <w:spacing w:after="0"/>
              <w:rPr>
                <w:sz w:val="12"/>
                <w:szCs w:val="12"/>
                <w:color w:val="auto"/>
              </w:rPr>
            </w:pPr>
          </w:p>
        </w:tc>
        <w:tc>
          <w:tcPr>
            <w:tcW w:w="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(265)</w:t>
            </w:r>
          </w:p>
        </w:tc>
        <w:tc>
          <w:tcPr>
            <w:tcW w:w="80" w:type="dxa"/>
            <w:vAlign w:val="bottom"/>
          </w:tcPr>
          <w:p>
            <w:pPr>
              <w:spacing w:after="0"/>
              <w:rPr>
                <w:sz w:val="12"/>
                <w:szCs w:val="12"/>
                <w:color w:val="auto"/>
              </w:rPr>
            </w:pPr>
          </w:p>
        </w:tc>
        <w:tc>
          <w:tcPr>
            <w:tcW w:w="42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(170)</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jc w:val="right"/>
              <w:ind w:right="401"/>
              <w:spacing w:after="0"/>
              <w:rPr>
                <w:sz w:val="20"/>
                <w:szCs w:val="20"/>
                <w:color w:val="auto"/>
              </w:rPr>
            </w:pPr>
            <w:r>
              <w:rPr>
                <w:rFonts w:ascii="Arial" w:cs="Arial" w:eastAsia="Arial" w:hAnsi="Arial"/>
                <w:sz w:val="12"/>
                <w:szCs w:val="12"/>
                <w:color w:val="auto"/>
              </w:rPr>
              <w:t>62</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48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64" w:name="page65"/>
    <w:bookmarkEnd w:id="64"/>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Consolidated Property Owners’ Associations</w:t>
      </w:r>
    </w:p>
    <w:p>
      <w:pPr>
        <w:spacing w:after="0" w:line="82" w:lineRule="exact"/>
        <w:rPr>
          <w:sz w:val="20"/>
          <w:szCs w:val="20"/>
          <w:color w:val="auto"/>
        </w:rPr>
      </w:pPr>
    </w:p>
    <w:p>
      <w:pPr>
        <w:ind w:left="420"/>
        <w:spacing w:after="0"/>
        <w:rPr>
          <w:sz w:val="20"/>
          <w:szCs w:val="20"/>
          <w:color w:val="auto"/>
        </w:rPr>
      </w:pPr>
      <w:r>
        <w:rPr>
          <w:rFonts w:ascii="Arial" w:cs="Arial" w:eastAsia="Arial" w:hAnsi="Arial"/>
          <w:sz w:val="11"/>
          <w:szCs w:val="11"/>
          <w:color w:val="auto"/>
        </w:rPr>
        <w:t>The following table illustrates the impact of certain Consolidated Property Owners’ Associations under the relevant accounting guidance, which represents the portion related to individual or third-party VOI owners.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8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Three Months Ended</w:t>
            </w:r>
          </w:p>
        </w:tc>
        <w:tc>
          <w:tcPr>
            <w:tcW w:w="11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Six Months Ended</w:t>
            </w:r>
          </w:p>
        </w:tc>
        <w:tc>
          <w:tcPr>
            <w:tcW w:w="1140" w:type="dxa"/>
            <w:vAlign w:val="bottom"/>
            <w:tcBorders>
              <w:bottom w:val="single" w:sz="8" w:color="auto"/>
            </w:tcBorders>
          </w:tcPr>
          <w:p>
            <w:pPr>
              <w:spacing w:after="0"/>
              <w:rPr>
                <w:sz w:val="12"/>
                <w:szCs w:val="12"/>
                <w:color w:val="auto"/>
              </w:rPr>
            </w:pPr>
          </w:p>
        </w:tc>
      </w:tr>
      <w:tr>
        <w:trPr>
          <w:trHeight w:val="133"/>
        </w:trPr>
        <w:tc>
          <w:tcPr>
            <w:tcW w:w="4840" w:type="dxa"/>
            <w:vAlign w:val="bottom"/>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260" w:type="dxa"/>
            <w:vAlign w:val="bottom"/>
          </w:tcPr>
          <w:p>
            <w:pPr>
              <w:spacing w:after="0"/>
              <w:rPr>
                <w:sz w:val="11"/>
                <w:szCs w:val="11"/>
                <w:color w:val="auto"/>
              </w:rPr>
            </w:pPr>
          </w:p>
        </w:tc>
        <w:tc>
          <w:tcPr>
            <w:tcW w:w="1380" w:type="dxa"/>
            <w:vAlign w:val="bottom"/>
            <w:gridSpan w:val="2"/>
          </w:tcPr>
          <w:p>
            <w:pPr>
              <w:ind w:left="200"/>
              <w:spacing w:after="0"/>
              <w:rPr>
                <w:sz w:val="20"/>
                <w:szCs w:val="20"/>
                <w:color w:val="auto"/>
              </w:rPr>
            </w:pPr>
            <w:r>
              <w:rPr>
                <w:rFonts w:ascii="Arial" w:cs="Arial" w:eastAsia="Arial" w:hAnsi="Arial"/>
                <w:sz w:val="11"/>
                <w:szCs w:val="11"/>
                <w:b w:val="1"/>
                <w:bCs w:val="1"/>
                <w:color w:val="auto"/>
              </w:rPr>
              <w:t>June 30, 2021</w:t>
            </w:r>
          </w:p>
        </w:tc>
        <w:tc>
          <w:tcPr>
            <w:tcW w:w="440" w:type="dxa"/>
            <w:vAlign w:val="bottom"/>
          </w:tcPr>
          <w:p>
            <w:pPr>
              <w:spacing w:after="0"/>
              <w:rPr>
                <w:sz w:val="11"/>
                <w:szCs w:val="11"/>
                <w:color w:val="auto"/>
              </w:rPr>
            </w:pPr>
          </w:p>
        </w:tc>
        <w:tc>
          <w:tcPr>
            <w:tcW w:w="1100" w:type="dxa"/>
            <w:vAlign w:val="bottom"/>
          </w:tcPr>
          <w:p>
            <w:pPr>
              <w:jc w:val="right"/>
              <w:ind w:right="400"/>
              <w:spacing w:after="0"/>
              <w:rPr>
                <w:sz w:val="20"/>
                <w:szCs w:val="20"/>
                <w:color w:val="auto"/>
              </w:rPr>
            </w:pPr>
            <w:r>
              <w:rPr>
                <w:rFonts w:ascii="Arial" w:cs="Arial" w:eastAsia="Arial" w:hAnsi="Arial"/>
                <w:sz w:val="11"/>
                <w:szCs w:val="11"/>
                <w:b w:val="1"/>
                <w:bCs w:val="1"/>
                <w:color w:val="auto"/>
                <w:w w:val="86"/>
              </w:rPr>
              <w:t>June 30, 2020</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gridSpan w:val="2"/>
          </w:tcPr>
          <w:p>
            <w:pPr>
              <w:ind w:left="200"/>
              <w:spacing w:after="0"/>
              <w:rPr>
                <w:sz w:val="20"/>
                <w:szCs w:val="20"/>
                <w:color w:val="auto"/>
              </w:rPr>
            </w:pPr>
            <w:r>
              <w:rPr>
                <w:rFonts w:ascii="Arial" w:cs="Arial" w:eastAsia="Arial" w:hAnsi="Arial"/>
                <w:sz w:val="11"/>
                <w:szCs w:val="11"/>
                <w:b w:val="1"/>
                <w:bCs w:val="1"/>
                <w:color w:val="auto"/>
              </w:rPr>
              <w:t>June 30, 2021</w:t>
            </w:r>
          </w:p>
        </w:tc>
        <w:tc>
          <w:tcPr>
            <w:tcW w:w="420" w:type="dxa"/>
            <w:vAlign w:val="bottom"/>
          </w:tcPr>
          <w:p>
            <w:pPr>
              <w:spacing w:after="0"/>
              <w:rPr>
                <w:sz w:val="11"/>
                <w:szCs w:val="11"/>
                <w:color w:val="auto"/>
              </w:rPr>
            </w:pPr>
          </w:p>
        </w:tc>
        <w:tc>
          <w:tcPr>
            <w:tcW w:w="1140" w:type="dxa"/>
            <w:vAlign w:val="bottom"/>
          </w:tcPr>
          <w:p>
            <w:pPr>
              <w:jc w:val="right"/>
              <w:ind w:right="400"/>
              <w:spacing w:after="0"/>
              <w:rPr>
                <w:sz w:val="20"/>
                <w:szCs w:val="20"/>
                <w:color w:val="auto"/>
              </w:rPr>
            </w:pPr>
            <w:r>
              <w:rPr>
                <w:rFonts w:ascii="Arial" w:cs="Arial" w:eastAsia="Arial" w:hAnsi="Arial"/>
                <w:sz w:val="11"/>
                <w:szCs w:val="11"/>
                <w:b w:val="1"/>
                <w:bCs w:val="1"/>
                <w:color w:val="auto"/>
                <w:w w:val="92"/>
              </w:rPr>
              <w:t>June 30, 2020</w:t>
            </w:r>
          </w:p>
        </w:tc>
      </w:tr>
      <w:tr>
        <w:trPr>
          <w:trHeight w:val="135"/>
        </w:trPr>
        <w:tc>
          <w:tcPr>
            <w:tcW w:w="4840" w:type="dxa"/>
            <w:vAlign w:val="bottom"/>
            <w:tcBorders>
              <w:top w:val="single" w:sz="8" w:color="CCEEFF"/>
            </w:tcBorders>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REVENUES</w:t>
            </w:r>
          </w:p>
        </w:tc>
        <w:tc>
          <w:tcPr>
            <w:tcW w:w="260" w:type="dxa"/>
            <w:vAlign w:val="bottom"/>
            <w:tcBorders>
              <w:top w:val="single" w:sz="8" w:color="auto"/>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r>
      <w:tr>
        <w:trPr>
          <w:trHeight w:val="153"/>
        </w:trPr>
        <w:tc>
          <w:tcPr>
            <w:tcW w:w="4840" w:type="dxa"/>
            <w:vAlign w:val="bottom"/>
          </w:tcPr>
          <w:p>
            <w:pPr>
              <w:ind w:left="140"/>
              <w:spacing w:after="0"/>
              <w:rPr>
                <w:sz w:val="20"/>
                <w:szCs w:val="20"/>
                <w:color w:val="auto"/>
              </w:rPr>
            </w:pPr>
            <w:r>
              <w:rPr>
                <w:rFonts w:ascii="Arial" w:cs="Arial" w:eastAsia="Arial" w:hAnsi="Arial"/>
                <w:sz w:val="12"/>
                <w:szCs w:val="12"/>
                <w:color w:val="auto"/>
              </w:rPr>
              <w:t>Resort management and other services</w:t>
            </w: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37</w:t>
            </w:r>
          </w:p>
        </w:tc>
        <w:tc>
          <w:tcPr>
            <w:tcW w:w="100" w:type="dxa"/>
            <w:vAlign w:val="bottom"/>
          </w:tcPr>
          <w:p>
            <w:pPr>
              <w:spacing w:after="0"/>
              <w:rPr>
                <w:sz w:val="13"/>
                <w:szCs w:val="13"/>
                <w:color w:val="auto"/>
              </w:rPr>
            </w:pPr>
          </w:p>
        </w:tc>
        <w:tc>
          <w:tcPr>
            <w:tcW w:w="440" w:type="dxa"/>
            <w:vAlign w:val="bottom"/>
          </w:tcPr>
          <w:p>
            <w:pPr>
              <w:jc w:val="right"/>
              <w:ind w:right="332"/>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33</w:t>
            </w:r>
          </w:p>
        </w:tc>
        <w:tc>
          <w:tcPr>
            <w:tcW w:w="80" w:type="dxa"/>
            <w:vAlign w:val="bottom"/>
          </w:tcPr>
          <w:p>
            <w:pPr>
              <w:spacing w:after="0"/>
              <w:rPr>
                <w:sz w:val="13"/>
                <w:szCs w:val="13"/>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76</w:t>
            </w:r>
          </w:p>
        </w:tc>
        <w:tc>
          <w:tcPr>
            <w:tcW w:w="80" w:type="dxa"/>
            <w:vAlign w:val="bottom"/>
          </w:tcPr>
          <w:p>
            <w:pPr>
              <w:spacing w:after="0"/>
              <w:rPr>
                <w:sz w:val="13"/>
                <w:szCs w:val="13"/>
                <w:color w:val="auto"/>
              </w:rPr>
            </w:pPr>
          </w:p>
        </w:tc>
        <w:tc>
          <w:tcPr>
            <w:tcW w:w="420" w:type="dxa"/>
            <w:vAlign w:val="bottom"/>
          </w:tcPr>
          <w:p>
            <w:pPr>
              <w:jc w:val="right"/>
              <w:ind w:right="280"/>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76</w:t>
            </w:r>
          </w:p>
        </w:tc>
      </w:tr>
      <w:tr>
        <w:trPr>
          <w:trHeight w:val="153"/>
        </w:trPr>
        <w:tc>
          <w:tcPr>
            <w:tcW w:w="48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Cost reimbursements</w:t>
            </w:r>
          </w:p>
        </w:tc>
        <w:tc>
          <w:tcPr>
            <w:tcW w:w="26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w:t>
            </w:r>
          </w:p>
        </w:tc>
        <w:tc>
          <w:tcPr>
            <w:tcW w:w="10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(54)</w:t>
            </w:r>
          </w:p>
        </w:tc>
        <w:tc>
          <w:tcPr>
            <w:tcW w:w="8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(64)</w:t>
            </w:r>
          </w:p>
        </w:tc>
      </w:tr>
      <w:tr>
        <w:trPr>
          <w:trHeight w:val="142"/>
        </w:trPr>
        <w:tc>
          <w:tcPr>
            <w:tcW w:w="4840" w:type="dxa"/>
            <w:vAlign w:val="bottom"/>
            <w:tcBorders>
              <w:bottom w:val="single" w:sz="8" w:color="CCEEFF"/>
            </w:tcBorders>
          </w:tcPr>
          <w:p>
            <w:pPr>
              <w:ind w:left="300"/>
              <w:spacing w:after="0"/>
              <w:rPr>
                <w:sz w:val="20"/>
                <w:szCs w:val="20"/>
                <w:color w:val="auto"/>
              </w:rPr>
            </w:pPr>
            <w:r>
              <w:rPr>
                <w:rFonts w:ascii="Arial" w:cs="Arial" w:eastAsia="Arial" w:hAnsi="Arial"/>
                <w:sz w:val="12"/>
                <w:szCs w:val="12"/>
                <w:b w:val="1"/>
                <w:bCs w:val="1"/>
                <w:color w:val="auto"/>
              </w:rPr>
              <w:t>TOTAL REVENUES</w:t>
            </w:r>
          </w:p>
        </w:tc>
        <w:tc>
          <w:tcPr>
            <w:tcW w:w="2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w:t>
            </w: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w:t>
            </w:r>
          </w:p>
        </w:tc>
        <w:tc>
          <w:tcPr>
            <w:tcW w:w="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w:t>
            </w:r>
          </w:p>
        </w:tc>
      </w:tr>
      <w:tr>
        <w:trPr>
          <w:trHeight w:val="133"/>
        </w:trPr>
        <w:tc>
          <w:tcPr>
            <w:tcW w:w="4840" w:type="dxa"/>
            <w:vAlign w:val="bottom"/>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EXPENSES</w:t>
            </w:r>
          </w:p>
        </w:tc>
        <w:tc>
          <w:tcPr>
            <w:tcW w:w="26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r>
      <w:tr>
        <w:trPr>
          <w:trHeight w:val="153"/>
        </w:trPr>
        <w:tc>
          <w:tcPr>
            <w:tcW w:w="4840" w:type="dxa"/>
            <w:vAlign w:val="bottom"/>
          </w:tcPr>
          <w:p>
            <w:pPr>
              <w:ind w:left="140"/>
              <w:spacing w:after="0"/>
              <w:rPr>
                <w:sz w:val="20"/>
                <w:szCs w:val="20"/>
                <w:color w:val="auto"/>
              </w:rPr>
            </w:pPr>
            <w:r>
              <w:rPr>
                <w:rFonts w:ascii="Arial" w:cs="Arial" w:eastAsia="Arial" w:hAnsi="Arial"/>
                <w:sz w:val="12"/>
                <w:szCs w:val="12"/>
                <w:color w:val="auto"/>
              </w:rPr>
              <w:t>Resort management and other services</w:t>
            </w:r>
          </w:p>
        </w:tc>
        <w:tc>
          <w:tcPr>
            <w:tcW w:w="26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45</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37</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96</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92</w:t>
            </w:r>
          </w:p>
        </w:tc>
      </w:tr>
      <w:tr>
        <w:trPr>
          <w:trHeight w:val="153"/>
        </w:trPr>
        <w:tc>
          <w:tcPr>
            <w:tcW w:w="48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Rental</w:t>
            </w:r>
          </w:p>
        </w:tc>
        <w:tc>
          <w:tcPr>
            <w:tcW w:w="26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w:t>
            </w:r>
          </w:p>
        </w:tc>
      </w:tr>
      <w:tr>
        <w:trPr>
          <w:trHeight w:val="153"/>
        </w:trPr>
        <w:tc>
          <w:tcPr>
            <w:tcW w:w="484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Cost reimbursements</w:t>
            </w:r>
          </w:p>
        </w:tc>
        <w:tc>
          <w:tcPr>
            <w:tcW w:w="2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(54)</w:t>
            </w:r>
          </w:p>
        </w:tc>
        <w:tc>
          <w:tcPr>
            <w:tcW w:w="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(64)</w:t>
            </w:r>
          </w:p>
        </w:tc>
      </w:tr>
      <w:tr>
        <w:trPr>
          <w:trHeight w:val="142"/>
        </w:trPr>
        <w:tc>
          <w:tcPr>
            <w:tcW w:w="4840" w:type="dxa"/>
            <w:vAlign w:val="bottom"/>
            <w:shd w:val="clear" w:color="auto" w:fill="CCEEFF"/>
          </w:tcPr>
          <w:p>
            <w:pPr>
              <w:ind w:left="300"/>
              <w:spacing w:after="0"/>
              <w:rPr>
                <w:sz w:val="20"/>
                <w:szCs w:val="20"/>
                <w:color w:val="auto"/>
              </w:rPr>
            </w:pPr>
            <w:r>
              <w:rPr>
                <w:rFonts w:ascii="Arial" w:cs="Arial" w:eastAsia="Arial" w:hAnsi="Arial"/>
                <w:sz w:val="12"/>
                <w:szCs w:val="12"/>
                <w:b w:val="1"/>
                <w:bCs w:val="1"/>
                <w:color w:val="auto"/>
              </w:rPr>
              <w:t>TOTAL EXPENSES</w:t>
            </w:r>
          </w:p>
        </w:tc>
        <w:tc>
          <w:tcPr>
            <w:tcW w:w="26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100" w:type="dxa"/>
            <w:vAlign w:val="bottom"/>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8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80" w:type="dxa"/>
            <w:vAlign w:val="bottom"/>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w:t>
            </w:r>
          </w:p>
        </w:tc>
      </w:tr>
      <w:tr>
        <w:trPr>
          <w:trHeight w:val="142"/>
        </w:trPr>
        <w:tc>
          <w:tcPr>
            <w:tcW w:w="4840" w:type="dxa"/>
            <w:vAlign w:val="bottom"/>
          </w:tcPr>
          <w:p>
            <w:pPr>
              <w:ind w:left="140"/>
              <w:spacing w:after="0"/>
              <w:rPr>
                <w:sz w:val="20"/>
                <w:szCs w:val="20"/>
                <w:color w:val="auto"/>
              </w:rPr>
            </w:pPr>
            <w:r>
              <w:rPr>
                <w:rFonts w:ascii="Arial" w:cs="Arial" w:eastAsia="Arial" w:hAnsi="Arial"/>
                <w:sz w:val="12"/>
                <w:szCs w:val="12"/>
                <w:color w:val="auto"/>
              </w:rPr>
              <w:t>Losses and other expense, net</w:t>
            </w:r>
          </w:p>
        </w:tc>
        <w:tc>
          <w:tcPr>
            <w:tcW w:w="26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2"/>
        </w:trPr>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FINANCIAL RESULTS BEFORE NONCONTROLLING INTERESTS</w:t>
            </w:r>
          </w:p>
        </w:tc>
        <w:tc>
          <w:tcPr>
            <w:tcW w:w="260" w:type="dxa"/>
            <w:vAlign w:val="bottom"/>
            <w:tcBorders>
              <w:top w:val="single" w:sz="8" w:color="auto"/>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10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w:t>
            </w:r>
          </w:p>
        </w:tc>
        <w:tc>
          <w:tcPr>
            <w:tcW w:w="8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w:t>
            </w:r>
          </w:p>
        </w:tc>
      </w:tr>
      <w:tr>
        <w:trPr>
          <w:trHeight w:val="153"/>
        </w:trPr>
        <w:tc>
          <w:tcPr>
            <w:tcW w:w="4840" w:type="dxa"/>
            <w:vAlign w:val="bottom"/>
          </w:tcPr>
          <w:p>
            <w:pPr>
              <w:spacing w:after="0"/>
              <w:rPr>
                <w:sz w:val="20"/>
                <w:szCs w:val="20"/>
                <w:color w:val="auto"/>
              </w:rPr>
            </w:pPr>
            <w:r>
              <w:rPr>
                <w:rFonts w:ascii="Arial" w:cs="Arial" w:eastAsia="Arial" w:hAnsi="Arial"/>
                <w:sz w:val="12"/>
                <w:szCs w:val="12"/>
                <w:color w:val="auto"/>
              </w:rPr>
              <w:t>Benefit for income taxes</w:t>
            </w:r>
          </w:p>
        </w:tc>
        <w:tc>
          <w:tcPr>
            <w:tcW w:w="26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4840" w:type="dxa"/>
            <w:vAlign w:val="bottom"/>
            <w:shd w:val="clear" w:color="auto" w:fill="CCEEFF"/>
          </w:tcPr>
          <w:p>
            <w:pPr>
              <w:spacing w:after="0"/>
              <w:rPr>
                <w:sz w:val="20"/>
                <w:szCs w:val="20"/>
                <w:color w:val="auto"/>
              </w:rPr>
            </w:pPr>
            <w:r>
              <w:rPr>
                <w:rFonts w:ascii="Arial" w:cs="Arial" w:eastAsia="Arial" w:hAnsi="Arial"/>
                <w:sz w:val="12"/>
                <w:szCs w:val="12"/>
                <w:color w:val="auto"/>
              </w:rPr>
              <w:t>Net income attributable to noncontrolling interests</w:t>
            </w:r>
          </w:p>
        </w:tc>
        <w:tc>
          <w:tcPr>
            <w:tcW w:w="26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8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w:t>
            </w:r>
          </w:p>
        </w:tc>
      </w:tr>
      <w:tr>
        <w:trPr>
          <w:trHeight w:val="142"/>
        </w:trPr>
        <w:tc>
          <w:tcPr>
            <w:tcW w:w="4840" w:type="dxa"/>
            <w:vAlign w:val="bottom"/>
          </w:tcPr>
          <w:p>
            <w:pPr>
              <w:spacing w:after="0"/>
              <w:rPr>
                <w:sz w:val="20"/>
                <w:szCs w:val="20"/>
                <w:color w:val="auto"/>
              </w:rPr>
            </w:pPr>
            <w:r>
              <w:rPr>
                <w:rFonts w:ascii="Arial" w:cs="Arial" w:eastAsia="Arial" w:hAnsi="Arial"/>
                <w:sz w:val="12"/>
                <w:szCs w:val="12"/>
                <w:b w:val="1"/>
                <w:bCs w:val="1"/>
                <w:color w:val="auto"/>
              </w:rPr>
              <w:t>FINANCIAL RESULTS ATTRIBUTABLE TO COMMON SHAREHOLDERS</w:t>
            </w:r>
          </w:p>
        </w:tc>
        <w:tc>
          <w:tcPr>
            <w:tcW w:w="26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2"/>
                <w:szCs w:val="12"/>
                <w:color w:val="auto"/>
              </w:rPr>
            </w:pPr>
          </w:p>
        </w:tc>
        <w:tc>
          <w:tcPr>
            <w:tcW w:w="44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w:t>
            </w:r>
          </w:p>
        </w:tc>
        <w:tc>
          <w:tcPr>
            <w:tcW w:w="80" w:type="dxa"/>
            <w:vAlign w:val="bottom"/>
          </w:tcPr>
          <w:p>
            <w:pPr>
              <w:spacing w:after="0"/>
              <w:rPr>
                <w:sz w:val="12"/>
                <w:szCs w:val="12"/>
                <w:color w:val="auto"/>
              </w:rPr>
            </w:pPr>
          </w:p>
        </w:tc>
        <w:tc>
          <w:tcPr>
            <w:tcW w:w="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w:t>
            </w:r>
          </w:p>
        </w:tc>
        <w:tc>
          <w:tcPr>
            <w:tcW w:w="80" w:type="dxa"/>
            <w:vAlign w:val="bottom"/>
          </w:tcPr>
          <w:p>
            <w:pPr>
              <w:spacing w:after="0"/>
              <w:rPr>
                <w:sz w:val="12"/>
                <w:szCs w:val="12"/>
                <w:color w:val="auto"/>
              </w:rPr>
            </w:pPr>
          </w:p>
        </w:tc>
        <w:tc>
          <w:tcPr>
            <w:tcW w:w="42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w:t>
            </w:r>
          </w:p>
        </w:tc>
      </w:tr>
      <w:tr>
        <w:trPr>
          <w:trHeight w:val="20"/>
        </w:trPr>
        <w:tc>
          <w:tcPr>
            <w:tcW w:w="4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ind w:right="120" w:firstLine="432"/>
        <w:spacing w:after="0" w:line="263" w:lineRule="auto"/>
        <w:rPr>
          <w:sz w:val="20"/>
          <w:szCs w:val="20"/>
          <w:color w:val="auto"/>
        </w:rPr>
      </w:pPr>
      <w:r>
        <w:rPr>
          <w:rFonts w:ascii="Arial" w:cs="Arial" w:eastAsia="Arial" w:hAnsi="Arial"/>
          <w:sz w:val="12"/>
          <w:szCs w:val="12"/>
          <w:color w:val="auto"/>
        </w:rPr>
        <w:t>Pursuant to a change in control of certain Consolidated Property Owners’ Associations, we recorded a non-cash loss of $1 million in (Losses) gains and other (expense) income, net on our Income Statement for each of the three and six months ended June 30, 2021, respectively. We continue to act as manager for these property owners’ associations pursuant to existing management contracts and retain membership interests via our ownership of vacation ownership interests.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General and Administrative</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2021 Second Quarter</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4940" w:type="dxa"/>
            <w:vAlign w:val="bottom"/>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gridSpan w:val="3"/>
          </w:tcPr>
          <w:p>
            <w:pPr>
              <w:jc w:val="right"/>
              <w:ind w:right="709"/>
              <w:spacing w:after="0"/>
              <w:rPr>
                <w:sz w:val="20"/>
                <w:szCs w:val="20"/>
                <w:color w:val="auto"/>
              </w:rPr>
            </w:pPr>
            <w:r>
              <w:rPr>
                <w:rFonts w:ascii="Arial" w:cs="Arial" w:eastAsia="Arial" w:hAnsi="Arial"/>
                <w:sz w:val="11"/>
                <w:szCs w:val="11"/>
                <w:b w:val="1"/>
                <w:bCs w:val="1"/>
                <w:color w:val="auto"/>
                <w:w w:val="88"/>
              </w:rPr>
              <w:t>Three Months Ended</w:t>
            </w:r>
          </w:p>
        </w:tc>
        <w:tc>
          <w:tcPr>
            <w:tcW w:w="3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135"/>
        </w:trPr>
        <w:tc>
          <w:tcPr>
            <w:tcW w:w="494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June 30, 2021</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00" w:type="dxa"/>
            <w:vAlign w:val="bottom"/>
            <w:tcBorders>
              <w:bottom w:val="single" w:sz="8" w:color="auto"/>
            </w:tcBorders>
          </w:tcPr>
          <w:p>
            <w:pPr>
              <w:jc w:val="right"/>
              <w:ind w:right="89"/>
              <w:spacing w:after="0"/>
              <w:rPr>
                <w:sz w:val="20"/>
                <w:szCs w:val="20"/>
                <w:color w:val="auto"/>
              </w:rPr>
            </w:pPr>
            <w:r>
              <w:rPr>
                <w:rFonts w:ascii="Arial" w:cs="Arial" w:eastAsia="Arial" w:hAnsi="Arial"/>
                <w:sz w:val="11"/>
                <w:szCs w:val="11"/>
                <w:b w:val="1"/>
                <w:bCs w:val="1"/>
                <w:color w:val="auto"/>
              </w:rPr>
              <w:t>June 30, 2020</w:t>
            </w: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14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b w:val="1"/>
                <w:bCs w:val="1"/>
                <w:color w:val="auto"/>
              </w:rPr>
              <w:t>Change</w:t>
            </w:r>
          </w:p>
        </w:tc>
        <w:tc>
          <w:tcPr>
            <w:tcW w:w="3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 Change</w:t>
            </w:r>
          </w:p>
        </w:tc>
      </w:tr>
      <w:tr>
        <w:trPr>
          <w:trHeight w:val="144"/>
        </w:trPr>
        <w:tc>
          <w:tcPr>
            <w:tcW w:w="4940" w:type="dxa"/>
            <w:vAlign w:val="bottom"/>
            <w:shd w:val="clear" w:color="auto" w:fill="CCEEFF"/>
          </w:tcPr>
          <w:p>
            <w:pPr>
              <w:spacing w:after="0"/>
              <w:rPr>
                <w:sz w:val="20"/>
                <w:szCs w:val="20"/>
                <w:color w:val="auto"/>
              </w:rPr>
            </w:pPr>
            <w:r>
              <w:rPr>
                <w:rFonts w:ascii="Arial" w:cs="Arial" w:eastAsia="Arial" w:hAnsi="Arial"/>
                <w:sz w:val="12"/>
                <w:szCs w:val="12"/>
                <w:color w:val="auto"/>
              </w:rPr>
              <w:t>General and administrative</w:t>
            </w:r>
          </w:p>
        </w:tc>
        <w:tc>
          <w:tcPr>
            <w:tcW w:w="1080" w:type="dxa"/>
            <w:vAlign w:val="bottom"/>
            <w:shd w:val="clear" w:color="auto" w:fill="CCEEFF"/>
          </w:tcPr>
          <w:p>
            <w:pPr>
              <w:jc w:val="right"/>
              <w:ind w:right="943"/>
              <w:spacing w:after="0"/>
              <w:rPr>
                <w:sz w:val="20"/>
                <w:szCs w:val="20"/>
                <w:color w:val="auto"/>
              </w:rPr>
            </w:pPr>
            <w:r>
              <w:rPr>
                <w:rFonts w:ascii="Arial" w:cs="Arial" w:eastAsia="Arial" w:hAnsi="Arial"/>
                <w:sz w:val="12"/>
                <w:szCs w:val="12"/>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w:t>
            </w: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1089"/>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w:t>
            </w: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1003"/>
              <w:spacing w:after="0"/>
              <w:rPr>
                <w:sz w:val="20"/>
                <w:szCs w:val="20"/>
                <w:color w:val="auto"/>
              </w:rPr>
            </w:pPr>
            <w:r>
              <w:rPr>
                <w:rFonts w:ascii="Arial" w:cs="Arial" w:eastAsia="Arial" w:hAnsi="Arial"/>
                <w:sz w:val="12"/>
                <w:szCs w:val="12"/>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w:t>
            </w:r>
          </w:p>
        </w:tc>
        <w:tc>
          <w:tcPr>
            <w:tcW w:w="100" w:type="dxa"/>
            <w:vAlign w:val="bottom"/>
            <w:shd w:val="clear" w:color="auto" w:fill="CCEEFF"/>
          </w:tcPr>
          <w:p>
            <w:pPr>
              <w:spacing w:after="0"/>
              <w:rPr>
                <w:sz w:val="12"/>
                <w:szCs w:val="12"/>
                <w:color w:val="auto"/>
              </w:rPr>
            </w:pPr>
          </w:p>
        </w:tc>
        <w:tc>
          <w:tcPr>
            <w:tcW w:w="1520" w:type="dxa"/>
            <w:vAlign w:val="bottom"/>
            <w:shd w:val="clear" w:color="auto" w:fill="CCEEFF"/>
          </w:tcPr>
          <w:p>
            <w:pPr>
              <w:jc w:val="right"/>
              <w:ind w:right="563"/>
              <w:spacing w:after="0"/>
              <w:rPr>
                <w:sz w:val="20"/>
                <w:szCs w:val="20"/>
                <w:color w:val="auto"/>
              </w:rPr>
            </w:pPr>
            <w:r>
              <w:rPr>
                <w:rFonts w:ascii="Arial" w:cs="Arial" w:eastAsia="Arial" w:hAnsi="Arial"/>
                <w:sz w:val="12"/>
                <w:szCs w:val="12"/>
                <w:color w:val="auto"/>
              </w:rPr>
              <w:t>255%</w:t>
            </w:r>
          </w:p>
        </w:tc>
      </w:tr>
    </w:tbl>
    <w:p>
      <w:pPr>
        <w:spacing w:after="0" w:line="126" w:lineRule="exact"/>
        <w:rPr>
          <w:sz w:val="20"/>
          <w:szCs w:val="20"/>
          <w:color w:val="auto"/>
        </w:rPr>
      </w:pPr>
    </w:p>
    <w:p>
      <w:pPr>
        <w:ind w:right="20" w:firstLine="432"/>
        <w:spacing w:after="0" w:line="259" w:lineRule="auto"/>
        <w:rPr>
          <w:sz w:val="20"/>
          <w:szCs w:val="20"/>
          <w:color w:val="auto"/>
        </w:rPr>
      </w:pPr>
      <w:r>
        <w:rPr>
          <w:rFonts w:ascii="Arial" w:cs="Arial" w:eastAsia="Arial" w:hAnsi="Arial"/>
          <w:sz w:val="12"/>
          <w:szCs w:val="12"/>
          <w:color w:val="auto"/>
        </w:rPr>
        <w:t>General and administrative expenses increased $47 million due to $19 million of higher salary and wages costs as the prior year quarter benefited from savings related to the furlough, reduced work week and workforce reduction programs implemented in response to the impact of the COVID-19 pandemic, $14 million related to higher bonus expense, $9 million of higher spending as operations continued to ramp-up subsequent to the initial impact of the COVID-19 pandemic (including $2 million related to the acquisition of Welk), and a $5 million decrease in credits related to incentives under the CARES Act for companies who continued paying associates' benefit costs while they were not working as a result of the COVID-19 pandemic.</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2021 First Half</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4940" w:type="dxa"/>
            <w:vAlign w:val="bottom"/>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3"/>
          </w:tcPr>
          <w:p>
            <w:pPr>
              <w:jc w:val="right"/>
              <w:ind w:right="769"/>
              <w:spacing w:after="0"/>
              <w:rPr>
                <w:sz w:val="20"/>
                <w:szCs w:val="20"/>
                <w:color w:val="auto"/>
              </w:rPr>
            </w:pPr>
            <w:r>
              <w:rPr>
                <w:rFonts w:ascii="Arial" w:cs="Arial" w:eastAsia="Arial" w:hAnsi="Arial"/>
                <w:sz w:val="11"/>
                <w:szCs w:val="11"/>
                <w:b w:val="1"/>
                <w:bCs w:val="1"/>
                <w:color w:val="auto"/>
                <w:w w:val="92"/>
              </w:rPr>
              <w:t>Six Months Ended</w:t>
            </w:r>
          </w:p>
        </w:tc>
        <w:tc>
          <w:tcPr>
            <w:tcW w:w="3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135"/>
        </w:trPr>
        <w:tc>
          <w:tcPr>
            <w:tcW w:w="494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June 30, 2021</w:t>
            </w:r>
          </w:p>
        </w:tc>
        <w:tc>
          <w:tcPr>
            <w:tcW w:w="4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00" w:type="dxa"/>
            <w:vAlign w:val="bottom"/>
            <w:tcBorders>
              <w:bottom w:val="single" w:sz="8" w:color="auto"/>
            </w:tcBorders>
          </w:tcPr>
          <w:p>
            <w:pPr>
              <w:jc w:val="right"/>
              <w:ind w:right="89"/>
              <w:spacing w:after="0"/>
              <w:rPr>
                <w:sz w:val="20"/>
                <w:szCs w:val="20"/>
                <w:color w:val="auto"/>
              </w:rPr>
            </w:pPr>
            <w:r>
              <w:rPr>
                <w:rFonts w:ascii="Arial" w:cs="Arial" w:eastAsia="Arial" w:hAnsi="Arial"/>
                <w:sz w:val="11"/>
                <w:szCs w:val="11"/>
                <w:b w:val="1"/>
                <w:bCs w:val="1"/>
                <w:color w:val="auto"/>
              </w:rPr>
              <w:t>June 30, 2020</w:t>
            </w: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14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b w:val="1"/>
                <w:bCs w:val="1"/>
                <w:color w:val="auto"/>
              </w:rPr>
              <w:t>Change</w:t>
            </w:r>
          </w:p>
        </w:tc>
        <w:tc>
          <w:tcPr>
            <w:tcW w:w="3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 Change</w:t>
            </w:r>
          </w:p>
        </w:tc>
      </w:tr>
      <w:tr>
        <w:trPr>
          <w:trHeight w:val="144"/>
        </w:trPr>
        <w:tc>
          <w:tcPr>
            <w:tcW w:w="4940" w:type="dxa"/>
            <w:vAlign w:val="bottom"/>
            <w:shd w:val="clear" w:color="auto" w:fill="CCEEFF"/>
          </w:tcPr>
          <w:p>
            <w:pPr>
              <w:spacing w:after="0"/>
              <w:rPr>
                <w:sz w:val="20"/>
                <w:szCs w:val="20"/>
                <w:color w:val="auto"/>
              </w:rPr>
            </w:pPr>
            <w:r>
              <w:rPr>
                <w:rFonts w:ascii="Arial" w:cs="Arial" w:eastAsia="Arial" w:hAnsi="Arial"/>
                <w:sz w:val="12"/>
                <w:szCs w:val="12"/>
                <w:color w:val="auto"/>
              </w:rPr>
              <w:t>General and administrative</w:t>
            </w:r>
          </w:p>
        </w:tc>
        <w:tc>
          <w:tcPr>
            <w:tcW w:w="1100" w:type="dxa"/>
            <w:vAlign w:val="bottom"/>
            <w:shd w:val="clear" w:color="auto" w:fill="CCEEFF"/>
          </w:tcPr>
          <w:p>
            <w:pPr>
              <w:jc w:val="right"/>
              <w:ind w:right="963"/>
              <w:spacing w:after="0"/>
              <w:rPr>
                <w:sz w:val="20"/>
                <w:szCs w:val="20"/>
                <w:color w:val="auto"/>
              </w:rPr>
            </w:pPr>
            <w:r>
              <w:rPr>
                <w:rFonts w:ascii="Arial" w:cs="Arial" w:eastAsia="Arial" w:hAnsi="Arial"/>
                <w:sz w:val="12"/>
                <w:szCs w:val="12"/>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w:t>
            </w: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1089"/>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w:t>
            </w: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1003"/>
              <w:spacing w:after="0"/>
              <w:rPr>
                <w:sz w:val="20"/>
                <w:szCs w:val="20"/>
                <w:color w:val="auto"/>
              </w:rPr>
            </w:pPr>
            <w:r>
              <w:rPr>
                <w:rFonts w:ascii="Arial" w:cs="Arial" w:eastAsia="Arial" w:hAnsi="Arial"/>
                <w:sz w:val="12"/>
                <w:szCs w:val="12"/>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w:t>
            </w:r>
          </w:p>
        </w:tc>
        <w:tc>
          <w:tcPr>
            <w:tcW w:w="100" w:type="dxa"/>
            <w:vAlign w:val="bottom"/>
            <w:shd w:val="clear" w:color="auto" w:fill="CCEEFF"/>
          </w:tcPr>
          <w:p>
            <w:pPr>
              <w:spacing w:after="0"/>
              <w:rPr>
                <w:sz w:val="12"/>
                <w:szCs w:val="12"/>
                <w:color w:val="auto"/>
              </w:rPr>
            </w:pPr>
          </w:p>
        </w:tc>
        <w:tc>
          <w:tcPr>
            <w:tcW w:w="1520" w:type="dxa"/>
            <w:vAlign w:val="bottom"/>
            <w:shd w:val="clear" w:color="auto" w:fill="CCEEFF"/>
          </w:tcPr>
          <w:p>
            <w:pPr>
              <w:jc w:val="right"/>
              <w:ind w:right="603"/>
              <w:spacing w:after="0"/>
              <w:rPr>
                <w:sz w:val="20"/>
                <w:szCs w:val="20"/>
                <w:color w:val="auto"/>
              </w:rPr>
            </w:pPr>
            <w:r>
              <w:rPr>
                <w:rFonts w:ascii="Arial" w:cs="Arial" w:eastAsia="Arial" w:hAnsi="Arial"/>
                <w:sz w:val="12"/>
                <w:szCs w:val="12"/>
                <w:color w:val="auto"/>
              </w:rPr>
              <w:t>26%</w:t>
            </w:r>
          </w:p>
        </w:tc>
      </w:tr>
    </w:tbl>
    <w:p>
      <w:pPr>
        <w:spacing w:after="0" w:line="117" w:lineRule="exact"/>
        <w:rPr>
          <w:sz w:val="20"/>
          <w:szCs w:val="20"/>
          <w:color w:val="auto"/>
        </w:rPr>
      </w:pPr>
    </w:p>
    <w:p>
      <w:pPr>
        <w:ind w:right="100" w:firstLine="432"/>
        <w:spacing w:after="0" w:line="256" w:lineRule="auto"/>
        <w:rPr>
          <w:sz w:val="20"/>
          <w:szCs w:val="20"/>
          <w:color w:val="auto"/>
        </w:rPr>
      </w:pPr>
      <w:r>
        <w:rPr>
          <w:rFonts w:ascii="Arial" w:cs="Arial" w:eastAsia="Arial" w:hAnsi="Arial"/>
          <w:sz w:val="12"/>
          <w:szCs w:val="12"/>
          <w:color w:val="auto"/>
        </w:rPr>
        <w:t>General and administrative expenses increased $23 million due to $10 million of higher salary and wages costs as the prior year period benefited from savings related to the furlough, reduced work week and workforce reduction programs implemented in response to the impact of the COVID-19 pandemic, $23 million related to higher bonus expense, and a $3 million decrease in credits related to incentives under the CARES Act for companies who continued paying associates' benefit costs while they were not working as a result of the COVID-19 pandemic. These increases were partially offset by $12 million of lower costs as the prior year period included an accrual for health and welfare costs for furloughed associates and $1 million of lower net overall spending (lower technology-related spending year-over-year, partially offset by the impact of operations ramping up subsequent to the initial impact of the COVID-19 pandemic, as well as $2 million related to the acquisition of Welk).</w:t>
      </w:r>
    </w:p>
    <w:p>
      <w:pPr>
        <w:spacing w:after="0" w:line="119" w:lineRule="exact"/>
        <w:rPr>
          <w:sz w:val="20"/>
          <w:szCs w:val="20"/>
          <w:color w:val="auto"/>
        </w:rPr>
      </w:pPr>
    </w:p>
    <w:p>
      <w:pPr>
        <w:jc w:val="center"/>
        <w:ind w:left="420"/>
        <w:spacing w:after="0"/>
        <w:rPr>
          <w:sz w:val="20"/>
          <w:szCs w:val="20"/>
          <w:color w:val="auto"/>
        </w:rPr>
      </w:pPr>
      <w:r>
        <w:rPr>
          <w:rFonts w:ascii="Arial" w:cs="Arial" w:eastAsia="Arial" w:hAnsi="Arial"/>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191135</wp:posOffset>
            </wp:positionV>
            <wp:extent cx="7203440" cy="368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65" w:name="page66"/>
    <w:bookmarkEnd w:id="65"/>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Impairment</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2021 Second Quarter</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4840" w:type="dxa"/>
            <w:vAlign w:val="bottom"/>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3"/>
          </w:tcPr>
          <w:p>
            <w:pPr>
              <w:jc w:val="right"/>
              <w:ind w:right="729"/>
              <w:spacing w:after="0"/>
              <w:rPr>
                <w:sz w:val="20"/>
                <w:szCs w:val="20"/>
                <w:color w:val="auto"/>
              </w:rPr>
            </w:pPr>
            <w:r>
              <w:rPr>
                <w:rFonts w:ascii="Arial" w:cs="Arial" w:eastAsia="Arial" w:hAnsi="Arial"/>
                <w:sz w:val="11"/>
                <w:szCs w:val="11"/>
                <w:b w:val="1"/>
                <w:bCs w:val="1"/>
                <w:color w:val="auto"/>
                <w:w w:val="90"/>
              </w:rPr>
              <w:t>Three Months Ended</w:t>
            </w:r>
          </w:p>
        </w:tc>
        <w:tc>
          <w:tcPr>
            <w:tcW w:w="3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135"/>
        </w:trPr>
        <w:tc>
          <w:tcPr>
            <w:tcW w:w="484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June 30, 2021</w:t>
            </w:r>
          </w:p>
        </w:tc>
        <w:tc>
          <w:tcPr>
            <w:tcW w:w="4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20" w:type="dxa"/>
            <w:vAlign w:val="bottom"/>
            <w:tcBorders>
              <w:bottom w:val="single" w:sz="8" w:color="auto"/>
            </w:tcBorders>
          </w:tcPr>
          <w:p>
            <w:pPr>
              <w:jc w:val="right"/>
              <w:ind w:right="89"/>
              <w:spacing w:after="0"/>
              <w:rPr>
                <w:sz w:val="20"/>
                <w:szCs w:val="20"/>
                <w:color w:val="auto"/>
              </w:rPr>
            </w:pPr>
            <w:r>
              <w:rPr>
                <w:rFonts w:ascii="Arial" w:cs="Arial" w:eastAsia="Arial" w:hAnsi="Arial"/>
                <w:sz w:val="11"/>
                <w:szCs w:val="11"/>
                <w:b w:val="1"/>
                <w:bCs w:val="1"/>
                <w:color w:val="auto"/>
              </w:rPr>
              <w:t>June 30, 2020</w:t>
            </w: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20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b w:val="1"/>
                <w:bCs w:val="1"/>
                <w:color w:val="auto"/>
              </w:rPr>
              <w:t>Change</w:t>
            </w:r>
          </w:p>
        </w:tc>
        <w:tc>
          <w:tcPr>
            <w:tcW w:w="3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 Change</w:t>
            </w:r>
          </w:p>
        </w:tc>
      </w:tr>
      <w:tr>
        <w:trPr>
          <w:trHeight w:val="144"/>
        </w:trPr>
        <w:tc>
          <w:tcPr>
            <w:tcW w:w="4840" w:type="dxa"/>
            <w:vAlign w:val="bottom"/>
            <w:shd w:val="clear" w:color="auto" w:fill="CCEEFF"/>
          </w:tcPr>
          <w:p>
            <w:pPr>
              <w:spacing w:after="0"/>
              <w:rPr>
                <w:sz w:val="20"/>
                <w:szCs w:val="20"/>
                <w:color w:val="auto"/>
              </w:rPr>
            </w:pPr>
            <w:r>
              <w:rPr>
                <w:rFonts w:ascii="Arial" w:cs="Arial" w:eastAsia="Arial" w:hAnsi="Arial"/>
                <w:sz w:val="12"/>
                <w:szCs w:val="12"/>
                <w:color w:val="auto"/>
              </w:rPr>
              <w:t>Impairment</w:t>
            </w:r>
          </w:p>
        </w:tc>
        <w:tc>
          <w:tcPr>
            <w:tcW w:w="1080" w:type="dxa"/>
            <w:vAlign w:val="bottom"/>
            <w:shd w:val="clear" w:color="auto" w:fill="CCEEFF"/>
          </w:tcPr>
          <w:p>
            <w:pPr>
              <w:jc w:val="right"/>
              <w:ind w:right="969"/>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jc w:val="right"/>
              <w:ind w:right="1109"/>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w:t>
            </w:r>
          </w:p>
        </w:tc>
        <w:tc>
          <w:tcPr>
            <w:tcW w:w="1200" w:type="dxa"/>
            <w:vAlign w:val="bottom"/>
            <w:shd w:val="clear" w:color="auto" w:fill="CCEEFF"/>
          </w:tcPr>
          <w:p>
            <w:pPr>
              <w:jc w:val="right"/>
              <w:ind w:right="1063"/>
              <w:spacing w:after="0"/>
              <w:rPr>
                <w:sz w:val="20"/>
                <w:szCs w:val="20"/>
                <w:color w:val="auto"/>
              </w:rPr>
            </w:pPr>
            <w:r>
              <w:rPr>
                <w:rFonts w:ascii="Arial" w:cs="Arial" w:eastAsia="Arial" w:hAnsi="Arial"/>
                <w:sz w:val="12"/>
                <w:szCs w:val="12"/>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80" w:type="dxa"/>
            <w:vAlign w:val="bottom"/>
            <w:shd w:val="clear" w:color="auto" w:fill="CCEEFF"/>
          </w:tcPr>
          <w:p>
            <w:pPr>
              <w:spacing w:after="0"/>
              <w:rPr>
                <w:sz w:val="12"/>
                <w:szCs w:val="12"/>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NM</w:t>
            </w:r>
          </w:p>
        </w:tc>
      </w:tr>
      <w:tr>
        <w:trPr>
          <w:trHeight w:val="315"/>
        </w:trPr>
        <w:tc>
          <w:tcPr>
            <w:tcW w:w="4840" w:type="dxa"/>
            <w:vAlign w:val="bottom"/>
          </w:tcPr>
          <w:p>
            <w:pPr>
              <w:spacing w:after="0"/>
              <w:rPr>
                <w:sz w:val="20"/>
                <w:szCs w:val="20"/>
                <w:color w:val="auto"/>
              </w:rPr>
            </w:pPr>
            <w:r>
              <w:rPr>
                <w:rFonts w:ascii="Arial" w:cs="Arial" w:eastAsia="Arial" w:hAnsi="Arial"/>
                <w:sz w:val="12"/>
                <w:szCs w:val="12"/>
                <w:i w:val="1"/>
                <w:iCs w:val="1"/>
                <w:color w:val="auto"/>
              </w:rPr>
              <w:t>2021 First Half</w:t>
            </w: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58"/>
        </w:trPr>
        <w:tc>
          <w:tcPr>
            <w:tcW w:w="484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3"/>
          </w:tcPr>
          <w:p>
            <w:pPr>
              <w:jc w:val="right"/>
              <w:ind w:right="789"/>
              <w:spacing w:after="0"/>
              <w:rPr>
                <w:sz w:val="20"/>
                <w:szCs w:val="20"/>
                <w:color w:val="auto"/>
              </w:rPr>
            </w:pPr>
            <w:r>
              <w:rPr>
                <w:rFonts w:ascii="Arial" w:cs="Arial" w:eastAsia="Arial" w:hAnsi="Arial"/>
                <w:sz w:val="11"/>
                <w:szCs w:val="11"/>
                <w:b w:val="1"/>
                <w:bCs w:val="1"/>
                <w:color w:val="auto"/>
                <w:w w:val="96"/>
              </w:rPr>
              <w:t>Six Months Ended</w:t>
            </w:r>
          </w:p>
        </w:tc>
        <w:tc>
          <w:tcPr>
            <w:tcW w:w="3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135"/>
        </w:trPr>
        <w:tc>
          <w:tcPr>
            <w:tcW w:w="484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June 30, 2021</w:t>
            </w:r>
          </w:p>
        </w:tc>
        <w:tc>
          <w:tcPr>
            <w:tcW w:w="4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20" w:type="dxa"/>
            <w:vAlign w:val="bottom"/>
            <w:tcBorders>
              <w:bottom w:val="single" w:sz="8" w:color="auto"/>
            </w:tcBorders>
          </w:tcPr>
          <w:p>
            <w:pPr>
              <w:jc w:val="right"/>
              <w:ind w:right="89"/>
              <w:spacing w:after="0"/>
              <w:rPr>
                <w:sz w:val="20"/>
                <w:szCs w:val="20"/>
                <w:color w:val="auto"/>
              </w:rPr>
            </w:pPr>
            <w:r>
              <w:rPr>
                <w:rFonts w:ascii="Arial" w:cs="Arial" w:eastAsia="Arial" w:hAnsi="Arial"/>
                <w:sz w:val="11"/>
                <w:szCs w:val="11"/>
                <w:b w:val="1"/>
                <w:bCs w:val="1"/>
                <w:color w:val="auto"/>
              </w:rPr>
              <w:t>June 30, 2020</w:t>
            </w: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20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b w:val="1"/>
                <w:bCs w:val="1"/>
                <w:color w:val="auto"/>
              </w:rPr>
              <w:t>Change</w:t>
            </w:r>
          </w:p>
        </w:tc>
        <w:tc>
          <w:tcPr>
            <w:tcW w:w="3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 Change</w:t>
            </w:r>
          </w:p>
        </w:tc>
      </w:tr>
      <w:tr>
        <w:trPr>
          <w:trHeight w:val="144"/>
        </w:trPr>
        <w:tc>
          <w:tcPr>
            <w:tcW w:w="4840" w:type="dxa"/>
            <w:vAlign w:val="bottom"/>
            <w:shd w:val="clear" w:color="auto" w:fill="CCEEFF"/>
          </w:tcPr>
          <w:p>
            <w:pPr>
              <w:spacing w:after="0"/>
              <w:rPr>
                <w:sz w:val="20"/>
                <w:szCs w:val="20"/>
                <w:color w:val="auto"/>
              </w:rPr>
            </w:pPr>
            <w:r>
              <w:rPr>
                <w:rFonts w:ascii="Arial" w:cs="Arial" w:eastAsia="Arial" w:hAnsi="Arial"/>
                <w:sz w:val="12"/>
                <w:szCs w:val="12"/>
                <w:color w:val="auto"/>
              </w:rPr>
              <w:t>Impairment</w:t>
            </w:r>
          </w:p>
        </w:tc>
        <w:tc>
          <w:tcPr>
            <w:tcW w:w="1080" w:type="dxa"/>
            <w:vAlign w:val="bottom"/>
            <w:shd w:val="clear" w:color="auto" w:fill="CCEEFF"/>
          </w:tcPr>
          <w:p>
            <w:pPr>
              <w:jc w:val="right"/>
              <w:ind w:right="969"/>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jc w:val="right"/>
              <w:ind w:right="1109"/>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w:t>
            </w:r>
          </w:p>
        </w:tc>
        <w:tc>
          <w:tcPr>
            <w:tcW w:w="1200" w:type="dxa"/>
            <w:vAlign w:val="bottom"/>
            <w:shd w:val="clear" w:color="auto" w:fill="CCEEFF"/>
          </w:tcPr>
          <w:p>
            <w:pPr>
              <w:jc w:val="right"/>
              <w:ind w:right="1063"/>
              <w:spacing w:after="0"/>
              <w:rPr>
                <w:sz w:val="20"/>
                <w:szCs w:val="20"/>
                <w:color w:val="auto"/>
              </w:rPr>
            </w:pPr>
            <w:r>
              <w:rPr>
                <w:rFonts w:ascii="Arial" w:cs="Arial" w:eastAsia="Arial" w:hAnsi="Arial"/>
                <w:sz w:val="12"/>
                <w:szCs w:val="12"/>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80" w:type="dxa"/>
            <w:vAlign w:val="bottom"/>
            <w:shd w:val="clear" w:color="auto" w:fill="CCEEFF"/>
          </w:tcPr>
          <w:p>
            <w:pPr>
              <w:spacing w:after="0"/>
              <w:rPr>
                <w:sz w:val="12"/>
                <w:szCs w:val="12"/>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NM</w:t>
            </w:r>
          </w:p>
        </w:tc>
      </w:tr>
    </w:tbl>
    <w:p>
      <w:pPr>
        <w:spacing w:after="0" w:line="15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During the second quarter of 2021, we recorded a non-cash impairment of $5 million related to an equity method investment. No asset impairment charges were recorded for the first half of 2020.</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Gains / Losses and Other Income / Expense</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2021 Second Quarter</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4840" w:type="dxa"/>
            <w:vAlign w:val="bottom"/>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0"/>
              </w:rPr>
              <w:t>Three Months Ended</w:t>
            </w:r>
          </w:p>
        </w:tc>
        <w:tc>
          <w:tcPr>
            <w:tcW w:w="11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40" w:type="dxa"/>
            <w:vAlign w:val="bottom"/>
          </w:tcPr>
          <w:p>
            <w:pPr>
              <w:spacing w:after="0"/>
              <w:rPr>
                <w:sz w:val="12"/>
                <w:szCs w:val="12"/>
                <w:color w:val="auto"/>
              </w:rPr>
            </w:pPr>
          </w:p>
        </w:tc>
      </w:tr>
      <w:tr>
        <w:trPr>
          <w:trHeight w:val="135"/>
        </w:trPr>
        <w:tc>
          <w:tcPr>
            <w:tcW w:w="484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June 30, 2021</w:t>
            </w:r>
          </w:p>
        </w:tc>
        <w:tc>
          <w:tcPr>
            <w:tcW w:w="4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403"/>
              <w:spacing w:after="0"/>
              <w:rPr>
                <w:sz w:val="20"/>
                <w:szCs w:val="20"/>
                <w:color w:val="auto"/>
              </w:rPr>
            </w:pPr>
            <w:r>
              <w:rPr>
                <w:rFonts w:ascii="Arial" w:cs="Arial" w:eastAsia="Arial" w:hAnsi="Arial"/>
                <w:sz w:val="11"/>
                <w:szCs w:val="11"/>
                <w:b w:val="1"/>
                <w:bCs w:val="1"/>
                <w:color w:val="auto"/>
                <w:w w:val="86"/>
              </w:rPr>
              <w:t>June 30, 2020</w:t>
            </w:r>
          </w:p>
        </w:tc>
        <w:tc>
          <w:tcPr>
            <w:tcW w:w="8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543"/>
              <w:spacing w:after="0"/>
              <w:rPr>
                <w:sz w:val="20"/>
                <w:szCs w:val="20"/>
                <w:color w:val="auto"/>
              </w:rPr>
            </w:pPr>
            <w:r>
              <w:rPr>
                <w:rFonts w:ascii="Arial" w:cs="Arial" w:eastAsia="Arial" w:hAnsi="Arial"/>
                <w:sz w:val="11"/>
                <w:szCs w:val="11"/>
                <w:b w:val="1"/>
                <w:bCs w:val="1"/>
                <w:color w:val="auto"/>
              </w:rPr>
              <w:t>Change</w:t>
            </w:r>
          </w:p>
        </w:tc>
        <w:tc>
          <w:tcPr>
            <w:tcW w:w="1640" w:type="dxa"/>
            <w:vAlign w:val="bottom"/>
            <w:tcBorders>
              <w:bottom w:val="single" w:sz="8" w:color="CCEEFF"/>
            </w:tcBorders>
          </w:tcPr>
          <w:p>
            <w:pPr>
              <w:jc w:val="center"/>
              <w:ind w:left="23"/>
              <w:spacing w:after="0"/>
              <w:rPr>
                <w:sz w:val="20"/>
                <w:szCs w:val="20"/>
                <w:color w:val="auto"/>
              </w:rPr>
            </w:pPr>
            <w:r>
              <w:rPr>
                <w:rFonts w:ascii="Arial" w:cs="Arial" w:eastAsia="Arial" w:hAnsi="Arial"/>
                <w:sz w:val="11"/>
                <w:szCs w:val="11"/>
                <w:b w:val="1"/>
                <w:bCs w:val="1"/>
                <w:color w:val="auto"/>
                <w:w w:val="90"/>
              </w:rPr>
              <w:t>% Change</w:t>
            </w:r>
          </w:p>
        </w:tc>
      </w:tr>
      <w:tr>
        <w:trPr>
          <w:trHeight w:val="144"/>
        </w:trPr>
        <w:tc>
          <w:tcPr>
            <w:tcW w:w="4840" w:type="dxa"/>
            <w:vAlign w:val="bottom"/>
            <w:shd w:val="clear" w:color="auto" w:fill="CCEEFF"/>
          </w:tcPr>
          <w:p>
            <w:pPr>
              <w:spacing w:after="0"/>
              <w:rPr>
                <w:sz w:val="20"/>
                <w:szCs w:val="20"/>
                <w:color w:val="auto"/>
              </w:rPr>
            </w:pPr>
            <w:r>
              <w:rPr>
                <w:rFonts w:ascii="Arial" w:cs="Arial" w:eastAsia="Arial" w:hAnsi="Arial"/>
                <w:sz w:val="12"/>
                <w:szCs w:val="12"/>
                <w:color w:val="auto"/>
              </w:rPr>
              <w:t>(Losses) gains and other (expense) income, net</w:t>
            </w:r>
          </w:p>
        </w:tc>
        <w:tc>
          <w:tcPr>
            <w:tcW w:w="1080" w:type="dxa"/>
            <w:vAlign w:val="bottom"/>
            <w:shd w:val="clear" w:color="auto" w:fill="CCEEFF"/>
          </w:tcPr>
          <w:p>
            <w:pPr>
              <w:jc w:val="right"/>
              <w:ind w:right="969"/>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332"/>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1640" w:type="dxa"/>
            <w:vAlign w:val="bottom"/>
            <w:shd w:val="clear" w:color="auto" w:fill="CCEEFF"/>
          </w:tcPr>
          <w:p>
            <w:pPr>
              <w:jc w:val="right"/>
              <w:ind w:right="543"/>
              <w:spacing w:after="0"/>
              <w:rPr>
                <w:sz w:val="20"/>
                <w:szCs w:val="20"/>
                <w:color w:val="auto"/>
              </w:rPr>
            </w:pPr>
            <w:r>
              <w:rPr>
                <w:rFonts w:ascii="Arial" w:cs="Arial" w:eastAsia="Arial" w:hAnsi="Arial"/>
                <w:sz w:val="12"/>
                <w:szCs w:val="12"/>
                <w:color w:val="auto"/>
              </w:rPr>
              <w:t>(116%)</w:t>
            </w:r>
          </w:p>
        </w:tc>
      </w:tr>
    </w:tbl>
    <w:p>
      <w:pPr>
        <w:spacing w:after="0" w:line="12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 the second quarter of 2021, we recorded a tax related charge of $2 million.</w:t>
      </w:r>
    </w:p>
    <w:p>
      <w:pPr>
        <w:spacing w:after="0" w:line="78" w:lineRule="exact"/>
        <w:rPr>
          <w:sz w:val="20"/>
          <w:szCs w:val="20"/>
          <w:color w:val="auto"/>
        </w:rPr>
      </w:pPr>
    </w:p>
    <w:p>
      <w:pPr>
        <w:ind w:right="320" w:firstLine="432"/>
        <w:spacing w:after="0" w:line="276" w:lineRule="auto"/>
        <w:rPr>
          <w:sz w:val="20"/>
          <w:szCs w:val="20"/>
          <w:color w:val="auto"/>
        </w:rPr>
      </w:pPr>
      <w:r>
        <w:rPr>
          <w:rFonts w:ascii="Arial" w:cs="Arial" w:eastAsia="Arial" w:hAnsi="Arial"/>
          <w:sz w:val="12"/>
          <w:szCs w:val="12"/>
          <w:color w:val="auto"/>
        </w:rPr>
        <w:t>In the second quarter of 2020, we recorded gains and other income of $10 million, including a gain of $9 million related to foreign currency translation and other income of $1 million for the true-up of an indemnification receivable from Marriott International as a result of the settlement of an indemnified liability with a taxing authority.</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2021 First Half</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4840" w:type="dxa"/>
            <w:vAlign w:val="bottom"/>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3"/>
          </w:tcPr>
          <w:p>
            <w:pPr>
              <w:jc w:val="right"/>
              <w:ind w:right="769"/>
              <w:spacing w:after="0"/>
              <w:rPr>
                <w:sz w:val="20"/>
                <w:szCs w:val="20"/>
                <w:color w:val="auto"/>
              </w:rPr>
            </w:pPr>
            <w:r>
              <w:rPr>
                <w:rFonts w:ascii="Arial" w:cs="Arial" w:eastAsia="Arial" w:hAnsi="Arial"/>
                <w:sz w:val="11"/>
                <w:szCs w:val="11"/>
                <w:b w:val="1"/>
                <w:bCs w:val="1"/>
                <w:color w:val="auto"/>
                <w:w w:val="92"/>
              </w:rPr>
              <w:t>Six Months Ended</w:t>
            </w:r>
          </w:p>
        </w:tc>
        <w:tc>
          <w:tcPr>
            <w:tcW w:w="3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135"/>
        </w:trPr>
        <w:tc>
          <w:tcPr>
            <w:tcW w:w="484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June 30, 2021</w:t>
            </w:r>
          </w:p>
        </w:tc>
        <w:tc>
          <w:tcPr>
            <w:tcW w:w="4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00" w:type="dxa"/>
            <w:vAlign w:val="bottom"/>
            <w:tcBorders>
              <w:bottom w:val="single" w:sz="8" w:color="auto"/>
            </w:tcBorders>
          </w:tcPr>
          <w:p>
            <w:pPr>
              <w:jc w:val="right"/>
              <w:ind w:right="69"/>
              <w:spacing w:after="0"/>
              <w:rPr>
                <w:sz w:val="20"/>
                <w:szCs w:val="20"/>
                <w:color w:val="auto"/>
              </w:rPr>
            </w:pPr>
            <w:r>
              <w:rPr>
                <w:rFonts w:ascii="Arial" w:cs="Arial" w:eastAsia="Arial" w:hAnsi="Arial"/>
                <w:sz w:val="11"/>
                <w:szCs w:val="11"/>
                <w:b w:val="1"/>
                <w:bCs w:val="1"/>
                <w:color w:val="auto"/>
              </w:rPr>
              <w:t>June 30, 2020</w:t>
            </w:r>
          </w:p>
        </w:tc>
        <w:tc>
          <w:tcPr>
            <w:tcW w:w="34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18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rPr>
              <w:t>Change</w:t>
            </w:r>
          </w:p>
        </w:tc>
        <w:tc>
          <w:tcPr>
            <w:tcW w:w="3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 Change</w:t>
            </w:r>
          </w:p>
        </w:tc>
      </w:tr>
      <w:tr>
        <w:trPr>
          <w:trHeight w:val="144"/>
        </w:trPr>
        <w:tc>
          <w:tcPr>
            <w:tcW w:w="4840" w:type="dxa"/>
            <w:vAlign w:val="bottom"/>
            <w:shd w:val="clear" w:color="auto" w:fill="CCEEFF"/>
          </w:tcPr>
          <w:p>
            <w:pPr>
              <w:spacing w:after="0"/>
              <w:rPr>
                <w:sz w:val="20"/>
                <w:szCs w:val="20"/>
                <w:color w:val="auto"/>
              </w:rPr>
            </w:pPr>
            <w:r>
              <w:rPr>
                <w:rFonts w:ascii="Arial" w:cs="Arial" w:eastAsia="Arial" w:hAnsi="Arial"/>
                <w:sz w:val="12"/>
                <w:szCs w:val="12"/>
                <w:color w:val="auto"/>
              </w:rPr>
              <w:t>Gains (losses) and other income (expense), net</w:t>
            </w:r>
          </w:p>
        </w:tc>
        <w:tc>
          <w:tcPr>
            <w:tcW w:w="1120" w:type="dxa"/>
            <w:vAlign w:val="bottom"/>
            <w:shd w:val="clear" w:color="auto" w:fill="CCEEFF"/>
          </w:tcPr>
          <w:p>
            <w:pPr>
              <w:jc w:val="right"/>
              <w:ind w:right="1009"/>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1089"/>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w:t>
            </w: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1043"/>
              <w:spacing w:after="0"/>
              <w:rPr>
                <w:sz w:val="20"/>
                <w:szCs w:val="20"/>
                <w:color w:val="auto"/>
              </w:rPr>
            </w:pPr>
            <w:r>
              <w:rPr>
                <w:rFonts w:ascii="Arial" w:cs="Arial" w:eastAsia="Arial" w:hAnsi="Arial"/>
                <w:sz w:val="12"/>
                <w:szCs w:val="12"/>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w:t>
            </w:r>
          </w:p>
        </w:tc>
        <w:tc>
          <w:tcPr>
            <w:tcW w:w="80" w:type="dxa"/>
            <w:vAlign w:val="bottom"/>
            <w:shd w:val="clear" w:color="auto" w:fill="CCEEFF"/>
          </w:tcPr>
          <w:p>
            <w:pPr>
              <w:spacing w:after="0"/>
              <w:rPr>
                <w:sz w:val="12"/>
                <w:szCs w:val="12"/>
                <w:color w:val="auto"/>
              </w:rPr>
            </w:pPr>
          </w:p>
        </w:tc>
        <w:tc>
          <w:tcPr>
            <w:tcW w:w="1560" w:type="dxa"/>
            <w:vAlign w:val="bottom"/>
            <w:shd w:val="clear" w:color="auto" w:fill="CCEEFF"/>
          </w:tcPr>
          <w:p>
            <w:pPr>
              <w:jc w:val="right"/>
              <w:ind w:right="583"/>
              <w:spacing w:after="0"/>
              <w:rPr>
                <w:sz w:val="20"/>
                <w:szCs w:val="20"/>
                <w:color w:val="auto"/>
              </w:rPr>
            </w:pPr>
            <w:r>
              <w:rPr>
                <w:rFonts w:ascii="Arial" w:cs="Arial" w:eastAsia="Arial" w:hAnsi="Arial"/>
                <w:sz w:val="12"/>
                <w:szCs w:val="12"/>
                <w:color w:val="auto"/>
              </w:rPr>
              <w:t>108%</w:t>
            </w:r>
          </w:p>
        </w:tc>
      </w:tr>
    </w:tbl>
    <w:p>
      <w:pPr>
        <w:spacing w:after="0" w:line="12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 the first half of 2021, we recorded a gain of $4 million driven mainly by foreign currency translation ($6 million) partially offset by a tax related charge ($2 million).</w:t>
      </w:r>
    </w:p>
    <w:p>
      <w:pPr>
        <w:spacing w:after="0" w:line="78" w:lineRule="exact"/>
        <w:rPr>
          <w:sz w:val="20"/>
          <w:szCs w:val="20"/>
          <w:color w:val="auto"/>
        </w:rPr>
      </w:pPr>
    </w:p>
    <w:p>
      <w:pPr>
        <w:ind w:right="80" w:firstLine="432"/>
        <w:spacing w:after="0" w:line="263" w:lineRule="auto"/>
        <w:rPr>
          <w:sz w:val="20"/>
          <w:szCs w:val="20"/>
          <w:color w:val="auto"/>
        </w:rPr>
      </w:pPr>
      <w:r>
        <w:rPr>
          <w:rFonts w:ascii="Arial" w:cs="Arial" w:eastAsia="Arial" w:hAnsi="Arial"/>
          <w:sz w:val="12"/>
          <w:szCs w:val="12"/>
          <w:color w:val="auto"/>
        </w:rPr>
        <w:t>In the first half of 2020, we recorded losses and other expenses of $48 million, including $32 million for the true-up of an indemnification receivable from Marriott International as a result of the settlement of an indemnified liability with a taxing authority (the true-up to the offsetting accrual is included in the (Provision for) benefit from income taxes line) and $22 million related to foreign currency translation, partially offset by $6 million of other income related to an indemnification payment from Marriott International for VAT penalties and interest.</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Interest Expense</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2021 Second Quarter</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4840" w:type="dxa"/>
            <w:vAlign w:val="bottom"/>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gridSpan w:val="3"/>
          </w:tcPr>
          <w:p>
            <w:pPr>
              <w:jc w:val="right"/>
              <w:ind w:right="709"/>
              <w:spacing w:after="0"/>
              <w:rPr>
                <w:sz w:val="20"/>
                <w:szCs w:val="20"/>
                <w:color w:val="auto"/>
              </w:rPr>
            </w:pPr>
            <w:r>
              <w:rPr>
                <w:rFonts w:ascii="Arial" w:cs="Arial" w:eastAsia="Arial" w:hAnsi="Arial"/>
                <w:sz w:val="11"/>
                <w:szCs w:val="11"/>
                <w:b w:val="1"/>
                <w:bCs w:val="1"/>
                <w:color w:val="auto"/>
                <w:w w:val="90"/>
              </w:rPr>
              <w:t>Three Months Ended</w:t>
            </w:r>
          </w:p>
        </w:tc>
        <w:tc>
          <w:tcPr>
            <w:tcW w:w="3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135"/>
        </w:trPr>
        <w:tc>
          <w:tcPr>
            <w:tcW w:w="484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June 30, 2021</w:t>
            </w:r>
          </w:p>
        </w:tc>
        <w:tc>
          <w:tcPr>
            <w:tcW w:w="4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00" w:type="dxa"/>
            <w:vAlign w:val="bottom"/>
            <w:tcBorders>
              <w:bottom w:val="single" w:sz="8" w:color="auto"/>
            </w:tcBorders>
          </w:tcPr>
          <w:p>
            <w:pPr>
              <w:jc w:val="right"/>
              <w:ind w:right="69"/>
              <w:spacing w:after="0"/>
              <w:rPr>
                <w:sz w:val="20"/>
                <w:szCs w:val="20"/>
                <w:color w:val="auto"/>
              </w:rPr>
            </w:pPr>
            <w:r>
              <w:rPr>
                <w:rFonts w:ascii="Arial" w:cs="Arial" w:eastAsia="Arial" w:hAnsi="Arial"/>
                <w:sz w:val="11"/>
                <w:szCs w:val="11"/>
                <w:b w:val="1"/>
                <w:bCs w:val="1"/>
                <w:color w:val="auto"/>
              </w:rPr>
              <w:t>June 30, 2020</w:t>
            </w:r>
          </w:p>
        </w:tc>
        <w:tc>
          <w:tcPr>
            <w:tcW w:w="34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18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rPr>
              <w:t>Change</w:t>
            </w:r>
          </w:p>
        </w:tc>
        <w:tc>
          <w:tcPr>
            <w:tcW w:w="3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 Change</w:t>
            </w:r>
          </w:p>
        </w:tc>
      </w:tr>
      <w:tr>
        <w:trPr>
          <w:trHeight w:val="144"/>
        </w:trPr>
        <w:tc>
          <w:tcPr>
            <w:tcW w:w="4840" w:type="dxa"/>
            <w:vAlign w:val="bottom"/>
            <w:shd w:val="clear" w:color="auto" w:fill="CCEEFF"/>
          </w:tcPr>
          <w:p>
            <w:pPr>
              <w:spacing w:after="0"/>
              <w:rPr>
                <w:sz w:val="20"/>
                <w:szCs w:val="20"/>
                <w:color w:val="auto"/>
              </w:rPr>
            </w:pPr>
            <w:r>
              <w:rPr>
                <w:rFonts w:ascii="Arial" w:cs="Arial" w:eastAsia="Arial" w:hAnsi="Arial"/>
                <w:sz w:val="12"/>
                <w:szCs w:val="12"/>
                <w:color w:val="auto"/>
              </w:rPr>
              <w:t>Interest expense</w:t>
            </w:r>
          </w:p>
        </w:tc>
        <w:tc>
          <w:tcPr>
            <w:tcW w:w="1080" w:type="dxa"/>
            <w:vAlign w:val="bottom"/>
            <w:shd w:val="clear" w:color="auto" w:fill="CCEEFF"/>
          </w:tcPr>
          <w:p>
            <w:pPr>
              <w:jc w:val="right"/>
              <w:ind w:right="969"/>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w:t>
            </w: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1089"/>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w:t>
            </w: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1043"/>
              <w:spacing w:after="0"/>
              <w:rPr>
                <w:sz w:val="20"/>
                <w:szCs w:val="20"/>
                <w:color w:val="auto"/>
              </w:rPr>
            </w:pPr>
            <w:r>
              <w:rPr>
                <w:rFonts w:ascii="Arial" w:cs="Arial" w:eastAsia="Arial" w:hAnsi="Arial"/>
                <w:sz w:val="12"/>
                <w:szCs w:val="12"/>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80" w:type="dxa"/>
            <w:vAlign w:val="bottom"/>
            <w:shd w:val="clear" w:color="auto" w:fill="CCEEFF"/>
          </w:tcPr>
          <w:p>
            <w:pPr>
              <w:spacing w:after="0"/>
              <w:rPr>
                <w:sz w:val="12"/>
                <w:szCs w:val="12"/>
                <w:color w:val="auto"/>
              </w:rPr>
            </w:pPr>
          </w:p>
        </w:tc>
        <w:tc>
          <w:tcPr>
            <w:tcW w:w="1560" w:type="dxa"/>
            <w:vAlign w:val="bottom"/>
            <w:shd w:val="clear" w:color="auto" w:fill="CCEEFF"/>
          </w:tcPr>
          <w:p>
            <w:pPr>
              <w:jc w:val="right"/>
              <w:ind w:right="603"/>
              <w:spacing w:after="0"/>
              <w:rPr>
                <w:sz w:val="20"/>
                <w:szCs w:val="20"/>
                <w:color w:val="auto"/>
              </w:rPr>
            </w:pPr>
            <w:r>
              <w:rPr>
                <w:rFonts w:ascii="Arial" w:cs="Arial" w:eastAsia="Arial" w:hAnsi="Arial"/>
                <w:sz w:val="12"/>
                <w:szCs w:val="12"/>
                <w:color w:val="auto"/>
              </w:rPr>
              <w:t>(6%)</w:t>
            </w:r>
          </w:p>
        </w:tc>
      </w:tr>
    </w:tbl>
    <w:p>
      <w:pPr>
        <w:spacing w:after="0" w:line="117" w:lineRule="exact"/>
        <w:rPr>
          <w:sz w:val="20"/>
          <w:szCs w:val="20"/>
          <w:color w:val="auto"/>
        </w:rPr>
      </w:pPr>
    </w:p>
    <w:p>
      <w:pPr>
        <w:jc w:val="both"/>
        <w:ind w:right="80" w:firstLine="432"/>
        <w:spacing w:after="0" w:line="298" w:lineRule="auto"/>
        <w:rPr>
          <w:sz w:val="20"/>
          <w:szCs w:val="20"/>
          <w:color w:val="auto"/>
        </w:rPr>
      </w:pPr>
      <w:r>
        <w:rPr>
          <w:rFonts w:ascii="Arial" w:cs="Arial" w:eastAsia="Arial" w:hAnsi="Arial"/>
          <w:sz w:val="11"/>
          <w:szCs w:val="11"/>
          <w:color w:val="auto"/>
        </w:rPr>
        <w:t>Interest expense increased $2 million, including $6 million of higher interest expense associated with the 2026 Convertible Notes issued in the second quarter of 2021 and $4 million of higher expense associated with the 2025 Notes issued in the second quarter of 2020. These increases were partially offset by a $4 million decrease in expenses associated with draw downs on the Warehouse Credit Facility and Revolving Corporate Credit Facility, a $1 million decrease in expense associated with the Term Loan due to partial pay-down of the Term Loan in 2021, and other decreases in expenses associated with various other debt facilities.</w:t>
      </w:r>
    </w:p>
    <w:p>
      <w:pPr>
        <w:spacing w:after="0" w:line="96" w:lineRule="exact"/>
        <w:rPr>
          <w:sz w:val="20"/>
          <w:szCs w:val="20"/>
          <w:color w:val="auto"/>
        </w:rPr>
      </w:pPr>
    </w:p>
    <w:p>
      <w:pPr>
        <w:jc w:val="center"/>
        <w:ind w:left="420"/>
        <w:spacing w:after="0"/>
        <w:rPr>
          <w:sz w:val="20"/>
          <w:szCs w:val="20"/>
          <w:color w:val="auto"/>
        </w:rPr>
      </w:pPr>
      <w:r>
        <w:rPr>
          <w:rFonts w:ascii="Arial" w:cs="Arial" w:eastAsia="Arial" w:hAnsi="Arial"/>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191135</wp:posOffset>
            </wp:positionV>
            <wp:extent cx="7203440" cy="368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66" w:name="page67"/>
    <w:bookmarkEnd w:id="66"/>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2021 First Half</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4840" w:type="dxa"/>
            <w:vAlign w:val="bottom"/>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2"/>
              </w:rPr>
              <w:t>Six Months Ended</w:t>
            </w:r>
          </w:p>
        </w:tc>
        <w:tc>
          <w:tcPr>
            <w:tcW w:w="11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135"/>
        </w:trPr>
        <w:tc>
          <w:tcPr>
            <w:tcW w:w="4840" w:type="dxa"/>
            <w:vAlign w:val="bottom"/>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1120" w:type="dxa"/>
            <w:vAlign w:val="bottom"/>
          </w:tcPr>
          <w:p>
            <w:pPr>
              <w:jc w:val="right"/>
              <w:spacing w:after="0"/>
              <w:rPr>
                <w:sz w:val="20"/>
                <w:szCs w:val="20"/>
                <w:color w:val="auto"/>
              </w:rPr>
            </w:pPr>
            <w:r>
              <w:rPr>
                <w:rFonts w:ascii="Arial" w:cs="Arial" w:eastAsia="Arial" w:hAnsi="Arial"/>
                <w:sz w:val="11"/>
                <w:szCs w:val="11"/>
                <w:b w:val="1"/>
                <w:bCs w:val="1"/>
                <w:color w:val="auto"/>
              </w:rPr>
              <w:t>June 30, 2021</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tcPr>
          <w:p>
            <w:pPr>
              <w:jc w:val="right"/>
              <w:ind w:right="403"/>
              <w:spacing w:after="0"/>
              <w:rPr>
                <w:sz w:val="20"/>
                <w:szCs w:val="20"/>
                <w:color w:val="auto"/>
              </w:rPr>
            </w:pPr>
            <w:r>
              <w:rPr>
                <w:rFonts w:ascii="Arial" w:cs="Arial" w:eastAsia="Arial" w:hAnsi="Arial"/>
                <w:sz w:val="11"/>
                <w:szCs w:val="11"/>
                <w:b w:val="1"/>
                <w:bCs w:val="1"/>
                <w:color w:val="auto"/>
                <w:w w:val="89"/>
              </w:rPr>
              <w:t>June 30, 2020</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00" w:type="dxa"/>
            <w:vAlign w:val="bottom"/>
            <w:gridSpan w:val="2"/>
          </w:tcPr>
          <w:p>
            <w:pPr>
              <w:ind w:left="260"/>
              <w:spacing w:after="0"/>
              <w:rPr>
                <w:sz w:val="20"/>
                <w:szCs w:val="20"/>
                <w:color w:val="auto"/>
              </w:rPr>
            </w:pPr>
            <w:r>
              <w:rPr>
                <w:rFonts w:ascii="Arial" w:cs="Arial" w:eastAsia="Arial" w:hAnsi="Arial"/>
                <w:sz w:val="11"/>
                <w:szCs w:val="11"/>
                <w:b w:val="1"/>
                <w:bCs w:val="1"/>
                <w:color w:val="auto"/>
              </w:rPr>
              <w:t>Change</w:t>
            </w:r>
          </w:p>
        </w:tc>
        <w:tc>
          <w:tcPr>
            <w:tcW w:w="1560" w:type="dxa"/>
            <w:vAlign w:val="bottom"/>
          </w:tcPr>
          <w:p>
            <w:pPr>
              <w:jc w:val="center"/>
              <w:spacing w:after="0"/>
              <w:rPr>
                <w:sz w:val="20"/>
                <w:szCs w:val="20"/>
                <w:color w:val="auto"/>
              </w:rPr>
            </w:pPr>
            <w:r>
              <w:rPr>
                <w:rFonts w:ascii="Arial" w:cs="Arial" w:eastAsia="Arial" w:hAnsi="Arial"/>
                <w:sz w:val="11"/>
                <w:szCs w:val="11"/>
                <w:b w:val="1"/>
                <w:bCs w:val="1"/>
                <w:color w:val="auto"/>
                <w:w w:val="90"/>
              </w:rPr>
              <w:t>% Change</w:t>
            </w:r>
          </w:p>
        </w:tc>
      </w:tr>
      <w:tr>
        <w:trPr>
          <w:trHeight w:val="144"/>
        </w:trPr>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Interest expense</w:t>
            </w:r>
          </w:p>
        </w:tc>
        <w:tc>
          <w:tcPr>
            <w:tcW w:w="1120" w:type="dxa"/>
            <w:vAlign w:val="bottom"/>
            <w:tcBorders>
              <w:top w:val="single" w:sz="8" w:color="auto"/>
            </w:tcBorders>
            <w:shd w:val="clear" w:color="auto" w:fill="CCEEFF"/>
          </w:tcPr>
          <w:p>
            <w:pPr>
              <w:jc w:val="right"/>
              <w:ind w:right="1009"/>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(87)</w:t>
            </w:r>
          </w:p>
        </w:tc>
        <w:tc>
          <w:tcPr>
            <w:tcW w:w="10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ind w:right="312"/>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(75)</w:t>
            </w:r>
          </w:p>
        </w:tc>
        <w:tc>
          <w:tcPr>
            <w:tcW w:w="8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80" w:type="dxa"/>
            <w:vAlign w:val="bottom"/>
            <w:tcBorders>
              <w:top w:val="single" w:sz="8" w:color="CCEEFF"/>
            </w:tcBorders>
            <w:shd w:val="clear" w:color="auto" w:fill="CCEEFF"/>
          </w:tcPr>
          <w:p>
            <w:pPr>
              <w:spacing w:after="0"/>
              <w:rPr>
                <w:sz w:val="12"/>
                <w:szCs w:val="12"/>
                <w:color w:val="auto"/>
              </w:rPr>
            </w:pPr>
          </w:p>
        </w:tc>
        <w:tc>
          <w:tcPr>
            <w:tcW w:w="1560" w:type="dxa"/>
            <w:vAlign w:val="bottom"/>
            <w:tcBorders>
              <w:top w:val="single" w:sz="8" w:color="auto"/>
            </w:tcBorders>
            <w:shd w:val="clear" w:color="auto" w:fill="CCEEFF"/>
          </w:tcPr>
          <w:p>
            <w:pPr>
              <w:jc w:val="right"/>
              <w:ind w:right="563"/>
              <w:spacing w:after="0"/>
              <w:rPr>
                <w:sz w:val="20"/>
                <w:szCs w:val="20"/>
                <w:color w:val="auto"/>
              </w:rPr>
            </w:pPr>
            <w:r>
              <w:rPr>
                <w:rFonts w:ascii="Arial" w:cs="Arial" w:eastAsia="Arial" w:hAnsi="Arial"/>
                <w:sz w:val="12"/>
                <w:szCs w:val="12"/>
                <w:color w:val="auto"/>
              </w:rPr>
              <w:t>(16%)</w:t>
            </w:r>
          </w:p>
        </w:tc>
      </w:tr>
    </w:tbl>
    <w:p>
      <w:pPr>
        <w:spacing w:after="0" w:line="126" w:lineRule="exact"/>
        <w:rPr>
          <w:sz w:val="20"/>
          <w:szCs w:val="20"/>
          <w:color w:val="auto"/>
        </w:rPr>
      </w:pPr>
    </w:p>
    <w:p>
      <w:pPr>
        <w:jc w:val="both"/>
        <w:ind w:right="180" w:firstLine="432"/>
        <w:spacing w:after="0" w:line="298" w:lineRule="auto"/>
        <w:rPr>
          <w:sz w:val="20"/>
          <w:szCs w:val="20"/>
          <w:color w:val="auto"/>
        </w:rPr>
      </w:pPr>
      <w:r>
        <w:rPr>
          <w:rFonts w:ascii="Arial" w:cs="Arial" w:eastAsia="Arial" w:hAnsi="Arial"/>
          <w:sz w:val="11"/>
          <w:szCs w:val="11"/>
          <w:color w:val="auto"/>
        </w:rPr>
        <w:t>Interest expense increased $12 million, including $11 million of higher interest expense associated with the 2026 Convertible Notes issued in the second quarter of 2021 and $12 million of higher expense associated with the 2025 Notes issued in the second quarter of 2020. These increases were partially offset by a $5 million decrease in expenses associated with draw downs on the Warehouse Credit Facility and Revolving Corporate Credit Facility, a $3 million decrease in expense associated with the Term Loan due to partial pay-down of the Term Loan in 2021, and other decreases in expenses associated with various other debt facilities.</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Transaction and Integration Costs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2021 Second Quarter</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4840" w:type="dxa"/>
            <w:vAlign w:val="bottom"/>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0"/>
              </w:rPr>
              <w:t>Three Months Ended</w:t>
            </w:r>
          </w:p>
        </w:tc>
        <w:tc>
          <w:tcPr>
            <w:tcW w:w="11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135"/>
        </w:trPr>
        <w:tc>
          <w:tcPr>
            <w:tcW w:w="4840" w:type="dxa"/>
            <w:vAlign w:val="bottom"/>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1080" w:type="dxa"/>
            <w:vAlign w:val="bottom"/>
          </w:tcPr>
          <w:p>
            <w:pPr>
              <w:jc w:val="right"/>
              <w:spacing w:after="0"/>
              <w:rPr>
                <w:sz w:val="20"/>
                <w:szCs w:val="20"/>
                <w:color w:val="auto"/>
              </w:rPr>
            </w:pPr>
            <w:r>
              <w:rPr>
                <w:rFonts w:ascii="Arial" w:cs="Arial" w:eastAsia="Arial" w:hAnsi="Arial"/>
                <w:sz w:val="11"/>
                <w:szCs w:val="11"/>
                <w:b w:val="1"/>
                <w:bCs w:val="1"/>
                <w:color w:val="auto"/>
              </w:rPr>
              <w:t>June 30, 2021</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tcPr>
          <w:p>
            <w:pPr>
              <w:jc w:val="right"/>
              <w:ind w:right="403"/>
              <w:spacing w:after="0"/>
              <w:rPr>
                <w:sz w:val="20"/>
                <w:szCs w:val="20"/>
                <w:color w:val="auto"/>
              </w:rPr>
            </w:pPr>
            <w:r>
              <w:rPr>
                <w:rFonts w:ascii="Arial" w:cs="Arial" w:eastAsia="Arial" w:hAnsi="Arial"/>
                <w:sz w:val="11"/>
                <w:szCs w:val="11"/>
                <w:b w:val="1"/>
                <w:bCs w:val="1"/>
                <w:color w:val="auto"/>
                <w:w w:val="86"/>
              </w:rPr>
              <w:t>June 30, 2020</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00" w:type="dxa"/>
            <w:vAlign w:val="bottom"/>
            <w:gridSpan w:val="2"/>
          </w:tcPr>
          <w:p>
            <w:pPr>
              <w:ind w:left="260"/>
              <w:spacing w:after="0"/>
              <w:rPr>
                <w:sz w:val="20"/>
                <w:szCs w:val="20"/>
                <w:color w:val="auto"/>
              </w:rPr>
            </w:pPr>
            <w:r>
              <w:rPr>
                <w:rFonts w:ascii="Arial" w:cs="Arial" w:eastAsia="Arial" w:hAnsi="Arial"/>
                <w:sz w:val="11"/>
                <w:szCs w:val="11"/>
                <w:b w:val="1"/>
                <w:bCs w:val="1"/>
                <w:color w:val="auto"/>
              </w:rPr>
              <w:t>Change</w:t>
            </w:r>
          </w:p>
        </w:tc>
        <w:tc>
          <w:tcPr>
            <w:tcW w:w="1560" w:type="dxa"/>
            <w:vAlign w:val="bottom"/>
          </w:tcPr>
          <w:p>
            <w:pPr>
              <w:jc w:val="center"/>
              <w:spacing w:after="0"/>
              <w:rPr>
                <w:sz w:val="20"/>
                <w:szCs w:val="20"/>
                <w:color w:val="auto"/>
              </w:rPr>
            </w:pPr>
            <w:r>
              <w:rPr>
                <w:rFonts w:ascii="Arial" w:cs="Arial" w:eastAsia="Arial" w:hAnsi="Arial"/>
                <w:sz w:val="11"/>
                <w:szCs w:val="11"/>
                <w:b w:val="1"/>
                <w:bCs w:val="1"/>
                <w:color w:val="auto"/>
                <w:w w:val="90"/>
              </w:rPr>
              <w:t>% Change</w:t>
            </w:r>
          </w:p>
        </w:tc>
      </w:tr>
      <w:tr>
        <w:trPr>
          <w:trHeight w:val="144"/>
        </w:trPr>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Transaction and integration costs</w:t>
            </w:r>
          </w:p>
        </w:tc>
        <w:tc>
          <w:tcPr>
            <w:tcW w:w="1080" w:type="dxa"/>
            <w:vAlign w:val="bottom"/>
            <w:tcBorders>
              <w:top w:val="single" w:sz="8" w:color="auto"/>
            </w:tcBorders>
            <w:shd w:val="clear" w:color="auto" w:fill="CCEEFF"/>
          </w:tcPr>
          <w:p>
            <w:pPr>
              <w:jc w:val="right"/>
              <w:ind w:right="969"/>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w:t>
            </w:r>
          </w:p>
        </w:tc>
        <w:tc>
          <w:tcPr>
            <w:tcW w:w="10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ind w:right="332"/>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8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w:t>
            </w:r>
          </w:p>
        </w:tc>
        <w:tc>
          <w:tcPr>
            <w:tcW w:w="80" w:type="dxa"/>
            <w:vAlign w:val="bottom"/>
            <w:tcBorders>
              <w:top w:val="single" w:sz="8" w:color="CCEEFF"/>
            </w:tcBorders>
            <w:shd w:val="clear" w:color="auto" w:fill="CCEEFF"/>
          </w:tcPr>
          <w:p>
            <w:pPr>
              <w:spacing w:after="0"/>
              <w:rPr>
                <w:sz w:val="12"/>
                <w:szCs w:val="12"/>
                <w:color w:val="auto"/>
              </w:rPr>
            </w:pPr>
          </w:p>
        </w:tc>
        <w:tc>
          <w:tcPr>
            <w:tcW w:w="1560" w:type="dxa"/>
            <w:vAlign w:val="bottom"/>
            <w:tcBorders>
              <w:top w:val="single" w:sz="8" w:color="auto"/>
            </w:tcBorders>
            <w:shd w:val="clear" w:color="auto" w:fill="CCEEFF"/>
          </w:tcPr>
          <w:p>
            <w:pPr>
              <w:jc w:val="right"/>
              <w:ind w:right="543"/>
              <w:spacing w:after="0"/>
              <w:rPr>
                <w:sz w:val="20"/>
                <w:szCs w:val="20"/>
                <w:color w:val="auto"/>
              </w:rPr>
            </w:pPr>
            <w:r>
              <w:rPr>
                <w:rFonts w:ascii="Arial" w:cs="Arial" w:eastAsia="Arial" w:hAnsi="Arial"/>
                <w:sz w:val="12"/>
                <w:szCs w:val="12"/>
                <w:color w:val="auto"/>
              </w:rPr>
              <w:t>(139%)</w:t>
            </w:r>
          </w:p>
        </w:tc>
      </w:tr>
    </w:tbl>
    <w:p>
      <w:pPr>
        <w:spacing w:after="0" w:line="11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 the second quarter of 2021, Transaction and integration costs included $25 million of ILG acquisition and integration related costs and $3 million of costs associated with the acquisition of Welk.</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 the second quarter of 2020, Transaction and integration costs included $12 million of ILG acquisition-related costs.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2021 First Half</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4840" w:type="dxa"/>
            <w:vAlign w:val="bottom"/>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2"/>
              </w:rPr>
              <w:t>Six Months Ended</w:t>
            </w:r>
          </w:p>
        </w:tc>
        <w:tc>
          <w:tcPr>
            <w:tcW w:w="11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135"/>
        </w:trPr>
        <w:tc>
          <w:tcPr>
            <w:tcW w:w="4840" w:type="dxa"/>
            <w:vAlign w:val="bottom"/>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1120" w:type="dxa"/>
            <w:vAlign w:val="bottom"/>
          </w:tcPr>
          <w:p>
            <w:pPr>
              <w:jc w:val="right"/>
              <w:spacing w:after="0"/>
              <w:rPr>
                <w:sz w:val="20"/>
                <w:szCs w:val="20"/>
                <w:color w:val="auto"/>
              </w:rPr>
            </w:pPr>
            <w:r>
              <w:rPr>
                <w:rFonts w:ascii="Arial" w:cs="Arial" w:eastAsia="Arial" w:hAnsi="Arial"/>
                <w:sz w:val="11"/>
                <w:szCs w:val="11"/>
                <w:b w:val="1"/>
                <w:bCs w:val="1"/>
                <w:color w:val="auto"/>
              </w:rPr>
              <w:t>June 30, 2021</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tcPr>
          <w:p>
            <w:pPr>
              <w:jc w:val="right"/>
              <w:ind w:right="403"/>
              <w:spacing w:after="0"/>
              <w:rPr>
                <w:sz w:val="20"/>
                <w:szCs w:val="20"/>
                <w:color w:val="auto"/>
              </w:rPr>
            </w:pPr>
            <w:r>
              <w:rPr>
                <w:rFonts w:ascii="Arial" w:cs="Arial" w:eastAsia="Arial" w:hAnsi="Arial"/>
                <w:sz w:val="11"/>
                <w:szCs w:val="11"/>
                <w:b w:val="1"/>
                <w:bCs w:val="1"/>
                <w:color w:val="auto"/>
                <w:w w:val="89"/>
              </w:rPr>
              <w:t>June 30, 2020</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00" w:type="dxa"/>
            <w:vAlign w:val="bottom"/>
            <w:gridSpan w:val="2"/>
          </w:tcPr>
          <w:p>
            <w:pPr>
              <w:ind w:left="260"/>
              <w:spacing w:after="0"/>
              <w:rPr>
                <w:sz w:val="20"/>
                <w:szCs w:val="20"/>
                <w:color w:val="auto"/>
              </w:rPr>
            </w:pPr>
            <w:r>
              <w:rPr>
                <w:rFonts w:ascii="Arial" w:cs="Arial" w:eastAsia="Arial" w:hAnsi="Arial"/>
                <w:sz w:val="11"/>
                <w:szCs w:val="11"/>
                <w:b w:val="1"/>
                <w:bCs w:val="1"/>
                <w:color w:val="auto"/>
              </w:rPr>
              <w:t>Change</w:t>
            </w:r>
          </w:p>
        </w:tc>
        <w:tc>
          <w:tcPr>
            <w:tcW w:w="1560" w:type="dxa"/>
            <w:vAlign w:val="bottom"/>
          </w:tcPr>
          <w:p>
            <w:pPr>
              <w:jc w:val="center"/>
              <w:spacing w:after="0"/>
              <w:rPr>
                <w:sz w:val="20"/>
                <w:szCs w:val="20"/>
                <w:color w:val="auto"/>
              </w:rPr>
            </w:pPr>
            <w:r>
              <w:rPr>
                <w:rFonts w:ascii="Arial" w:cs="Arial" w:eastAsia="Arial" w:hAnsi="Arial"/>
                <w:sz w:val="11"/>
                <w:szCs w:val="11"/>
                <w:b w:val="1"/>
                <w:bCs w:val="1"/>
                <w:color w:val="auto"/>
                <w:w w:val="90"/>
              </w:rPr>
              <w:t>% Change</w:t>
            </w:r>
          </w:p>
        </w:tc>
      </w:tr>
      <w:tr>
        <w:trPr>
          <w:trHeight w:val="144"/>
        </w:trPr>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Transaction and integration costs</w:t>
            </w:r>
          </w:p>
        </w:tc>
        <w:tc>
          <w:tcPr>
            <w:tcW w:w="1120" w:type="dxa"/>
            <w:vAlign w:val="bottom"/>
            <w:tcBorders>
              <w:top w:val="single" w:sz="8" w:color="auto"/>
            </w:tcBorders>
            <w:shd w:val="clear" w:color="auto" w:fill="CCEEFF"/>
          </w:tcPr>
          <w:p>
            <w:pPr>
              <w:jc w:val="right"/>
              <w:ind w:right="1009"/>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(47)</w:t>
            </w:r>
          </w:p>
        </w:tc>
        <w:tc>
          <w:tcPr>
            <w:tcW w:w="10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ind w:right="312"/>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w:t>
            </w:r>
          </w:p>
        </w:tc>
        <w:tc>
          <w:tcPr>
            <w:tcW w:w="8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80" w:type="dxa"/>
            <w:vAlign w:val="bottom"/>
            <w:tcBorders>
              <w:top w:val="single" w:sz="8" w:color="CCEEFF"/>
            </w:tcBorders>
            <w:shd w:val="clear" w:color="auto" w:fill="CCEEFF"/>
          </w:tcPr>
          <w:p>
            <w:pPr>
              <w:spacing w:after="0"/>
              <w:rPr>
                <w:sz w:val="12"/>
                <w:szCs w:val="12"/>
                <w:color w:val="auto"/>
              </w:rPr>
            </w:pPr>
          </w:p>
        </w:tc>
        <w:tc>
          <w:tcPr>
            <w:tcW w:w="1560" w:type="dxa"/>
            <w:vAlign w:val="bottom"/>
            <w:tcBorders>
              <w:top w:val="single" w:sz="8" w:color="auto"/>
            </w:tcBorders>
            <w:shd w:val="clear" w:color="auto" w:fill="CCEEFF"/>
          </w:tcPr>
          <w:p>
            <w:pPr>
              <w:jc w:val="right"/>
              <w:ind w:right="563"/>
              <w:spacing w:after="0"/>
              <w:rPr>
                <w:sz w:val="20"/>
                <w:szCs w:val="20"/>
                <w:color w:val="auto"/>
              </w:rPr>
            </w:pPr>
            <w:r>
              <w:rPr>
                <w:rFonts w:ascii="Arial" w:cs="Arial" w:eastAsia="Arial" w:hAnsi="Arial"/>
                <w:sz w:val="12"/>
                <w:szCs w:val="12"/>
                <w:color w:val="auto"/>
              </w:rPr>
              <w:t>(43%)</w:t>
            </w:r>
          </w:p>
        </w:tc>
      </w:tr>
    </w:tbl>
    <w:p>
      <w:pPr>
        <w:spacing w:after="0" w:line="12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 the first half of 2021, Transaction and integration costs included $42 million of ILG acquisition and integration related costs and $5 million of costs associated with the acquisition of Welk.</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 the first half of 2020, Transaction and integration costs included $33 million of ILG acquisition-related costs.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Income Tax</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2021 Second Quarter</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4840" w:type="dxa"/>
            <w:vAlign w:val="bottom"/>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0"/>
              </w:rPr>
              <w:t>Three Months Ended</w:t>
            </w:r>
          </w:p>
        </w:tc>
        <w:tc>
          <w:tcPr>
            <w:tcW w:w="11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135"/>
        </w:trPr>
        <w:tc>
          <w:tcPr>
            <w:tcW w:w="4840" w:type="dxa"/>
            <w:vAlign w:val="bottom"/>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1080" w:type="dxa"/>
            <w:vAlign w:val="bottom"/>
          </w:tcPr>
          <w:p>
            <w:pPr>
              <w:jc w:val="right"/>
              <w:spacing w:after="0"/>
              <w:rPr>
                <w:sz w:val="20"/>
                <w:szCs w:val="20"/>
                <w:color w:val="auto"/>
              </w:rPr>
            </w:pPr>
            <w:r>
              <w:rPr>
                <w:rFonts w:ascii="Arial" w:cs="Arial" w:eastAsia="Arial" w:hAnsi="Arial"/>
                <w:sz w:val="11"/>
                <w:szCs w:val="11"/>
                <w:b w:val="1"/>
                <w:bCs w:val="1"/>
                <w:color w:val="auto"/>
              </w:rPr>
              <w:t>June 30, 2021</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tcPr>
          <w:p>
            <w:pPr>
              <w:jc w:val="right"/>
              <w:ind w:right="403"/>
              <w:spacing w:after="0"/>
              <w:rPr>
                <w:sz w:val="20"/>
                <w:szCs w:val="20"/>
                <w:color w:val="auto"/>
              </w:rPr>
            </w:pPr>
            <w:r>
              <w:rPr>
                <w:rFonts w:ascii="Arial" w:cs="Arial" w:eastAsia="Arial" w:hAnsi="Arial"/>
                <w:sz w:val="11"/>
                <w:szCs w:val="11"/>
                <w:b w:val="1"/>
                <w:bCs w:val="1"/>
                <w:color w:val="auto"/>
                <w:w w:val="86"/>
              </w:rPr>
              <w:t>June 30, 2020</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00" w:type="dxa"/>
            <w:vAlign w:val="bottom"/>
            <w:gridSpan w:val="2"/>
          </w:tcPr>
          <w:p>
            <w:pPr>
              <w:ind w:left="260"/>
              <w:spacing w:after="0"/>
              <w:rPr>
                <w:sz w:val="20"/>
                <w:szCs w:val="20"/>
                <w:color w:val="auto"/>
              </w:rPr>
            </w:pPr>
            <w:r>
              <w:rPr>
                <w:rFonts w:ascii="Arial" w:cs="Arial" w:eastAsia="Arial" w:hAnsi="Arial"/>
                <w:sz w:val="11"/>
                <w:szCs w:val="11"/>
                <w:b w:val="1"/>
                <w:bCs w:val="1"/>
                <w:color w:val="auto"/>
              </w:rPr>
              <w:t>Change</w:t>
            </w:r>
          </w:p>
        </w:tc>
        <w:tc>
          <w:tcPr>
            <w:tcW w:w="1560" w:type="dxa"/>
            <w:vAlign w:val="bottom"/>
          </w:tcPr>
          <w:p>
            <w:pPr>
              <w:jc w:val="center"/>
              <w:spacing w:after="0"/>
              <w:rPr>
                <w:sz w:val="20"/>
                <w:szCs w:val="20"/>
                <w:color w:val="auto"/>
              </w:rPr>
            </w:pPr>
            <w:r>
              <w:rPr>
                <w:rFonts w:ascii="Arial" w:cs="Arial" w:eastAsia="Arial" w:hAnsi="Arial"/>
                <w:sz w:val="11"/>
                <w:szCs w:val="11"/>
                <w:b w:val="1"/>
                <w:bCs w:val="1"/>
                <w:color w:val="auto"/>
                <w:w w:val="90"/>
              </w:rPr>
              <w:t>% Change</w:t>
            </w:r>
          </w:p>
        </w:tc>
      </w:tr>
      <w:tr>
        <w:trPr>
          <w:trHeight w:val="144"/>
        </w:trPr>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(Provision for) benefit from income taxes</w:t>
            </w:r>
          </w:p>
        </w:tc>
        <w:tc>
          <w:tcPr>
            <w:tcW w:w="1080" w:type="dxa"/>
            <w:vAlign w:val="bottom"/>
            <w:tcBorders>
              <w:top w:val="single" w:sz="8" w:color="auto"/>
            </w:tcBorders>
            <w:shd w:val="clear" w:color="auto" w:fill="CCEEFF"/>
          </w:tcPr>
          <w:p>
            <w:pPr>
              <w:jc w:val="right"/>
              <w:ind w:right="969"/>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w:t>
            </w:r>
          </w:p>
        </w:tc>
        <w:tc>
          <w:tcPr>
            <w:tcW w:w="10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ind w:right="332"/>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w:t>
            </w:r>
          </w:p>
        </w:tc>
        <w:tc>
          <w:tcPr>
            <w:tcW w:w="8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w:t>
            </w:r>
          </w:p>
        </w:tc>
        <w:tc>
          <w:tcPr>
            <w:tcW w:w="80" w:type="dxa"/>
            <w:vAlign w:val="bottom"/>
            <w:tcBorders>
              <w:top w:val="single" w:sz="8" w:color="CCEEFF"/>
            </w:tcBorders>
            <w:shd w:val="clear" w:color="auto" w:fill="CCEEFF"/>
          </w:tcPr>
          <w:p>
            <w:pPr>
              <w:spacing w:after="0"/>
              <w:rPr>
                <w:sz w:val="12"/>
                <w:szCs w:val="12"/>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rPr>
              <w:t>NM</w:t>
            </w:r>
          </w:p>
        </w:tc>
      </w:tr>
    </w:tbl>
    <w:p>
      <w:pPr>
        <w:spacing w:after="0" w:line="12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change in the (Provision for) benefit from income taxes is predominately attributable to an increase in pre-tax income.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2021 First Half</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4840" w:type="dxa"/>
            <w:vAlign w:val="bottom"/>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2"/>
              </w:rPr>
              <w:t>Six Months Ended</w:t>
            </w:r>
          </w:p>
        </w:tc>
        <w:tc>
          <w:tcPr>
            <w:tcW w:w="11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135"/>
        </w:trPr>
        <w:tc>
          <w:tcPr>
            <w:tcW w:w="4840" w:type="dxa"/>
            <w:vAlign w:val="bottom"/>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1120" w:type="dxa"/>
            <w:vAlign w:val="bottom"/>
          </w:tcPr>
          <w:p>
            <w:pPr>
              <w:jc w:val="right"/>
              <w:spacing w:after="0"/>
              <w:rPr>
                <w:sz w:val="20"/>
                <w:szCs w:val="20"/>
                <w:color w:val="auto"/>
              </w:rPr>
            </w:pPr>
            <w:r>
              <w:rPr>
                <w:rFonts w:ascii="Arial" w:cs="Arial" w:eastAsia="Arial" w:hAnsi="Arial"/>
                <w:sz w:val="11"/>
                <w:szCs w:val="11"/>
                <w:b w:val="1"/>
                <w:bCs w:val="1"/>
                <w:color w:val="auto"/>
              </w:rPr>
              <w:t>June 30, 2021</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tcPr>
          <w:p>
            <w:pPr>
              <w:jc w:val="right"/>
              <w:ind w:right="403"/>
              <w:spacing w:after="0"/>
              <w:rPr>
                <w:sz w:val="20"/>
                <w:szCs w:val="20"/>
                <w:color w:val="auto"/>
              </w:rPr>
            </w:pPr>
            <w:r>
              <w:rPr>
                <w:rFonts w:ascii="Arial" w:cs="Arial" w:eastAsia="Arial" w:hAnsi="Arial"/>
                <w:sz w:val="11"/>
                <w:szCs w:val="11"/>
                <w:b w:val="1"/>
                <w:bCs w:val="1"/>
                <w:color w:val="auto"/>
                <w:w w:val="89"/>
              </w:rPr>
              <w:t>June 30, 2020</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00" w:type="dxa"/>
            <w:vAlign w:val="bottom"/>
            <w:gridSpan w:val="2"/>
          </w:tcPr>
          <w:p>
            <w:pPr>
              <w:ind w:left="260"/>
              <w:spacing w:after="0"/>
              <w:rPr>
                <w:sz w:val="20"/>
                <w:szCs w:val="20"/>
                <w:color w:val="auto"/>
              </w:rPr>
            </w:pPr>
            <w:r>
              <w:rPr>
                <w:rFonts w:ascii="Arial" w:cs="Arial" w:eastAsia="Arial" w:hAnsi="Arial"/>
                <w:sz w:val="11"/>
                <w:szCs w:val="11"/>
                <w:b w:val="1"/>
                <w:bCs w:val="1"/>
                <w:color w:val="auto"/>
              </w:rPr>
              <w:t>Change</w:t>
            </w:r>
          </w:p>
        </w:tc>
        <w:tc>
          <w:tcPr>
            <w:tcW w:w="1560" w:type="dxa"/>
            <w:vAlign w:val="bottom"/>
          </w:tcPr>
          <w:p>
            <w:pPr>
              <w:jc w:val="center"/>
              <w:spacing w:after="0"/>
              <w:rPr>
                <w:sz w:val="20"/>
                <w:szCs w:val="20"/>
                <w:color w:val="auto"/>
              </w:rPr>
            </w:pPr>
            <w:r>
              <w:rPr>
                <w:rFonts w:ascii="Arial" w:cs="Arial" w:eastAsia="Arial" w:hAnsi="Arial"/>
                <w:sz w:val="11"/>
                <w:szCs w:val="11"/>
                <w:b w:val="1"/>
                <w:bCs w:val="1"/>
                <w:color w:val="auto"/>
                <w:w w:val="90"/>
              </w:rPr>
              <w:t>% Change</w:t>
            </w:r>
          </w:p>
        </w:tc>
      </w:tr>
      <w:tr>
        <w:trPr>
          <w:trHeight w:val="144"/>
        </w:trPr>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(Provision for) benefit from income taxes</w:t>
            </w:r>
          </w:p>
        </w:tc>
        <w:tc>
          <w:tcPr>
            <w:tcW w:w="1120" w:type="dxa"/>
            <w:vAlign w:val="bottom"/>
            <w:tcBorders>
              <w:top w:val="single" w:sz="8" w:color="auto"/>
            </w:tcBorders>
            <w:shd w:val="clear" w:color="auto" w:fill="CCEEFF"/>
          </w:tcPr>
          <w:p>
            <w:pPr>
              <w:jc w:val="right"/>
              <w:ind w:right="1009"/>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w:t>
            </w:r>
          </w:p>
        </w:tc>
        <w:tc>
          <w:tcPr>
            <w:tcW w:w="10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ind w:right="312"/>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77</w:t>
            </w:r>
          </w:p>
        </w:tc>
        <w:tc>
          <w:tcPr>
            <w:tcW w:w="8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(93)</w:t>
            </w:r>
          </w:p>
        </w:tc>
        <w:tc>
          <w:tcPr>
            <w:tcW w:w="80" w:type="dxa"/>
            <w:vAlign w:val="bottom"/>
            <w:tcBorders>
              <w:top w:val="single" w:sz="8" w:color="CCEEFF"/>
            </w:tcBorders>
            <w:shd w:val="clear" w:color="auto" w:fill="CCEEFF"/>
          </w:tcPr>
          <w:p>
            <w:pPr>
              <w:spacing w:after="0"/>
              <w:rPr>
                <w:sz w:val="12"/>
                <w:szCs w:val="12"/>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rPr>
              <w:t>NM</w:t>
            </w:r>
          </w:p>
        </w:tc>
      </w:tr>
    </w:tbl>
    <w:p>
      <w:pPr>
        <w:spacing w:after="0" w:line="117" w:lineRule="exact"/>
        <w:rPr>
          <w:sz w:val="20"/>
          <w:szCs w:val="20"/>
          <w:color w:val="auto"/>
        </w:rPr>
      </w:pPr>
    </w:p>
    <w:p>
      <w:pPr>
        <w:ind w:left="420"/>
        <w:spacing w:after="0"/>
        <w:rPr>
          <w:sz w:val="20"/>
          <w:szCs w:val="20"/>
          <w:color w:val="auto"/>
        </w:rPr>
      </w:pPr>
      <w:r>
        <w:rPr>
          <w:rFonts w:ascii="Arial" w:cs="Arial" w:eastAsia="Arial" w:hAnsi="Arial"/>
          <w:sz w:val="11"/>
          <w:szCs w:val="11"/>
          <w:color w:val="auto"/>
        </w:rPr>
        <w:t>The change in the (Provision for) benefit from income taxes is predominately attributable to a decrease in pre-tax loss and a release in reserve for uncertain tax benefits for the six months ended June 30, 2020.</w:t>
      </w:r>
    </w:p>
    <w:p>
      <w:pPr>
        <w:spacing w:after="0" w:line="153" w:lineRule="exact"/>
        <w:rPr>
          <w:sz w:val="20"/>
          <w:szCs w:val="20"/>
          <w:color w:val="auto"/>
        </w:rPr>
      </w:pPr>
    </w:p>
    <w:p>
      <w:pPr>
        <w:jc w:val="center"/>
        <w:ind w:left="420"/>
        <w:spacing w:after="0"/>
        <w:rPr>
          <w:sz w:val="20"/>
          <w:szCs w:val="20"/>
          <w:color w:val="auto"/>
        </w:rPr>
      </w:pPr>
      <w:r>
        <w:rPr>
          <w:rFonts w:ascii="Arial" w:cs="Arial" w:eastAsia="Arial" w:hAnsi="Arial"/>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191135</wp:posOffset>
            </wp:positionV>
            <wp:extent cx="7203440" cy="368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67" w:name="page68"/>
    <w:bookmarkEnd w:id="67"/>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82" w:lineRule="exact"/>
        <w:rPr>
          <w:sz w:val="20"/>
          <w:szCs w:val="20"/>
          <w:color w:val="auto"/>
        </w:rPr>
      </w:pPr>
    </w:p>
    <w:p>
      <w:pPr>
        <w:ind w:right="20" w:firstLine="432"/>
        <w:spacing w:after="0" w:line="276" w:lineRule="auto"/>
        <w:rPr>
          <w:sz w:val="20"/>
          <w:szCs w:val="20"/>
          <w:color w:val="auto"/>
        </w:rPr>
      </w:pPr>
      <w:r>
        <w:rPr>
          <w:rFonts w:ascii="Arial" w:cs="Arial" w:eastAsia="Arial" w:hAnsi="Arial"/>
          <w:sz w:val="12"/>
          <w:szCs w:val="12"/>
          <w:color w:val="auto"/>
        </w:rPr>
        <w:t>Typically, our capital needs are supported by cash on hand ($1.3 billion at the end of the second quarter of 2021), cash generated from operations, our ability to raise capital through securitizations in the ABS market, our ability to issue debt and, to the extent necessary, funds available under the Warehouse Credit Facility and the Revolving Corporate Credit Facility with a borrowing capacity of $600 million.</w:t>
      </w:r>
    </w:p>
    <w:p>
      <w:pPr>
        <w:spacing w:after="0" w:line="43" w:lineRule="exact"/>
        <w:rPr>
          <w:sz w:val="20"/>
          <w:szCs w:val="20"/>
          <w:color w:val="auto"/>
        </w:rPr>
      </w:pPr>
    </w:p>
    <w:p>
      <w:pPr>
        <w:ind w:right="20" w:firstLine="432"/>
        <w:spacing w:after="0" w:line="276" w:lineRule="auto"/>
        <w:rPr>
          <w:sz w:val="20"/>
          <w:szCs w:val="20"/>
          <w:color w:val="auto"/>
        </w:rPr>
      </w:pPr>
      <w:r>
        <w:rPr>
          <w:rFonts w:ascii="Arial" w:cs="Arial" w:eastAsia="Arial" w:hAnsi="Arial"/>
          <w:sz w:val="12"/>
          <w:szCs w:val="12"/>
          <w:color w:val="auto"/>
        </w:rPr>
        <w:t>At June 30, 2021, we had $5.5 billion of total gross debt outstanding, which included $1.8 billion of non-recourse debt associated with vacation ownership notes receivable securitizations, $1.6 billion of senior unsecured notes, $0.8 billion of debt under our Corporate Credit Facility, $0.8 billion of convertible notes, $0.5 billion of senior secured notes, and $9 million related to finance lease obligations.</w:t>
      </w:r>
    </w:p>
    <w:p>
      <w:pPr>
        <w:spacing w:after="0" w:line="43" w:lineRule="exact"/>
        <w:rPr>
          <w:sz w:val="20"/>
          <w:szCs w:val="20"/>
          <w:color w:val="auto"/>
        </w:rPr>
      </w:pPr>
    </w:p>
    <w:p>
      <w:pPr>
        <w:ind w:right="40" w:firstLine="432"/>
        <w:spacing w:after="0" w:line="263" w:lineRule="auto"/>
        <w:rPr>
          <w:sz w:val="20"/>
          <w:szCs w:val="20"/>
          <w:color w:val="auto"/>
        </w:rPr>
      </w:pPr>
      <w:r>
        <w:rPr>
          <w:rFonts w:ascii="Arial" w:cs="Arial" w:eastAsia="Arial" w:hAnsi="Arial"/>
          <w:sz w:val="12"/>
          <w:szCs w:val="12"/>
          <w:color w:val="auto"/>
        </w:rPr>
        <w:t>During the second quarter of 2021, we delivered a redemption notice of $500 million aggregate principal amount of the 2026 Notes pursuant to the terms of the indenture governing the 2026 Notes. On July 7, 2021, subsequent to the end of the second quarter of 2021, we redeemed, prior to maturity, $500 million aggregate principal amount of the 2026 Notes. In connection with this redemption, we expect to incur total charges of approximately $26 million, inclusive of a redemption premium and the write-off of unamortized debt issuance costs, which will be recorded in the third quarter of 2021.</w:t>
      </w:r>
    </w:p>
    <w:p>
      <w:pPr>
        <w:spacing w:after="0" w:line="50" w:lineRule="exact"/>
        <w:rPr>
          <w:sz w:val="20"/>
          <w:szCs w:val="20"/>
          <w:color w:val="auto"/>
        </w:rPr>
      </w:pPr>
    </w:p>
    <w:p>
      <w:pPr>
        <w:ind w:right="120" w:firstLine="432"/>
        <w:spacing w:after="0" w:line="276" w:lineRule="auto"/>
        <w:rPr>
          <w:sz w:val="20"/>
          <w:szCs w:val="20"/>
          <w:color w:val="auto"/>
        </w:rPr>
      </w:pPr>
      <w:r>
        <w:rPr>
          <w:rFonts w:ascii="Arial" w:cs="Arial" w:eastAsia="Arial" w:hAnsi="Arial"/>
          <w:sz w:val="12"/>
          <w:szCs w:val="12"/>
          <w:color w:val="auto"/>
        </w:rPr>
        <w:t>At June 30, 2021, we had $824 million of completed real estate inventory on hand. In addition, we had $383 million of completed vacation ownership units that have been classified as a component of Property and equipment until the time at which they are legally registered and held for sale as vacation ownership products.</w:t>
      </w:r>
    </w:p>
    <w:p>
      <w:pPr>
        <w:spacing w:after="0" w:line="4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summarizes the changes in cash, cash equivalents and restricted cash:</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4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12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1"/>
                <w:szCs w:val="11"/>
                <w:b w:val="1"/>
                <w:bCs w:val="1"/>
                <w:color w:val="auto"/>
              </w:rPr>
              <w:t>Six Months Ended</w:t>
            </w:r>
          </w:p>
        </w:tc>
        <w:tc>
          <w:tcPr>
            <w:tcW w:w="1380" w:type="dxa"/>
            <w:vAlign w:val="bottom"/>
            <w:tcBorders>
              <w:bottom w:val="single" w:sz="8" w:color="auto"/>
            </w:tcBorders>
          </w:tcPr>
          <w:p>
            <w:pPr>
              <w:spacing w:after="0"/>
              <w:rPr>
                <w:sz w:val="12"/>
                <w:szCs w:val="12"/>
                <w:color w:val="auto"/>
              </w:rPr>
            </w:pPr>
          </w:p>
        </w:tc>
      </w:tr>
      <w:tr>
        <w:trPr>
          <w:trHeight w:val="133"/>
        </w:trPr>
        <w:tc>
          <w:tcPr>
            <w:tcW w:w="7440" w:type="dxa"/>
            <w:vAlign w:val="bottom"/>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360" w:type="dxa"/>
            <w:vAlign w:val="bottom"/>
          </w:tcPr>
          <w:p>
            <w:pPr>
              <w:spacing w:after="0"/>
              <w:rPr>
                <w:sz w:val="11"/>
                <w:szCs w:val="11"/>
                <w:color w:val="auto"/>
              </w:rPr>
            </w:pPr>
          </w:p>
        </w:tc>
        <w:tc>
          <w:tcPr>
            <w:tcW w:w="1620" w:type="dxa"/>
            <w:vAlign w:val="bottom"/>
            <w:gridSpan w:val="2"/>
          </w:tcPr>
          <w:p>
            <w:pPr>
              <w:ind w:left="280"/>
              <w:spacing w:after="0"/>
              <w:rPr>
                <w:sz w:val="20"/>
                <w:szCs w:val="20"/>
                <w:color w:val="auto"/>
              </w:rPr>
            </w:pPr>
            <w:r>
              <w:rPr>
                <w:rFonts w:ascii="Arial" w:cs="Arial" w:eastAsia="Arial" w:hAnsi="Arial"/>
                <w:sz w:val="11"/>
                <w:szCs w:val="11"/>
                <w:b w:val="1"/>
                <w:bCs w:val="1"/>
                <w:color w:val="auto"/>
              </w:rPr>
              <w:t>June 30, 2021</w:t>
            </w:r>
          </w:p>
        </w:tc>
        <w:tc>
          <w:tcPr>
            <w:tcW w:w="500" w:type="dxa"/>
            <w:vAlign w:val="bottom"/>
          </w:tcPr>
          <w:p>
            <w:pPr>
              <w:spacing w:after="0"/>
              <w:rPr>
                <w:sz w:val="11"/>
                <w:szCs w:val="11"/>
                <w:color w:val="auto"/>
              </w:rPr>
            </w:pPr>
          </w:p>
        </w:tc>
        <w:tc>
          <w:tcPr>
            <w:tcW w:w="1380" w:type="dxa"/>
            <w:vAlign w:val="bottom"/>
          </w:tcPr>
          <w:p>
            <w:pPr>
              <w:jc w:val="right"/>
              <w:ind w:right="581"/>
              <w:spacing w:after="0"/>
              <w:rPr>
                <w:sz w:val="20"/>
                <w:szCs w:val="20"/>
                <w:color w:val="auto"/>
              </w:rPr>
            </w:pPr>
            <w:r>
              <w:rPr>
                <w:rFonts w:ascii="Arial" w:cs="Arial" w:eastAsia="Arial" w:hAnsi="Arial"/>
                <w:sz w:val="11"/>
                <w:szCs w:val="11"/>
                <w:b w:val="1"/>
                <w:bCs w:val="1"/>
                <w:color w:val="auto"/>
              </w:rPr>
              <w:t>June 30, 2020</w:t>
            </w:r>
          </w:p>
        </w:tc>
      </w:tr>
      <w:tr>
        <w:trPr>
          <w:trHeight w:val="135"/>
        </w:trPr>
        <w:tc>
          <w:tcPr>
            <w:tcW w:w="7440" w:type="dxa"/>
            <w:vAlign w:val="bottom"/>
            <w:tcBorders>
              <w:top w:val="single" w:sz="8" w:color="CCEEFF"/>
            </w:tcBorders>
            <w:shd w:val="clear" w:color="auto" w:fill="CCEEFF"/>
          </w:tcPr>
          <w:p>
            <w:pPr>
              <w:spacing w:after="0" w:line="135" w:lineRule="exact"/>
              <w:rPr>
                <w:sz w:val="20"/>
                <w:szCs w:val="20"/>
                <w:color w:val="auto"/>
              </w:rPr>
            </w:pPr>
            <w:r>
              <w:rPr>
                <w:rFonts w:ascii="Arial" w:cs="Arial" w:eastAsia="Arial" w:hAnsi="Arial"/>
                <w:sz w:val="12"/>
                <w:szCs w:val="12"/>
                <w:color w:val="auto"/>
              </w:rPr>
              <w:t>Cash, cash equivalents and restricted cash provided by (used in):</w:t>
            </w:r>
          </w:p>
        </w:tc>
        <w:tc>
          <w:tcPr>
            <w:tcW w:w="360" w:type="dxa"/>
            <w:vAlign w:val="bottom"/>
            <w:tcBorders>
              <w:top w:val="single" w:sz="8" w:color="auto"/>
            </w:tcBorders>
            <w:shd w:val="clear" w:color="auto" w:fill="CCEEFF"/>
          </w:tcPr>
          <w:p>
            <w:pPr>
              <w:spacing w:after="0"/>
              <w:rPr>
                <w:sz w:val="11"/>
                <w:szCs w:val="11"/>
                <w:color w:val="auto"/>
              </w:rPr>
            </w:pPr>
          </w:p>
        </w:tc>
        <w:tc>
          <w:tcPr>
            <w:tcW w:w="15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380" w:type="dxa"/>
            <w:vAlign w:val="bottom"/>
            <w:tcBorders>
              <w:top w:val="single" w:sz="8" w:color="auto"/>
            </w:tcBorders>
            <w:shd w:val="clear" w:color="auto" w:fill="CCEEFF"/>
          </w:tcPr>
          <w:p>
            <w:pPr>
              <w:spacing w:after="0"/>
              <w:rPr>
                <w:sz w:val="11"/>
                <w:szCs w:val="11"/>
                <w:color w:val="auto"/>
              </w:rPr>
            </w:pPr>
          </w:p>
        </w:tc>
      </w:tr>
      <w:tr>
        <w:trPr>
          <w:trHeight w:val="153"/>
        </w:trPr>
        <w:tc>
          <w:tcPr>
            <w:tcW w:w="7440" w:type="dxa"/>
            <w:vAlign w:val="bottom"/>
          </w:tcPr>
          <w:p>
            <w:pPr>
              <w:ind w:left="60"/>
              <w:spacing w:after="0"/>
              <w:rPr>
                <w:sz w:val="20"/>
                <w:szCs w:val="20"/>
                <w:color w:val="auto"/>
              </w:rPr>
            </w:pPr>
            <w:r>
              <w:rPr>
                <w:rFonts w:ascii="Arial" w:cs="Arial" w:eastAsia="Arial" w:hAnsi="Arial"/>
                <w:sz w:val="12"/>
                <w:szCs w:val="12"/>
                <w:color w:val="auto"/>
              </w:rPr>
              <w:t>Operating activities</w:t>
            </w: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520" w:type="dxa"/>
            <w:vAlign w:val="bottom"/>
          </w:tcPr>
          <w:p>
            <w:pPr>
              <w:jc w:val="right"/>
              <w:spacing w:after="0"/>
              <w:rPr>
                <w:sz w:val="20"/>
                <w:szCs w:val="20"/>
                <w:color w:val="auto"/>
              </w:rPr>
            </w:pPr>
            <w:r>
              <w:rPr>
                <w:rFonts w:ascii="Arial" w:cs="Arial" w:eastAsia="Arial" w:hAnsi="Arial"/>
                <w:sz w:val="12"/>
                <w:szCs w:val="12"/>
                <w:color w:val="auto"/>
              </w:rPr>
              <w:t>148</w:t>
            </w:r>
          </w:p>
        </w:tc>
        <w:tc>
          <w:tcPr>
            <w:tcW w:w="100" w:type="dxa"/>
            <w:vAlign w:val="bottom"/>
          </w:tcPr>
          <w:p>
            <w:pPr>
              <w:spacing w:after="0"/>
              <w:rPr>
                <w:sz w:val="13"/>
                <w:szCs w:val="13"/>
                <w:color w:val="auto"/>
              </w:rPr>
            </w:pPr>
          </w:p>
        </w:tc>
        <w:tc>
          <w:tcPr>
            <w:tcW w:w="500" w:type="dxa"/>
            <w:vAlign w:val="bottom"/>
          </w:tcPr>
          <w:p>
            <w:pPr>
              <w:jc w:val="right"/>
              <w:ind w:right="392"/>
              <w:spacing w:after="0"/>
              <w:rPr>
                <w:sz w:val="20"/>
                <w:szCs w:val="20"/>
                <w:color w:val="auto"/>
              </w:rPr>
            </w:pPr>
            <w:r>
              <w:rPr>
                <w:rFonts w:ascii="Arial" w:cs="Arial" w:eastAsia="Arial" w:hAnsi="Arial"/>
                <w:sz w:val="10"/>
                <w:szCs w:val="10"/>
                <w:color w:val="auto"/>
                <w:w w:val="71"/>
              </w:rPr>
              <w:t>$</w:t>
            </w:r>
          </w:p>
        </w:tc>
        <w:tc>
          <w:tcPr>
            <w:tcW w:w="1380" w:type="dxa"/>
            <w:vAlign w:val="bottom"/>
          </w:tcPr>
          <w:p>
            <w:pPr>
              <w:jc w:val="right"/>
              <w:spacing w:after="0"/>
              <w:rPr>
                <w:sz w:val="20"/>
                <w:szCs w:val="20"/>
                <w:color w:val="auto"/>
              </w:rPr>
            </w:pPr>
            <w:r>
              <w:rPr>
                <w:rFonts w:ascii="Arial" w:cs="Arial" w:eastAsia="Arial" w:hAnsi="Arial"/>
                <w:sz w:val="12"/>
                <w:szCs w:val="12"/>
                <w:color w:val="auto"/>
              </w:rPr>
              <w:t>(73)</w:t>
            </w:r>
          </w:p>
        </w:tc>
      </w:tr>
      <w:tr>
        <w:trPr>
          <w:trHeight w:val="153"/>
        </w:trPr>
        <w:tc>
          <w:tcPr>
            <w:tcW w:w="7440" w:type="dxa"/>
            <w:vAlign w:val="bottom"/>
            <w:shd w:val="clear" w:color="auto" w:fill="CCEEFF"/>
          </w:tcPr>
          <w:p>
            <w:pPr>
              <w:ind w:left="60"/>
              <w:spacing w:after="0"/>
              <w:rPr>
                <w:sz w:val="20"/>
                <w:szCs w:val="20"/>
                <w:color w:val="auto"/>
              </w:rPr>
            </w:pPr>
            <w:r>
              <w:rPr>
                <w:rFonts w:ascii="Arial" w:cs="Arial" w:eastAsia="Arial" w:hAnsi="Arial"/>
                <w:sz w:val="12"/>
                <w:szCs w:val="12"/>
                <w:color w:val="auto"/>
              </w:rPr>
              <w:t>Investing activities</w:t>
            </w:r>
          </w:p>
        </w:tc>
        <w:tc>
          <w:tcPr>
            <w:tcW w:w="360" w:type="dxa"/>
            <w:vAlign w:val="bottom"/>
            <w:shd w:val="clear" w:color="auto" w:fill="CCEEFF"/>
          </w:tcPr>
          <w:p>
            <w:pPr>
              <w:spacing w:after="0"/>
              <w:rPr>
                <w:sz w:val="13"/>
                <w:szCs w:val="1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(176)</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w:t>
            </w:r>
          </w:p>
        </w:tc>
      </w:tr>
      <w:tr>
        <w:trPr>
          <w:trHeight w:val="153"/>
        </w:trPr>
        <w:tc>
          <w:tcPr>
            <w:tcW w:w="7440" w:type="dxa"/>
            <w:vAlign w:val="bottom"/>
          </w:tcPr>
          <w:p>
            <w:pPr>
              <w:ind w:left="60"/>
              <w:spacing w:after="0"/>
              <w:rPr>
                <w:sz w:val="20"/>
                <w:szCs w:val="20"/>
                <w:color w:val="auto"/>
              </w:rPr>
            </w:pPr>
            <w:r>
              <w:rPr>
                <w:rFonts w:ascii="Arial" w:cs="Arial" w:eastAsia="Arial" w:hAnsi="Arial"/>
                <w:sz w:val="12"/>
                <w:szCs w:val="12"/>
                <w:color w:val="auto"/>
              </w:rPr>
              <w:t>Financing activities</w:t>
            </w:r>
          </w:p>
        </w:tc>
        <w:tc>
          <w:tcPr>
            <w:tcW w:w="36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716</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80" w:type="dxa"/>
            <w:vAlign w:val="bottom"/>
          </w:tcPr>
          <w:p>
            <w:pPr>
              <w:jc w:val="right"/>
              <w:ind w:right="1"/>
              <w:spacing w:after="0"/>
              <w:rPr>
                <w:sz w:val="20"/>
                <w:szCs w:val="20"/>
                <w:color w:val="auto"/>
              </w:rPr>
            </w:pPr>
            <w:r>
              <w:rPr>
                <w:rFonts w:ascii="Arial" w:cs="Arial" w:eastAsia="Arial" w:hAnsi="Arial"/>
                <w:sz w:val="12"/>
                <w:szCs w:val="12"/>
                <w:color w:val="auto"/>
              </w:rPr>
              <w:t>320</w:t>
            </w:r>
          </w:p>
        </w:tc>
      </w:tr>
      <w:tr>
        <w:trPr>
          <w:trHeight w:val="153"/>
        </w:trPr>
        <w:tc>
          <w:tcPr>
            <w:tcW w:w="7440" w:type="dxa"/>
            <w:vAlign w:val="bottom"/>
            <w:shd w:val="clear" w:color="auto" w:fill="CCEEFF"/>
          </w:tcPr>
          <w:p>
            <w:pPr>
              <w:ind w:left="60"/>
              <w:spacing w:after="0"/>
              <w:rPr>
                <w:sz w:val="20"/>
                <w:szCs w:val="20"/>
                <w:color w:val="auto"/>
              </w:rPr>
            </w:pPr>
            <w:r>
              <w:rPr>
                <w:rFonts w:ascii="Arial" w:cs="Arial" w:eastAsia="Arial" w:hAnsi="Arial"/>
                <w:sz w:val="12"/>
                <w:szCs w:val="12"/>
                <w:color w:val="auto"/>
              </w:rPr>
              <w:t>Effect of change in exchange rates on cash, cash equivalents and restricted cash</w:t>
            </w:r>
          </w:p>
        </w:tc>
        <w:tc>
          <w:tcPr>
            <w:tcW w:w="360" w:type="dxa"/>
            <w:vAlign w:val="bottom"/>
            <w:shd w:val="clear" w:color="auto" w:fill="CCEEFF"/>
          </w:tcPr>
          <w:p>
            <w:pPr>
              <w:spacing w:after="0"/>
              <w:rPr>
                <w:sz w:val="13"/>
                <w:szCs w:val="13"/>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spacing w:after="0"/>
              <w:rPr>
                <w:sz w:val="13"/>
                <w:szCs w:val="1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r>
      <w:tr>
        <w:trPr>
          <w:trHeight w:val="142"/>
        </w:trPr>
        <w:tc>
          <w:tcPr>
            <w:tcW w:w="7440" w:type="dxa"/>
            <w:vAlign w:val="bottom"/>
          </w:tcPr>
          <w:p>
            <w:pPr>
              <w:ind w:left="300"/>
              <w:spacing w:after="0" w:line="133" w:lineRule="exact"/>
              <w:rPr>
                <w:sz w:val="20"/>
                <w:szCs w:val="20"/>
                <w:color w:val="auto"/>
              </w:rPr>
            </w:pPr>
            <w:r>
              <w:rPr>
                <w:rFonts w:ascii="Arial" w:cs="Arial" w:eastAsia="Arial" w:hAnsi="Arial"/>
                <w:sz w:val="12"/>
                <w:szCs w:val="12"/>
                <w:color w:val="auto"/>
              </w:rPr>
              <w:t>Net change in cash, cash equivalents and restricted cash</w:t>
            </w:r>
          </w:p>
        </w:tc>
        <w:tc>
          <w:tcPr>
            <w:tcW w:w="36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2"/>
                <w:szCs w:val="12"/>
                <w:color w:val="auto"/>
                <w:w w:val="8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688</w:t>
            </w:r>
          </w:p>
        </w:tc>
        <w:tc>
          <w:tcPr>
            <w:tcW w:w="10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0"/>
                <w:szCs w:val="10"/>
                <w:color w:val="auto"/>
                <w:w w:val="71"/>
              </w:rPr>
              <w:t>$</w:t>
            </w:r>
          </w:p>
        </w:tc>
        <w:tc>
          <w:tcPr>
            <w:tcW w:w="13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206</w:t>
            </w:r>
          </w:p>
        </w:tc>
      </w:tr>
      <w:tr>
        <w:trPr>
          <w:trHeight w:val="20"/>
        </w:trPr>
        <w:tc>
          <w:tcPr>
            <w:tcW w:w="7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Cash from Operating Activities</w:t>
      </w:r>
    </w:p>
    <w:p>
      <w:pPr>
        <w:spacing w:after="0" w:line="78" w:lineRule="exact"/>
        <w:rPr>
          <w:sz w:val="20"/>
          <w:szCs w:val="20"/>
          <w:color w:val="auto"/>
        </w:rPr>
      </w:pPr>
    </w:p>
    <w:p>
      <w:pPr>
        <w:ind w:right="240" w:firstLine="432"/>
        <w:spacing w:after="0" w:line="340" w:lineRule="auto"/>
        <w:rPr>
          <w:sz w:val="20"/>
          <w:szCs w:val="20"/>
          <w:color w:val="auto"/>
        </w:rPr>
      </w:pPr>
      <w:r>
        <w:rPr>
          <w:rFonts w:ascii="Arial" w:cs="Arial" w:eastAsia="Arial" w:hAnsi="Arial"/>
          <w:sz w:val="10"/>
          <w:szCs w:val="10"/>
          <w:color w:val="auto"/>
        </w:rPr>
        <w:t>Our primary sources of funds from operations are (1) cash sales and down payments on financed sales, (2) cash from our financing operations, including principal and interest payments received on outstanding vacation ownership notes receivable, (3) cash from fee-based membership, exchange and rental transactions and (4) net cash generated from our rental and resort management and other services operations. Outflows include spending for the development of new phases of existing resorts, the acquisition of additional inventory, enhancement of our inventory exchange network of resorts and related technology infrastructure and funding our working capital needs.</w:t>
      </w:r>
    </w:p>
    <w:p>
      <w:pPr>
        <w:spacing w:after="0" w:line="15" w:lineRule="exact"/>
        <w:rPr>
          <w:sz w:val="20"/>
          <w:szCs w:val="20"/>
          <w:color w:val="auto"/>
        </w:rPr>
      </w:pPr>
    </w:p>
    <w:p>
      <w:pPr>
        <w:ind w:right="260" w:firstLine="432"/>
        <w:spacing w:after="0" w:line="298" w:lineRule="auto"/>
        <w:rPr>
          <w:sz w:val="20"/>
          <w:szCs w:val="20"/>
          <w:color w:val="auto"/>
        </w:rPr>
      </w:pPr>
      <w:r>
        <w:rPr>
          <w:rFonts w:ascii="Arial" w:cs="Arial" w:eastAsia="Arial" w:hAnsi="Arial"/>
          <w:sz w:val="11"/>
          <w:szCs w:val="11"/>
          <w:color w:val="auto"/>
        </w:rPr>
        <w:t>We minimize our working capital needs through cash management, strict credit-granting policies and disciplined collection efforts. Our working capital needs fluctuate throughout the year given the timing of annual maintenance fees on unsold inventory we pay to property owners’ associations and certain annual compensation-related outflows. In addition, our cash from operations varies due to the timing of our owners’ repayment of vacation ownership notes receivable, the closing or recording of sales contracts for vacation ownership products, financing propensity and cash outlays for inventory acquisition and development.</w:t>
      </w:r>
    </w:p>
    <w:p>
      <w:pPr>
        <w:spacing w:after="0" w:line="33" w:lineRule="exact"/>
        <w:rPr>
          <w:sz w:val="20"/>
          <w:szCs w:val="20"/>
          <w:color w:val="auto"/>
        </w:rPr>
      </w:pPr>
    </w:p>
    <w:p>
      <w:pPr>
        <w:jc w:val="both"/>
        <w:ind w:right="160" w:firstLine="432"/>
        <w:spacing w:after="0" w:line="263" w:lineRule="auto"/>
        <w:rPr>
          <w:sz w:val="20"/>
          <w:szCs w:val="20"/>
          <w:color w:val="auto"/>
        </w:rPr>
      </w:pPr>
      <w:r>
        <w:rPr>
          <w:rFonts w:ascii="Arial" w:cs="Arial" w:eastAsia="Arial" w:hAnsi="Arial"/>
          <w:sz w:val="12"/>
          <w:szCs w:val="12"/>
          <w:color w:val="auto"/>
        </w:rPr>
        <w:t>In the first half of 2021, we had $148 million of cash inflows from operating activities, compared to $73 million of cash outflows in the first half of 2020. Excluding the impact of changes in net loss and adjustments for non-cash items, cash flow increased as a result of higher operational expense accruals, higher sales and rental deposits due to the continued ramp-up of the business, and higher collections of vacation ownership notes receivable, partially offset by severance and benefit payments related to cost management activities and higher inventory spending.</w:t>
      </w:r>
    </w:p>
    <w:p>
      <w:pPr>
        <w:spacing w:after="0" w:line="113" w:lineRule="exact"/>
        <w:rPr>
          <w:sz w:val="20"/>
          <w:szCs w:val="20"/>
          <w:color w:val="auto"/>
        </w:rPr>
      </w:pPr>
    </w:p>
    <w:p>
      <w:pPr>
        <w:jc w:val="center"/>
        <w:ind w:left="420"/>
        <w:spacing w:after="0"/>
        <w:rPr>
          <w:sz w:val="20"/>
          <w:szCs w:val="20"/>
          <w:color w:val="auto"/>
        </w:rPr>
      </w:pPr>
      <w:r>
        <w:rPr>
          <w:rFonts w:ascii="Arial" w:cs="Arial" w:eastAsia="Arial" w:hAnsi="Arial"/>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191135</wp:posOffset>
            </wp:positionV>
            <wp:extent cx="7203440" cy="368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68" w:name="page69"/>
    <w:bookmarkEnd w:id="68"/>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4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 addition to net loss and adjustments for non-cash items, the following operating activities are key drivers of our cash flow from operating activities: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Inventory Spending In Excess of Cost of Sales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4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12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1"/>
                <w:szCs w:val="11"/>
                <w:b w:val="1"/>
                <w:bCs w:val="1"/>
                <w:color w:val="auto"/>
              </w:rPr>
              <w:t>Six Months Ended</w:t>
            </w:r>
          </w:p>
        </w:tc>
        <w:tc>
          <w:tcPr>
            <w:tcW w:w="1380" w:type="dxa"/>
            <w:vAlign w:val="bottom"/>
            <w:tcBorders>
              <w:bottom w:val="single" w:sz="8" w:color="auto"/>
            </w:tcBorders>
          </w:tcPr>
          <w:p>
            <w:pPr>
              <w:spacing w:after="0"/>
              <w:rPr>
                <w:sz w:val="12"/>
                <w:szCs w:val="12"/>
                <w:color w:val="auto"/>
              </w:rPr>
            </w:pPr>
          </w:p>
        </w:tc>
      </w:tr>
      <w:tr>
        <w:trPr>
          <w:trHeight w:val="133"/>
        </w:trPr>
        <w:tc>
          <w:tcPr>
            <w:tcW w:w="7440" w:type="dxa"/>
            <w:vAlign w:val="bottom"/>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360" w:type="dxa"/>
            <w:vAlign w:val="bottom"/>
          </w:tcPr>
          <w:p>
            <w:pPr>
              <w:spacing w:after="0"/>
              <w:rPr>
                <w:sz w:val="11"/>
                <w:szCs w:val="11"/>
                <w:color w:val="auto"/>
              </w:rPr>
            </w:pPr>
          </w:p>
        </w:tc>
        <w:tc>
          <w:tcPr>
            <w:tcW w:w="1620" w:type="dxa"/>
            <w:vAlign w:val="bottom"/>
            <w:gridSpan w:val="2"/>
          </w:tcPr>
          <w:p>
            <w:pPr>
              <w:ind w:left="280"/>
              <w:spacing w:after="0"/>
              <w:rPr>
                <w:sz w:val="20"/>
                <w:szCs w:val="20"/>
                <w:color w:val="auto"/>
              </w:rPr>
            </w:pPr>
            <w:r>
              <w:rPr>
                <w:rFonts w:ascii="Arial" w:cs="Arial" w:eastAsia="Arial" w:hAnsi="Arial"/>
                <w:sz w:val="11"/>
                <w:szCs w:val="11"/>
                <w:b w:val="1"/>
                <w:bCs w:val="1"/>
                <w:color w:val="auto"/>
              </w:rPr>
              <w:t>June 30, 2021</w:t>
            </w:r>
          </w:p>
        </w:tc>
        <w:tc>
          <w:tcPr>
            <w:tcW w:w="500" w:type="dxa"/>
            <w:vAlign w:val="bottom"/>
          </w:tcPr>
          <w:p>
            <w:pPr>
              <w:spacing w:after="0"/>
              <w:rPr>
                <w:sz w:val="11"/>
                <w:szCs w:val="11"/>
                <w:color w:val="auto"/>
              </w:rPr>
            </w:pPr>
          </w:p>
        </w:tc>
        <w:tc>
          <w:tcPr>
            <w:tcW w:w="1380" w:type="dxa"/>
            <w:vAlign w:val="bottom"/>
          </w:tcPr>
          <w:p>
            <w:pPr>
              <w:ind w:left="120"/>
              <w:spacing w:after="0"/>
              <w:rPr>
                <w:sz w:val="20"/>
                <w:szCs w:val="20"/>
                <w:color w:val="auto"/>
              </w:rPr>
            </w:pPr>
            <w:r>
              <w:rPr>
                <w:rFonts w:ascii="Arial" w:cs="Arial" w:eastAsia="Arial" w:hAnsi="Arial"/>
                <w:sz w:val="11"/>
                <w:szCs w:val="11"/>
                <w:b w:val="1"/>
                <w:bCs w:val="1"/>
                <w:color w:val="auto"/>
              </w:rPr>
              <w:t>June 30, 2020</w:t>
            </w:r>
          </w:p>
        </w:tc>
      </w:tr>
      <w:tr>
        <w:trPr>
          <w:trHeight w:val="144"/>
        </w:trPr>
        <w:tc>
          <w:tcPr>
            <w:tcW w:w="7440" w:type="dxa"/>
            <w:vAlign w:val="bottom"/>
            <w:tcBorders>
              <w:top w:val="single" w:sz="8" w:color="CCEEFF"/>
            </w:tcBorders>
            <w:shd w:val="clear" w:color="auto" w:fill="CCEEFF"/>
          </w:tcPr>
          <w:p>
            <w:pPr>
              <w:spacing w:after="0" w:line="135" w:lineRule="exact"/>
              <w:rPr>
                <w:sz w:val="20"/>
                <w:szCs w:val="20"/>
                <w:color w:val="auto"/>
              </w:rPr>
            </w:pPr>
            <w:r>
              <w:rPr>
                <w:rFonts w:ascii="Arial" w:cs="Arial" w:eastAsia="Arial" w:hAnsi="Arial"/>
                <w:sz w:val="12"/>
                <w:szCs w:val="12"/>
                <w:color w:val="auto"/>
              </w:rPr>
              <w:t>Inventory spending</w:t>
            </w:r>
          </w:p>
        </w:tc>
        <w:tc>
          <w:tcPr>
            <w:tcW w:w="360" w:type="dxa"/>
            <w:vAlign w:val="bottom"/>
            <w:tcBorders>
              <w:top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520" w:type="dxa"/>
            <w:vAlign w:val="bottom"/>
            <w:tcBorders>
              <w:top w:val="single" w:sz="8" w:color="auto"/>
            </w:tcBorders>
            <w:shd w:val="clear" w:color="auto" w:fill="CCEEFF"/>
          </w:tcPr>
          <w:p>
            <w:pPr>
              <w:jc w:val="center"/>
              <w:ind w:left="1222"/>
              <w:spacing w:after="0"/>
              <w:rPr>
                <w:sz w:val="20"/>
                <w:szCs w:val="20"/>
                <w:color w:val="auto"/>
              </w:rPr>
            </w:pPr>
            <w:r>
              <w:rPr>
                <w:rFonts w:ascii="Arial" w:cs="Arial" w:eastAsia="Arial" w:hAnsi="Arial"/>
                <w:sz w:val="12"/>
                <w:szCs w:val="12"/>
                <w:color w:val="auto"/>
                <w:w w:val="93"/>
              </w:rPr>
              <w:t>(77)</w:t>
            </w:r>
          </w:p>
        </w:tc>
        <w:tc>
          <w:tcPr>
            <w:tcW w:w="10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ind w:right="392"/>
              <w:spacing w:after="0"/>
              <w:rPr>
                <w:sz w:val="20"/>
                <w:szCs w:val="20"/>
                <w:color w:val="auto"/>
              </w:rPr>
            </w:pPr>
            <w:r>
              <w:rPr>
                <w:rFonts w:ascii="Arial" w:cs="Arial" w:eastAsia="Arial" w:hAnsi="Arial"/>
                <w:sz w:val="10"/>
                <w:szCs w:val="10"/>
                <w:color w:val="auto"/>
                <w:w w:val="71"/>
              </w:rPr>
              <w:t>$</w:t>
            </w:r>
          </w:p>
        </w:tc>
        <w:tc>
          <w:tcPr>
            <w:tcW w:w="1380" w:type="dxa"/>
            <w:vAlign w:val="bottom"/>
            <w:tcBorders>
              <w:top w:val="single" w:sz="8" w:color="auto"/>
            </w:tcBorders>
            <w:shd w:val="clear" w:color="auto" w:fill="CCEEFF"/>
          </w:tcPr>
          <w:p>
            <w:pPr>
              <w:jc w:val="center"/>
              <w:ind w:left="1081"/>
              <w:spacing w:after="0"/>
              <w:rPr>
                <w:sz w:val="20"/>
                <w:szCs w:val="20"/>
                <w:color w:val="auto"/>
              </w:rPr>
            </w:pPr>
            <w:r>
              <w:rPr>
                <w:rFonts w:ascii="Arial" w:cs="Arial" w:eastAsia="Arial" w:hAnsi="Arial"/>
                <w:sz w:val="12"/>
                <w:szCs w:val="12"/>
                <w:color w:val="auto"/>
                <w:w w:val="93"/>
              </w:rPr>
              <w:t>(69)</w:t>
            </w:r>
          </w:p>
        </w:tc>
      </w:tr>
      <w:tr>
        <w:trPr>
          <w:trHeight w:val="153"/>
        </w:trPr>
        <w:tc>
          <w:tcPr>
            <w:tcW w:w="7440" w:type="dxa"/>
            <w:vAlign w:val="bottom"/>
          </w:tcPr>
          <w:p>
            <w:pPr>
              <w:spacing w:after="0"/>
              <w:rPr>
                <w:sz w:val="20"/>
                <w:szCs w:val="20"/>
                <w:color w:val="auto"/>
              </w:rPr>
            </w:pPr>
            <w:r>
              <w:rPr>
                <w:rFonts w:ascii="Arial" w:cs="Arial" w:eastAsia="Arial" w:hAnsi="Arial"/>
                <w:sz w:val="12"/>
                <w:szCs w:val="12"/>
                <w:color w:val="auto"/>
              </w:rPr>
              <w:t>Purchase of vacation ownership units for future transfer to inventory</w:t>
            </w:r>
          </w:p>
        </w:tc>
        <w:tc>
          <w:tcPr>
            <w:tcW w:w="360" w:type="dxa"/>
            <w:vAlign w:val="bottom"/>
          </w:tcPr>
          <w:p>
            <w:pPr>
              <w:spacing w:after="0"/>
              <w:rPr>
                <w:sz w:val="13"/>
                <w:szCs w:val="13"/>
                <w:color w:val="auto"/>
              </w:rPr>
            </w:pPr>
          </w:p>
        </w:tc>
        <w:tc>
          <w:tcPr>
            <w:tcW w:w="1520" w:type="dxa"/>
            <w:vAlign w:val="bottom"/>
          </w:tcPr>
          <w:p>
            <w:pPr>
              <w:jc w:val="center"/>
              <w:ind w:left="1222"/>
              <w:spacing w:after="0"/>
              <w:rPr>
                <w:sz w:val="20"/>
                <w:szCs w:val="20"/>
                <w:color w:val="auto"/>
              </w:rPr>
            </w:pPr>
            <w:r>
              <w:rPr>
                <w:rFonts w:ascii="Arial" w:cs="Arial" w:eastAsia="Arial" w:hAnsi="Arial"/>
                <w:sz w:val="12"/>
                <w:szCs w:val="12"/>
                <w:color w:val="auto"/>
                <w:w w:val="93"/>
              </w:rPr>
              <w:t>(99)</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80" w:type="dxa"/>
            <w:vAlign w:val="bottom"/>
          </w:tcPr>
          <w:p>
            <w:pPr>
              <w:jc w:val="center"/>
              <w:ind w:left="1081"/>
              <w:spacing w:after="0"/>
              <w:rPr>
                <w:sz w:val="20"/>
                <w:szCs w:val="20"/>
                <w:color w:val="auto"/>
              </w:rPr>
            </w:pPr>
            <w:r>
              <w:rPr>
                <w:rFonts w:ascii="Arial" w:cs="Arial" w:eastAsia="Arial" w:hAnsi="Arial"/>
                <w:sz w:val="12"/>
                <w:szCs w:val="12"/>
                <w:color w:val="auto"/>
                <w:w w:val="93"/>
              </w:rPr>
              <w:t>(61)</w:t>
            </w:r>
          </w:p>
        </w:tc>
      </w:tr>
      <w:tr>
        <w:trPr>
          <w:trHeight w:val="153"/>
        </w:trPr>
        <w:tc>
          <w:tcPr>
            <w:tcW w:w="7440" w:type="dxa"/>
            <w:vAlign w:val="bottom"/>
            <w:shd w:val="clear" w:color="auto" w:fill="CCEEFF"/>
          </w:tcPr>
          <w:p>
            <w:pPr>
              <w:spacing w:after="0"/>
              <w:rPr>
                <w:sz w:val="20"/>
                <w:szCs w:val="20"/>
                <w:color w:val="auto"/>
              </w:rPr>
            </w:pPr>
            <w:r>
              <w:rPr>
                <w:rFonts w:ascii="Arial" w:cs="Arial" w:eastAsia="Arial" w:hAnsi="Arial"/>
                <w:sz w:val="12"/>
                <w:szCs w:val="12"/>
                <w:color w:val="auto"/>
              </w:rPr>
              <w:t>Inventory costs</w:t>
            </w:r>
          </w:p>
        </w:tc>
        <w:tc>
          <w:tcPr>
            <w:tcW w:w="360" w:type="dxa"/>
            <w:vAlign w:val="bottom"/>
            <w:tcBorders>
              <w:bottom w:val="single" w:sz="8" w:color="auto"/>
            </w:tcBorders>
            <w:shd w:val="clear" w:color="auto" w:fill="CCEEFF"/>
          </w:tcPr>
          <w:p>
            <w:pPr>
              <w:spacing w:after="0"/>
              <w:rPr>
                <w:sz w:val="13"/>
                <w:szCs w:val="13"/>
                <w:color w:val="auto"/>
              </w:rPr>
            </w:pPr>
          </w:p>
        </w:tc>
        <w:tc>
          <w:tcPr>
            <w:tcW w:w="1520" w:type="dxa"/>
            <w:vAlign w:val="bottom"/>
            <w:tcBorders>
              <w:bottom w:val="single" w:sz="8" w:color="auto"/>
            </w:tcBorders>
            <w:shd w:val="clear" w:color="auto" w:fill="CCEEFF"/>
          </w:tcPr>
          <w:p>
            <w:pPr>
              <w:jc w:val="center"/>
              <w:ind w:left="1262"/>
              <w:spacing w:after="0"/>
              <w:rPr>
                <w:sz w:val="20"/>
                <w:szCs w:val="20"/>
                <w:color w:val="auto"/>
              </w:rPr>
            </w:pPr>
            <w:r>
              <w:rPr>
                <w:rFonts w:ascii="Arial" w:cs="Arial" w:eastAsia="Arial" w:hAnsi="Arial"/>
                <w:sz w:val="12"/>
                <w:szCs w:val="12"/>
                <w:color w:val="auto"/>
                <w:w w:val="89"/>
              </w:rPr>
              <w:t>90</w:t>
            </w:r>
          </w:p>
        </w:tc>
        <w:tc>
          <w:tcPr>
            <w:tcW w:w="10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jc w:val="center"/>
              <w:ind w:left="1081"/>
              <w:spacing w:after="0"/>
              <w:rPr>
                <w:sz w:val="20"/>
                <w:szCs w:val="20"/>
                <w:color w:val="auto"/>
              </w:rPr>
            </w:pPr>
            <w:r>
              <w:rPr>
                <w:rFonts w:ascii="Arial" w:cs="Arial" w:eastAsia="Arial" w:hAnsi="Arial"/>
                <w:sz w:val="12"/>
                <w:szCs w:val="12"/>
                <w:color w:val="auto"/>
                <w:w w:val="89"/>
              </w:rPr>
              <w:t>67</w:t>
            </w:r>
          </w:p>
        </w:tc>
      </w:tr>
      <w:tr>
        <w:trPr>
          <w:trHeight w:val="142"/>
        </w:trPr>
        <w:tc>
          <w:tcPr>
            <w:tcW w:w="7440" w:type="dxa"/>
            <w:vAlign w:val="bottom"/>
          </w:tcPr>
          <w:p>
            <w:pPr>
              <w:ind w:left="140"/>
              <w:spacing w:after="0" w:line="133" w:lineRule="exact"/>
              <w:rPr>
                <w:sz w:val="20"/>
                <w:szCs w:val="20"/>
                <w:color w:val="auto"/>
              </w:rPr>
            </w:pPr>
            <w:r>
              <w:rPr>
                <w:rFonts w:ascii="Arial" w:cs="Arial" w:eastAsia="Arial" w:hAnsi="Arial"/>
                <w:sz w:val="12"/>
                <w:szCs w:val="12"/>
                <w:color w:val="auto"/>
              </w:rPr>
              <w:t>Inventory spending in excess of cost of sales</w:t>
            </w:r>
          </w:p>
        </w:tc>
        <w:tc>
          <w:tcPr>
            <w:tcW w:w="3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w w:val="89"/>
              </w:rPr>
              <w:t>$</w:t>
            </w:r>
          </w:p>
        </w:tc>
        <w:tc>
          <w:tcPr>
            <w:tcW w:w="1520" w:type="dxa"/>
            <w:vAlign w:val="bottom"/>
            <w:tcBorders>
              <w:bottom w:val="single" w:sz="8" w:color="auto"/>
            </w:tcBorders>
          </w:tcPr>
          <w:p>
            <w:pPr>
              <w:jc w:val="center"/>
              <w:ind w:left="1222"/>
              <w:spacing w:after="0"/>
              <w:rPr>
                <w:sz w:val="20"/>
                <w:szCs w:val="20"/>
                <w:color w:val="auto"/>
              </w:rPr>
            </w:pPr>
            <w:r>
              <w:rPr>
                <w:rFonts w:ascii="Arial" w:cs="Arial" w:eastAsia="Arial" w:hAnsi="Arial"/>
                <w:sz w:val="12"/>
                <w:szCs w:val="12"/>
                <w:color w:val="auto"/>
                <w:w w:val="93"/>
              </w:rPr>
              <w:t>(86)</w:t>
            </w:r>
          </w:p>
        </w:tc>
        <w:tc>
          <w:tcPr>
            <w:tcW w:w="100" w:type="dxa"/>
            <w:vAlign w:val="bottom"/>
          </w:tcPr>
          <w:p>
            <w:pPr>
              <w:spacing w:after="0"/>
              <w:rPr>
                <w:sz w:val="12"/>
                <w:szCs w:val="12"/>
                <w:color w:val="auto"/>
              </w:rPr>
            </w:pPr>
          </w:p>
        </w:tc>
        <w:tc>
          <w:tcPr>
            <w:tcW w:w="50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color w:val="auto"/>
                <w:w w:val="71"/>
              </w:rPr>
              <w:t>$</w:t>
            </w:r>
          </w:p>
        </w:tc>
        <w:tc>
          <w:tcPr>
            <w:tcW w:w="1380" w:type="dxa"/>
            <w:vAlign w:val="bottom"/>
            <w:tcBorders>
              <w:bottom w:val="single" w:sz="8" w:color="auto"/>
            </w:tcBorders>
          </w:tcPr>
          <w:p>
            <w:pPr>
              <w:jc w:val="center"/>
              <w:ind w:left="1081"/>
              <w:spacing w:after="0"/>
              <w:rPr>
                <w:sz w:val="20"/>
                <w:szCs w:val="20"/>
                <w:color w:val="auto"/>
              </w:rPr>
            </w:pPr>
            <w:r>
              <w:rPr>
                <w:rFonts w:ascii="Arial" w:cs="Arial" w:eastAsia="Arial" w:hAnsi="Arial"/>
                <w:sz w:val="12"/>
                <w:szCs w:val="12"/>
                <w:color w:val="auto"/>
                <w:w w:val="93"/>
              </w:rPr>
              <w:t>(63)</w:t>
            </w:r>
          </w:p>
        </w:tc>
      </w:tr>
      <w:tr>
        <w:trPr>
          <w:trHeight w:val="20"/>
        </w:trPr>
        <w:tc>
          <w:tcPr>
            <w:tcW w:w="7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ind w:right="100" w:firstLine="432"/>
        <w:spacing w:after="0" w:line="259" w:lineRule="auto"/>
        <w:rPr>
          <w:sz w:val="20"/>
          <w:szCs w:val="20"/>
          <w:color w:val="auto"/>
        </w:rPr>
      </w:pPr>
      <w:r>
        <w:rPr>
          <w:rFonts w:ascii="Arial" w:cs="Arial" w:eastAsia="Arial" w:hAnsi="Arial"/>
          <w:sz w:val="12"/>
          <w:szCs w:val="12"/>
          <w:color w:val="auto"/>
        </w:rPr>
        <w:t>Our Vacation Ownership segment product offerings allow us to utilize our inventory efficiently. The majority of our sales are of points-based products, which permits us to sell vacation ownership products at most of our sales locations, including those where little or no weeks-based inventory remains available for sale. Because we do not need specific resort-based inventory at each sales location, we need to have only a few resorts under construction at any given time and can leverage successful sales locations at completed resorts. This allows us to maintain long-term sales locations and reduces the need to develop and staff on-site sales locations at smaller projects in the future. We believe our points-based programs enable us to align our inventory acquisitions with the pace of sales of vacation ownership products.</w:t>
      </w:r>
    </w:p>
    <w:p>
      <w:pPr>
        <w:spacing w:after="0" w:line="52"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2"/>
          <w:szCs w:val="12"/>
          <w:color w:val="auto"/>
        </w:rPr>
        <w:t>As part of our long-term strategy, we selectively pursue growth opportunities in our Vacation Ownership segment by targeting high-quality inventory that allows us to add desirable new destinations to our systems with new on-site sales locations through transactions that limit our up-front capital investment and allow us to purchase finished inventory closer to the time it is needed for sale. These capital efficient deal structures may consist of the development of new inventory, or the conversion of previously built units, by third parties just prior to sale.</w:t>
      </w:r>
    </w:p>
    <w:p>
      <w:pPr>
        <w:spacing w:after="0" w:line="50" w:lineRule="exact"/>
        <w:rPr>
          <w:sz w:val="20"/>
          <w:szCs w:val="20"/>
          <w:color w:val="auto"/>
        </w:rPr>
      </w:pPr>
    </w:p>
    <w:p>
      <w:pPr>
        <w:ind w:right="140" w:firstLine="432"/>
        <w:spacing w:after="0" w:line="276" w:lineRule="auto"/>
        <w:rPr>
          <w:sz w:val="20"/>
          <w:szCs w:val="20"/>
          <w:color w:val="auto"/>
        </w:rPr>
      </w:pPr>
      <w:r>
        <w:rPr>
          <w:rFonts w:ascii="Arial" w:cs="Arial" w:eastAsia="Arial" w:hAnsi="Arial"/>
          <w:sz w:val="12"/>
          <w:szCs w:val="12"/>
          <w:color w:val="auto"/>
        </w:rPr>
        <w:t>We measure our real estate inventory capital efficiency by comparing the cash outflow for real estate inventory spending (a cash item) to the amount of real estate inventory costs charged to expense on our income statements related to sale of vacation ownership products (a non-cash item).</w:t>
      </w:r>
    </w:p>
    <w:p>
      <w:pPr>
        <w:spacing w:after="0" w:line="43" w:lineRule="exact"/>
        <w:rPr>
          <w:sz w:val="20"/>
          <w:szCs w:val="20"/>
          <w:color w:val="auto"/>
        </w:rPr>
      </w:pPr>
    </w:p>
    <w:p>
      <w:pPr>
        <w:jc w:val="both"/>
        <w:ind w:right="60" w:firstLine="432"/>
        <w:spacing w:after="0" w:line="298" w:lineRule="auto"/>
        <w:rPr>
          <w:sz w:val="20"/>
          <w:szCs w:val="20"/>
          <w:color w:val="auto"/>
        </w:rPr>
      </w:pPr>
      <w:r>
        <w:rPr>
          <w:rFonts w:ascii="Arial" w:cs="Arial" w:eastAsia="Arial" w:hAnsi="Arial"/>
          <w:sz w:val="11"/>
          <w:szCs w:val="11"/>
          <w:color w:val="auto"/>
        </w:rPr>
        <w:t>Our spending for real estate inventory in the first half of 2021 was higher than the amount of real estate inventory costs given the timing of payments to satisfy our remaining commitments to purchase vacation ownership units and the slowdown in sales pace as a result of the COVID-19 pandemic. We entered into these commitments in prior periods as part of our capital efficient strategy to limit our up-front capital investment and purchase finished inventory closer to the time it is needed for sale. See Footnote 11 “Contingencies and Commitments” to our Financial Statements for additional information regarding our remaining commitments.</w:t>
      </w:r>
    </w:p>
    <w:p>
      <w:pPr>
        <w:spacing w:after="0" w:line="33" w:lineRule="exact"/>
        <w:rPr>
          <w:sz w:val="20"/>
          <w:szCs w:val="20"/>
          <w:color w:val="auto"/>
        </w:rPr>
      </w:pPr>
    </w:p>
    <w:p>
      <w:pPr>
        <w:ind w:right="200" w:firstLine="432"/>
        <w:spacing w:after="0" w:line="276" w:lineRule="auto"/>
        <w:rPr>
          <w:sz w:val="20"/>
          <w:szCs w:val="20"/>
          <w:color w:val="auto"/>
        </w:rPr>
      </w:pPr>
      <w:r>
        <w:rPr>
          <w:rFonts w:ascii="Arial" w:cs="Arial" w:eastAsia="Arial" w:hAnsi="Arial"/>
          <w:sz w:val="12"/>
          <w:szCs w:val="12"/>
          <w:color w:val="auto"/>
        </w:rPr>
        <w:t>Through our existing vacation ownership interest repurchase program, we proactively buy back previously sold vacation ownership interests at lower costs than would be required to develop new inventory. By repurchasing inventory, we expect to be able to stabilize the future cost of vacation ownership products.</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Vacation Ownership Notes Receivable Collections In Excess of Originations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4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12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1"/>
                <w:szCs w:val="11"/>
                <w:b w:val="1"/>
                <w:bCs w:val="1"/>
                <w:color w:val="auto"/>
              </w:rPr>
              <w:t>Six Months Ended</w:t>
            </w:r>
          </w:p>
        </w:tc>
        <w:tc>
          <w:tcPr>
            <w:tcW w:w="1380" w:type="dxa"/>
            <w:vAlign w:val="bottom"/>
            <w:tcBorders>
              <w:bottom w:val="single" w:sz="8" w:color="auto"/>
            </w:tcBorders>
          </w:tcPr>
          <w:p>
            <w:pPr>
              <w:spacing w:after="0"/>
              <w:rPr>
                <w:sz w:val="12"/>
                <w:szCs w:val="12"/>
                <w:color w:val="auto"/>
              </w:rPr>
            </w:pPr>
          </w:p>
        </w:tc>
      </w:tr>
      <w:tr>
        <w:trPr>
          <w:trHeight w:val="133"/>
        </w:trPr>
        <w:tc>
          <w:tcPr>
            <w:tcW w:w="7440" w:type="dxa"/>
            <w:vAlign w:val="bottom"/>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360" w:type="dxa"/>
            <w:vAlign w:val="bottom"/>
          </w:tcPr>
          <w:p>
            <w:pPr>
              <w:spacing w:after="0"/>
              <w:rPr>
                <w:sz w:val="11"/>
                <w:szCs w:val="11"/>
                <w:color w:val="auto"/>
              </w:rPr>
            </w:pPr>
          </w:p>
        </w:tc>
        <w:tc>
          <w:tcPr>
            <w:tcW w:w="1620" w:type="dxa"/>
            <w:vAlign w:val="bottom"/>
            <w:gridSpan w:val="2"/>
          </w:tcPr>
          <w:p>
            <w:pPr>
              <w:ind w:left="280"/>
              <w:spacing w:after="0"/>
              <w:rPr>
                <w:sz w:val="20"/>
                <w:szCs w:val="20"/>
                <w:color w:val="auto"/>
              </w:rPr>
            </w:pPr>
            <w:r>
              <w:rPr>
                <w:rFonts w:ascii="Arial" w:cs="Arial" w:eastAsia="Arial" w:hAnsi="Arial"/>
                <w:sz w:val="11"/>
                <w:szCs w:val="11"/>
                <w:b w:val="1"/>
                <w:bCs w:val="1"/>
                <w:color w:val="auto"/>
              </w:rPr>
              <w:t>June 30, 2021</w:t>
            </w:r>
          </w:p>
        </w:tc>
        <w:tc>
          <w:tcPr>
            <w:tcW w:w="500" w:type="dxa"/>
            <w:vAlign w:val="bottom"/>
          </w:tcPr>
          <w:p>
            <w:pPr>
              <w:spacing w:after="0"/>
              <w:rPr>
                <w:sz w:val="11"/>
                <w:szCs w:val="11"/>
                <w:color w:val="auto"/>
              </w:rPr>
            </w:pPr>
          </w:p>
        </w:tc>
        <w:tc>
          <w:tcPr>
            <w:tcW w:w="1380" w:type="dxa"/>
            <w:vAlign w:val="bottom"/>
          </w:tcPr>
          <w:p>
            <w:pPr>
              <w:ind w:left="120"/>
              <w:spacing w:after="0"/>
              <w:rPr>
                <w:sz w:val="20"/>
                <w:szCs w:val="20"/>
                <w:color w:val="auto"/>
              </w:rPr>
            </w:pPr>
            <w:r>
              <w:rPr>
                <w:rFonts w:ascii="Arial" w:cs="Arial" w:eastAsia="Arial" w:hAnsi="Arial"/>
                <w:sz w:val="11"/>
                <w:szCs w:val="11"/>
                <w:b w:val="1"/>
                <w:bCs w:val="1"/>
                <w:color w:val="auto"/>
              </w:rPr>
              <w:t>June 30, 2020</w:t>
            </w:r>
          </w:p>
        </w:tc>
      </w:tr>
      <w:tr>
        <w:trPr>
          <w:trHeight w:val="144"/>
        </w:trPr>
        <w:tc>
          <w:tcPr>
            <w:tcW w:w="7440" w:type="dxa"/>
            <w:vAlign w:val="bottom"/>
            <w:tcBorders>
              <w:top w:val="single" w:sz="8" w:color="CCEEFF"/>
            </w:tcBorders>
            <w:shd w:val="clear" w:color="auto" w:fill="CCEEFF"/>
          </w:tcPr>
          <w:p>
            <w:pPr>
              <w:spacing w:after="0" w:line="135" w:lineRule="exact"/>
              <w:rPr>
                <w:sz w:val="20"/>
                <w:szCs w:val="20"/>
                <w:color w:val="auto"/>
              </w:rPr>
            </w:pPr>
            <w:r>
              <w:rPr>
                <w:rFonts w:ascii="Arial" w:cs="Arial" w:eastAsia="Arial" w:hAnsi="Arial"/>
                <w:sz w:val="12"/>
                <w:szCs w:val="12"/>
                <w:color w:val="auto"/>
              </w:rPr>
              <w:t>Vacation ownership notes receivable collections — non-securitized</w:t>
            </w:r>
          </w:p>
        </w:tc>
        <w:tc>
          <w:tcPr>
            <w:tcW w:w="360" w:type="dxa"/>
            <w:vAlign w:val="bottom"/>
            <w:tcBorders>
              <w:top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110</w:t>
            </w:r>
          </w:p>
        </w:tc>
        <w:tc>
          <w:tcPr>
            <w:tcW w:w="10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ind w:right="392"/>
              <w:spacing w:after="0"/>
              <w:rPr>
                <w:sz w:val="20"/>
                <w:szCs w:val="20"/>
                <w:color w:val="auto"/>
              </w:rPr>
            </w:pPr>
            <w:r>
              <w:rPr>
                <w:rFonts w:ascii="Arial" w:cs="Arial" w:eastAsia="Arial" w:hAnsi="Arial"/>
                <w:sz w:val="10"/>
                <w:szCs w:val="10"/>
                <w:color w:val="auto"/>
                <w:w w:val="71"/>
              </w:rPr>
              <w:t>$</w:t>
            </w:r>
          </w:p>
        </w:tc>
        <w:tc>
          <w:tcPr>
            <w:tcW w:w="1380" w:type="dxa"/>
            <w:vAlign w:val="bottom"/>
            <w:tcBorders>
              <w:top w:val="single" w:sz="8" w:color="auto"/>
            </w:tcBorders>
            <w:shd w:val="clear" w:color="auto" w:fill="CCEEFF"/>
          </w:tcPr>
          <w:p>
            <w:pPr>
              <w:jc w:val="center"/>
              <w:ind w:left="1041"/>
              <w:spacing w:after="0"/>
              <w:rPr>
                <w:sz w:val="20"/>
                <w:szCs w:val="20"/>
                <w:color w:val="auto"/>
              </w:rPr>
            </w:pPr>
            <w:r>
              <w:rPr>
                <w:rFonts w:ascii="Arial" w:cs="Arial" w:eastAsia="Arial" w:hAnsi="Arial"/>
                <w:sz w:val="12"/>
                <w:szCs w:val="12"/>
                <w:color w:val="auto"/>
                <w:w w:val="79"/>
              </w:rPr>
              <w:t>113</w:t>
            </w:r>
          </w:p>
        </w:tc>
      </w:tr>
      <w:tr>
        <w:trPr>
          <w:trHeight w:val="153"/>
        </w:trPr>
        <w:tc>
          <w:tcPr>
            <w:tcW w:w="7440" w:type="dxa"/>
            <w:vAlign w:val="bottom"/>
          </w:tcPr>
          <w:p>
            <w:pPr>
              <w:spacing w:after="0"/>
              <w:rPr>
                <w:sz w:val="20"/>
                <w:szCs w:val="20"/>
                <w:color w:val="auto"/>
              </w:rPr>
            </w:pPr>
            <w:r>
              <w:rPr>
                <w:rFonts w:ascii="Arial" w:cs="Arial" w:eastAsia="Arial" w:hAnsi="Arial"/>
                <w:sz w:val="12"/>
                <w:szCs w:val="12"/>
                <w:color w:val="auto"/>
              </w:rPr>
              <w:t>Vacation ownership notes receivable collections — securitized</w:t>
            </w:r>
          </w:p>
        </w:tc>
        <w:tc>
          <w:tcPr>
            <w:tcW w:w="36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252</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80" w:type="dxa"/>
            <w:vAlign w:val="bottom"/>
          </w:tcPr>
          <w:p>
            <w:pPr>
              <w:jc w:val="center"/>
              <w:ind w:left="1021"/>
              <w:spacing w:after="0"/>
              <w:rPr>
                <w:sz w:val="20"/>
                <w:szCs w:val="20"/>
                <w:color w:val="auto"/>
              </w:rPr>
            </w:pPr>
            <w:r>
              <w:rPr>
                <w:rFonts w:ascii="Arial" w:cs="Arial" w:eastAsia="Arial" w:hAnsi="Arial"/>
                <w:sz w:val="12"/>
                <w:szCs w:val="12"/>
                <w:color w:val="auto"/>
                <w:w w:val="89"/>
              </w:rPr>
              <w:t>221</w:t>
            </w:r>
          </w:p>
        </w:tc>
      </w:tr>
      <w:tr>
        <w:trPr>
          <w:trHeight w:val="153"/>
        </w:trPr>
        <w:tc>
          <w:tcPr>
            <w:tcW w:w="7440" w:type="dxa"/>
            <w:vAlign w:val="bottom"/>
            <w:shd w:val="clear" w:color="auto" w:fill="CCEEFF"/>
          </w:tcPr>
          <w:p>
            <w:pPr>
              <w:spacing w:after="0"/>
              <w:rPr>
                <w:sz w:val="20"/>
                <w:szCs w:val="20"/>
                <w:color w:val="auto"/>
              </w:rPr>
            </w:pPr>
            <w:r>
              <w:rPr>
                <w:rFonts w:ascii="Arial" w:cs="Arial" w:eastAsia="Arial" w:hAnsi="Arial"/>
                <w:sz w:val="12"/>
                <w:szCs w:val="12"/>
                <w:color w:val="auto"/>
              </w:rPr>
              <w:t>Vacation ownership notes receivable originations</w:t>
            </w:r>
          </w:p>
        </w:tc>
        <w:tc>
          <w:tcPr>
            <w:tcW w:w="360" w:type="dxa"/>
            <w:vAlign w:val="bottom"/>
            <w:tcBorders>
              <w:bottom w:val="single" w:sz="8" w:color="auto"/>
            </w:tcBorders>
            <w:shd w:val="clear" w:color="auto" w:fill="CCEEFF"/>
          </w:tcPr>
          <w:p>
            <w:pPr>
              <w:spacing w:after="0"/>
              <w:rPr>
                <w:sz w:val="13"/>
                <w:szCs w:val="1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(320)</w:t>
            </w:r>
          </w:p>
        </w:tc>
        <w:tc>
          <w:tcPr>
            <w:tcW w:w="10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jc w:val="center"/>
              <w:ind w:left="1021"/>
              <w:spacing w:after="0"/>
              <w:rPr>
                <w:sz w:val="20"/>
                <w:szCs w:val="20"/>
                <w:color w:val="auto"/>
              </w:rPr>
            </w:pPr>
            <w:r>
              <w:rPr>
                <w:rFonts w:ascii="Arial" w:cs="Arial" w:eastAsia="Arial" w:hAnsi="Arial"/>
                <w:sz w:val="12"/>
                <w:szCs w:val="12"/>
                <w:color w:val="auto"/>
                <w:w w:val="92"/>
              </w:rPr>
              <w:t>(197)</w:t>
            </w:r>
          </w:p>
        </w:tc>
      </w:tr>
      <w:tr>
        <w:trPr>
          <w:trHeight w:val="142"/>
        </w:trPr>
        <w:tc>
          <w:tcPr>
            <w:tcW w:w="7440" w:type="dxa"/>
            <w:vAlign w:val="bottom"/>
          </w:tcPr>
          <w:p>
            <w:pPr>
              <w:ind w:left="140"/>
              <w:spacing w:after="0" w:line="133" w:lineRule="exact"/>
              <w:rPr>
                <w:sz w:val="20"/>
                <w:szCs w:val="20"/>
                <w:color w:val="auto"/>
              </w:rPr>
            </w:pPr>
            <w:r>
              <w:rPr>
                <w:rFonts w:ascii="Arial" w:cs="Arial" w:eastAsia="Arial" w:hAnsi="Arial"/>
                <w:sz w:val="12"/>
                <w:szCs w:val="12"/>
                <w:color w:val="auto"/>
              </w:rPr>
              <w:t>Vacation ownership notes receivable collections in excess of originations</w:t>
            </w:r>
          </w:p>
        </w:tc>
        <w:tc>
          <w:tcPr>
            <w:tcW w:w="3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w:t>
            </w:r>
          </w:p>
        </w:tc>
        <w:tc>
          <w:tcPr>
            <w:tcW w:w="100" w:type="dxa"/>
            <w:vAlign w:val="bottom"/>
          </w:tcPr>
          <w:p>
            <w:pPr>
              <w:spacing w:after="0"/>
              <w:rPr>
                <w:sz w:val="12"/>
                <w:szCs w:val="12"/>
                <w:color w:val="auto"/>
              </w:rPr>
            </w:pPr>
          </w:p>
        </w:tc>
        <w:tc>
          <w:tcPr>
            <w:tcW w:w="50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color w:val="auto"/>
                <w:w w:val="71"/>
              </w:rPr>
              <w:t>$</w:t>
            </w:r>
          </w:p>
        </w:tc>
        <w:tc>
          <w:tcPr>
            <w:tcW w:w="1380" w:type="dxa"/>
            <w:vAlign w:val="bottom"/>
            <w:tcBorders>
              <w:bottom w:val="single" w:sz="8" w:color="auto"/>
            </w:tcBorders>
          </w:tcPr>
          <w:p>
            <w:pPr>
              <w:jc w:val="center"/>
              <w:ind w:left="1021"/>
              <w:spacing w:after="0"/>
              <w:rPr>
                <w:sz w:val="20"/>
                <w:szCs w:val="20"/>
                <w:color w:val="auto"/>
              </w:rPr>
            </w:pPr>
            <w:r>
              <w:rPr>
                <w:rFonts w:ascii="Arial" w:cs="Arial" w:eastAsia="Arial" w:hAnsi="Arial"/>
                <w:sz w:val="12"/>
                <w:szCs w:val="12"/>
                <w:color w:val="auto"/>
                <w:w w:val="89"/>
              </w:rPr>
              <w:t>137</w:t>
            </w:r>
          </w:p>
        </w:tc>
      </w:tr>
      <w:tr>
        <w:trPr>
          <w:trHeight w:val="20"/>
        </w:trPr>
        <w:tc>
          <w:tcPr>
            <w:tcW w:w="7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ind w:right="20" w:firstLine="432"/>
        <w:spacing w:after="0" w:line="285" w:lineRule="auto"/>
        <w:rPr>
          <w:sz w:val="20"/>
          <w:szCs w:val="20"/>
          <w:color w:val="auto"/>
        </w:rPr>
      </w:pPr>
      <w:r>
        <w:rPr>
          <w:rFonts w:ascii="Arial" w:cs="Arial" w:eastAsia="Arial" w:hAnsi="Arial"/>
          <w:sz w:val="11"/>
          <w:szCs w:val="11"/>
          <w:color w:val="auto"/>
        </w:rPr>
        <w:t>Vacation ownership notes receivable collections include principal from non-securitized and securitized vacation ownership notes receivable. Vacation ownership notes receivable collections increased during the first half of 2021, as compared to the first half of 2020, due to an increase in the portfolio of securitized outstanding vacation ownership notes receivable. Vacation ownership notes receivable originations in the first half of 2021 increased due to higher sales in the first half of 2021 due to the continued ramp-up in the business, partially offset by a lower financing propensity. Financing propensity declined to 49 percent for the first half of 2021 compared to 54 percent for the first half of 2020 due to a higher percentage of sales during the current period to existing owners, who tend to have a lower financing propensity. Going forward, we expect to continue to shift back to an increased focus on sales to first-time buyers, which should increase propensity and increase interest income as new originations of vacation ownership notes receivable outpace the decline in principal of existing vacation ownership notes receivable.</w:t>
      </w:r>
    </w:p>
    <w:p>
      <w:pPr>
        <w:spacing w:after="0" w:line="104" w:lineRule="exact"/>
        <w:rPr>
          <w:sz w:val="20"/>
          <w:szCs w:val="20"/>
          <w:color w:val="auto"/>
        </w:rPr>
      </w:pPr>
    </w:p>
    <w:p>
      <w:pPr>
        <w:jc w:val="center"/>
        <w:ind w:left="420"/>
        <w:spacing w:after="0"/>
        <w:rPr>
          <w:sz w:val="20"/>
          <w:szCs w:val="20"/>
          <w:color w:val="auto"/>
        </w:rPr>
      </w:pPr>
      <w:r>
        <w:rPr>
          <w:rFonts w:ascii="Arial" w:cs="Arial" w:eastAsia="Arial" w:hAnsi="Arial"/>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191135</wp:posOffset>
            </wp:positionV>
            <wp:extent cx="7203440" cy="36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69" w:name="page70"/>
    <w:bookmarkEnd w:id="69"/>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Cash from Investing Activities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4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12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1"/>
                <w:szCs w:val="11"/>
                <w:b w:val="1"/>
                <w:bCs w:val="1"/>
                <w:color w:val="auto"/>
              </w:rPr>
              <w:t>Six Months Ended</w:t>
            </w:r>
          </w:p>
        </w:tc>
        <w:tc>
          <w:tcPr>
            <w:tcW w:w="1380" w:type="dxa"/>
            <w:vAlign w:val="bottom"/>
            <w:tcBorders>
              <w:bottom w:val="single" w:sz="8" w:color="auto"/>
            </w:tcBorders>
          </w:tcPr>
          <w:p>
            <w:pPr>
              <w:spacing w:after="0"/>
              <w:rPr>
                <w:sz w:val="12"/>
                <w:szCs w:val="12"/>
                <w:color w:val="auto"/>
              </w:rPr>
            </w:pPr>
          </w:p>
        </w:tc>
      </w:tr>
      <w:tr>
        <w:trPr>
          <w:trHeight w:val="133"/>
        </w:trPr>
        <w:tc>
          <w:tcPr>
            <w:tcW w:w="7440" w:type="dxa"/>
            <w:vAlign w:val="bottom"/>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360" w:type="dxa"/>
            <w:vAlign w:val="bottom"/>
          </w:tcPr>
          <w:p>
            <w:pPr>
              <w:spacing w:after="0"/>
              <w:rPr>
                <w:sz w:val="11"/>
                <w:szCs w:val="11"/>
                <w:color w:val="auto"/>
              </w:rPr>
            </w:pPr>
          </w:p>
        </w:tc>
        <w:tc>
          <w:tcPr>
            <w:tcW w:w="1620" w:type="dxa"/>
            <w:vAlign w:val="bottom"/>
            <w:gridSpan w:val="2"/>
          </w:tcPr>
          <w:p>
            <w:pPr>
              <w:ind w:left="280"/>
              <w:spacing w:after="0"/>
              <w:rPr>
                <w:sz w:val="20"/>
                <w:szCs w:val="20"/>
                <w:color w:val="auto"/>
              </w:rPr>
            </w:pPr>
            <w:r>
              <w:rPr>
                <w:rFonts w:ascii="Arial" w:cs="Arial" w:eastAsia="Arial" w:hAnsi="Arial"/>
                <w:sz w:val="11"/>
                <w:szCs w:val="11"/>
                <w:b w:val="1"/>
                <w:bCs w:val="1"/>
                <w:color w:val="auto"/>
              </w:rPr>
              <w:t>June 30, 2021</w:t>
            </w:r>
          </w:p>
        </w:tc>
        <w:tc>
          <w:tcPr>
            <w:tcW w:w="500" w:type="dxa"/>
            <w:vAlign w:val="bottom"/>
          </w:tcPr>
          <w:p>
            <w:pPr>
              <w:spacing w:after="0"/>
              <w:rPr>
                <w:sz w:val="11"/>
                <w:szCs w:val="11"/>
                <w:color w:val="auto"/>
              </w:rPr>
            </w:pPr>
          </w:p>
        </w:tc>
        <w:tc>
          <w:tcPr>
            <w:tcW w:w="1380" w:type="dxa"/>
            <w:vAlign w:val="bottom"/>
          </w:tcPr>
          <w:p>
            <w:pPr>
              <w:jc w:val="right"/>
              <w:ind w:right="581"/>
              <w:spacing w:after="0"/>
              <w:rPr>
                <w:sz w:val="20"/>
                <w:szCs w:val="20"/>
                <w:color w:val="auto"/>
              </w:rPr>
            </w:pPr>
            <w:r>
              <w:rPr>
                <w:rFonts w:ascii="Arial" w:cs="Arial" w:eastAsia="Arial" w:hAnsi="Arial"/>
                <w:sz w:val="11"/>
                <w:szCs w:val="11"/>
                <w:b w:val="1"/>
                <w:bCs w:val="1"/>
                <w:color w:val="auto"/>
              </w:rPr>
              <w:t>June 30, 2020</w:t>
            </w:r>
          </w:p>
        </w:tc>
      </w:tr>
      <w:tr>
        <w:trPr>
          <w:trHeight w:val="144"/>
        </w:trPr>
        <w:tc>
          <w:tcPr>
            <w:tcW w:w="7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Acquisition of a business, net of cash and restricted cash acquired</w:t>
            </w:r>
          </w:p>
        </w:tc>
        <w:tc>
          <w:tcPr>
            <w:tcW w:w="360" w:type="dxa"/>
            <w:vAlign w:val="bottom"/>
            <w:tcBorders>
              <w:top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(157)</w:t>
            </w:r>
          </w:p>
        </w:tc>
        <w:tc>
          <w:tcPr>
            <w:tcW w:w="10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ind w:right="392"/>
              <w:spacing w:after="0"/>
              <w:rPr>
                <w:sz w:val="20"/>
                <w:szCs w:val="20"/>
                <w:color w:val="auto"/>
              </w:rPr>
            </w:pPr>
            <w:r>
              <w:rPr>
                <w:rFonts w:ascii="Arial" w:cs="Arial" w:eastAsia="Arial" w:hAnsi="Arial"/>
                <w:sz w:val="10"/>
                <w:szCs w:val="10"/>
                <w:color w:val="auto"/>
                <w:w w:val="71"/>
              </w:rPr>
              <w:t>$</w:t>
            </w:r>
          </w:p>
        </w:tc>
        <w:tc>
          <w:tcPr>
            <w:tcW w:w="13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w:t>
            </w:r>
          </w:p>
        </w:tc>
      </w:tr>
      <w:tr>
        <w:trPr>
          <w:trHeight w:val="153"/>
        </w:trPr>
        <w:tc>
          <w:tcPr>
            <w:tcW w:w="7440" w:type="dxa"/>
            <w:vAlign w:val="bottom"/>
          </w:tcPr>
          <w:p>
            <w:pPr>
              <w:spacing w:after="0"/>
              <w:rPr>
                <w:sz w:val="20"/>
                <w:szCs w:val="20"/>
                <w:color w:val="auto"/>
              </w:rPr>
            </w:pPr>
            <w:r>
              <w:rPr>
                <w:rFonts w:ascii="Arial" w:cs="Arial" w:eastAsia="Arial" w:hAnsi="Arial"/>
                <w:sz w:val="12"/>
                <w:szCs w:val="12"/>
                <w:color w:val="auto"/>
              </w:rPr>
              <w:t>Capital expenditures for property and equipment (excluding inventory)</w:t>
            </w:r>
          </w:p>
        </w:tc>
        <w:tc>
          <w:tcPr>
            <w:tcW w:w="36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(11)</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(34)</w:t>
            </w:r>
          </w:p>
        </w:tc>
      </w:tr>
      <w:tr>
        <w:trPr>
          <w:trHeight w:val="153"/>
        </w:trPr>
        <w:tc>
          <w:tcPr>
            <w:tcW w:w="7440" w:type="dxa"/>
            <w:vAlign w:val="bottom"/>
            <w:shd w:val="clear" w:color="auto" w:fill="CCEEFF"/>
          </w:tcPr>
          <w:p>
            <w:pPr>
              <w:spacing w:after="0"/>
              <w:rPr>
                <w:sz w:val="20"/>
                <w:szCs w:val="20"/>
                <w:color w:val="auto"/>
              </w:rPr>
            </w:pPr>
            <w:r>
              <w:rPr>
                <w:rFonts w:ascii="Arial" w:cs="Arial" w:eastAsia="Arial" w:hAnsi="Arial"/>
                <w:sz w:val="12"/>
                <w:szCs w:val="12"/>
                <w:color w:val="auto"/>
              </w:rPr>
              <w:t>Purchase of company owned life insurance</w:t>
            </w:r>
          </w:p>
        </w:tc>
        <w:tc>
          <w:tcPr>
            <w:tcW w:w="360" w:type="dxa"/>
            <w:vAlign w:val="bottom"/>
            <w:tcBorders>
              <w:bottom w:val="single" w:sz="8" w:color="auto"/>
            </w:tcBorders>
            <w:shd w:val="clear" w:color="auto" w:fill="CCEEFF"/>
          </w:tcPr>
          <w:p>
            <w:pPr>
              <w:spacing w:after="0"/>
              <w:rPr>
                <w:sz w:val="13"/>
                <w:szCs w:val="1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w:t>
            </w:r>
          </w:p>
        </w:tc>
        <w:tc>
          <w:tcPr>
            <w:tcW w:w="10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w:t>
            </w:r>
          </w:p>
        </w:tc>
      </w:tr>
      <w:tr>
        <w:trPr>
          <w:trHeight w:val="142"/>
        </w:trPr>
        <w:tc>
          <w:tcPr>
            <w:tcW w:w="7440" w:type="dxa"/>
            <w:vAlign w:val="bottom"/>
          </w:tcPr>
          <w:p>
            <w:pPr>
              <w:ind w:left="140"/>
              <w:spacing w:after="0"/>
              <w:rPr>
                <w:sz w:val="20"/>
                <w:szCs w:val="20"/>
                <w:color w:val="auto"/>
              </w:rPr>
            </w:pPr>
            <w:r>
              <w:rPr>
                <w:rFonts w:ascii="Arial" w:cs="Arial" w:eastAsia="Arial" w:hAnsi="Arial"/>
                <w:sz w:val="12"/>
                <w:szCs w:val="12"/>
                <w:color w:val="auto"/>
              </w:rPr>
              <w:t>Net cash, cash equivalents and restricted cash used in investing activities</w:t>
            </w:r>
          </w:p>
        </w:tc>
        <w:tc>
          <w:tcPr>
            <w:tcW w:w="3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(176)</w:t>
            </w:r>
          </w:p>
        </w:tc>
        <w:tc>
          <w:tcPr>
            <w:tcW w:w="100" w:type="dxa"/>
            <w:vAlign w:val="bottom"/>
          </w:tcPr>
          <w:p>
            <w:pPr>
              <w:spacing w:after="0"/>
              <w:rPr>
                <w:sz w:val="12"/>
                <w:szCs w:val="12"/>
                <w:color w:val="auto"/>
              </w:rPr>
            </w:pPr>
          </w:p>
        </w:tc>
        <w:tc>
          <w:tcPr>
            <w:tcW w:w="50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w:t>
            </w:r>
          </w:p>
        </w:tc>
      </w:tr>
      <w:tr>
        <w:trPr>
          <w:trHeight w:val="20"/>
        </w:trPr>
        <w:tc>
          <w:tcPr>
            <w:tcW w:w="7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Acquisition of a Business, Net of Cash and Restricted Cash Acquired</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Net cash outflows of $157 million in the first half of 2021 were due to the Welk Acquisition. See Footnote 3 “Acquisitions and Dispositions” to our Financial Statements for more information.</w:t>
      </w:r>
    </w:p>
    <w:p>
      <w:pPr>
        <w:spacing w:after="0" w:line="87"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Capital Expenditures for Property and Equipment</w:t>
      </w:r>
    </w:p>
    <w:p>
      <w:pPr>
        <w:spacing w:after="0" w:line="78" w:lineRule="exact"/>
        <w:rPr>
          <w:sz w:val="20"/>
          <w:szCs w:val="20"/>
          <w:color w:val="auto"/>
        </w:rPr>
      </w:pPr>
    </w:p>
    <w:p>
      <w:pPr>
        <w:ind w:right="100" w:firstLine="432"/>
        <w:spacing w:after="0" w:line="276" w:lineRule="auto"/>
        <w:rPr>
          <w:sz w:val="20"/>
          <w:szCs w:val="20"/>
          <w:color w:val="auto"/>
        </w:rPr>
      </w:pPr>
      <w:r>
        <w:rPr>
          <w:rFonts w:ascii="Arial" w:cs="Arial" w:eastAsia="Arial" w:hAnsi="Arial"/>
          <w:sz w:val="12"/>
          <w:szCs w:val="12"/>
          <w:color w:val="auto"/>
        </w:rPr>
        <w:t>Capital expenditures for property and equipment relate to spending for technology development, buildings and equipment used at sales locations and ancillary offerings, such as food and beverage offerings, at locations where such offerings are provided. Additionally, it includes spending related to maintenance of buildings and equipment used in common areas at some of our resorts.</w:t>
      </w:r>
    </w:p>
    <w:p>
      <w:pPr>
        <w:spacing w:after="0" w:line="43" w:lineRule="exact"/>
        <w:rPr>
          <w:sz w:val="20"/>
          <w:szCs w:val="20"/>
          <w:color w:val="auto"/>
        </w:rPr>
      </w:pPr>
    </w:p>
    <w:p>
      <w:pPr>
        <w:ind w:right="80" w:firstLine="432"/>
        <w:spacing w:after="0" w:line="263" w:lineRule="auto"/>
        <w:rPr>
          <w:sz w:val="20"/>
          <w:szCs w:val="20"/>
          <w:color w:val="auto"/>
        </w:rPr>
      </w:pPr>
      <w:r>
        <w:rPr>
          <w:rFonts w:ascii="Arial" w:cs="Arial" w:eastAsia="Arial" w:hAnsi="Arial"/>
          <w:sz w:val="12"/>
          <w:szCs w:val="12"/>
          <w:color w:val="auto"/>
        </w:rPr>
        <w:t>In the first half of 2021, capital expenditures for property and equipment of $11 million included $8 million to support business operations (including $5 million for ancillary and other operations assets and $3 million for sales locations) and $3 million for technology spending. Given the impact of the COVID-19 pandemic, we significantly reduced our spending for property and equipment beginning in the second quarter of 2020. However, during the first quarter of 2021, we began to add back business critical spending with expected long term strategic benefits for our operations.</w:t>
      </w:r>
    </w:p>
    <w:p>
      <w:pPr>
        <w:spacing w:after="0" w:line="50" w:lineRule="exact"/>
        <w:rPr>
          <w:sz w:val="20"/>
          <w:szCs w:val="20"/>
          <w:color w:val="auto"/>
        </w:rPr>
      </w:pPr>
    </w:p>
    <w:p>
      <w:pPr>
        <w:ind w:right="160" w:firstLine="432"/>
        <w:spacing w:after="0" w:line="276" w:lineRule="auto"/>
        <w:rPr>
          <w:sz w:val="20"/>
          <w:szCs w:val="20"/>
          <w:color w:val="auto"/>
        </w:rPr>
      </w:pPr>
      <w:r>
        <w:rPr>
          <w:rFonts w:ascii="Arial" w:cs="Arial" w:eastAsia="Arial" w:hAnsi="Arial"/>
          <w:sz w:val="12"/>
          <w:szCs w:val="12"/>
          <w:color w:val="auto"/>
        </w:rPr>
        <w:t>In the first half of 2020, capital expenditures for property and equipment of $34 million included $30 million to support business operations (including $20 million for ancillary and other operations assets and $10 million for sales locations) and $4 million for technology spending.</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Purchase of Company Owned Life Insurance</w:t>
      </w:r>
    </w:p>
    <w:p>
      <w:pPr>
        <w:spacing w:after="0" w:line="78" w:lineRule="exact"/>
        <w:rPr>
          <w:sz w:val="20"/>
          <w:szCs w:val="20"/>
          <w:color w:val="auto"/>
        </w:rPr>
      </w:pPr>
    </w:p>
    <w:p>
      <w:pPr>
        <w:ind w:right="40" w:firstLine="432"/>
        <w:spacing w:after="0" w:line="263" w:lineRule="auto"/>
        <w:rPr>
          <w:sz w:val="20"/>
          <w:szCs w:val="20"/>
          <w:color w:val="auto"/>
        </w:rPr>
      </w:pPr>
      <w:r>
        <w:rPr>
          <w:rFonts w:ascii="Arial" w:cs="Arial" w:eastAsia="Arial" w:hAnsi="Arial"/>
          <w:sz w:val="12"/>
          <w:szCs w:val="12"/>
          <w:color w:val="auto"/>
        </w:rPr>
        <w:t>To support our ability to meet a portion of our obligations under the Marriott Vacations Worldwide Corporation Deferred Compensation Plan (the “Deferred Compensation Plan”), we acquired company owned insurance policies on the lives of certain participants in the Deferred Compensation Plan, the proceeds of which are intended to be aligned with the investment alternatives elected by plan participants. We paid $8 million and $4 million to acquire these policies during the first half of 2021 and the first half of 2020, respectively.</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Cash from Financing Activities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8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12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1"/>
                <w:szCs w:val="11"/>
                <w:b w:val="1"/>
                <w:bCs w:val="1"/>
                <w:color w:val="auto"/>
              </w:rPr>
              <w:t>Six Months Ended</w:t>
            </w:r>
          </w:p>
        </w:tc>
        <w:tc>
          <w:tcPr>
            <w:tcW w:w="13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84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260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jc w:val="right"/>
              <w:ind w:right="561"/>
              <w:spacing w:after="0"/>
              <w:rPr>
                <w:sz w:val="20"/>
                <w:szCs w:val="20"/>
                <w:color w:val="auto"/>
              </w:rPr>
            </w:pPr>
            <w:r>
              <w:rPr>
                <w:rFonts w:ascii="Arial" w:cs="Arial" w:eastAsia="Arial" w:hAnsi="Arial"/>
                <w:sz w:val="11"/>
                <w:szCs w:val="11"/>
                <w:b w:val="1"/>
                <w:bCs w:val="1"/>
                <w:color w:val="auto"/>
              </w:rPr>
              <w:t>June 30, 2021</w:t>
            </w:r>
          </w:p>
        </w:tc>
        <w:tc>
          <w:tcPr>
            <w:tcW w:w="100" w:type="dxa"/>
            <w:vAlign w:val="bottom"/>
            <w:tcBorders>
              <w:bottom w:val="single" w:sz="8" w:color="CCEEFF"/>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jc w:val="right"/>
              <w:ind w:right="580"/>
              <w:spacing w:after="0"/>
              <w:rPr>
                <w:sz w:val="20"/>
                <w:szCs w:val="20"/>
                <w:color w:val="auto"/>
              </w:rPr>
            </w:pPr>
            <w:r>
              <w:rPr>
                <w:rFonts w:ascii="Arial" w:cs="Arial" w:eastAsia="Arial" w:hAnsi="Arial"/>
                <w:sz w:val="11"/>
                <w:szCs w:val="11"/>
                <w:b w:val="1"/>
                <w:bCs w:val="1"/>
                <w:color w:val="auto"/>
              </w:rPr>
              <w:t>June 30, 2020</w:t>
            </w:r>
          </w:p>
        </w:tc>
        <w:tc>
          <w:tcPr>
            <w:tcW w:w="0" w:type="dxa"/>
            <w:vAlign w:val="bottom"/>
          </w:tcPr>
          <w:p>
            <w:pPr>
              <w:spacing w:after="0"/>
              <w:rPr>
                <w:sz w:val="1"/>
                <w:szCs w:val="1"/>
                <w:color w:val="auto"/>
              </w:rPr>
            </w:pPr>
          </w:p>
        </w:tc>
      </w:tr>
      <w:tr>
        <w:trPr>
          <w:trHeight w:val="144"/>
        </w:trPr>
        <w:tc>
          <w:tcPr>
            <w:tcW w:w="4840" w:type="dxa"/>
            <w:vAlign w:val="bottom"/>
            <w:shd w:val="clear" w:color="auto" w:fill="CCEEFF"/>
          </w:tcPr>
          <w:p>
            <w:pPr>
              <w:spacing w:after="0"/>
              <w:rPr>
                <w:sz w:val="20"/>
                <w:szCs w:val="20"/>
                <w:color w:val="auto"/>
              </w:rPr>
            </w:pPr>
            <w:r>
              <w:rPr>
                <w:rFonts w:ascii="Arial" w:cs="Arial" w:eastAsia="Arial" w:hAnsi="Arial"/>
                <w:sz w:val="12"/>
                <w:szCs w:val="12"/>
                <w:color w:val="auto"/>
              </w:rPr>
              <w:t>Borrowings from securitization transactions</w:t>
            </w:r>
          </w:p>
        </w:tc>
        <w:tc>
          <w:tcPr>
            <w:tcW w:w="29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425</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392"/>
              <w:spacing w:after="0"/>
              <w:rPr>
                <w:sz w:val="20"/>
                <w:szCs w:val="20"/>
                <w:color w:val="auto"/>
              </w:rPr>
            </w:pPr>
            <w:r>
              <w:rPr>
                <w:rFonts w:ascii="Arial" w:cs="Arial" w:eastAsia="Arial" w:hAnsi="Arial"/>
                <w:sz w:val="10"/>
                <w:szCs w:val="10"/>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315</w:t>
            </w:r>
          </w:p>
        </w:tc>
        <w:tc>
          <w:tcPr>
            <w:tcW w:w="0" w:type="dxa"/>
            <w:vAlign w:val="bottom"/>
          </w:tcPr>
          <w:p>
            <w:pPr>
              <w:spacing w:after="0"/>
              <w:rPr>
                <w:sz w:val="1"/>
                <w:szCs w:val="1"/>
                <w:color w:val="auto"/>
              </w:rPr>
            </w:pPr>
          </w:p>
        </w:tc>
      </w:tr>
      <w:tr>
        <w:trPr>
          <w:trHeight w:val="153"/>
        </w:trPr>
        <w:tc>
          <w:tcPr>
            <w:tcW w:w="4840" w:type="dxa"/>
            <w:vAlign w:val="bottom"/>
          </w:tcPr>
          <w:p>
            <w:pPr>
              <w:spacing w:after="0"/>
              <w:rPr>
                <w:sz w:val="20"/>
                <w:szCs w:val="20"/>
                <w:color w:val="auto"/>
              </w:rPr>
            </w:pPr>
            <w:r>
              <w:rPr>
                <w:rFonts w:ascii="Arial" w:cs="Arial" w:eastAsia="Arial" w:hAnsi="Arial"/>
                <w:sz w:val="12"/>
                <w:szCs w:val="12"/>
                <w:color w:val="auto"/>
              </w:rPr>
              <w:t>Repayment of debt related to securitization transactions</w:t>
            </w:r>
          </w:p>
        </w:tc>
        <w:tc>
          <w:tcPr>
            <w:tcW w:w="2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(420)</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(302)</w:t>
            </w:r>
          </w:p>
        </w:tc>
        <w:tc>
          <w:tcPr>
            <w:tcW w:w="0" w:type="dxa"/>
            <w:vAlign w:val="bottom"/>
          </w:tcPr>
          <w:p>
            <w:pPr>
              <w:spacing w:after="0"/>
              <w:rPr>
                <w:sz w:val="1"/>
                <w:szCs w:val="1"/>
                <w:color w:val="auto"/>
              </w:rPr>
            </w:pPr>
          </w:p>
        </w:tc>
      </w:tr>
      <w:tr>
        <w:trPr>
          <w:trHeight w:val="153"/>
        </w:trPr>
        <w:tc>
          <w:tcPr>
            <w:tcW w:w="4840" w:type="dxa"/>
            <w:vAlign w:val="bottom"/>
            <w:shd w:val="clear" w:color="auto" w:fill="CCEEFF"/>
          </w:tcPr>
          <w:p>
            <w:pPr>
              <w:spacing w:after="0"/>
              <w:rPr>
                <w:sz w:val="20"/>
                <w:szCs w:val="20"/>
                <w:color w:val="auto"/>
              </w:rPr>
            </w:pPr>
            <w:r>
              <w:rPr>
                <w:rFonts w:ascii="Arial" w:cs="Arial" w:eastAsia="Arial" w:hAnsi="Arial"/>
                <w:sz w:val="12"/>
                <w:szCs w:val="12"/>
                <w:color w:val="auto"/>
              </w:rPr>
              <w:t>Proceeds from debt</w:t>
            </w:r>
          </w:p>
        </w:tc>
        <w:tc>
          <w:tcPr>
            <w:tcW w:w="26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1,061</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1,166</w:t>
            </w:r>
          </w:p>
        </w:tc>
        <w:tc>
          <w:tcPr>
            <w:tcW w:w="0" w:type="dxa"/>
            <w:vAlign w:val="bottom"/>
          </w:tcPr>
          <w:p>
            <w:pPr>
              <w:spacing w:after="0"/>
              <w:rPr>
                <w:sz w:val="1"/>
                <w:szCs w:val="1"/>
                <w:color w:val="auto"/>
              </w:rPr>
            </w:pPr>
          </w:p>
        </w:tc>
      </w:tr>
      <w:tr>
        <w:trPr>
          <w:trHeight w:val="153"/>
        </w:trPr>
        <w:tc>
          <w:tcPr>
            <w:tcW w:w="4840" w:type="dxa"/>
            <w:vAlign w:val="bottom"/>
          </w:tcPr>
          <w:p>
            <w:pPr>
              <w:spacing w:after="0"/>
              <w:rPr>
                <w:sz w:val="20"/>
                <w:szCs w:val="20"/>
                <w:color w:val="auto"/>
              </w:rPr>
            </w:pPr>
            <w:r>
              <w:rPr>
                <w:rFonts w:ascii="Arial" w:cs="Arial" w:eastAsia="Arial" w:hAnsi="Arial"/>
                <w:sz w:val="12"/>
                <w:szCs w:val="12"/>
                <w:color w:val="auto"/>
              </w:rPr>
              <w:t>Repayments of debt</w:t>
            </w:r>
          </w:p>
        </w:tc>
        <w:tc>
          <w:tcPr>
            <w:tcW w:w="2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(289)</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(701)</w:t>
            </w:r>
          </w:p>
        </w:tc>
        <w:tc>
          <w:tcPr>
            <w:tcW w:w="0" w:type="dxa"/>
            <w:vAlign w:val="bottom"/>
          </w:tcPr>
          <w:p>
            <w:pPr>
              <w:spacing w:after="0"/>
              <w:rPr>
                <w:sz w:val="1"/>
                <w:szCs w:val="1"/>
                <w:color w:val="auto"/>
              </w:rPr>
            </w:pPr>
          </w:p>
        </w:tc>
      </w:tr>
      <w:tr>
        <w:trPr>
          <w:trHeight w:val="153"/>
        </w:trPr>
        <w:tc>
          <w:tcPr>
            <w:tcW w:w="4840" w:type="dxa"/>
            <w:vAlign w:val="bottom"/>
            <w:shd w:val="clear" w:color="auto" w:fill="CCEEFF"/>
          </w:tcPr>
          <w:p>
            <w:pPr>
              <w:spacing w:after="0"/>
              <w:rPr>
                <w:sz w:val="20"/>
                <w:szCs w:val="20"/>
                <w:color w:val="auto"/>
              </w:rPr>
            </w:pPr>
            <w:r>
              <w:rPr>
                <w:rFonts w:ascii="Arial" w:cs="Arial" w:eastAsia="Arial" w:hAnsi="Arial"/>
                <w:sz w:val="12"/>
                <w:szCs w:val="12"/>
                <w:color w:val="auto"/>
              </w:rPr>
              <w:t>Purchase of convertible note hedges</w:t>
            </w:r>
          </w:p>
        </w:tc>
        <w:tc>
          <w:tcPr>
            <w:tcW w:w="26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4840" w:type="dxa"/>
            <w:vAlign w:val="bottom"/>
          </w:tcPr>
          <w:p>
            <w:pPr>
              <w:spacing w:after="0"/>
              <w:rPr>
                <w:sz w:val="20"/>
                <w:szCs w:val="20"/>
                <w:color w:val="auto"/>
              </w:rPr>
            </w:pPr>
            <w:r>
              <w:rPr>
                <w:rFonts w:ascii="Arial" w:cs="Arial" w:eastAsia="Arial" w:hAnsi="Arial"/>
                <w:sz w:val="12"/>
                <w:szCs w:val="12"/>
                <w:color w:val="auto"/>
              </w:rPr>
              <w:t>Proceeds from issuance of warrants</w:t>
            </w:r>
          </w:p>
        </w:tc>
        <w:tc>
          <w:tcPr>
            <w:tcW w:w="2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70</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4840" w:type="dxa"/>
            <w:vAlign w:val="bottom"/>
            <w:shd w:val="clear" w:color="auto" w:fill="CCEEFF"/>
          </w:tcPr>
          <w:p>
            <w:pPr>
              <w:spacing w:after="0"/>
              <w:rPr>
                <w:sz w:val="20"/>
                <w:szCs w:val="20"/>
                <w:color w:val="auto"/>
              </w:rPr>
            </w:pPr>
            <w:r>
              <w:rPr>
                <w:rFonts w:ascii="Arial" w:cs="Arial" w:eastAsia="Arial" w:hAnsi="Arial"/>
                <w:sz w:val="12"/>
                <w:szCs w:val="12"/>
                <w:color w:val="auto"/>
              </w:rPr>
              <w:t>Finance lease payment</w:t>
            </w:r>
          </w:p>
        </w:tc>
        <w:tc>
          <w:tcPr>
            <w:tcW w:w="26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153"/>
        </w:trPr>
        <w:tc>
          <w:tcPr>
            <w:tcW w:w="4840" w:type="dxa"/>
            <w:vAlign w:val="bottom"/>
          </w:tcPr>
          <w:p>
            <w:pPr>
              <w:spacing w:after="0"/>
              <w:rPr>
                <w:sz w:val="20"/>
                <w:szCs w:val="20"/>
                <w:color w:val="auto"/>
              </w:rPr>
            </w:pPr>
            <w:r>
              <w:rPr>
                <w:rFonts w:ascii="Arial" w:cs="Arial" w:eastAsia="Arial" w:hAnsi="Arial"/>
                <w:sz w:val="12"/>
                <w:szCs w:val="12"/>
                <w:color w:val="auto"/>
              </w:rPr>
              <w:t>Debt issuance costs</w:t>
            </w:r>
          </w:p>
        </w:tc>
        <w:tc>
          <w:tcPr>
            <w:tcW w:w="2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(15)</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(9)</w:t>
            </w:r>
          </w:p>
        </w:tc>
        <w:tc>
          <w:tcPr>
            <w:tcW w:w="0" w:type="dxa"/>
            <w:vAlign w:val="bottom"/>
          </w:tcPr>
          <w:p>
            <w:pPr>
              <w:spacing w:after="0"/>
              <w:rPr>
                <w:sz w:val="1"/>
                <w:szCs w:val="1"/>
                <w:color w:val="auto"/>
              </w:rPr>
            </w:pPr>
          </w:p>
        </w:tc>
      </w:tr>
      <w:tr>
        <w:trPr>
          <w:trHeight w:val="153"/>
        </w:trPr>
        <w:tc>
          <w:tcPr>
            <w:tcW w:w="4840" w:type="dxa"/>
            <w:vAlign w:val="bottom"/>
            <w:shd w:val="clear" w:color="auto" w:fill="CCEEFF"/>
          </w:tcPr>
          <w:p>
            <w:pPr>
              <w:spacing w:after="0"/>
              <w:rPr>
                <w:sz w:val="20"/>
                <w:szCs w:val="20"/>
                <w:color w:val="auto"/>
              </w:rPr>
            </w:pPr>
            <w:r>
              <w:rPr>
                <w:rFonts w:ascii="Arial" w:cs="Arial" w:eastAsia="Arial" w:hAnsi="Arial"/>
                <w:sz w:val="12"/>
                <w:szCs w:val="12"/>
                <w:color w:val="auto"/>
              </w:rPr>
              <w:t>Repurchase of common stock</w:t>
            </w:r>
          </w:p>
        </w:tc>
        <w:tc>
          <w:tcPr>
            <w:tcW w:w="26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spacing w:after="0"/>
              <w:rPr>
                <w:sz w:val="13"/>
                <w:szCs w:val="1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w:t>
            </w:r>
          </w:p>
        </w:tc>
        <w:tc>
          <w:tcPr>
            <w:tcW w:w="0" w:type="dxa"/>
            <w:vAlign w:val="bottom"/>
          </w:tcPr>
          <w:p>
            <w:pPr>
              <w:spacing w:after="0"/>
              <w:rPr>
                <w:sz w:val="1"/>
                <w:szCs w:val="1"/>
                <w:color w:val="auto"/>
              </w:rPr>
            </w:pPr>
          </w:p>
        </w:tc>
      </w:tr>
      <w:tr>
        <w:trPr>
          <w:trHeight w:val="153"/>
        </w:trPr>
        <w:tc>
          <w:tcPr>
            <w:tcW w:w="4840" w:type="dxa"/>
            <w:vAlign w:val="bottom"/>
          </w:tcPr>
          <w:p>
            <w:pPr>
              <w:spacing w:after="0"/>
              <w:rPr>
                <w:sz w:val="20"/>
                <w:szCs w:val="20"/>
                <w:color w:val="auto"/>
              </w:rPr>
            </w:pPr>
            <w:r>
              <w:rPr>
                <w:rFonts w:ascii="Arial" w:cs="Arial" w:eastAsia="Arial" w:hAnsi="Arial"/>
                <w:sz w:val="12"/>
                <w:szCs w:val="12"/>
                <w:color w:val="auto"/>
              </w:rPr>
              <w:t>Payment of dividends</w:t>
            </w:r>
          </w:p>
        </w:tc>
        <w:tc>
          <w:tcPr>
            <w:tcW w:w="2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50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(45)</w:t>
            </w:r>
          </w:p>
        </w:tc>
        <w:tc>
          <w:tcPr>
            <w:tcW w:w="0" w:type="dxa"/>
            <w:vAlign w:val="bottom"/>
          </w:tcPr>
          <w:p>
            <w:pPr>
              <w:spacing w:after="0"/>
              <w:rPr>
                <w:sz w:val="1"/>
                <w:szCs w:val="1"/>
                <w:color w:val="auto"/>
              </w:rPr>
            </w:pPr>
          </w:p>
        </w:tc>
      </w:tr>
      <w:tr>
        <w:trPr>
          <w:trHeight w:val="153"/>
        </w:trPr>
        <w:tc>
          <w:tcPr>
            <w:tcW w:w="4840" w:type="dxa"/>
            <w:vAlign w:val="bottom"/>
            <w:shd w:val="clear" w:color="auto" w:fill="CCEEFF"/>
          </w:tcPr>
          <w:p>
            <w:pPr>
              <w:spacing w:after="0"/>
              <w:rPr>
                <w:sz w:val="20"/>
                <w:szCs w:val="20"/>
                <w:color w:val="auto"/>
              </w:rPr>
            </w:pPr>
            <w:r>
              <w:rPr>
                <w:rFonts w:ascii="Arial" w:cs="Arial" w:eastAsia="Arial" w:hAnsi="Arial"/>
                <w:sz w:val="12"/>
                <w:szCs w:val="12"/>
                <w:color w:val="auto"/>
              </w:rPr>
              <w:t>Payment of withholding taxes on vesting of restricted stock units</w:t>
            </w:r>
          </w:p>
        </w:tc>
        <w:tc>
          <w:tcPr>
            <w:tcW w:w="260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w:t>
            </w:r>
          </w:p>
        </w:tc>
        <w:tc>
          <w:tcPr>
            <w:tcW w:w="10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0" w:type="dxa"/>
            <w:vAlign w:val="bottom"/>
          </w:tcPr>
          <w:p>
            <w:pPr>
              <w:spacing w:after="0"/>
              <w:rPr>
                <w:sz w:val="1"/>
                <w:szCs w:val="1"/>
                <w:color w:val="auto"/>
              </w:rPr>
            </w:pPr>
          </w:p>
        </w:tc>
      </w:tr>
      <w:tr>
        <w:trPr>
          <w:trHeight w:val="142"/>
        </w:trPr>
        <w:tc>
          <w:tcPr>
            <w:tcW w:w="4840" w:type="dxa"/>
            <w:vAlign w:val="bottom"/>
          </w:tcPr>
          <w:p>
            <w:pPr>
              <w:ind w:left="140"/>
              <w:spacing w:after="0"/>
              <w:rPr>
                <w:sz w:val="20"/>
                <w:szCs w:val="20"/>
                <w:color w:val="auto"/>
              </w:rPr>
            </w:pPr>
            <w:r>
              <w:rPr>
                <w:rFonts w:ascii="Arial" w:cs="Arial" w:eastAsia="Arial" w:hAnsi="Arial"/>
                <w:sz w:val="12"/>
                <w:szCs w:val="12"/>
                <w:color w:val="auto"/>
              </w:rPr>
              <w:t>Net cash, cash equivalents and restricted cash provided by financing activities</w:t>
            </w:r>
          </w:p>
        </w:tc>
        <w:tc>
          <w:tcPr>
            <w:tcW w:w="29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520" w:type="dxa"/>
            <w:vAlign w:val="bottom"/>
          </w:tcPr>
          <w:p>
            <w:pPr>
              <w:jc w:val="right"/>
              <w:spacing w:after="0"/>
              <w:rPr>
                <w:sz w:val="20"/>
                <w:szCs w:val="20"/>
                <w:color w:val="auto"/>
              </w:rPr>
            </w:pPr>
            <w:r>
              <w:rPr>
                <w:rFonts w:ascii="Arial" w:cs="Arial" w:eastAsia="Arial" w:hAnsi="Arial"/>
                <w:sz w:val="12"/>
                <w:szCs w:val="12"/>
                <w:color w:val="auto"/>
              </w:rPr>
              <w:t>716</w:t>
            </w:r>
          </w:p>
        </w:tc>
        <w:tc>
          <w:tcPr>
            <w:tcW w:w="100" w:type="dxa"/>
            <w:vAlign w:val="bottom"/>
          </w:tcPr>
          <w:p>
            <w:pPr>
              <w:spacing w:after="0"/>
              <w:rPr>
                <w:sz w:val="12"/>
                <w:szCs w:val="12"/>
                <w:color w:val="auto"/>
              </w:rPr>
            </w:pPr>
          </w:p>
        </w:tc>
        <w:tc>
          <w:tcPr>
            <w:tcW w:w="500" w:type="dxa"/>
            <w:vAlign w:val="bottom"/>
          </w:tcPr>
          <w:p>
            <w:pPr>
              <w:jc w:val="right"/>
              <w:ind w:right="392"/>
              <w:spacing w:after="0"/>
              <w:rPr>
                <w:sz w:val="20"/>
                <w:szCs w:val="20"/>
                <w:color w:val="auto"/>
              </w:rPr>
            </w:pPr>
            <w:r>
              <w:rPr>
                <w:rFonts w:ascii="Arial" w:cs="Arial" w:eastAsia="Arial" w:hAnsi="Arial"/>
                <w:sz w:val="10"/>
                <w:szCs w:val="10"/>
                <w:color w:val="auto"/>
                <w:w w:val="71"/>
              </w:rPr>
              <w:t>$</w:t>
            </w:r>
          </w:p>
        </w:tc>
        <w:tc>
          <w:tcPr>
            <w:tcW w:w="1380" w:type="dxa"/>
            <w:vAlign w:val="bottom"/>
          </w:tcPr>
          <w:p>
            <w:pPr>
              <w:jc w:val="right"/>
              <w:spacing w:after="0"/>
              <w:rPr>
                <w:sz w:val="20"/>
                <w:szCs w:val="20"/>
                <w:color w:val="auto"/>
              </w:rPr>
            </w:pPr>
            <w:r>
              <w:rPr>
                <w:rFonts w:ascii="Arial" w:cs="Arial" w:eastAsia="Arial" w:hAnsi="Arial"/>
                <w:sz w:val="12"/>
                <w:szCs w:val="12"/>
                <w:color w:val="auto"/>
              </w:rPr>
              <w:t>320</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600" w:type="dxa"/>
            <w:vAlign w:val="bottom"/>
            <w:vMerge w:val="restart"/>
          </w:tcPr>
          <w:p>
            <w:pPr>
              <w:jc w:val="right"/>
              <w:ind w:right="1460"/>
              <w:spacing w:after="0"/>
              <w:rPr>
                <w:sz w:val="20"/>
                <w:szCs w:val="20"/>
                <w:color w:val="auto"/>
              </w:rPr>
            </w:pPr>
            <w:r>
              <w:rPr>
                <w:rFonts w:ascii="Arial" w:cs="Arial" w:eastAsia="Arial" w:hAnsi="Arial"/>
                <w:sz w:val="12"/>
                <w:szCs w:val="12"/>
                <w:color w:val="auto"/>
              </w:rPr>
              <w:t>68</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84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484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70" w:name="page71"/>
    <w:bookmarkEnd w:id="70"/>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Borrowings from / Repayment of Debt Related to Securitization Transactions</w:t>
      </w:r>
    </w:p>
    <w:p>
      <w:pPr>
        <w:spacing w:after="0" w:line="78" w:lineRule="exact"/>
        <w:rPr>
          <w:sz w:val="20"/>
          <w:szCs w:val="20"/>
          <w:color w:val="auto"/>
        </w:rPr>
      </w:pPr>
    </w:p>
    <w:p>
      <w:pPr>
        <w:ind w:right="320" w:firstLine="432"/>
        <w:spacing w:after="0" w:line="263" w:lineRule="auto"/>
        <w:rPr>
          <w:sz w:val="20"/>
          <w:szCs w:val="20"/>
          <w:color w:val="auto"/>
        </w:rPr>
      </w:pPr>
      <w:r>
        <w:rPr>
          <w:rFonts w:ascii="Arial" w:cs="Arial" w:eastAsia="Arial" w:hAnsi="Arial"/>
          <w:sz w:val="12"/>
          <w:szCs w:val="12"/>
          <w:color w:val="auto"/>
        </w:rPr>
        <w:t>We reflect proceeds from securitizations of vacation ownership notes receivable, including draw downs on the Warehouse Credit Facility, as “Borrowings from securitization transactions.” We reflect repayments of bonds associated with vacation ownership notes receivable securitizations and repayments on the Warehouse Credit Facility (including vacation ownership notes receivable repurchases) as “Repayment of debt related to securitization transactions.”</w:t>
      </w:r>
    </w:p>
    <w:p>
      <w:pPr>
        <w:spacing w:after="0" w:line="50" w:lineRule="exact"/>
        <w:rPr>
          <w:sz w:val="20"/>
          <w:szCs w:val="20"/>
          <w:color w:val="auto"/>
        </w:rPr>
      </w:pPr>
    </w:p>
    <w:p>
      <w:pPr>
        <w:ind w:firstLine="432"/>
        <w:spacing w:after="0" w:line="323" w:lineRule="auto"/>
        <w:rPr>
          <w:sz w:val="20"/>
          <w:szCs w:val="20"/>
          <w:color w:val="auto"/>
        </w:rPr>
      </w:pPr>
      <w:r>
        <w:rPr>
          <w:rFonts w:ascii="Arial" w:cs="Arial" w:eastAsia="Arial" w:hAnsi="Arial"/>
          <w:sz w:val="11"/>
          <w:szCs w:val="11"/>
          <w:color w:val="auto"/>
        </w:rPr>
        <w:t>During the first half of 2021, we completed a securitization of vacation ownership notes receivables, issuing $434 million of notes at an overall average weighted interest rate of 1.5% and a 98% gross advance rate, the lowest interest rate ever achieved by a MVW 144A securitization, generating net proceeds of $425 million. See Footnote 12 "Securitized Debt" to our Financial Statements for additional information regarding this transaction.</w:t>
      </w:r>
    </w:p>
    <w:p>
      <w:pPr>
        <w:spacing w:after="0" w:line="2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As of June 30, 2021, $97 million of gross vacation ownership notes receivable were eligible for securitization.</w:t>
      </w:r>
    </w:p>
    <w:p>
      <w:pPr>
        <w:spacing w:after="0" w:line="78" w:lineRule="exact"/>
        <w:rPr>
          <w:sz w:val="20"/>
          <w:szCs w:val="20"/>
          <w:color w:val="auto"/>
        </w:rPr>
      </w:pPr>
    </w:p>
    <w:p>
      <w:pPr>
        <w:ind w:right="180" w:firstLine="432"/>
        <w:spacing w:after="0" w:line="276" w:lineRule="auto"/>
        <w:rPr>
          <w:sz w:val="20"/>
          <w:szCs w:val="20"/>
          <w:color w:val="auto"/>
        </w:rPr>
      </w:pPr>
      <w:r>
        <w:rPr>
          <w:rFonts w:ascii="Arial" w:cs="Arial" w:eastAsia="Arial" w:hAnsi="Arial"/>
          <w:sz w:val="12"/>
          <w:szCs w:val="12"/>
          <w:color w:val="auto"/>
        </w:rPr>
        <w:t>During the first half of 2020, we securitized vacation ownership notes receivable under our Warehouse Credit Facility. The total carrying amount of the vacation ownership notes receivable securitized was $372 million. The average advance rate was 85 percent, which resulted in total gross proceeds of $315 million.</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Proceeds from / Repayments of Debt</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2"/>
          <w:szCs w:val="12"/>
          <w:i w:val="1"/>
          <w:iCs w:val="1"/>
          <w:u w:val="single" w:color="auto"/>
          <w:color w:val="auto"/>
        </w:rPr>
        <w:t>Borrowings from / Repayment of Corporate Credit Facility</w:t>
      </w:r>
    </w:p>
    <w:p>
      <w:pPr>
        <w:spacing w:after="0" w:line="78" w:lineRule="exact"/>
        <w:rPr>
          <w:sz w:val="20"/>
          <w:szCs w:val="20"/>
          <w:color w:val="auto"/>
        </w:rPr>
      </w:pPr>
    </w:p>
    <w:p>
      <w:pPr>
        <w:ind w:right="80" w:firstLine="432"/>
        <w:spacing w:after="0" w:line="276" w:lineRule="auto"/>
        <w:rPr>
          <w:sz w:val="20"/>
          <w:szCs w:val="20"/>
          <w:color w:val="auto"/>
        </w:rPr>
      </w:pPr>
      <w:r>
        <w:rPr>
          <w:rFonts w:ascii="Arial" w:cs="Arial" w:eastAsia="Arial" w:hAnsi="Arial"/>
          <w:sz w:val="12"/>
          <w:szCs w:val="12"/>
          <w:color w:val="auto"/>
        </w:rPr>
        <w:t>During the first half of 2021, we repaid $100 million of the amount outstanding under the Term Loan, which is part of our Corporate Credit Facility. We had no borrowings or repayments under our Revolving Corporate Credit Facility during the first half of 2021 and also had no amounts outstanding as of June 30, 2021.</w:t>
      </w:r>
    </w:p>
    <w:p>
      <w:pPr>
        <w:spacing w:after="0" w:line="43" w:lineRule="exact"/>
        <w:rPr>
          <w:sz w:val="20"/>
          <w:szCs w:val="20"/>
          <w:color w:val="auto"/>
        </w:rPr>
      </w:pPr>
    </w:p>
    <w:p>
      <w:pPr>
        <w:jc w:val="both"/>
        <w:ind w:right="160" w:firstLine="432"/>
        <w:spacing w:after="0" w:line="263" w:lineRule="auto"/>
        <w:rPr>
          <w:sz w:val="20"/>
          <w:szCs w:val="20"/>
          <w:color w:val="auto"/>
        </w:rPr>
      </w:pPr>
      <w:r>
        <w:rPr>
          <w:rFonts w:ascii="Arial" w:cs="Arial" w:eastAsia="Arial" w:hAnsi="Arial"/>
          <w:sz w:val="12"/>
          <w:szCs w:val="12"/>
          <w:color w:val="auto"/>
        </w:rPr>
        <w:t>During the first half of 2020, we borrowed $666 million under our Revolving Corporate Credit Facility to facilitate the funding of our short-term working capital needs and to increase our cash position and preserve financial flexibility in light of the impact on global markets resulting from the COVID-19 pandemic. We later repaid $696 million during the first half of 2020 and had no amounts outstanding as of June 30, 2020. During the first half of 2020, we also repaid $5 million of the amount outstanding under the Term Loan.</w:t>
      </w:r>
    </w:p>
    <w:p>
      <w:pPr>
        <w:spacing w:after="0" w:line="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See Footnote 13 “Debt” to our Financial Statements for additional information regarding our Corporate Credit Facility that includes our Revolving Corporate Credit Facility and the Term Loan.</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i w:val="1"/>
          <w:iCs w:val="1"/>
          <w:u w:val="single" w:color="auto"/>
          <w:color w:val="auto"/>
        </w:rPr>
        <w:t>Proceeds from Senior Notes</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During the first half of 2021, we issued $500 million of 2029 Notes and used the proceeds in early July to repay $500 million of $750 million of outstanding principal of the 2026 Notes.</w:t>
      </w:r>
    </w:p>
    <w:p>
      <w:pPr>
        <w:spacing w:after="0" w:line="78" w:lineRule="exact"/>
        <w:rPr>
          <w:sz w:val="20"/>
          <w:szCs w:val="20"/>
          <w:color w:val="auto"/>
        </w:rPr>
      </w:pPr>
    </w:p>
    <w:p>
      <w:pPr>
        <w:ind w:firstLine="432"/>
        <w:spacing w:after="0" w:line="323" w:lineRule="auto"/>
        <w:rPr>
          <w:sz w:val="20"/>
          <w:szCs w:val="20"/>
          <w:color w:val="auto"/>
        </w:rPr>
      </w:pPr>
      <w:r>
        <w:rPr>
          <w:rFonts w:ascii="Arial" w:cs="Arial" w:eastAsia="Arial" w:hAnsi="Arial"/>
          <w:sz w:val="11"/>
          <w:szCs w:val="11"/>
          <w:color w:val="auto"/>
        </w:rPr>
        <w:t>During the first half of 2020, we issued $500 million of the 2025 Notes that are pari passu with and secured by the same collateral as our Corporate Credit Facility. After deducting offering expenses and the underwriting discount, we received net proceeds of approximately $493 million from the offering of the 2025 Notes, which were used to repay all then outstanding amounts on the Revolving Corporate Credit Facility.</w:t>
      </w:r>
    </w:p>
    <w:p>
      <w:pPr>
        <w:spacing w:after="0" w:line="2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See Footnote 13 "Debt" to our Financial Statements for additional information related to these notes.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i w:val="1"/>
          <w:iCs w:val="1"/>
          <w:u w:val="single" w:color="auto"/>
          <w:color w:val="auto"/>
        </w:rPr>
        <w:t>Proceeds from Convertible Notes</w:t>
      </w:r>
    </w:p>
    <w:p>
      <w:pPr>
        <w:spacing w:after="0" w:line="78" w:lineRule="exact"/>
        <w:rPr>
          <w:sz w:val="20"/>
          <w:szCs w:val="20"/>
          <w:color w:val="auto"/>
        </w:rPr>
      </w:pPr>
    </w:p>
    <w:p>
      <w:pPr>
        <w:ind w:right="20" w:firstLine="432"/>
        <w:spacing w:after="0" w:line="259" w:lineRule="auto"/>
        <w:rPr>
          <w:sz w:val="20"/>
          <w:szCs w:val="20"/>
          <w:color w:val="auto"/>
        </w:rPr>
      </w:pPr>
      <w:r>
        <w:rPr>
          <w:rFonts w:ascii="Arial" w:cs="Arial" w:eastAsia="Arial" w:hAnsi="Arial"/>
          <w:sz w:val="12"/>
          <w:szCs w:val="12"/>
          <w:color w:val="auto"/>
        </w:rPr>
        <w:t>During the first half of 2021, we issued $575 million of 2026 Convertible Notes, as discussed further in Footnote 13 “Debt” to our Financial Statements. We received net proceeds from the offering of approximately $530 million after adjusting for debt issuance costs, including the discount to the initial purchasers, the cost of the 2026 Convertible Note Hedges, and proceeds from the 2026 Warrants. We used, or expect to use, the net proceeds from the 2026 Convertible Notes to (i) complete the acquisition of Welk, (ii) repay a portion of our term loan and (iii) in each case, pay transaction expenses and other fees in connection therewith, and to the extent of any remaining proceeds, for other general corporate purposes.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2"/>
          <w:szCs w:val="12"/>
          <w:i w:val="1"/>
          <w:iCs w:val="1"/>
          <w:u w:val="single" w:color="auto"/>
          <w:color w:val="auto"/>
        </w:rPr>
        <w:t>Repayment of Debt Assumed from Welk Acquisition</w:t>
      </w:r>
    </w:p>
    <w:p>
      <w:pPr>
        <w:spacing w:after="0" w:line="78"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During the first half of 2021, subsequent to the Welk Acquisition, we repaid all outstanding debt obligations, excluding securitized debt, of Welk and its subsidiaries that were assumed as part of the Welk Acquisition. The total amount of repayments related to these debt obligations was $189 million.</w:t>
      </w:r>
    </w:p>
    <w:p>
      <w:pPr>
        <w:spacing w:after="0" w:line="106" w:lineRule="exact"/>
        <w:rPr>
          <w:sz w:val="20"/>
          <w:szCs w:val="20"/>
          <w:color w:val="auto"/>
        </w:rPr>
      </w:pPr>
    </w:p>
    <w:p>
      <w:pPr>
        <w:jc w:val="center"/>
        <w:ind w:left="420"/>
        <w:spacing w:after="0"/>
        <w:rPr>
          <w:sz w:val="20"/>
          <w:szCs w:val="20"/>
          <w:color w:val="auto"/>
        </w:rPr>
      </w:pPr>
      <w:r>
        <w:rPr>
          <w:rFonts w:ascii="Arial" w:cs="Arial" w:eastAsia="Arial" w:hAnsi="Arial"/>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191135</wp:posOffset>
            </wp:positionV>
            <wp:extent cx="7203440" cy="368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71" w:name="page72"/>
    <w:bookmarkEnd w:id="71"/>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Purchase of Convertible Note Hedges / Proceeds from Issuance of Warrants</w:t>
      </w:r>
    </w:p>
    <w:p>
      <w:pPr>
        <w:spacing w:after="0" w:line="78" w:lineRule="exact"/>
        <w:rPr>
          <w:sz w:val="20"/>
          <w:szCs w:val="20"/>
          <w:color w:val="auto"/>
        </w:rPr>
      </w:pPr>
    </w:p>
    <w:p>
      <w:pPr>
        <w:ind w:right="60" w:firstLine="432"/>
        <w:spacing w:after="0" w:line="259" w:lineRule="auto"/>
        <w:rPr>
          <w:sz w:val="20"/>
          <w:szCs w:val="20"/>
          <w:color w:val="auto"/>
        </w:rPr>
      </w:pPr>
      <w:r>
        <w:rPr>
          <w:rFonts w:ascii="Arial" w:cs="Arial" w:eastAsia="Arial" w:hAnsi="Arial"/>
          <w:sz w:val="12"/>
          <w:szCs w:val="12"/>
          <w:color w:val="auto"/>
        </w:rPr>
        <w:t>In connection with the issuance of the 2026 Convertible Notes, we entered into the 2026 Convertible Note Hedges with respect to our common stock with certain counterparties, covering a total of 3.4 million shares of our common stock at a cost of $100 million. Concurrently with the entry into the 2026 Convertible Note Hedges, we separately entered into the 2026 Warrants, whereby we sold to the counterparties to the 2026 Convertible Note Hedges warrants to acquire, collectively, subject to anti-dilution adjustments, approximately 3.4 million shares of our common stock at an initial strike price of $213.76 per share. We received aggregate proceeds of $70 million from the sale of the 2026 Warrants to the counterparties.</w:t>
      </w:r>
    </w:p>
    <w:p>
      <w:pPr>
        <w:spacing w:after="0" w:line="5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See Footnote 13 “Debt” to our Financial Statements for additional information regarding the issuance of the 2026 Convertible Notes, including the 2026 Convertible Note Hedges and the 2026 Warrants.</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As of June 30, 2021, no 2026 Convertible Note Hedges or 2026 Warrants have been exercised.</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Finance Lease Payment</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During the first half of 2021, we paid $1 million related to our finance lease obligations for technology and business operations equipment.</w:t>
      </w:r>
    </w:p>
    <w:p>
      <w:pPr>
        <w:spacing w:after="0" w:line="78" w:lineRule="exact"/>
        <w:rPr>
          <w:sz w:val="20"/>
          <w:szCs w:val="20"/>
          <w:color w:val="auto"/>
        </w:rPr>
      </w:pPr>
    </w:p>
    <w:p>
      <w:pPr>
        <w:ind w:right="320" w:firstLine="432"/>
        <w:spacing w:after="0" w:line="323" w:lineRule="auto"/>
        <w:rPr>
          <w:sz w:val="20"/>
          <w:szCs w:val="20"/>
          <w:color w:val="auto"/>
        </w:rPr>
      </w:pPr>
      <w:r>
        <w:rPr>
          <w:rFonts w:ascii="Arial" w:cs="Arial" w:eastAsia="Arial" w:hAnsi="Arial"/>
          <w:sz w:val="11"/>
          <w:szCs w:val="11"/>
          <w:color w:val="auto"/>
        </w:rPr>
        <w:t>During the first half of 2020, in conjunction with the acquisition of the 57 completed vacation ownership units at our Marriott Vacation Club Pulse, New York City property, we made finance lease payments of $7 million related to the purchase of the accompanying ancillary and office space. Additionally, we paid $1 million related to our finance lease obligations for technology and business operations equipment.</w:t>
      </w:r>
    </w:p>
    <w:p>
      <w:pPr>
        <w:spacing w:after="0" w:line="92"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Debt Issuance Costs</w:t>
      </w:r>
    </w:p>
    <w:p>
      <w:pPr>
        <w:spacing w:after="0" w:line="78" w:lineRule="exact"/>
        <w:rPr>
          <w:sz w:val="20"/>
          <w:szCs w:val="20"/>
          <w:color w:val="auto"/>
        </w:rPr>
      </w:pPr>
    </w:p>
    <w:p>
      <w:pPr>
        <w:ind w:right="160" w:firstLine="432"/>
        <w:spacing w:after="0" w:line="276" w:lineRule="auto"/>
        <w:rPr>
          <w:sz w:val="20"/>
          <w:szCs w:val="20"/>
          <w:color w:val="auto"/>
        </w:rPr>
      </w:pPr>
      <w:r>
        <w:rPr>
          <w:rFonts w:ascii="Arial" w:cs="Arial" w:eastAsia="Arial" w:hAnsi="Arial"/>
          <w:sz w:val="12"/>
          <w:szCs w:val="12"/>
          <w:color w:val="auto"/>
        </w:rPr>
        <w:t>During the first half of 2021, we paid $15 million of debt issuance costs, which included $6 million associated with the 2021 vacation ownership notes receivable securitization, $7 million associated with the 2029 Notes, $1 million associated with the 2026 Convertible Notes, and $1 million associated with the extension of the Waiver associated with the Revolving Corporate Credit Facility.</w:t>
      </w:r>
    </w:p>
    <w:p>
      <w:pPr>
        <w:spacing w:after="0" w:line="43"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During the first half of 2020, we paid $9 million of debt issuance costs, which included $7 million associated with the 2025 Notes, $1 million related to the Waiver associated with the Revolving Corporate Credit Facility, and $1 million associated with the amendment of our Warehouse Credit Facility.</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Dividends</w:t>
      </w:r>
    </w:p>
    <w:p>
      <w:pPr>
        <w:spacing w:after="0" w:line="78" w:lineRule="exact"/>
        <w:rPr>
          <w:sz w:val="20"/>
          <w:szCs w:val="20"/>
          <w:color w:val="auto"/>
        </w:rPr>
      </w:pPr>
    </w:p>
    <w:p>
      <w:pPr>
        <w:ind w:right="140" w:firstLine="432"/>
        <w:spacing w:after="0" w:line="289" w:lineRule="auto"/>
        <w:rPr>
          <w:sz w:val="20"/>
          <w:szCs w:val="20"/>
          <w:color w:val="auto"/>
        </w:rPr>
      </w:pPr>
      <w:r>
        <w:rPr>
          <w:rFonts w:ascii="Arial" w:cs="Arial" w:eastAsia="Arial" w:hAnsi="Arial"/>
          <w:sz w:val="11"/>
          <w:szCs w:val="11"/>
          <w:color w:val="auto"/>
        </w:rPr>
        <w:t>Given the impact of the COVID-19 pandemic, we have temporarily suspended cash dividends. In addition, our Corporate Credit Facility and the indentures governing our senior notes contain restrictions on our ability to pay dividends. Future dividend payments will also be subject to both the restrictions imposed under the Waiver and Board approval, which will depend on our financial condition, results of operations and capital requirements, as well as applicable law, regulatory and contractual constraints, industry practice and other business considerations that our Board of Directors considers relevant. The payment of certain cash dividends may also result in an adjustment to the conversion rate of our convertible notes in a manner adverse to us. Accordingly, there can be no assurance that we will pay dividends in the future at the same rate or at all.</w:t>
      </w:r>
    </w:p>
    <w:p>
      <w:pPr>
        <w:spacing w:after="0" w:line="102" w:lineRule="exact"/>
        <w:rPr>
          <w:sz w:val="20"/>
          <w:szCs w:val="20"/>
          <w:color w:val="auto"/>
        </w:rPr>
      </w:pPr>
    </w:p>
    <w:p>
      <w:pPr>
        <w:jc w:val="center"/>
        <w:ind w:left="420"/>
        <w:spacing w:after="0"/>
        <w:rPr>
          <w:sz w:val="20"/>
          <w:szCs w:val="20"/>
          <w:color w:val="auto"/>
        </w:rPr>
      </w:pPr>
      <w:r>
        <w:rPr>
          <w:rFonts w:ascii="Arial" w:cs="Arial" w:eastAsia="Arial" w:hAnsi="Arial"/>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191135</wp:posOffset>
            </wp:positionV>
            <wp:extent cx="7203440" cy="368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275" w:right="319" w:bottom="1440" w:gutter="0" w:footer="0" w:header="0"/>
        </w:sectPr>
      </w:pPr>
    </w:p>
    <w:bookmarkStart w:id="72" w:name="page73"/>
    <w:bookmarkEnd w:id="72"/>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83"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Supplemental Guarantor Information</w:t>
      </w:r>
    </w:p>
    <w:p>
      <w:pPr>
        <w:spacing w:after="0" w:line="78" w:lineRule="exact"/>
        <w:rPr>
          <w:sz w:val="20"/>
          <w:szCs w:val="20"/>
          <w:color w:val="auto"/>
        </w:rPr>
      </w:pPr>
    </w:p>
    <w:p>
      <w:pPr>
        <w:ind w:right="180" w:firstLine="432"/>
        <w:spacing w:after="0" w:line="263" w:lineRule="auto"/>
        <w:rPr>
          <w:sz w:val="20"/>
          <w:szCs w:val="20"/>
          <w:color w:val="auto"/>
        </w:rPr>
      </w:pPr>
      <w:r>
        <w:rPr>
          <w:rFonts w:ascii="Arial" w:cs="Arial" w:eastAsia="Arial" w:hAnsi="Arial"/>
          <w:sz w:val="12"/>
          <w:szCs w:val="12"/>
          <w:color w:val="auto"/>
        </w:rPr>
        <w:t>The 2026 Notes and 2028 Notes are guaranteed by MVWC, Marriott Ownership Resorts, Inc. (“MORI”), and certain other subsidiaries whose voting securities are wholly owned directly or indirectly by MORI (such subsidiaries collectively, the “Senior Notes Guarantors”). These guarantees are full and unconditional and joint and several. The guarantees of the Senior Notes Guarantors are subject to release in limited circumstances only upon the occurrence of certain customary conditions.</w:t>
      </w:r>
    </w:p>
    <w:p>
      <w:pPr>
        <w:spacing w:after="0" w:line="50" w:lineRule="exact"/>
        <w:rPr>
          <w:sz w:val="20"/>
          <w:szCs w:val="20"/>
          <w:color w:val="auto"/>
        </w:rPr>
      </w:pPr>
    </w:p>
    <w:p>
      <w:pPr>
        <w:ind w:right="300" w:firstLine="432"/>
        <w:spacing w:after="0" w:line="276" w:lineRule="auto"/>
        <w:rPr>
          <w:sz w:val="20"/>
          <w:szCs w:val="20"/>
          <w:color w:val="auto"/>
        </w:rPr>
      </w:pPr>
      <w:r>
        <w:rPr>
          <w:rFonts w:ascii="Arial" w:cs="Arial" w:eastAsia="Arial" w:hAnsi="Arial"/>
          <w:sz w:val="12"/>
          <w:szCs w:val="12"/>
          <w:color w:val="auto"/>
        </w:rPr>
        <w:t>The following tables present consolidating financial information as of June 30, 2021 and for the six months ended June 30, 2021 for MVWC and MORI on a stand-alone basis (collectively, the “Issuers”), the Senior Notes Guarantors, the combined non-guarantor subsidiaries of MVW, and MVW on a consolidated basis.</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Condensed Consolidating Balance Sheet</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8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60" w:type="dxa"/>
            <w:vAlign w:val="bottom"/>
            <w:tcBorders>
              <w:bottom w:val="single" w:sz="8" w:color="auto"/>
            </w:tcBorders>
            <w:gridSpan w:val="3"/>
          </w:tcPr>
          <w:p>
            <w:pPr>
              <w:ind w:left="860"/>
              <w:spacing w:after="0"/>
              <w:rPr>
                <w:sz w:val="20"/>
                <w:szCs w:val="20"/>
                <w:color w:val="auto"/>
              </w:rPr>
            </w:pPr>
            <w:r>
              <w:rPr>
                <w:rFonts w:ascii="Arial" w:cs="Arial" w:eastAsia="Arial" w:hAnsi="Arial"/>
                <w:sz w:val="11"/>
                <w:szCs w:val="11"/>
                <w:b w:val="1"/>
                <w:bCs w:val="1"/>
                <w:color w:val="auto"/>
              </w:rPr>
              <w:t>As of June 30, 2021</w:t>
            </w:r>
          </w:p>
        </w:tc>
        <w:tc>
          <w:tcPr>
            <w:tcW w:w="6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r>
      <w:tr>
        <w:trPr>
          <w:trHeight w:val="160"/>
        </w:trPr>
        <w:tc>
          <w:tcPr>
            <w:tcW w:w="28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jc w:val="right"/>
              <w:ind w:right="152"/>
              <w:spacing w:after="0"/>
              <w:rPr>
                <w:sz w:val="20"/>
                <w:szCs w:val="20"/>
                <w:color w:val="auto"/>
              </w:rPr>
            </w:pPr>
            <w:r>
              <w:rPr>
                <w:rFonts w:ascii="Arial" w:cs="Arial" w:eastAsia="Arial" w:hAnsi="Arial"/>
                <w:sz w:val="11"/>
                <w:szCs w:val="11"/>
                <w:b w:val="1"/>
                <w:bCs w:val="1"/>
                <w:color w:val="auto"/>
              </w:rPr>
              <w:t>Issuers</w:t>
            </w:r>
          </w:p>
        </w:tc>
        <w:tc>
          <w:tcPr>
            <w:tcW w:w="10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60"/>
        </w:trPr>
        <w:tc>
          <w:tcPr>
            <w:tcW w:w="280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2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20"/>
              <w:spacing w:after="0"/>
              <w:rPr>
                <w:sz w:val="20"/>
                <w:szCs w:val="20"/>
                <w:color w:val="auto"/>
              </w:rPr>
            </w:pPr>
            <w:r>
              <w:rPr>
                <w:rFonts w:ascii="Arial" w:cs="Arial" w:eastAsia="Arial" w:hAnsi="Arial"/>
                <w:sz w:val="11"/>
                <w:szCs w:val="11"/>
                <w:b w:val="1"/>
                <w:bCs w:val="1"/>
                <w:color w:val="auto"/>
              </w:rPr>
              <w:t>MVWC</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60"/>
              <w:spacing w:after="0"/>
              <w:rPr>
                <w:sz w:val="20"/>
                <w:szCs w:val="20"/>
                <w:color w:val="auto"/>
              </w:rPr>
            </w:pPr>
            <w:r>
              <w:rPr>
                <w:rFonts w:ascii="Arial" w:cs="Arial" w:eastAsia="Arial" w:hAnsi="Arial"/>
                <w:sz w:val="11"/>
                <w:szCs w:val="11"/>
                <w:b w:val="1"/>
                <w:bCs w:val="1"/>
                <w:color w:val="auto"/>
              </w:rPr>
              <w:t>MORI</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1"/>
                <w:szCs w:val="11"/>
                <w:b w:val="1"/>
                <w:bCs w:val="1"/>
                <w:color w:val="auto"/>
                <w:w w:val="87"/>
              </w:rPr>
              <w:t>Senior Notes Guarantors</w:t>
            </w:r>
          </w:p>
        </w:tc>
        <w:tc>
          <w:tcPr>
            <w:tcW w:w="100" w:type="dxa"/>
            <w:vAlign w:val="bottom"/>
            <w:tcBorders>
              <w:bottom w:val="single" w:sz="8" w:color="CCEEFF"/>
            </w:tcBorders>
          </w:tcPr>
          <w:p>
            <w:pPr>
              <w:spacing w:after="0"/>
              <w:rPr>
                <w:sz w:val="13"/>
                <w:szCs w:val="13"/>
                <w:color w:val="auto"/>
              </w:rPr>
            </w:pPr>
          </w:p>
        </w:tc>
        <w:tc>
          <w:tcPr>
            <w:tcW w:w="134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w w:val="89"/>
              </w:rPr>
              <w:t>Non-Guarantor Subsidiaries</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ind w:left="80"/>
              <w:spacing w:after="0"/>
              <w:rPr>
                <w:sz w:val="20"/>
                <w:szCs w:val="20"/>
                <w:color w:val="auto"/>
              </w:rPr>
            </w:pPr>
            <w:r>
              <w:rPr>
                <w:rFonts w:ascii="Arial" w:cs="Arial" w:eastAsia="Arial" w:hAnsi="Arial"/>
                <w:sz w:val="11"/>
                <w:szCs w:val="11"/>
                <w:b w:val="1"/>
                <w:bCs w:val="1"/>
                <w:color w:val="auto"/>
              </w:rPr>
              <w:t>Total Eliminations</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160"/>
              <w:spacing w:after="0"/>
              <w:rPr>
                <w:sz w:val="20"/>
                <w:szCs w:val="20"/>
                <w:color w:val="auto"/>
              </w:rPr>
            </w:pPr>
            <w:r>
              <w:rPr>
                <w:rFonts w:ascii="Arial" w:cs="Arial" w:eastAsia="Arial" w:hAnsi="Arial"/>
                <w:sz w:val="11"/>
                <w:szCs w:val="11"/>
                <w:b w:val="1"/>
                <w:bCs w:val="1"/>
                <w:color w:val="auto"/>
                <w:w w:val="96"/>
              </w:rPr>
              <w:t>MVW Consolidated</w:t>
            </w:r>
          </w:p>
        </w:tc>
      </w:tr>
      <w:tr>
        <w:trPr>
          <w:trHeight w:val="144"/>
        </w:trPr>
        <w:tc>
          <w:tcPr>
            <w:tcW w:w="28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Cash and cash equivalents</w:t>
            </w: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1,130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280" w:type="dxa"/>
            <w:vAlign w:val="bottom"/>
            <w:gridSpan w:val="2"/>
            <w:shd w:val="clear" w:color="auto" w:fill="CCEEFF"/>
          </w:tcPr>
          <w:p>
            <w:pPr>
              <w:ind w:left="10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1,312</w:t>
            </w:r>
          </w:p>
        </w:tc>
      </w:tr>
      <w:tr>
        <w:trPr>
          <w:trHeight w:val="153"/>
        </w:trPr>
        <w:tc>
          <w:tcPr>
            <w:tcW w:w="2800" w:type="dxa"/>
            <w:vAlign w:val="bottom"/>
          </w:tcPr>
          <w:p>
            <w:pPr>
              <w:spacing w:after="0"/>
              <w:rPr>
                <w:sz w:val="20"/>
                <w:szCs w:val="20"/>
                <w:color w:val="auto"/>
              </w:rPr>
            </w:pPr>
            <w:r>
              <w:rPr>
                <w:rFonts w:ascii="Arial" w:cs="Arial" w:eastAsia="Arial" w:hAnsi="Arial"/>
                <w:sz w:val="12"/>
                <w:szCs w:val="12"/>
                <w:color w:val="auto"/>
              </w:rPr>
              <w:t>Restricted cash</w:t>
            </w:r>
          </w:p>
        </w:tc>
        <w:tc>
          <w:tcPr>
            <w:tcW w:w="28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59</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287</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ind w:left="10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368</w:t>
            </w:r>
          </w:p>
        </w:tc>
      </w:tr>
      <w:tr>
        <w:trPr>
          <w:trHeight w:val="153"/>
        </w:trPr>
        <w:tc>
          <w:tcPr>
            <w:tcW w:w="2800" w:type="dxa"/>
            <w:vAlign w:val="bottom"/>
            <w:shd w:val="clear" w:color="auto" w:fill="CCEEFF"/>
          </w:tcPr>
          <w:p>
            <w:pPr>
              <w:spacing w:after="0"/>
              <w:rPr>
                <w:sz w:val="20"/>
                <w:szCs w:val="20"/>
                <w:color w:val="auto"/>
              </w:rPr>
            </w:pPr>
            <w:r>
              <w:rPr>
                <w:rFonts w:ascii="Arial" w:cs="Arial" w:eastAsia="Arial" w:hAnsi="Arial"/>
                <w:sz w:val="12"/>
                <w:szCs w:val="12"/>
                <w:color w:val="auto"/>
              </w:rPr>
              <w:t>Accounts receivable, net</w:t>
            </w:r>
          </w:p>
        </w:tc>
        <w:tc>
          <w:tcPr>
            <w:tcW w:w="28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254</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(184)</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217</w:t>
            </w:r>
          </w:p>
        </w:tc>
      </w:tr>
      <w:tr>
        <w:trPr>
          <w:trHeight w:val="153"/>
        </w:trPr>
        <w:tc>
          <w:tcPr>
            <w:tcW w:w="2800" w:type="dxa"/>
            <w:vAlign w:val="bottom"/>
          </w:tcPr>
          <w:p>
            <w:pPr>
              <w:spacing w:after="0"/>
              <w:rPr>
                <w:sz w:val="20"/>
                <w:szCs w:val="20"/>
                <w:color w:val="auto"/>
              </w:rPr>
            </w:pPr>
            <w:r>
              <w:rPr>
                <w:rFonts w:ascii="Arial" w:cs="Arial" w:eastAsia="Arial" w:hAnsi="Arial"/>
                <w:sz w:val="12"/>
                <w:szCs w:val="12"/>
                <w:color w:val="auto"/>
              </w:rPr>
              <w:t>Vacation ownership notes receivable, net</w:t>
            </w:r>
          </w:p>
        </w:tc>
        <w:tc>
          <w:tcPr>
            <w:tcW w:w="28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114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388</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1,489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ind w:left="10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1,991</w:t>
            </w:r>
          </w:p>
        </w:tc>
      </w:tr>
      <w:tr>
        <w:trPr>
          <w:trHeight w:val="153"/>
        </w:trPr>
        <w:tc>
          <w:tcPr>
            <w:tcW w:w="2800" w:type="dxa"/>
            <w:vAlign w:val="bottom"/>
            <w:shd w:val="clear" w:color="auto" w:fill="CCEEFF"/>
          </w:tcPr>
          <w:p>
            <w:pPr>
              <w:spacing w:after="0"/>
              <w:rPr>
                <w:sz w:val="20"/>
                <w:szCs w:val="20"/>
                <w:color w:val="auto"/>
              </w:rPr>
            </w:pPr>
            <w:r>
              <w:rPr>
                <w:rFonts w:ascii="Arial" w:cs="Arial" w:eastAsia="Arial" w:hAnsi="Arial"/>
                <w:sz w:val="12"/>
                <w:szCs w:val="12"/>
                <w:color w:val="auto"/>
              </w:rPr>
              <w:t>Inventory</w:t>
            </w:r>
          </w:p>
        </w:tc>
        <w:tc>
          <w:tcPr>
            <w:tcW w:w="2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260</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536</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ind w:left="10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833</w:t>
            </w:r>
          </w:p>
        </w:tc>
      </w:tr>
      <w:tr>
        <w:trPr>
          <w:trHeight w:val="153"/>
        </w:trPr>
        <w:tc>
          <w:tcPr>
            <w:tcW w:w="2800" w:type="dxa"/>
            <w:vAlign w:val="bottom"/>
          </w:tcPr>
          <w:p>
            <w:pPr>
              <w:spacing w:after="0"/>
              <w:rPr>
                <w:sz w:val="20"/>
                <w:szCs w:val="20"/>
                <w:color w:val="auto"/>
              </w:rPr>
            </w:pPr>
            <w:r>
              <w:rPr>
                <w:rFonts w:ascii="Arial" w:cs="Arial" w:eastAsia="Arial" w:hAnsi="Arial"/>
                <w:sz w:val="12"/>
                <w:szCs w:val="12"/>
                <w:color w:val="auto"/>
              </w:rPr>
              <w:t>Property and equipment</w:t>
            </w:r>
          </w:p>
        </w:tc>
        <w:tc>
          <w:tcPr>
            <w:tcW w:w="28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203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588</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235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ind w:left="10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1,026</w:t>
            </w:r>
          </w:p>
        </w:tc>
      </w:tr>
      <w:tr>
        <w:trPr>
          <w:trHeight w:val="153"/>
        </w:trPr>
        <w:tc>
          <w:tcPr>
            <w:tcW w:w="2800" w:type="dxa"/>
            <w:vAlign w:val="bottom"/>
            <w:shd w:val="clear" w:color="auto" w:fill="CCEEFF"/>
          </w:tcPr>
          <w:p>
            <w:pPr>
              <w:spacing w:after="0"/>
              <w:rPr>
                <w:sz w:val="20"/>
                <w:szCs w:val="20"/>
                <w:color w:val="auto"/>
              </w:rPr>
            </w:pPr>
            <w:r>
              <w:rPr>
                <w:rFonts w:ascii="Arial" w:cs="Arial" w:eastAsia="Arial" w:hAnsi="Arial"/>
                <w:sz w:val="12"/>
                <w:szCs w:val="12"/>
                <w:color w:val="auto"/>
              </w:rPr>
              <w:t>Goodwill</w:t>
            </w:r>
          </w:p>
        </w:tc>
        <w:tc>
          <w:tcPr>
            <w:tcW w:w="2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3,116</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ind w:left="10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3,116</w:t>
            </w:r>
          </w:p>
        </w:tc>
      </w:tr>
      <w:tr>
        <w:trPr>
          <w:trHeight w:val="153"/>
        </w:trPr>
        <w:tc>
          <w:tcPr>
            <w:tcW w:w="2800" w:type="dxa"/>
            <w:vAlign w:val="bottom"/>
          </w:tcPr>
          <w:p>
            <w:pPr>
              <w:spacing w:after="0"/>
              <w:rPr>
                <w:sz w:val="20"/>
                <w:szCs w:val="20"/>
                <w:color w:val="auto"/>
              </w:rPr>
            </w:pPr>
            <w:r>
              <w:rPr>
                <w:rFonts w:ascii="Arial" w:cs="Arial" w:eastAsia="Arial" w:hAnsi="Arial"/>
                <w:sz w:val="12"/>
                <w:szCs w:val="12"/>
                <w:color w:val="auto"/>
              </w:rPr>
              <w:t>Intangibles, net</w:t>
            </w:r>
          </w:p>
        </w:tc>
        <w:tc>
          <w:tcPr>
            <w:tcW w:w="28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960</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57</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ind w:left="10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1,017</w:t>
            </w:r>
          </w:p>
        </w:tc>
      </w:tr>
      <w:tr>
        <w:trPr>
          <w:trHeight w:val="153"/>
        </w:trPr>
        <w:tc>
          <w:tcPr>
            <w:tcW w:w="2800" w:type="dxa"/>
            <w:vAlign w:val="bottom"/>
            <w:shd w:val="clear" w:color="auto" w:fill="CCEEFF"/>
          </w:tcPr>
          <w:p>
            <w:pPr>
              <w:spacing w:after="0"/>
              <w:rPr>
                <w:sz w:val="20"/>
                <w:szCs w:val="20"/>
                <w:color w:val="auto"/>
              </w:rPr>
            </w:pPr>
            <w:r>
              <w:rPr>
                <w:rFonts w:ascii="Arial" w:cs="Arial" w:eastAsia="Arial" w:hAnsi="Arial"/>
                <w:sz w:val="12"/>
                <w:szCs w:val="12"/>
                <w:color w:val="auto"/>
              </w:rPr>
              <w:t>Investments in subsidiaries</w:t>
            </w:r>
          </w:p>
        </w:tc>
        <w:tc>
          <w:tcPr>
            <w:tcW w:w="28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3,598</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4,059</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(7,657)</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28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Other</w:t>
            </w:r>
          </w:p>
        </w:tc>
        <w:tc>
          <w:tcPr>
            <w:tcW w:w="2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67</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109</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257</w:t>
            </w:r>
          </w:p>
        </w:tc>
        <w:tc>
          <w:tcPr>
            <w:tcW w:w="10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132</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534</w:t>
            </w:r>
          </w:p>
        </w:tc>
      </w:tr>
      <w:tr>
        <w:trPr>
          <w:trHeight w:val="158"/>
        </w:trPr>
        <w:tc>
          <w:tcPr>
            <w:tcW w:w="2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assets</w:t>
            </w: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3,691</w:t>
            </w:r>
          </w:p>
        </w:tc>
        <w:tc>
          <w:tcPr>
            <w:tcW w:w="10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6,151</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6,028</w:t>
            </w:r>
          </w:p>
        </w:tc>
        <w:tc>
          <w:tcPr>
            <w:tcW w:w="1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2,416</w:t>
            </w: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(7,872)</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10,414</w:t>
            </w:r>
          </w:p>
        </w:tc>
      </w:tr>
      <w:tr>
        <w:trPr>
          <w:trHeight w:val="162"/>
        </w:trPr>
        <w:tc>
          <w:tcPr>
            <w:tcW w:w="2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53"/>
        </w:trPr>
        <w:tc>
          <w:tcPr>
            <w:tcW w:w="2800" w:type="dxa"/>
            <w:vAlign w:val="bottom"/>
            <w:shd w:val="clear" w:color="auto" w:fill="CCEEFF"/>
          </w:tcPr>
          <w:p>
            <w:pPr>
              <w:spacing w:after="0"/>
              <w:rPr>
                <w:sz w:val="20"/>
                <w:szCs w:val="20"/>
                <w:color w:val="auto"/>
              </w:rPr>
            </w:pPr>
            <w:r>
              <w:rPr>
                <w:rFonts w:ascii="Arial" w:cs="Arial" w:eastAsia="Arial" w:hAnsi="Arial"/>
                <w:sz w:val="12"/>
                <w:szCs w:val="12"/>
                <w:color w:val="auto"/>
              </w:rPr>
              <w:t>Accounts payable</w:t>
            </w: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280" w:type="dxa"/>
            <w:vAlign w:val="bottom"/>
            <w:gridSpan w:val="2"/>
            <w:shd w:val="clear" w:color="auto" w:fill="CCEEFF"/>
          </w:tcPr>
          <w:p>
            <w:pPr>
              <w:ind w:left="10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192</w:t>
            </w:r>
          </w:p>
        </w:tc>
      </w:tr>
      <w:tr>
        <w:trPr>
          <w:trHeight w:val="153"/>
        </w:trPr>
        <w:tc>
          <w:tcPr>
            <w:tcW w:w="2800" w:type="dxa"/>
            <w:vAlign w:val="bottom"/>
          </w:tcPr>
          <w:p>
            <w:pPr>
              <w:spacing w:after="0"/>
              <w:rPr>
                <w:sz w:val="20"/>
                <w:szCs w:val="20"/>
                <w:color w:val="auto"/>
              </w:rPr>
            </w:pPr>
            <w:r>
              <w:rPr>
                <w:rFonts w:ascii="Arial" w:cs="Arial" w:eastAsia="Arial" w:hAnsi="Arial"/>
                <w:sz w:val="12"/>
                <w:szCs w:val="12"/>
                <w:color w:val="auto"/>
              </w:rPr>
              <w:t>Advance deposits</w:t>
            </w:r>
          </w:p>
        </w:tc>
        <w:tc>
          <w:tcPr>
            <w:tcW w:w="28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77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75</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24</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ind w:left="10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176</w:t>
            </w:r>
          </w:p>
        </w:tc>
      </w:tr>
      <w:tr>
        <w:trPr>
          <w:trHeight w:val="153"/>
        </w:trPr>
        <w:tc>
          <w:tcPr>
            <w:tcW w:w="2800" w:type="dxa"/>
            <w:vAlign w:val="bottom"/>
            <w:shd w:val="clear" w:color="auto" w:fill="CCEEFF"/>
          </w:tcPr>
          <w:p>
            <w:pPr>
              <w:spacing w:after="0"/>
              <w:rPr>
                <w:sz w:val="20"/>
                <w:szCs w:val="20"/>
                <w:color w:val="auto"/>
              </w:rPr>
            </w:pPr>
            <w:r>
              <w:rPr>
                <w:rFonts w:ascii="Arial" w:cs="Arial" w:eastAsia="Arial" w:hAnsi="Arial"/>
                <w:sz w:val="12"/>
                <w:szCs w:val="12"/>
                <w:color w:val="auto"/>
              </w:rPr>
              <w:t>Accrued liabilities</w:t>
            </w:r>
          </w:p>
        </w:tc>
        <w:tc>
          <w:tcPr>
            <w:tcW w:w="28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297</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176</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(185)</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375</w:t>
            </w:r>
          </w:p>
        </w:tc>
      </w:tr>
      <w:tr>
        <w:trPr>
          <w:trHeight w:val="153"/>
        </w:trPr>
        <w:tc>
          <w:tcPr>
            <w:tcW w:w="2800" w:type="dxa"/>
            <w:vAlign w:val="bottom"/>
          </w:tcPr>
          <w:p>
            <w:pPr>
              <w:spacing w:after="0"/>
              <w:rPr>
                <w:sz w:val="20"/>
                <w:szCs w:val="20"/>
                <w:color w:val="auto"/>
              </w:rPr>
            </w:pPr>
            <w:r>
              <w:rPr>
                <w:rFonts w:ascii="Arial" w:cs="Arial" w:eastAsia="Arial" w:hAnsi="Arial"/>
                <w:sz w:val="12"/>
                <w:szCs w:val="12"/>
                <w:color w:val="auto"/>
              </w:rPr>
              <w:t>Deferred revenue</w:t>
            </w:r>
          </w:p>
        </w:tc>
        <w:tc>
          <w:tcPr>
            <w:tcW w:w="28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198</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275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474</w:t>
            </w:r>
          </w:p>
        </w:tc>
      </w:tr>
      <w:tr>
        <w:trPr>
          <w:trHeight w:val="153"/>
        </w:trPr>
        <w:tc>
          <w:tcPr>
            <w:tcW w:w="2800" w:type="dxa"/>
            <w:vAlign w:val="bottom"/>
            <w:shd w:val="clear" w:color="auto" w:fill="CCEEFF"/>
          </w:tcPr>
          <w:p>
            <w:pPr>
              <w:spacing w:after="0"/>
              <w:rPr>
                <w:sz w:val="20"/>
                <w:szCs w:val="20"/>
                <w:color w:val="auto"/>
              </w:rPr>
            </w:pPr>
            <w:r>
              <w:rPr>
                <w:rFonts w:ascii="Arial" w:cs="Arial" w:eastAsia="Arial" w:hAnsi="Arial"/>
                <w:sz w:val="12"/>
                <w:szCs w:val="12"/>
                <w:color w:val="auto"/>
              </w:rPr>
              <w:t>Payroll and benefits liability</w:t>
            </w:r>
          </w:p>
        </w:tc>
        <w:tc>
          <w:tcPr>
            <w:tcW w:w="2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ind w:left="10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205</w:t>
            </w:r>
          </w:p>
        </w:tc>
      </w:tr>
      <w:tr>
        <w:trPr>
          <w:trHeight w:val="153"/>
        </w:trPr>
        <w:tc>
          <w:tcPr>
            <w:tcW w:w="2800" w:type="dxa"/>
            <w:vAlign w:val="bottom"/>
          </w:tcPr>
          <w:p>
            <w:pPr>
              <w:spacing w:after="0"/>
              <w:rPr>
                <w:sz w:val="20"/>
                <w:szCs w:val="20"/>
                <w:color w:val="auto"/>
              </w:rPr>
            </w:pPr>
            <w:r>
              <w:rPr>
                <w:rFonts w:ascii="Arial" w:cs="Arial" w:eastAsia="Arial" w:hAnsi="Arial"/>
                <w:sz w:val="12"/>
                <w:szCs w:val="12"/>
                <w:color w:val="auto"/>
              </w:rPr>
              <w:t>Deferred compensation liability</w:t>
            </w:r>
          </w:p>
        </w:tc>
        <w:tc>
          <w:tcPr>
            <w:tcW w:w="28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105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25</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ind w:left="10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131</w:t>
            </w:r>
          </w:p>
        </w:tc>
      </w:tr>
      <w:tr>
        <w:trPr>
          <w:trHeight w:val="153"/>
        </w:trPr>
        <w:tc>
          <w:tcPr>
            <w:tcW w:w="2800" w:type="dxa"/>
            <w:vAlign w:val="bottom"/>
            <w:shd w:val="clear" w:color="auto" w:fill="CCEEFF"/>
          </w:tcPr>
          <w:p>
            <w:pPr>
              <w:spacing w:after="0"/>
              <w:rPr>
                <w:sz w:val="20"/>
                <w:szCs w:val="20"/>
                <w:color w:val="auto"/>
              </w:rPr>
            </w:pPr>
            <w:r>
              <w:rPr>
                <w:rFonts w:ascii="Arial" w:cs="Arial" w:eastAsia="Arial" w:hAnsi="Arial"/>
                <w:sz w:val="12"/>
                <w:szCs w:val="12"/>
                <w:color w:val="auto"/>
              </w:rPr>
              <w:t>Securitized debt, net</w:t>
            </w:r>
          </w:p>
        </w:tc>
        <w:tc>
          <w:tcPr>
            <w:tcW w:w="2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136</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1,657</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1,775</w:t>
            </w:r>
          </w:p>
        </w:tc>
      </w:tr>
      <w:tr>
        <w:trPr>
          <w:trHeight w:val="153"/>
        </w:trPr>
        <w:tc>
          <w:tcPr>
            <w:tcW w:w="2800" w:type="dxa"/>
            <w:vAlign w:val="bottom"/>
          </w:tcPr>
          <w:p>
            <w:pPr>
              <w:spacing w:after="0"/>
              <w:rPr>
                <w:sz w:val="20"/>
                <w:szCs w:val="20"/>
                <w:color w:val="auto"/>
              </w:rPr>
            </w:pPr>
            <w:r>
              <w:rPr>
                <w:rFonts w:ascii="Arial" w:cs="Arial" w:eastAsia="Arial" w:hAnsi="Arial"/>
                <w:sz w:val="12"/>
                <w:szCs w:val="12"/>
                <w:color w:val="auto"/>
              </w:rPr>
              <w:t>Debt, net</w:t>
            </w:r>
          </w:p>
        </w:tc>
        <w:tc>
          <w:tcPr>
            <w:tcW w:w="2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667</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2,858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ind w:left="10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3,528</w:t>
            </w:r>
          </w:p>
        </w:tc>
      </w:tr>
      <w:tr>
        <w:trPr>
          <w:trHeight w:val="153"/>
        </w:trPr>
        <w:tc>
          <w:tcPr>
            <w:tcW w:w="2800" w:type="dxa"/>
            <w:vAlign w:val="bottom"/>
            <w:shd w:val="clear" w:color="auto" w:fill="CCEEFF"/>
          </w:tcPr>
          <w:p>
            <w:pPr>
              <w:spacing w:after="0"/>
              <w:rPr>
                <w:sz w:val="20"/>
                <w:szCs w:val="20"/>
                <w:color w:val="auto"/>
              </w:rPr>
            </w:pPr>
            <w:r>
              <w:rPr>
                <w:rFonts w:ascii="Arial" w:cs="Arial" w:eastAsia="Arial" w:hAnsi="Arial"/>
                <w:sz w:val="12"/>
                <w:szCs w:val="12"/>
                <w:color w:val="auto"/>
              </w:rPr>
              <w:t>Other</w:t>
            </w:r>
          </w:p>
        </w:tc>
        <w:tc>
          <w:tcPr>
            <w:tcW w:w="2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113</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ind w:left="10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199</w:t>
            </w:r>
          </w:p>
        </w:tc>
      </w:tr>
      <w:tr>
        <w:trPr>
          <w:trHeight w:val="153"/>
        </w:trPr>
        <w:tc>
          <w:tcPr>
            <w:tcW w:w="2800" w:type="dxa"/>
            <w:vAlign w:val="bottom"/>
          </w:tcPr>
          <w:p>
            <w:pPr>
              <w:spacing w:after="0"/>
              <w:rPr>
                <w:sz w:val="20"/>
                <w:szCs w:val="20"/>
                <w:color w:val="auto"/>
              </w:rPr>
            </w:pPr>
            <w:r>
              <w:rPr>
                <w:rFonts w:ascii="Arial" w:cs="Arial" w:eastAsia="Arial" w:hAnsi="Arial"/>
                <w:sz w:val="12"/>
                <w:szCs w:val="12"/>
                <w:color w:val="auto"/>
              </w:rPr>
              <w:t>Deferred taxes</w:t>
            </w:r>
          </w:p>
        </w:tc>
        <w:tc>
          <w:tcPr>
            <w:tcW w:w="2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100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214</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347</w:t>
            </w:r>
          </w:p>
        </w:tc>
      </w:tr>
      <w:tr>
        <w:trPr>
          <w:trHeight w:val="153"/>
        </w:trPr>
        <w:tc>
          <w:tcPr>
            <w:tcW w:w="2800" w:type="dxa"/>
            <w:vAlign w:val="bottom"/>
            <w:shd w:val="clear" w:color="auto" w:fill="CCEEFF"/>
          </w:tcPr>
          <w:p>
            <w:pPr>
              <w:spacing w:after="0"/>
              <w:rPr>
                <w:sz w:val="20"/>
                <w:szCs w:val="20"/>
                <w:color w:val="auto"/>
              </w:rPr>
            </w:pPr>
            <w:r>
              <w:rPr>
                <w:rFonts w:ascii="Arial" w:cs="Arial" w:eastAsia="Arial" w:hAnsi="Arial"/>
                <w:sz w:val="12"/>
                <w:szCs w:val="12"/>
                <w:color w:val="auto"/>
              </w:rPr>
              <w:t>MVW shareholders' equity</w:t>
            </w:r>
          </w:p>
        </w:tc>
        <w:tc>
          <w:tcPr>
            <w:tcW w:w="28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2,982</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2,727</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4,834</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(7,658)</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2,982</w:t>
            </w:r>
          </w:p>
        </w:tc>
      </w:tr>
      <w:tr>
        <w:trPr>
          <w:trHeight w:val="153"/>
        </w:trPr>
        <w:tc>
          <w:tcPr>
            <w:tcW w:w="2800" w:type="dxa"/>
            <w:vAlign w:val="bottom"/>
          </w:tcPr>
          <w:p>
            <w:pPr>
              <w:spacing w:after="0"/>
              <w:rPr>
                <w:sz w:val="20"/>
                <w:szCs w:val="20"/>
                <w:color w:val="auto"/>
              </w:rPr>
            </w:pPr>
            <w:r>
              <w:rPr>
                <w:rFonts w:ascii="Arial" w:cs="Arial" w:eastAsia="Arial" w:hAnsi="Arial"/>
                <w:sz w:val="12"/>
                <w:szCs w:val="12"/>
                <w:color w:val="auto"/>
              </w:rPr>
              <w:t>Noncontrolling interests</w:t>
            </w:r>
          </w:p>
        </w:tc>
        <w:tc>
          <w:tcPr>
            <w:tcW w:w="28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ind w:left="10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30</w:t>
            </w:r>
          </w:p>
        </w:tc>
      </w:tr>
      <w:tr>
        <w:trPr>
          <w:trHeight w:val="158"/>
        </w:trPr>
        <w:tc>
          <w:tcPr>
            <w:tcW w:w="2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liabilities and equity</w:t>
            </w:r>
          </w:p>
        </w:tc>
        <w:tc>
          <w:tcPr>
            <w:tcW w:w="28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3,691</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6,151</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6,028</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2,416</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(7,872)</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10,414</w:t>
            </w:r>
          </w:p>
        </w:tc>
      </w:tr>
      <w:tr>
        <w:trPr>
          <w:trHeight w:val="342"/>
        </w:trPr>
        <w:tc>
          <w:tcPr>
            <w:tcW w:w="2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jc w:val="right"/>
              <w:ind w:right="1020"/>
              <w:spacing w:after="0"/>
              <w:rPr>
                <w:sz w:val="20"/>
                <w:szCs w:val="20"/>
                <w:color w:val="auto"/>
              </w:rPr>
            </w:pPr>
            <w:r>
              <w:rPr>
                <w:rFonts w:ascii="Arial" w:cs="Arial" w:eastAsia="Arial" w:hAnsi="Arial"/>
                <w:sz w:val="12"/>
                <w:szCs w:val="12"/>
                <w:color w:val="auto"/>
              </w:rPr>
              <w:t>71</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06"/>
        </w:trPr>
        <w:tc>
          <w:tcPr>
            <w:tcW w:w="28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73" w:name="page74"/>
    <w:bookmarkEnd w:id="73"/>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8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20" w:type="dxa"/>
            <w:vAlign w:val="bottom"/>
            <w:tcBorders>
              <w:bottom w:val="single" w:sz="8" w:color="auto"/>
            </w:tcBorders>
            <w:gridSpan w:val="3"/>
          </w:tcPr>
          <w:p>
            <w:pPr>
              <w:jc w:val="center"/>
              <w:ind w:left="341"/>
              <w:spacing w:after="0"/>
              <w:rPr>
                <w:sz w:val="20"/>
                <w:szCs w:val="20"/>
                <w:color w:val="auto"/>
              </w:rPr>
            </w:pPr>
            <w:r>
              <w:rPr>
                <w:rFonts w:ascii="Arial" w:cs="Arial" w:eastAsia="Arial" w:hAnsi="Arial"/>
                <w:sz w:val="11"/>
                <w:szCs w:val="11"/>
                <w:b w:val="1"/>
                <w:bCs w:val="1"/>
                <w:color w:val="auto"/>
                <w:w w:val="87"/>
              </w:rPr>
              <w:t>As of December 31, 2020</w:t>
            </w:r>
          </w:p>
        </w:tc>
        <w:tc>
          <w:tcPr>
            <w:tcW w:w="4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r>
      <w:tr>
        <w:trPr>
          <w:trHeight w:val="160"/>
        </w:trPr>
        <w:tc>
          <w:tcPr>
            <w:tcW w:w="28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tcPr>
          <w:p>
            <w:pPr>
              <w:jc w:val="right"/>
              <w:ind w:right="132"/>
              <w:spacing w:after="0"/>
              <w:rPr>
                <w:sz w:val="20"/>
                <w:szCs w:val="20"/>
                <w:color w:val="auto"/>
              </w:rPr>
            </w:pPr>
            <w:r>
              <w:rPr>
                <w:rFonts w:ascii="Arial" w:cs="Arial" w:eastAsia="Arial" w:hAnsi="Arial"/>
                <w:sz w:val="11"/>
                <w:szCs w:val="11"/>
                <w:b w:val="1"/>
                <w:bCs w:val="1"/>
                <w:color w:val="auto"/>
              </w:rPr>
              <w:t>Issuers</w:t>
            </w:r>
          </w:p>
        </w:tc>
        <w:tc>
          <w:tcPr>
            <w:tcW w:w="10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60"/>
        </w:trPr>
        <w:tc>
          <w:tcPr>
            <w:tcW w:w="280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2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21"/>
              <w:spacing w:after="0"/>
              <w:rPr>
                <w:sz w:val="20"/>
                <w:szCs w:val="20"/>
                <w:color w:val="auto"/>
              </w:rPr>
            </w:pPr>
            <w:r>
              <w:rPr>
                <w:rFonts w:ascii="Arial" w:cs="Arial" w:eastAsia="Arial" w:hAnsi="Arial"/>
                <w:sz w:val="11"/>
                <w:szCs w:val="11"/>
                <w:b w:val="1"/>
                <w:bCs w:val="1"/>
                <w:color w:val="auto"/>
              </w:rPr>
              <w:t>MVWC</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60"/>
              <w:spacing w:after="0"/>
              <w:rPr>
                <w:sz w:val="20"/>
                <w:szCs w:val="20"/>
                <w:color w:val="auto"/>
              </w:rPr>
            </w:pPr>
            <w:r>
              <w:rPr>
                <w:rFonts w:ascii="Arial" w:cs="Arial" w:eastAsia="Arial" w:hAnsi="Arial"/>
                <w:sz w:val="11"/>
                <w:szCs w:val="11"/>
                <w:b w:val="1"/>
                <w:bCs w:val="1"/>
                <w:color w:val="auto"/>
              </w:rPr>
              <w:t>MORI</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11"/>
                <w:szCs w:val="11"/>
                <w:b w:val="1"/>
                <w:bCs w:val="1"/>
                <w:color w:val="auto"/>
                <w:w w:val="87"/>
              </w:rPr>
              <w:t>Senior Notes Guarantors</w:t>
            </w:r>
          </w:p>
        </w:tc>
        <w:tc>
          <w:tcPr>
            <w:tcW w:w="100" w:type="dxa"/>
            <w:vAlign w:val="bottom"/>
            <w:tcBorders>
              <w:bottom w:val="single" w:sz="8" w:color="CCEEFF"/>
            </w:tcBorders>
          </w:tcPr>
          <w:p>
            <w:pPr>
              <w:spacing w:after="0"/>
              <w:rPr>
                <w:sz w:val="13"/>
                <w:szCs w:val="13"/>
                <w:color w:val="auto"/>
              </w:rPr>
            </w:pPr>
          </w:p>
        </w:tc>
        <w:tc>
          <w:tcPr>
            <w:tcW w:w="134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w w:val="89"/>
              </w:rPr>
              <w:t>Non-Guarantor Subsidiaries</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ind w:left="80"/>
              <w:spacing w:after="0"/>
              <w:rPr>
                <w:sz w:val="20"/>
                <w:szCs w:val="20"/>
                <w:color w:val="auto"/>
              </w:rPr>
            </w:pPr>
            <w:r>
              <w:rPr>
                <w:rFonts w:ascii="Arial" w:cs="Arial" w:eastAsia="Arial" w:hAnsi="Arial"/>
                <w:sz w:val="11"/>
                <w:szCs w:val="11"/>
                <w:b w:val="1"/>
                <w:bCs w:val="1"/>
                <w:color w:val="auto"/>
              </w:rPr>
              <w:t>Total Eliminations</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160"/>
              <w:spacing w:after="0"/>
              <w:rPr>
                <w:sz w:val="20"/>
                <w:szCs w:val="20"/>
                <w:color w:val="auto"/>
              </w:rPr>
            </w:pPr>
            <w:r>
              <w:rPr>
                <w:rFonts w:ascii="Arial" w:cs="Arial" w:eastAsia="Arial" w:hAnsi="Arial"/>
                <w:sz w:val="11"/>
                <w:szCs w:val="11"/>
                <w:b w:val="1"/>
                <w:bCs w:val="1"/>
                <w:color w:val="auto"/>
                <w:w w:val="96"/>
              </w:rPr>
              <w:t>MVW Consolidated</w:t>
            </w:r>
          </w:p>
        </w:tc>
      </w:tr>
      <w:tr>
        <w:trPr>
          <w:trHeight w:val="144"/>
        </w:trPr>
        <w:tc>
          <w:tcPr>
            <w:tcW w:w="28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Cash and cash equivalents</w:t>
            </w: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280" w:type="dxa"/>
            <w:vAlign w:val="bottom"/>
            <w:gridSpan w:val="2"/>
            <w:shd w:val="clear" w:color="auto" w:fill="CCEEFF"/>
          </w:tcPr>
          <w:p>
            <w:pPr>
              <w:ind w:left="10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524</w:t>
            </w:r>
          </w:p>
        </w:tc>
      </w:tr>
      <w:tr>
        <w:trPr>
          <w:trHeight w:val="153"/>
        </w:trPr>
        <w:tc>
          <w:tcPr>
            <w:tcW w:w="2800" w:type="dxa"/>
            <w:vAlign w:val="bottom"/>
          </w:tcPr>
          <w:p>
            <w:pPr>
              <w:spacing w:after="0"/>
              <w:rPr>
                <w:sz w:val="20"/>
                <w:szCs w:val="20"/>
                <w:color w:val="auto"/>
              </w:rPr>
            </w:pPr>
            <w:r>
              <w:rPr>
                <w:rFonts w:ascii="Arial" w:cs="Arial" w:eastAsia="Arial" w:hAnsi="Arial"/>
                <w:sz w:val="12"/>
                <w:szCs w:val="12"/>
                <w:color w:val="auto"/>
              </w:rPr>
              <w:t>Restricted cash</w:t>
            </w:r>
          </w:p>
        </w:tc>
        <w:tc>
          <w:tcPr>
            <w:tcW w:w="28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72</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377</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ind w:left="10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468</w:t>
            </w:r>
          </w:p>
        </w:tc>
      </w:tr>
      <w:tr>
        <w:trPr>
          <w:trHeight w:val="153"/>
        </w:trPr>
        <w:tc>
          <w:tcPr>
            <w:tcW w:w="2800" w:type="dxa"/>
            <w:vAlign w:val="bottom"/>
            <w:shd w:val="clear" w:color="auto" w:fill="CCEEFF"/>
          </w:tcPr>
          <w:p>
            <w:pPr>
              <w:spacing w:after="0"/>
              <w:rPr>
                <w:sz w:val="20"/>
                <w:szCs w:val="20"/>
                <w:color w:val="auto"/>
              </w:rPr>
            </w:pPr>
            <w:r>
              <w:rPr>
                <w:rFonts w:ascii="Arial" w:cs="Arial" w:eastAsia="Arial" w:hAnsi="Arial"/>
                <w:sz w:val="12"/>
                <w:szCs w:val="12"/>
                <w:color w:val="auto"/>
              </w:rPr>
              <w:t>Accounts receivable, net</w:t>
            </w:r>
          </w:p>
        </w:tc>
        <w:tc>
          <w:tcPr>
            <w:tcW w:w="28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121</w:t>
            </w: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276</w:t>
            </w:r>
          </w:p>
        </w:tc>
      </w:tr>
      <w:tr>
        <w:trPr>
          <w:trHeight w:val="153"/>
        </w:trPr>
        <w:tc>
          <w:tcPr>
            <w:tcW w:w="2800" w:type="dxa"/>
            <w:vAlign w:val="bottom"/>
          </w:tcPr>
          <w:p>
            <w:pPr>
              <w:spacing w:after="0"/>
              <w:rPr>
                <w:sz w:val="20"/>
                <w:szCs w:val="20"/>
                <w:color w:val="auto"/>
              </w:rPr>
            </w:pPr>
            <w:r>
              <w:rPr>
                <w:rFonts w:ascii="Arial" w:cs="Arial" w:eastAsia="Arial" w:hAnsi="Arial"/>
                <w:sz w:val="12"/>
                <w:szCs w:val="12"/>
                <w:color w:val="auto"/>
              </w:rPr>
              <w:t>Vacation ownership notes receivable, net</w:t>
            </w:r>
          </w:p>
        </w:tc>
        <w:tc>
          <w:tcPr>
            <w:tcW w:w="28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164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116</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1,560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ind w:left="10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1,840</w:t>
            </w:r>
          </w:p>
        </w:tc>
      </w:tr>
      <w:tr>
        <w:trPr>
          <w:trHeight w:val="153"/>
        </w:trPr>
        <w:tc>
          <w:tcPr>
            <w:tcW w:w="2800" w:type="dxa"/>
            <w:vAlign w:val="bottom"/>
            <w:shd w:val="clear" w:color="auto" w:fill="CCEEFF"/>
          </w:tcPr>
          <w:p>
            <w:pPr>
              <w:spacing w:after="0"/>
              <w:rPr>
                <w:sz w:val="20"/>
                <w:szCs w:val="20"/>
                <w:color w:val="auto"/>
              </w:rPr>
            </w:pPr>
            <w:r>
              <w:rPr>
                <w:rFonts w:ascii="Arial" w:cs="Arial" w:eastAsia="Arial" w:hAnsi="Arial"/>
                <w:sz w:val="12"/>
                <w:szCs w:val="12"/>
                <w:color w:val="auto"/>
              </w:rPr>
              <w:t>Inventory</w:t>
            </w:r>
          </w:p>
        </w:tc>
        <w:tc>
          <w:tcPr>
            <w:tcW w:w="2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276</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383</w:t>
            </w: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ind w:left="10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759</w:t>
            </w:r>
          </w:p>
        </w:tc>
      </w:tr>
      <w:tr>
        <w:trPr>
          <w:trHeight w:val="153"/>
        </w:trPr>
        <w:tc>
          <w:tcPr>
            <w:tcW w:w="2800" w:type="dxa"/>
            <w:vAlign w:val="bottom"/>
          </w:tcPr>
          <w:p>
            <w:pPr>
              <w:spacing w:after="0"/>
              <w:rPr>
                <w:sz w:val="20"/>
                <w:szCs w:val="20"/>
                <w:color w:val="auto"/>
              </w:rPr>
            </w:pPr>
            <w:r>
              <w:rPr>
                <w:rFonts w:ascii="Arial" w:cs="Arial" w:eastAsia="Arial" w:hAnsi="Arial"/>
                <w:sz w:val="12"/>
                <w:szCs w:val="12"/>
                <w:color w:val="auto"/>
              </w:rPr>
              <w:t>Property and equipment</w:t>
            </w:r>
          </w:p>
        </w:tc>
        <w:tc>
          <w:tcPr>
            <w:tcW w:w="28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213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341</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237</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ind w:left="10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791</w:t>
            </w:r>
          </w:p>
        </w:tc>
      </w:tr>
      <w:tr>
        <w:trPr>
          <w:trHeight w:val="153"/>
        </w:trPr>
        <w:tc>
          <w:tcPr>
            <w:tcW w:w="2800" w:type="dxa"/>
            <w:vAlign w:val="bottom"/>
            <w:shd w:val="clear" w:color="auto" w:fill="CCEEFF"/>
          </w:tcPr>
          <w:p>
            <w:pPr>
              <w:spacing w:after="0"/>
              <w:rPr>
                <w:sz w:val="20"/>
                <w:szCs w:val="20"/>
                <w:color w:val="auto"/>
              </w:rPr>
            </w:pPr>
            <w:r>
              <w:rPr>
                <w:rFonts w:ascii="Arial" w:cs="Arial" w:eastAsia="Arial" w:hAnsi="Arial"/>
                <w:sz w:val="12"/>
                <w:szCs w:val="12"/>
                <w:color w:val="auto"/>
              </w:rPr>
              <w:t>Goodwill</w:t>
            </w:r>
          </w:p>
        </w:tc>
        <w:tc>
          <w:tcPr>
            <w:tcW w:w="2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2,817</w:t>
            </w: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ind w:left="10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2,817</w:t>
            </w:r>
          </w:p>
        </w:tc>
      </w:tr>
      <w:tr>
        <w:trPr>
          <w:trHeight w:val="153"/>
        </w:trPr>
        <w:tc>
          <w:tcPr>
            <w:tcW w:w="2800" w:type="dxa"/>
            <w:vAlign w:val="bottom"/>
          </w:tcPr>
          <w:p>
            <w:pPr>
              <w:spacing w:after="0"/>
              <w:rPr>
                <w:sz w:val="20"/>
                <w:szCs w:val="20"/>
                <w:color w:val="auto"/>
              </w:rPr>
            </w:pPr>
            <w:r>
              <w:rPr>
                <w:rFonts w:ascii="Arial" w:cs="Arial" w:eastAsia="Arial" w:hAnsi="Arial"/>
                <w:sz w:val="12"/>
                <w:szCs w:val="12"/>
                <w:color w:val="auto"/>
              </w:rPr>
              <w:t>Intangibles, net</w:t>
            </w:r>
          </w:p>
        </w:tc>
        <w:tc>
          <w:tcPr>
            <w:tcW w:w="28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894</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58</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ind w:left="10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952</w:t>
            </w:r>
          </w:p>
        </w:tc>
      </w:tr>
      <w:tr>
        <w:trPr>
          <w:trHeight w:val="153"/>
        </w:trPr>
        <w:tc>
          <w:tcPr>
            <w:tcW w:w="2800" w:type="dxa"/>
            <w:vAlign w:val="bottom"/>
            <w:shd w:val="clear" w:color="auto" w:fill="CCEEFF"/>
          </w:tcPr>
          <w:p>
            <w:pPr>
              <w:spacing w:after="0"/>
              <w:rPr>
                <w:sz w:val="20"/>
                <w:szCs w:val="20"/>
                <w:color w:val="auto"/>
              </w:rPr>
            </w:pPr>
            <w:r>
              <w:rPr>
                <w:rFonts w:ascii="Arial" w:cs="Arial" w:eastAsia="Arial" w:hAnsi="Arial"/>
                <w:sz w:val="12"/>
                <w:szCs w:val="12"/>
                <w:color w:val="auto"/>
              </w:rPr>
              <w:t>Investments in subsidiaries</w:t>
            </w:r>
          </w:p>
        </w:tc>
        <w:tc>
          <w:tcPr>
            <w:tcW w:w="28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2,775</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4,384</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(7,159)</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28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Other</w:t>
            </w:r>
          </w:p>
        </w:tc>
        <w:tc>
          <w:tcPr>
            <w:tcW w:w="2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54</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115</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214</w:t>
            </w:r>
          </w:p>
        </w:tc>
        <w:tc>
          <w:tcPr>
            <w:tcW w:w="10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133</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471</w:t>
            </w:r>
          </w:p>
        </w:tc>
      </w:tr>
      <w:tr>
        <w:trPr>
          <w:trHeight w:val="158"/>
        </w:trPr>
        <w:tc>
          <w:tcPr>
            <w:tcW w:w="2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assets</w:t>
            </w: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2,898</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5,577</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5,008</w:t>
            </w:r>
          </w:p>
        </w:tc>
        <w:tc>
          <w:tcPr>
            <w:tcW w:w="10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2,624</w:t>
            </w: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(7,209)</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8,898</w:t>
            </w:r>
          </w:p>
        </w:tc>
      </w:tr>
      <w:tr>
        <w:trPr>
          <w:trHeight w:val="162"/>
        </w:trPr>
        <w:tc>
          <w:tcPr>
            <w:tcW w:w="2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53"/>
        </w:trPr>
        <w:tc>
          <w:tcPr>
            <w:tcW w:w="2800" w:type="dxa"/>
            <w:vAlign w:val="bottom"/>
            <w:shd w:val="clear" w:color="auto" w:fill="CCEEFF"/>
          </w:tcPr>
          <w:p>
            <w:pPr>
              <w:spacing w:after="0"/>
              <w:rPr>
                <w:sz w:val="20"/>
                <w:szCs w:val="20"/>
                <w:color w:val="auto"/>
              </w:rPr>
            </w:pPr>
            <w:r>
              <w:rPr>
                <w:rFonts w:ascii="Arial" w:cs="Arial" w:eastAsia="Arial" w:hAnsi="Arial"/>
                <w:sz w:val="12"/>
                <w:szCs w:val="12"/>
                <w:color w:val="auto"/>
              </w:rPr>
              <w:t>Accounts payable</w:t>
            </w: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145</w:t>
            </w: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280" w:type="dxa"/>
            <w:vAlign w:val="bottom"/>
            <w:gridSpan w:val="2"/>
            <w:shd w:val="clear" w:color="auto" w:fill="CCEEFF"/>
          </w:tcPr>
          <w:p>
            <w:pPr>
              <w:ind w:left="10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209</w:t>
            </w:r>
          </w:p>
        </w:tc>
      </w:tr>
      <w:tr>
        <w:trPr>
          <w:trHeight w:val="153"/>
        </w:trPr>
        <w:tc>
          <w:tcPr>
            <w:tcW w:w="2800" w:type="dxa"/>
            <w:vAlign w:val="bottom"/>
          </w:tcPr>
          <w:p>
            <w:pPr>
              <w:spacing w:after="0"/>
              <w:rPr>
                <w:sz w:val="20"/>
                <w:szCs w:val="20"/>
                <w:color w:val="auto"/>
              </w:rPr>
            </w:pPr>
            <w:r>
              <w:rPr>
                <w:rFonts w:ascii="Arial" w:cs="Arial" w:eastAsia="Arial" w:hAnsi="Arial"/>
                <w:sz w:val="12"/>
                <w:szCs w:val="12"/>
                <w:color w:val="auto"/>
              </w:rPr>
              <w:t>Advance deposits</w:t>
            </w:r>
          </w:p>
        </w:tc>
        <w:tc>
          <w:tcPr>
            <w:tcW w:w="28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70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57</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ind w:left="10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147</w:t>
            </w:r>
          </w:p>
        </w:tc>
      </w:tr>
      <w:tr>
        <w:trPr>
          <w:trHeight w:val="153"/>
        </w:trPr>
        <w:tc>
          <w:tcPr>
            <w:tcW w:w="2800" w:type="dxa"/>
            <w:vAlign w:val="bottom"/>
            <w:shd w:val="clear" w:color="auto" w:fill="CCEEFF"/>
          </w:tcPr>
          <w:p>
            <w:pPr>
              <w:spacing w:after="0"/>
              <w:rPr>
                <w:sz w:val="20"/>
                <w:szCs w:val="20"/>
                <w:color w:val="auto"/>
              </w:rPr>
            </w:pPr>
            <w:r>
              <w:rPr>
                <w:rFonts w:ascii="Arial" w:cs="Arial" w:eastAsia="Arial" w:hAnsi="Arial"/>
                <w:sz w:val="12"/>
                <w:szCs w:val="12"/>
                <w:color w:val="auto"/>
              </w:rPr>
              <w:t>Accrued liabilities</w:t>
            </w:r>
          </w:p>
        </w:tc>
        <w:tc>
          <w:tcPr>
            <w:tcW w:w="28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99</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157</w:t>
            </w: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99</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349</w:t>
            </w:r>
          </w:p>
        </w:tc>
      </w:tr>
      <w:tr>
        <w:trPr>
          <w:trHeight w:val="153"/>
        </w:trPr>
        <w:tc>
          <w:tcPr>
            <w:tcW w:w="2800" w:type="dxa"/>
            <w:vAlign w:val="bottom"/>
          </w:tcPr>
          <w:p>
            <w:pPr>
              <w:spacing w:after="0"/>
              <w:rPr>
                <w:sz w:val="20"/>
                <w:szCs w:val="20"/>
                <w:color w:val="auto"/>
              </w:rPr>
            </w:pPr>
            <w:r>
              <w:rPr>
                <w:rFonts w:ascii="Arial" w:cs="Arial" w:eastAsia="Arial" w:hAnsi="Arial"/>
                <w:sz w:val="12"/>
                <w:szCs w:val="12"/>
                <w:color w:val="auto"/>
              </w:rPr>
              <w:t>Deferred revenue</w:t>
            </w:r>
          </w:p>
        </w:tc>
        <w:tc>
          <w:tcPr>
            <w:tcW w:w="28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126</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355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488</w:t>
            </w:r>
          </w:p>
        </w:tc>
      </w:tr>
      <w:tr>
        <w:trPr>
          <w:trHeight w:val="153"/>
        </w:trPr>
        <w:tc>
          <w:tcPr>
            <w:tcW w:w="2800" w:type="dxa"/>
            <w:vAlign w:val="bottom"/>
            <w:shd w:val="clear" w:color="auto" w:fill="CCEEFF"/>
          </w:tcPr>
          <w:p>
            <w:pPr>
              <w:spacing w:after="0"/>
              <w:rPr>
                <w:sz w:val="20"/>
                <w:szCs w:val="20"/>
                <w:color w:val="auto"/>
              </w:rPr>
            </w:pPr>
            <w:r>
              <w:rPr>
                <w:rFonts w:ascii="Arial" w:cs="Arial" w:eastAsia="Arial" w:hAnsi="Arial"/>
                <w:sz w:val="12"/>
                <w:szCs w:val="12"/>
                <w:color w:val="auto"/>
              </w:rPr>
              <w:t>Payroll and benefits liability</w:t>
            </w:r>
          </w:p>
        </w:tc>
        <w:tc>
          <w:tcPr>
            <w:tcW w:w="28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w:t>
            </w: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ind w:left="10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157</w:t>
            </w:r>
          </w:p>
        </w:tc>
      </w:tr>
      <w:tr>
        <w:trPr>
          <w:trHeight w:val="153"/>
        </w:trPr>
        <w:tc>
          <w:tcPr>
            <w:tcW w:w="2800" w:type="dxa"/>
            <w:vAlign w:val="bottom"/>
          </w:tcPr>
          <w:p>
            <w:pPr>
              <w:spacing w:after="0"/>
              <w:rPr>
                <w:sz w:val="20"/>
                <w:szCs w:val="20"/>
                <w:color w:val="auto"/>
              </w:rPr>
            </w:pPr>
            <w:r>
              <w:rPr>
                <w:rFonts w:ascii="Arial" w:cs="Arial" w:eastAsia="Arial" w:hAnsi="Arial"/>
                <w:sz w:val="12"/>
                <w:szCs w:val="12"/>
                <w:color w:val="auto"/>
              </w:rPr>
              <w:t>Deferred compensation liability</w:t>
            </w:r>
          </w:p>
        </w:tc>
        <w:tc>
          <w:tcPr>
            <w:tcW w:w="28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104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22</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ind w:left="10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127</w:t>
            </w:r>
          </w:p>
        </w:tc>
      </w:tr>
      <w:tr>
        <w:trPr>
          <w:trHeight w:val="153"/>
        </w:trPr>
        <w:tc>
          <w:tcPr>
            <w:tcW w:w="2800" w:type="dxa"/>
            <w:vAlign w:val="bottom"/>
            <w:shd w:val="clear" w:color="auto" w:fill="CCEEFF"/>
          </w:tcPr>
          <w:p>
            <w:pPr>
              <w:spacing w:after="0"/>
              <w:rPr>
                <w:sz w:val="20"/>
                <w:szCs w:val="20"/>
                <w:color w:val="auto"/>
              </w:rPr>
            </w:pPr>
            <w:r>
              <w:rPr>
                <w:rFonts w:ascii="Arial" w:cs="Arial" w:eastAsia="Arial" w:hAnsi="Arial"/>
                <w:sz w:val="12"/>
                <w:szCs w:val="12"/>
                <w:color w:val="auto"/>
              </w:rPr>
              <w:t>Securitized debt, net</w:t>
            </w:r>
          </w:p>
        </w:tc>
        <w:tc>
          <w:tcPr>
            <w:tcW w:w="2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1,604</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1,588</w:t>
            </w:r>
          </w:p>
        </w:tc>
      </w:tr>
      <w:tr>
        <w:trPr>
          <w:trHeight w:val="153"/>
        </w:trPr>
        <w:tc>
          <w:tcPr>
            <w:tcW w:w="2800" w:type="dxa"/>
            <w:vAlign w:val="bottom"/>
          </w:tcPr>
          <w:p>
            <w:pPr>
              <w:spacing w:after="0"/>
              <w:rPr>
                <w:sz w:val="20"/>
                <w:szCs w:val="20"/>
                <w:color w:val="auto"/>
              </w:rPr>
            </w:pPr>
            <w:r>
              <w:rPr>
                <w:rFonts w:ascii="Arial" w:cs="Arial" w:eastAsia="Arial" w:hAnsi="Arial"/>
                <w:sz w:val="12"/>
                <w:szCs w:val="12"/>
                <w:color w:val="auto"/>
              </w:rPr>
              <w:t>Debt, net</w:t>
            </w:r>
          </w:p>
        </w:tc>
        <w:tc>
          <w:tcPr>
            <w:tcW w:w="2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215</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2,464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ind w:left="10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2,680</w:t>
            </w:r>
          </w:p>
        </w:tc>
      </w:tr>
      <w:tr>
        <w:trPr>
          <w:trHeight w:val="153"/>
        </w:trPr>
        <w:tc>
          <w:tcPr>
            <w:tcW w:w="2800" w:type="dxa"/>
            <w:vAlign w:val="bottom"/>
            <w:shd w:val="clear" w:color="auto" w:fill="CCEEFF"/>
          </w:tcPr>
          <w:p>
            <w:pPr>
              <w:spacing w:after="0"/>
              <w:rPr>
                <w:sz w:val="20"/>
                <w:szCs w:val="20"/>
                <w:color w:val="auto"/>
              </w:rPr>
            </w:pPr>
            <w:r>
              <w:rPr>
                <w:rFonts w:ascii="Arial" w:cs="Arial" w:eastAsia="Arial" w:hAnsi="Arial"/>
                <w:sz w:val="12"/>
                <w:szCs w:val="12"/>
                <w:color w:val="auto"/>
              </w:rPr>
              <w:t>Other</w:t>
            </w:r>
          </w:p>
        </w:tc>
        <w:tc>
          <w:tcPr>
            <w:tcW w:w="28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130</w:t>
            </w: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ind w:left="10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197</w:t>
            </w:r>
          </w:p>
        </w:tc>
      </w:tr>
      <w:tr>
        <w:trPr>
          <w:trHeight w:val="153"/>
        </w:trPr>
        <w:tc>
          <w:tcPr>
            <w:tcW w:w="2800" w:type="dxa"/>
            <w:vAlign w:val="bottom"/>
          </w:tcPr>
          <w:p>
            <w:pPr>
              <w:spacing w:after="0"/>
              <w:rPr>
                <w:sz w:val="20"/>
                <w:szCs w:val="20"/>
                <w:color w:val="auto"/>
              </w:rPr>
            </w:pPr>
            <w:r>
              <w:rPr>
                <w:rFonts w:ascii="Arial" w:cs="Arial" w:eastAsia="Arial" w:hAnsi="Arial"/>
                <w:sz w:val="12"/>
                <w:szCs w:val="12"/>
                <w:color w:val="auto"/>
              </w:rPr>
              <w:t>Deferred taxes</w:t>
            </w:r>
          </w:p>
        </w:tc>
        <w:tc>
          <w:tcPr>
            <w:tcW w:w="28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103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143</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28</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ind w:left="10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274</w:t>
            </w:r>
          </w:p>
        </w:tc>
      </w:tr>
      <w:tr>
        <w:trPr>
          <w:trHeight w:val="153"/>
        </w:trPr>
        <w:tc>
          <w:tcPr>
            <w:tcW w:w="2800" w:type="dxa"/>
            <w:vAlign w:val="bottom"/>
            <w:shd w:val="clear" w:color="auto" w:fill="CCEEFF"/>
          </w:tcPr>
          <w:p>
            <w:pPr>
              <w:spacing w:after="0"/>
              <w:rPr>
                <w:sz w:val="20"/>
                <w:szCs w:val="20"/>
                <w:color w:val="auto"/>
              </w:rPr>
            </w:pPr>
            <w:r>
              <w:rPr>
                <w:rFonts w:ascii="Arial" w:cs="Arial" w:eastAsia="Arial" w:hAnsi="Arial"/>
                <w:sz w:val="12"/>
                <w:szCs w:val="12"/>
                <w:color w:val="auto"/>
              </w:rPr>
              <w:t>MVW shareholders' equity</w:t>
            </w:r>
          </w:p>
        </w:tc>
        <w:tc>
          <w:tcPr>
            <w:tcW w:w="28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2,651</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2,580</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4,173</w:t>
            </w: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432</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(7,185)</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2,651</w:t>
            </w:r>
          </w:p>
        </w:tc>
      </w:tr>
      <w:tr>
        <w:trPr>
          <w:trHeight w:val="153"/>
        </w:trPr>
        <w:tc>
          <w:tcPr>
            <w:tcW w:w="2800" w:type="dxa"/>
            <w:vAlign w:val="bottom"/>
          </w:tcPr>
          <w:p>
            <w:pPr>
              <w:spacing w:after="0"/>
              <w:rPr>
                <w:sz w:val="20"/>
                <w:szCs w:val="20"/>
                <w:color w:val="auto"/>
              </w:rPr>
            </w:pPr>
            <w:r>
              <w:rPr>
                <w:rFonts w:ascii="Arial" w:cs="Arial" w:eastAsia="Arial" w:hAnsi="Arial"/>
                <w:sz w:val="12"/>
                <w:szCs w:val="12"/>
                <w:color w:val="auto"/>
              </w:rPr>
              <w:t>Noncontrolling interests</w:t>
            </w:r>
          </w:p>
        </w:tc>
        <w:tc>
          <w:tcPr>
            <w:tcW w:w="28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31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ind w:left="10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31</w:t>
            </w:r>
          </w:p>
        </w:tc>
      </w:tr>
      <w:tr>
        <w:trPr>
          <w:trHeight w:val="162"/>
        </w:trPr>
        <w:tc>
          <w:tcPr>
            <w:tcW w:w="2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liabilities and equity</w:t>
            </w:r>
          </w:p>
        </w:tc>
        <w:tc>
          <w:tcPr>
            <w:tcW w:w="28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2,898</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5,577</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5,008</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2,624</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(7,209)</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8,898</w:t>
            </w:r>
          </w:p>
        </w:tc>
      </w:tr>
      <w:tr>
        <w:trPr>
          <w:trHeight w:val="320"/>
        </w:trPr>
        <w:tc>
          <w:tcPr>
            <w:tcW w:w="2800" w:type="dxa"/>
            <w:vAlign w:val="bottom"/>
          </w:tcPr>
          <w:p>
            <w:pPr>
              <w:spacing w:after="0"/>
              <w:rPr>
                <w:sz w:val="20"/>
                <w:szCs w:val="20"/>
                <w:color w:val="auto"/>
              </w:rPr>
            </w:pPr>
            <w:r>
              <w:rPr>
                <w:rFonts w:ascii="Arial" w:cs="Arial" w:eastAsia="Arial" w:hAnsi="Arial"/>
                <w:sz w:val="12"/>
                <w:szCs w:val="12"/>
                <w:i w:val="1"/>
                <w:iCs w:val="1"/>
                <w:color w:val="auto"/>
              </w:rPr>
              <w:t>Condensed Consolidating Statements of Income</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0"/>
        </w:trPr>
        <w:tc>
          <w:tcPr>
            <w:tcW w:w="28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3"/>
          </w:tcPr>
          <w:p>
            <w:pPr>
              <w:jc w:val="center"/>
              <w:ind w:left="341"/>
              <w:spacing w:after="0"/>
              <w:rPr>
                <w:sz w:val="20"/>
                <w:szCs w:val="20"/>
                <w:color w:val="auto"/>
              </w:rPr>
            </w:pPr>
            <w:r>
              <w:rPr>
                <w:rFonts w:ascii="Arial" w:cs="Arial" w:eastAsia="Arial" w:hAnsi="Arial"/>
                <w:sz w:val="11"/>
                <w:szCs w:val="11"/>
                <w:b w:val="1"/>
                <w:bCs w:val="1"/>
                <w:color w:val="auto"/>
                <w:w w:val="88"/>
              </w:rPr>
              <w:t>Six Months Ended June 30, 2021</w:t>
            </w: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r>
      <w:tr>
        <w:trPr>
          <w:trHeight w:val="160"/>
        </w:trPr>
        <w:tc>
          <w:tcPr>
            <w:tcW w:w="28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tcPr>
          <w:p>
            <w:pPr>
              <w:jc w:val="right"/>
              <w:ind w:right="192"/>
              <w:spacing w:after="0"/>
              <w:rPr>
                <w:sz w:val="20"/>
                <w:szCs w:val="20"/>
                <w:color w:val="auto"/>
              </w:rPr>
            </w:pPr>
            <w:r>
              <w:rPr>
                <w:rFonts w:ascii="Arial" w:cs="Arial" w:eastAsia="Arial" w:hAnsi="Arial"/>
                <w:sz w:val="11"/>
                <w:szCs w:val="11"/>
                <w:b w:val="1"/>
                <w:bCs w:val="1"/>
                <w:color w:val="auto"/>
              </w:rPr>
              <w:t>Issuers</w:t>
            </w:r>
          </w:p>
        </w:tc>
        <w:tc>
          <w:tcPr>
            <w:tcW w:w="10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60"/>
        </w:trPr>
        <w:tc>
          <w:tcPr>
            <w:tcW w:w="280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2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21"/>
              <w:spacing w:after="0"/>
              <w:rPr>
                <w:sz w:val="20"/>
                <w:szCs w:val="20"/>
                <w:color w:val="auto"/>
              </w:rPr>
            </w:pPr>
            <w:r>
              <w:rPr>
                <w:rFonts w:ascii="Arial" w:cs="Arial" w:eastAsia="Arial" w:hAnsi="Arial"/>
                <w:sz w:val="11"/>
                <w:szCs w:val="11"/>
                <w:b w:val="1"/>
                <w:bCs w:val="1"/>
                <w:color w:val="auto"/>
              </w:rPr>
              <w:t>MVWC</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60"/>
              <w:spacing w:after="0"/>
              <w:rPr>
                <w:sz w:val="20"/>
                <w:szCs w:val="20"/>
                <w:color w:val="auto"/>
              </w:rPr>
            </w:pPr>
            <w:r>
              <w:rPr>
                <w:rFonts w:ascii="Arial" w:cs="Arial" w:eastAsia="Arial" w:hAnsi="Arial"/>
                <w:sz w:val="11"/>
                <w:szCs w:val="11"/>
                <w:b w:val="1"/>
                <w:bCs w:val="1"/>
                <w:color w:val="auto"/>
              </w:rPr>
              <w:t>MORI</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11"/>
                <w:szCs w:val="11"/>
                <w:b w:val="1"/>
                <w:bCs w:val="1"/>
                <w:color w:val="auto"/>
                <w:w w:val="87"/>
              </w:rPr>
              <w:t>Senior Notes Guarantors</w:t>
            </w:r>
          </w:p>
        </w:tc>
        <w:tc>
          <w:tcPr>
            <w:tcW w:w="100" w:type="dxa"/>
            <w:vAlign w:val="bottom"/>
            <w:tcBorders>
              <w:bottom w:val="single" w:sz="8" w:color="CCEEFF"/>
            </w:tcBorders>
          </w:tcPr>
          <w:p>
            <w:pPr>
              <w:spacing w:after="0"/>
              <w:rPr>
                <w:sz w:val="13"/>
                <w:szCs w:val="13"/>
                <w:color w:val="auto"/>
              </w:rPr>
            </w:pPr>
          </w:p>
        </w:tc>
        <w:tc>
          <w:tcPr>
            <w:tcW w:w="134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w w:val="89"/>
              </w:rPr>
              <w:t>Non-Guarantor Subsidiaries</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ind w:left="80"/>
              <w:spacing w:after="0"/>
              <w:rPr>
                <w:sz w:val="20"/>
                <w:szCs w:val="20"/>
                <w:color w:val="auto"/>
              </w:rPr>
            </w:pPr>
            <w:r>
              <w:rPr>
                <w:rFonts w:ascii="Arial" w:cs="Arial" w:eastAsia="Arial" w:hAnsi="Arial"/>
                <w:sz w:val="11"/>
                <w:szCs w:val="11"/>
                <w:b w:val="1"/>
                <w:bCs w:val="1"/>
                <w:color w:val="auto"/>
              </w:rPr>
              <w:t>Total Eliminations</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160"/>
              <w:spacing w:after="0"/>
              <w:rPr>
                <w:sz w:val="20"/>
                <w:szCs w:val="20"/>
                <w:color w:val="auto"/>
              </w:rPr>
            </w:pPr>
            <w:r>
              <w:rPr>
                <w:rFonts w:ascii="Arial" w:cs="Arial" w:eastAsia="Arial" w:hAnsi="Arial"/>
                <w:sz w:val="11"/>
                <w:szCs w:val="11"/>
                <w:b w:val="1"/>
                <w:bCs w:val="1"/>
                <w:color w:val="auto"/>
                <w:w w:val="96"/>
              </w:rPr>
              <w:t>MVW Consolidated</w:t>
            </w:r>
          </w:p>
        </w:tc>
      </w:tr>
      <w:tr>
        <w:trPr>
          <w:trHeight w:val="144"/>
        </w:trPr>
        <w:tc>
          <w:tcPr>
            <w:tcW w:w="2800" w:type="dxa"/>
            <w:vAlign w:val="bottom"/>
            <w:shd w:val="clear" w:color="auto" w:fill="CCEEFF"/>
          </w:tcPr>
          <w:p>
            <w:pPr>
              <w:spacing w:after="0"/>
              <w:rPr>
                <w:sz w:val="20"/>
                <w:szCs w:val="20"/>
                <w:color w:val="auto"/>
              </w:rPr>
            </w:pPr>
            <w:r>
              <w:rPr>
                <w:rFonts w:ascii="Arial" w:cs="Arial" w:eastAsia="Arial" w:hAnsi="Arial"/>
                <w:sz w:val="12"/>
                <w:szCs w:val="12"/>
                <w:color w:val="auto"/>
              </w:rPr>
              <w:t>Revenues</w:t>
            </w: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1,103</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386</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1,738</w:t>
            </w:r>
          </w:p>
        </w:tc>
      </w:tr>
      <w:tr>
        <w:trPr>
          <w:trHeight w:val="153"/>
        </w:trPr>
        <w:tc>
          <w:tcPr>
            <w:tcW w:w="2800" w:type="dxa"/>
            <w:vAlign w:val="bottom"/>
          </w:tcPr>
          <w:p>
            <w:pPr>
              <w:spacing w:after="0"/>
              <w:rPr>
                <w:sz w:val="20"/>
                <w:szCs w:val="20"/>
                <w:color w:val="auto"/>
              </w:rPr>
            </w:pPr>
            <w:r>
              <w:rPr>
                <w:rFonts w:ascii="Arial" w:cs="Arial" w:eastAsia="Arial" w:hAnsi="Arial"/>
                <w:sz w:val="12"/>
                <w:szCs w:val="12"/>
                <w:color w:val="auto"/>
              </w:rPr>
              <w:t>Expenses</w:t>
            </w:r>
          </w:p>
        </w:tc>
        <w:tc>
          <w:tcPr>
            <w:tcW w:w="2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(18)</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(409)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(1,020)</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(308)</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ind w:left="1020"/>
              <w:spacing w:after="0"/>
              <w:rPr>
                <w:sz w:val="20"/>
                <w:szCs w:val="20"/>
                <w:color w:val="auto"/>
              </w:rPr>
            </w:pPr>
            <w:r>
              <w:rPr>
                <w:rFonts w:ascii="Arial" w:cs="Arial" w:eastAsia="Arial" w:hAnsi="Arial"/>
                <w:sz w:val="12"/>
                <w:szCs w:val="12"/>
                <w:color w:val="auto"/>
              </w:rPr>
              <w:t>16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(1,739)</w:t>
            </w:r>
          </w:p>
        </w:tc>
      </w:tr>
      <w:tr>
        <w:trPr>
          <w:trHeight w:val="153"/>
        </w:trPr>
        <w:tc>
          <w:tcPr>
            <w:tcW w:w="2800" w:type="dxa"/>
            <w:vAlign w:val="bottom"/>
            <w:shd w:val="clear" w:color="auto" w:fill="CCEEFF"/>
          </w:tcPr>
          <w:p>
            <w:pPr>
              <w:spacing w:after="0"/>
              <w:rPr>
                <w:sz w:val="20"/>
                <w:szCs w:val="20"/>
                <w:color w:val="auto"/>
              </w:rPr>
            </w:pPr>
            <w:r>
              <w:rPr>
                <w:rFonts w:ascii="Arial" w:cs="Arial" w:eastAsia="Arial" w:hAnsi="Arial"/>
                <w:sz w:val="12"/>
                <w:szCs w:val="12"/>
                <w:color w:val="auto"/>
              </w:rPr>
              <w:t>Benefit (provision) for income taxes</w:t>
            </w:r>
          </w:p>
        </w:tc>
        <w:tc>
          <w:tcPr>
            <w:tcW w:w="28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w:t>
            </w: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ind w:left="10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w:t>
            </w:r>
          </w:p>
        </w:tc>
      </w:tr>
      <w:tr>
        <w:trPr>
          <w:trHeight w:val="153"/>
        </w:trPr>
        <w:tc>
          <w:tcPr>
            <w:tcW w:w="2800" w:type="dxa"/>
            <w:vAlign w:val="bottom"/>
          </w:tcPr>
          <w:p>
            <w:pPr>
              <w:spacing w:after="0"/>
              <w:rPr>
                <w:sz w:val="20"/>
                <w:szCs w:val="20"/>
                <w:color w:val="auto"/>
              </w:rPr>
            </w:pPr>
            <w:r>
              <w:rPr>
                <w:rFonts w:ascii="Arial" w:cs="Arial" w:eastAsia="Arial" w:hAnsi="Arial"/>
                <w:sz w:val="12"/>
                <w:szCs w:val="12"/>
                <w:color w:val="auto"/>
              </w:rPr>
              <w:t>Equity in net (loss) income of subsidiaries</w:t>
            </w:r>
          </w:p>
        </w:tc>
        <w:tc>
          <w:tcPr>
            <w:tcW w:w="2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93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6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(83)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2"/>
        </w:trPr>
        <w:tc>
          <w:tcPr>
            <w:tcW w:w="2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Net (loss) income</w:t>
            </w:r>
          </w:p>
        </w:tc>
        <w:tc>
          <w:tcPr>
            <w:tcW w:w="28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w:t>
            </w: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49</w:t>
            </w:r>
          </w:p>
        </w:tc>
        <w:tc>
          <w:tcPr>
            <w:tcW w:w="10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w:t>
            </w: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(83)</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w:t>
            </w:r>
          </w:p>
        </w:tc>
      </w:tr>
      <w:tr>
        <w:trPr>
          <w:trHeight w:val="153"/>
        </w:trPr>
        <w:tc>
          <w:tcPr>
            <w:tcW w:w="2800" w:type="dxa"/>
            <w:vAlign w:val="bottom"/>
          </w:tcPr>
          <w:p>
            <w:pPr>
              <w:spacing w:after="0"/>
              <w:rPr>
                <w:sz w:val="20"/>
                <w:szCs w:val="20"/>
                <w:color w:val="auto"/>
              </w:rPr>
            </w:pPr>
            <w:r>
              <w:rPr>
                <w:rFonts w:ascii="Arial" w:cs="Arial" w:eastAsia="Arial" w:hAnsi="Arial"/>
                <w:sz w:val="12"/>
                <w:szCs w:val="12"/>
                <w:color w:val="auto"/>
              </w:rPr>
              <w:t>Net loss attributable to noncontrolling interests</w:t>
            </w:r>
          </w:p>
        </w:tc>
        <w:tc>
          <w:tcPr>
            <w:tcW w:w="28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ind w:left="10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(5)</w:t>
            </w:r>
          </w:p>
        </w:tc>
      </w:tr>
      <w:tr>
        <w:trPr>
          <w:trHeight w:val="158"/>
        </w:trPr>
        <w:tc>
          <w:tcPr>
            <w:tcW w:w="2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2"/>
                <w:szCs w:val="12"/>
                <w:color w:val="auto"/>
                <w:w w:val="95"/>
              </w:rPr>
              <w:t>Net (loss) income attributable to common shareholders</w:t>
            </w:r>
          </w:p>
        </w:tc>
        <w:tc>
          <w:tcPr>
            <w:tcW w:w="28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340" w:type="dxa"/>
            <w:vAlign w:val="bottom"/>
            <w:tcBorders>
              <w:top w:val="single" w:sz="8" w:color="auto"/>
              <w:bottom w:val="single" w:sz="8" w:color="auto"/>
            </w:tcBorders>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49</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(83)</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w:t>
            </w:r>
          </w:p>
        </w:tc>
      </w:tr>
      <w:tr>
        <w:trPr>
          <w:trHeight w:val="342"/>
        </w:trPr>
        <w:tc>
          <w:tcPr>
            <w:tcW w:w="2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jc w:val="right"/>
              <w:ind w:right="1021"/>
              <w:spacing w:after="0"/>
              <w:rPr>
                <w:sz w:val="20"/>
                <w:szCs w:val="20"/>
                <w:color w:val="auto"/>
              </w:rPr>
            </w:pPr>
            <w:r>
              <w:rPr>
                <w:rFonts w:ascii="Arial" w:cs="Arial" w:eastAsia="Arial" w:hAnsi="Arial"/>
                <w:sz w:val="12"/>
                <w:szCs w:val="12"/>
                <w:color w:val="auto"/>
              </w:rPr>
              <w:t>72</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06"/>
        </w:trPr>
        <w:tc>
          <w:tcPr>
            <w:tcW w:w="28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74" w:name="page75"/>
    <w:bookmarkEnd w:id="74"/>
    <w:p>
      <w:pPr>
        <w:ind w:left="8"/>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Contractual Obligations and Off-Balance Sheet Arrangements</w:t>
      </w:r>
    </w:p>
    <w:p>
      <w:pPr>
        <w:spacing w:after="0" w:line="78"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following table summarizes our contractual obligations as of June 30, 2021:</w:t>
      </w:r>
    </w:p>
    <w:p>
      <w:pPr>
        <w:spacing w:after="0" w:line="105"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420" w:type="dxa"/>
            <w:vAlign w:val="bottom"/>
            <w:tcBorders>
              <w:bottom w:val="single" w:sz="8" w:color="auto"/>
            </w:tcBorders>
            <w:gridSpan w:val="5"/>
          </w:tcPr>
          <w:p>
            <w:pPr>
              <w:ind w:left="480"/>
              <w:spacing w:after="0"/>
              <w:rPr>
                <w:sz w:val="20"/>
                <w:szCs w:val="20"/>
                <w:color w:val="auto"/>
              </w:rPr>
            </w:pPr>
            <w:r>
              <w:rPr>
                <w:rFonts w:ascii="Arial" w:cs="Arial" w:eastAsia="Arial" w:hAnsi="Arial"/>
                <w:sz w:val="11"/>
                <w:szCs w:val="11"/>
                <w:b w:val="1"/>
                <w:bCs w:val="1"/>
                <w:color w:val="auto"/>
              </w:rPr>
              <w:t>Payments Due by Period</w:t>
            </w: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gridSpan w:val="2"/>
            <w:vMerge w:val="restart"/>
          </w:tcPr>
          <w:p>
            <w:pPr>
              <w:ind w:left="220"/>
              <w:spacing w:after="0"/>
              <w:rPr>
                <w:sz w:val="20"/>
                <w:szCs w:val="20"/>
                <w:color w:val="auto"/>
              </w:rPr>
            </w:pPr>
            <w:r>
              <w:rPr>
                <w:rFonts w:ascii="Arial" w:cs="Arial" w:eastAsia="Arial" w:hAnsi="Arial"/>
                <w:sz w:val="11"/>
                <w:szCs w:val="11"/>
                <w:b w:val="1"/>
                <w:bCs w:val="1"/>
                <w:color w:val="auto"/>
              </w:rPr>
              <w:t>Total</w:t>
            </w:r>
          </w:p>
        </w:tc>
        <w:tc>
          <w:tcPr>
            <w:tcW w:w="220" w:type="dxa"/>
            <w:vAlign w:val="bottom"/>
          </w:tcPr>
          <w:p>
            <w:pPr>
              <w:spacing w:after="0"/>
              <w:rPr>
                <w:sz w:val="8"/>
                <w:szCs w:val="8"/>
                <w:color w:val="auto"/>
              </w:rPr>
            </w:pPr>
          </w:p>
        </w:tc>
        <w:tc>
          <w:tcPr>
            <w:tcW w:w="1100" w:type="dxa"/>
            <w:vAlign w:val="bottom"/>
            <w:gridSpan w:val="2"/>
          </w:tcPr>
          <w:p>
            <w:pPr>
              <w:jc w:val="center"/>
              <w:ind w:right="300"/>
              <w:spacing w:after="0" w:line="99" w:lineRule="exact"/>
              <w:rPr>
                <w:sz w:val="20"/>
                <w:szCs w:val="20"/>
                <w:color w:val="auto"/>
              </w:rPr>
            </w:pPr>
            <w:r>
              <w:rPr>
                <w:rFonts w:ascii="Arial" w:cs="Arial" w:eastAsia="Arial" w:hAnsi="Arial"/>
                <w:sz w:val="11"/>
                <w:szCs w:val="11"/>
                <w:b w:val="1"/>
                <w:bCs w:val="1"/>
                <w:color w:val="auto"/>
                <w:w w:val="91"/>
              </w:rPr>
              <w:t>Remainder</w:t>
            </w:r>
          </w:p>
        </w:tc>
        <w:tc>
          <w:tcPr>
            <w:tcW w:w="220" w:type="dxa"/>
            <w:vAlign w:val="bottom"/>
          </w:tcPr>
          <w:p>
            <w:pPr>
              <w:spacing w:after="0"/>
              <w:rPr>
                <w:sz w:val="8"/>
                <w:szCs w:val="8"/>
                <w:color w:val="auto"/>
              </w:rPr>
            </w:pPr>
          </w:p>
        </w:tc>
        <w:tc>
          <w:tcPr>
            <w:tcW w:w="1100" w:type="dxa"/>
            <w:vAlign w:val="bottom"/>
            <w:gridSpan w:val="2"/>
          </w:tcPr>
          <w:p>
            <w:pPr>
              <w:ind w:left="260"/>
              <w:spacing w:after="0" w:line="99" w:lineRule="exact"/>
              <w:rPr>
                <w:sz w:val="20"/>
                <w:szCs w:val="20"/>
                <w:color w:val="auto"/>
              </w:rPr>
            </w:pPr>
            <w:r>
              <w:rPr>
                <w:rFonts w:ascii="Arial" w:cs="Arial" w:eastAsia="Arial" w:hAnsi="Arial"/>
                <w:sz w:val="11"/>
                <w:szCs w:val="11"/>
                <w:b w:val="1"/>
                <w:bCs w:val="1"/>
                <w:color w:val="auto"/>
              </w:rPr>
              <w:t>Years</w:t>
            </w:r>
          </w:p>
        </w:tc>
        <w:tc>
          <w:tcPr>
            <w:tcW w:w="200" w:type="dxa"/>
            <w:vAlign w:val="bottom"/>
          </w:tcPr>
          <w:p>
            <w:pPr>
              <w:spacing w:after="0"/>
              <w:rPr>
                <w:sz w:val="8"/>
                <w:szCs w:val="8"/>
                <w:color w:val="auto"/>
              </w:rPr>
            </w:pPr>
          </w:p>
        </w:tc>
        <w:tc>
          <w:tcPr>
            <w:tcW w:w="1120" w:type="dxa"/>
            <w:vAlign w:val="bottom"/>
            <w:gridSpan w:val="2"/>
          </w:tcPr>
          <w:p>
            <w:pPr>
              <w:ind w:left="280"/>
              <w:spacing w:after="0" w:line="99" w:lineRule="exact"/>
              <w:rPr>
                <w:sz w:val="20"/>
                <w:szCs w:val="20"/>
                <w:color w:val="auto"/>
              </w:rPr>
            </w:pPr>
            <w:r>
              <w:rPr>
                <w:rFonts w:ascii="Arial" w:cs="Arial" w:eastAsia="Arial" w:hAnsi="Arial"/>
                <w:sz w:val="11"/>
                <w:szCs w:val="11"/>
                <w:b w:val="1"/>
                <w:bCs w:val="1"/>
                <w:color w:val="auto"/>
              </w:rPr>
              <w:t>Years</w:t>
            </w:r>
          </w:p>
        </w:tc>
        <w:tc>
          <w:tcPr>
            <w:tcW w:w="220" w:type="dxa"/>
            <w:vAlign w:val="bottom"/>
          </w:tcPr>
          <w:p>
            <w:pPr>
              <w:spacing w:after="0"/>
              <w:rPr>
                <w:sz w:val="8"/>
                <w:szCs w:val="8"/>
                <w:color w:val="auto"/>
              </w:rPr>
            </w:pPr>
          </w:p>
        </w:tc>
        <w:tc>
          <w:tcPr>
            <w:tcW w:w="1000" w:type="dxa"/>
            <w:vAlign w:val="bottom"/>
            <w:vMerge w:val="restart"/>
          </w:tcPr>
          <w:p>
            <w:pPr>
              <w:jc w:val="right"/>
              <w:ind w:right="301"/>
              <w:spacing w:after="0"/>
              <w:rPr>
                <w:sz w:val="20"/>
                <w:szCs w:val="20"/>
                <w:color w:val="auto"/>
              </w:rPr>
            </w:pPr>
            <w:r>
              <w:rPr>
                <w:rFonts w:ascii="Arial" w:cs="Arial" w:eastAsia="Arial" w:hAnsi="Arial"/>
                <w:sz w:val="11"/>
                <w:szCs w:val="11"/>
                <w:b w:val="1"/>
                <w:bCs w:val="1"/>
                <w:color w:val="auto"/>
              </w:rPr>
              <w:t>Thereafter</w:t>
            </w:r>
          </w:p>
        </w:tc>
        <w:tc>
          <w:tcPr>
            <w:tcW w:w="0" w:type="dxa"/>
            <w:vAlign w:val="bottom"/>
          </w:tcPr>
          <w:p>
            <w:pPr>
              <w:spacing w:after="0"/>
              <w:rPr>
                <w:sz w:val="1"/>
                <w:szCs w:val="1"/>
                <w:color w:val="auto"/>
              </w:rPr>
            </w:pPr>
          </w:p>
        </w:tc>
      </w:tr>
      <w:tr>
        <w:trPr>
          <w:trHeight w:val="142"/>
        </w:trPr>
        <w:tc>
          <w:tcPr>
            <w:tcW w:w="4820" w:type="dxa"/>
            <w:vAlign w:val="bottom"/>
            <w:gridSpan w:val="4"/>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2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84"/>
              </w:rPr>
              <w:t>of 2021</w:t>
            </w:r>
          </w:p>
        </w:tc>
        <w:tc>
          <w:tcPr>
            <w:tcW w:w="220" w:type="dxa"/>
            <w:vAlign w:val="bottom"/>
          </w:tcPr>
          <w:p>
            <w:pPr>
              <w:spacing w:after="0"/>
              <w:rPr>
                <w:sz w:val="12"/>
                <w:szCs w:val="12"/>
                <w:color w:val="auto"/>
              </w:rPr>
            </w:pPr>
          </w:p>
        </w:tc>
        <w:tc>
          <w:tcPr>
            <w:tcW w:w="1000" w:type="dxa"/>
            <w:vAlign w:val="bottom"/>
          </w:tcPr>
          <w:p>
            <w:pPr>
              <w:jc w:val="right"/>
              <w:ind w:right="282"/>
              <w:spacing w:after="0"/>
              <w:rPr>
                <w:sz w:val="20"/>
                <w:szCs w:val="20"/>
                <w:color w:val="auto"/>
              </w:rPr>
            </w:pPr>
            <w:r>
              <w:rPr>
                <w:rFonts w:ascii="Arial" w:cs="Arial" w:eastAsia="Arial" w:hAnsi="Arial"/>
                <w:sz w:val="11"/>
                <w:szCs w:val="11"/>
                <w:b w:val="1"/>
                <w:bCs w:val="1"/>
                <w:color w:val="auto"/>
              </w:rPr>
              <w:t>2022 - 2023</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right"/>
              <w:ind w:right="282"/>
              <w:spacing w:after="0"/>
              <w:rPr>
                <w:sz w:val="20"/>
                <w:szCs w:val="20"/>
                <w:color w:val="auto"/>
              </w:rPr>
            </w:pPr>
            <w:r>
              <w:rPr>
                <w:rFonts w:ascii="Arial" w:cs="Arial" w:eastAsia="Arial" w:hAnsi="Arial"/>
                <w:sz w:val="11"/>
                <w:szCs w:val="11"/>
                <w:b w:val="1"/>
                <w:bCs w:val="1"/>
                <w:color w:val="auto"/>
              </w:rPr>
              <w:t>2024 - 2025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820" w:type="dxa"/>
            <w:vAlign w:val="bottom"/>
            <w:tcBorders>
              <w:top w:val="single" w:sz="8" w:color="CCEEFF"/>
            </w:tcBorders>
            <w:gridSpan w:val="4"/>
            <w:shd w:val="clear" w:color="auto" w:fill="CCEEFF"/>
          </w:tcPr>
          <w:p>
            <w:pPr>
              <w:spacing w:after="0" w:line="135" w:lineRule="exact"/>
              <w:rPr>
                <w:sz w:val="20"/>
                <w:szCs w:val="20"/>
                <w:color w:val="auto"/>
              </w:rPr>
            </w:pPr>
            <w:r>
              <w:rPr>
                <w:rFonts w:ascii="Arial" w:cs="Arial" w:eastAsia="Arial" w:hAnsi="Arial"/>
                <w:sz w:val="12"/>
                <w:szCs w:val="12"/>
                <w:color w:val="auto"/>
              </w:rPr>
              <w:t>Contractual Obligations</w:t>
            </w:r>
          </w:p>
        </w:tc>
        <w:tc>
          <w:tcPr>
            <w:tcW w:w="28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40" w:type="dxa"/>
            <w:vAlign w:val="bottom"/>
          </w:tcPr>
          <w:p>
            <w:pPr>
              <w:spacing w:after="0"/>
              <w:rPr>
                <w:sz w:val="13"/>
                <w:szCs w:val="13"/>
                <w:color w:val="auto"/>
              </w:rPr>
            </w:pPr>
          </w:p>
        </w:tc>
        <w:tc>
          <w:tcPr>
            <w:tcW w:w="4680" w:type="dxa"/>
            <w:vAlign w:val="bottom"/>
            <w:gridSpan w:val="3"/>
          </w:tcPr>
          <w:p>
            <w:pPr>
              <w:spacing w:after="0"/>
              <w:rPr>
                <w:sz w:val="20"/>
                <w:szCs w:val="20"/>
                <w:color w:val="auto"/>
              </w:rPr>
            </w:pPr>
            <w:r>
              <w:rPr>
                <w:rFonts w:ascii="Arial" w:cs="Arial" w:eastAsia="Arial" w:hAnsi="Arial"/>
                <w:sz w:val="12"/>
                <w:szCs w:val="12"/>
                <w:color w:val="auto"/>
              </w:rPr>
              <w:t>Debt obligations</w:t>
            </w:r>
            <w:r>
              <w:rPr>
                <w:rFonts w:ascii="Arial" w:cs="Arial" w:eastAsia="Arial" w:hAnsi="Arial"/>
                <w:sz w:val="6"/>
                <w:szCs w:val="6"/>
                <w:color w:val="auto"/>
              </w:rPr>
              <w:t>(1)</w:t>
            </w: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6,506</w:t>
            </w:r>
          </w:p>
        </w:tc>
        <w:tc>
          <w:tcPr>
            <w:tcW w:w="8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ind w:right="2"/>
              <w:spacing w:after="0"/>
              <w:rPr>
                <w:sz w:val="20"/>
                <w:szCs w:val="20"/>
                <w:color w:val="auto"/>
              </w:rPr>
            </w:pPr>
            <w:r>
              <w:rPr>
                <w:rFonts w:ascii="Arial" w:cs="Arial" w:eastAsia="Arial" w:hAnsi="Arial"/>
                <w:sz w:val="12"/>
                <w:szCs w:val="12"/>
                <w:color w:val="auto"/>
              </w:rPr>
              <w:t>191</w:t>
            </w:r>
          </w:p>
        </w:tc>
        <w:tc>
          <w:tcPr>
            <w:tcW w:w="8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986</w:t>
            </w:r>
          </w:p>
        </w:tc>
        <w:tc>
          <w:tcPr>
            <w:tcW w:w="100" w:type="dxa"/>
            <w:vAlign w:val="bottom"/>
          </w:tcPr>
          <w:p>
            <w:pPr>
              <w:spacing w:after="0"/>
              <w:rPr>
                <w:sz w:val="13"/>
                <w:szCs w:val="13"/>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1,993</w:t>
            </w:r>
          </w:p>
        </w:tc>
        <w:tc>
          <w:tcPr>
            <w:tcW w:w="100" w:type="dxa"/>
            <w:vAlign w:val="bottom"/>
          </w:tcPr>
          <w:p>
            <w:pPr>
              <w:spacing w:after="0"/>
              <w:rPr>
                <w:sz w:val="13"/>
                <w:szCs w:val="13"/>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ind w:right="1"/>
              <w:spacing w:after="0"/>
              <w:rPr>
                <w:sz w:val="20"/>
                <w:szCs w:val="20"/>
                <w:color w:val="auto"/>
              </w:rPr>
            </w:pPr>
            <w:r>
              <w:rPr>
                <w:rFonts w:ascii="Arial" w:cs="Arial" w:eastAsia="Arial" w:hAnsi="Arial"/>
                <w:sz w:val="12"/>
                <w:szCs w:val="12"/>
                <w:color w:val="auto"/>
              </w:rPr>
              <w:t>3,336</w:t>
            </w:r>
          </w:p>
        </w:tc>
        <w:tc>
          <w:tcPr>
            <w:tcW w:w="0" w:type="dxa"/>
            <w:vAlign w:val="bottom"/>
          </w:tcPr>
          <w:p>
            <w:pPr>
              <w:spacing w:after="0"/>
              <w:rPr>
                <w:sz w:val="1"/>
                <w:szCs w:val="1"/>
                <w:color w:val="auto"/>
              </w:rPr>
            </w:pPr>
          </w:p>
        </w:tc>
      </w:tr>
      <w:tr>
        <w:trPr>
          <w:trHeight w:val="133"/>
        </w:trPr>
        <w:tc>
          <w:tcPr>
            <w:tcW w:w="14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w w:val="87"/>
                <w:shd w:val="clear" w:color="auto" w:fill="CCEEFF"/>
              </w:rPr>
              <w:t>Purchase obligations</w:t>
            </w: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4"/>
                <w:szCs w:val="4"/>
                <w:color w:val="auto"/>
                <w:w w:val="80"/>
                <w:shd w:val="clear" w:color="auto" w:fill="CCEEFF"/>
              </w:rPr>
              <w:t>(2)</w:t>
            </w:r>
          </w:p>
        </w:tc>
        <w:tc>
          <w:tcPr>
            <w:tcW w:w="362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shd w:val="clear" w:color="auto" w:fill="CCEEFF"/>
          </w:tcPr>
          <w:p>
            <w:pPr>
              <w:spacing w:after="0"/>
              <w:rPr>
                <w:sz w:val="11"/>
                <w:szCs w:val="11"/>
                <w:color w:val="auto"/>
              </w:rPr>
            </w:pPr>
          </w:p>
        </w:tc>
        <w:tc>
          <w:tcPr>
            <w:tcW w:w="940" w:type="dxa"/>
            <w:vAlign w:val="bottom"/>
            <w:tcBorders>
              <w:bottom w:val="single" w:sz="8" w:color="CCEEFF"/>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296</w:t>
            </w:r>
          </w:p>
        </w:tc>
        <w:tc>
          <w:tcPr>
            <w:tcW w:w="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shd w:val="clear" w:color="auto" w:fill="CCEEFF"/>
          </w:tcPr>
          <w:p>
            <w:pPr>
              <w:jc w:val="right"/>
              <w:ind w:right="2"/>
              <w:spacing w:after="0" w:line="133" w:lineRule="exact"/>
              <w:rPr>
                <w:sz w:val="20"/>
                <w:szCs w:val="20"/>
                <w:color w:val="auto"/>
              </w:rPr>
            </w:pPr>
            <w:r>
              <w:rPr>
                <w:rFonts w:ascii="Arial" w:cs="Arial" w:eastAsia="Arial" w:hAnsi="Arial"/>
                <w:sz w:val="12"/>
                <w:szCs w:val="12"/>
                <w:color w:val="auto"/>
              </w:rPr>
              <w:t>155</w:t>
            </w:r>
          </w:p>
        </w:tc>
        <w:tc>
          <w:tcPr>
            <w:tcW w:w="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130</w:t>
            </w:r>
          </w:p>
        </w:tc>
        <w:tc>
          <w:tcPr>
            <w:tcW w:w="10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11</w:t>
            </w:r>
          </w:p>
        </w:tc>
        <w:tc>
          <w:tcPr>
            <w:tcW w:w="10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shd w:val="clear" w:color="auto" w:fill="CCEEFF"/>
          </w:tcPr>
          <w:p>
            <w:pPr>
              <w:jc w:val="right"/>
              <w:ind w:right="1"/>
              <w:spacing w:after="0" w:line="133"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140" w:type="dxa"/>
            <w:vAlign w:val="bottom"/>
          </w:tcPr>
          <w:p>
            <w:pPr>
              <w:spacing w:after="0"/>
              <w:rPr>
                <w:sz w:val="13"/>
                <w:szCs w:val="13"/>
                <w:color w:val="auto"/>
              </w:rPr>
            </w:pPr>
          </w:p>
        </w:tc>
        <w:tc>
          <w:tcPr>
            <w:tcW w:w="4680" w:type="dxa"/>
            <w:vAlign w:val="bottom"/>
            <w:gridSpan w:val="3"/>
          </w:tcPr>
          <w:p>
            <w:pPr>
              <w:spacing w:after="0"/>
              <w:rPr>
                <w:sz w:val="20"/>
                <w:szCs w:val="20"/>
                <w:color w:val="auto"/>
              </w:rPr>
            </w:pPr>
            <w:r>
              <w:rPr>
                <w:rFonts w:ascii="Arial" w:cs="Arial" w:eastAsia="Arial" w:hAnsi="Arial"/>
                <w:sz w:val="12"/>
                <w:szCs w:val="12"/>
                <w:color w:val="auto"/>
              </w:rPr>
              <w:t>Operating lease obligations</w:t>
            </w: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242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ind w:right="2"/>
              <w:spacing w:after="0"/>
              <w:rPr>
                <w:sz w:val="20"/>
                <w:szCs w:val="20"/>
                <w:color w:val="auto"/>
              </w:rPr>
            </w:pPr>
            <w:r>
              <w:rPr>
                <w:rFonts w:ascii="Arial" w:cs="Arial" w:eastAsia="Arial" w:hAnsi="Arial"/>
                <w:sz w:val="12"/>
                <w:szCs w:val="12"/>
                <w:color w:val="auto"/>
              </w:rPr>
              <w:t>14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51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41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right"/>
              <w:ind w:right="1"/>
              <w:spacing w:after="0"/>
              <w:rPr>
                <w:sz w:val="20"/>
                <w:szCs w:val="20"/>
                <w:color w:val="auto"/>
              </w:rPr>
            </w:pPr>
            <w:r>
              <w:rPr>
                <w:rFonts w:ascii="Arial" w:cs="Arial" w:eastAsia="Arial" w:hAnsi="Arial"/>
                <w:sz w:val="12"/>
                <w:szCs w:val="12"/>
                <w:color w:val="auto"/>
              </w:rPr>
              <w:t>136</w:t>
            </w:r>
          </w:p>
        </w:tc>
        <w:tc>
          <w:tcPr>
            <w:tcW w:w="0" w:type="dxa"/>
            <w:vAlign w:val="bottom"/>
          </w:tcPr>
          <w:p>
            <w:pPr>
              <w:spacing w:after="0"/>
              <w:rPr>
                <w:sz w:val="1"/>
                <w:szCs w:val="1"/>
                <w:color w:val="auto"/>
              </w:rPr>
            </w:pPr>
          </w:p>
        </w:tc>
      </w:tr>
      <w:tr>
        <w:trPr>
          <w:trHeight w:val="153"/>
        </w:trPr>
        <w:tc>
          <w:tcPr>
            <w:tcW w:w="140" w:type="dxa"/>
            <w:vAlign w:val="bottom"/>
            <w:shd w:val="clear" w:color="auto" w:fill="CCEEFF"/>
          </w:tcPr>
          <w:p>
            <w:pPr>
              <w:spacing w:after="0"/>
              <w:rPr>
                <w:sz w:val="13"/>
                <w:szCs w:val="13"/>
                <w:color w:val="auto"/>
              </w:rPr>
            </w:pPr>
          </w:p>
        </w:tc>
        <w:tc>
          <w:tcPr>
            <w:tcW w:w="468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Finance lease obligations</w:t>
            </w:r>
            <w:r>
              <w:rPr>
                <w:rFonts w:ascii="Arial" w:cs="Arial" w:eastAsia="Arial" w:hAnsi="Arial"/>
                <w:sz w:val="6"/>
                <w:szCs w:val="6"/>
                <w:color w:val="auto"/>
              </w:rPr>
              <w:t>(3)</w:t>
            </w: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53"/>
        </w:trPr>
        <w:tc>
          <w:tcPr>
            <w:tcW w:w="140" w:type="dxa"/>
            <w:vAlign w:val="bottom"/>
            <w:tcBorders>
              <w:bottom w:val="single" w:sz="8" w:color="CCEEFF"/>
            </w:tcBorders>
          </w:tcPr>
          <w:p>
            <w:pPr>
              <w:spacing w:after="0"/>
              <w:rPr>
                <w:sz w:val="13"/>
                <w:szCs w:val="13"/>
                <w:color w:val="auto"/>
              </w:rPr>
            </w:pPr>
          </w:p>
        </w:tc>
        <w:tc>
          <w:tcPr>
            <w:tcW w:w="4680" w:type="dxa"/>
            <w:vAlign w:val="bottom"/>
            <w:tcBorders>
              <w:bottom w:val="single" w:sz="8" w:color="CCEEFF"/>
            </w:tcBorders>
            <w:gridSpan w:val="3"/>
          </w:tcPr>
          <w:p>
            <w:pPr>
              <w:spacing w:after="0"/>
              <w:rPr>
                <w:sz w:val="20"/>
                <w:szCs w:val="20"/>
                <w:color w:val="auto"/>
              </w:rPr>
            </w:pPr>
            <w:r>
              <w:rPr>
                <w:rFonts w:ascii="Arial" w:cs="Arial" w:eastAsia="Arial" w:hAnsi="Arial"/>
                <w:sz w:val="12"/>
                <w:szCs w:val="12"/>
                <w:color w:val="auto"/>
              </w:rPr>
              <w:t>Other long-term obligations</w:t>
            </w:r>
            <w:r>
              <w:rPr>
                <w:rFonts w:ascii="Arial" w:cs="Arial" w:eastAsia="Arial" w:hAnsi="Arial"/>
                <w:sz w:val="6"/>
                <w:szCs w:val="6"/>
                <w:color w:val="auto"/>
              </w:rPr>
              <w:t>(4)</w:t>
            </w: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16</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58"/>
        </w:trPr>
        <w:tc>
          <w:tcPr>
            <w:tcW w:w="48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2"/>
                <w:szCs w:val="12"/>
                <w:color w:val="auto"/>
              </w:rPr>
              <w:t>Total contractual obligations</w:t>
            </w:r>
          </w:p>
        </w:tc>
        <w:tc>
          <w:tcPr>
            <w:tcW w:w="2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7,083</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378</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1,180</w:t>
            </w: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2,050</w:t>
            </w: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3,475</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8"/>
        <w:spacing w:after="0"/>
        <w:rPr>
          <w:sz w:val="20"/>
          <w:szCs w:val="20"/>
          <w:color w:val="auto"/>
        </w:rPr>
      </w:pPr>
      <w:r>
        <w:rPr>
          <w:rFonts w:ascii="Arial" w:cs="Arial" w:eastAsia="Arial" w:hAnsi="Arial"/>
          <w:sz w:val="12"/>
          <w:szCs w:val="12"/>
          <w:color w:val="auto"/>
        </w:rPr>
        <w:t>_________________________</w:t>
      </w:r>
    </w:p>
    <w:p>
      <w:pPr>
        <w:spacing w:after="0" w:line="11" w:lineRule="exact"/>
        <w:rPr>
          <w:sz w:val="20"/>
          <w:szCs w:val="20"/>
          <w:color w:val="auto"/>
        </w:rPr>
      </w:pPr>
    </w:p>
    <w:p>
      <w:pPr>
        <w:ind w:left="428" w:hanging="428"/>
        <w:spacing w:after="0"/>
        <w:tabs>
          <w:tab w:leader="none" w:pos="428" w:val="left"/>
        </w:tabs>
        <w:numPr>
          <w:ilvl w:val="0"/>
          <w:numId w:val="38"/>
        </w:numPr>
        <w:rPr>
          <w:rFonts w:ascii="Arial" w:cs="Arial" w:eastAsia="Arial" w:hAnsi="Arial"/>
          <w:sz w:val="16"/>
          <w:szCs w:val="16"/>
          <w:color w:val="auto"/>
          <w:vertAlign w:val="superscript"/>
        </w:rPr>
      </w:pPr>
      <w:r>
        <w:rPr>
          <w:rFonts w:ascii="Arial" w:cs="Arial" w:eastAsia="Arial" w:hAnsi="Arial"/>
          <w:sz w:val="12"/>
          <w:szCs w:val="12"/>
          <w:color w:val="auto"/>
        </w:rPr>
        <w:t>Includes principal as well as interest payments and excludes unamortized debt discount and issuance costs.</w:t>
      </w:r>
    </w:p>
    <w:p>
      <w:pPr>
        <w:spacing w:after="0" w:line="37" w:lineRule="exact"/>
        <w:rPr>
          <w:rFonts w:ascii="Arial" w:cs="Arial" w:eastAsia="Arial" w:hAnsi="Arial"/>
          <w:sz w:val="16"/>
          <w:szCs w:val="16"/>
          <w:color w:val="auto"/>
          <w:vertAlign w:val="superscript"/>
        </w:rPr>
      </w:pPr>
    </w:p>
    <w:p>
      <w:pPr>
        <w:ind w:left="428" w:right="220" w:hanging="428"/>
        <w:spacing w:after="0" w:line="239" w:lineRule="auto"/>
        <w:tabs>
          <w:tab w:leader="none" w:pos="420" w:val="left"/>
        </w:tabs>
        <w:numPr>
          <w:ilvl w:val="0"/>
          <w:numId w:val="38"/>
        </w:numPr>
        <w:rPr>
          <w:rFonts w:ascii="Arial" w:cs="Arial" w:eastAsia="Arial" w:hAnsi="Arial"/>
          <w:sz w:val="14"/>
          <w:szCs w:val="14"/>
          <w:color w:val="auto"/>
          <w:vertAlign w:val="superscript"/>
        </w:rPr>
      </w:pPr>
      <w:r>
        <w:rPr>
          <w:rFonts w:ascii="Arial" w:cs="Arial" w:eastAsia="Arial" w:hAnsi="Arial"/>
          <w:sz w:val="11"/>
          <w:szCs w:val="11"/>
          <w:color w:val="auto"/>
        </w:rPr>
        <w:t>Arrangements are considered purchase obligations if a contract specifies all significant terms, including fixed or minimum quantities to be purchased, a pricing structure, and approximate timing of the transaction. Amounts reflected represent expected funding under such contracts. Amounts reflected on the consolidated balance sheet as accounts payable and accrued liabilities are excluded from the table above.</w:t>
      </w:r>
    </w:p>
    <w:p>
      <w:pPr>
        <w:ind w:left="428" w:hanging="428"/>
        <w:spacing w:after="0" w:line="234" w:lineRule="auto"/>
        <w:tabs>
          <w:tab w:leader="none" w:pos="428" w:val="left"/>
        </w:tabs>
        <w:numPr>
          <w:ilvl w:val="0"/>
          <w:numId w:val="38"/>
        </w:numPr>
        <w:rPr>
          <w:rFonts w:ascii="Arial" w:cs="Arial" w:eastAsia="Arial" w:hAnsi="Arial"/>
          <w:sz w:val="16"/>
          <w:szCs w:val="16"/>
          <w:color w:val="auto"/>
          <w:vertAlign w:val="superscript"/>
        </w:rPr>
      </w:pPr>
      <w:r>
        <w:rPr>
          <w:rFonts w:ascii="Arial" w:cs="Arial" w:eastAsia="Arial" w:hAnsi="Arial"/>
          <w:sz w:val="12"/>
          <w:szCs w:val="12"/>
          <w:color w:val="auto"/>
        </w:rPr>
        <w:t>Includes interest.</w:t>
      </w:r>
    </w:p>
    <w:p>
      <w:pPr>
        <w:spacing w:after="0" w:line="37" w:lineRule="exact"/>
        <w:rPr>
          <w:rFonts w:ascii="Arial" w:cs="Arial" w:eastAsia="Arial" w:hAnsi="Arial"/>
          <w:sz w:val="16"/>
          <w:szCs w:val="16"/>
          <w:color w:val="auto"/>
          <w:vertAlign w:val="superscript"/>
        </w:rPr>
      </w:pPr>
    </w:p>
    <w:p>
      <w:pPr>
        <w:ind w:left="428" w:hanging="428"/>
        <w:spacing w:after="0" w:line="186" w:lineRule="auto"/>
        <w:tabs>
          <w:tab w:leader="none" w:pos="428" w:val="left"/>
        </w:tabs>
        <w:numPr>
          <w:ilvl w:val="0"/>
          <w:numId w:val="38"/>
        </w:numPr>
        <w:rPr>
          <w:rFonts w:ascii="Arial" w:cs="Arial" w:eastAsia="Arial" w:hAnsi="Arial"/>
          <w:sz w:val="16"/>
          <w:szCs w:val="16"/>
          <w:color w:val="auto"/>
          <w:vertAlign w:val="superscript"/>
        </w:rPr>
      </w:pPr>
      <w:r>
        <w:rPr>
          <w:rFonts w:ascii="Arial" w:cs="Arial" w:eastAsia="Arial" w:hAnsi="Arial"/>
          <w:sz w:val="12"/>
          <w:szCs w:val="12"/>
          <w:color w:val="auto"/>
        </w:rPr>
        <w:t>Primarily relates to future guaranteed purchases of rental inventory, operational support services, marketing related benefits, membership fulfillment benefits, and other commitments.</w:t>
      </w:r>
    </w:p>
    <w:p>
      <w:pPr>
        <w:spacing w:after="0" w:line="63" w:lineRule="exact"/>
        <w:rPr>
          <w:sz w:val="20"/>
          <w:szCs w:val="20"/>
          <w:color w:val="auto"/>
        </w:rPr>
      </w:pPr>
    </w:p>
    <w:p>
      <w:pPr>
        <w:ind w:left="8" w:right="180" w:firstLine="432"/>
        <w:spacing w:after="0" w:line="276" w:lineRule="auto"/>
        <w:rPr>
          <w:sz w:val="20"/>
          <w:szCs w:val="20"/>
          <w:color w:val="auto"/>
        </w:rPr>
      </w:pPr>
      <w:r>
        <w:rPr>
          <w:rFonts w:ascii="Arial" w:cs="Arial" w:eastAsia="Arial" w:hAnsi="Arial"/>
          <w:sz w:val="12"/>
          <w:szCs w:val="12"/>
          <w:color w:val="auto"/>
        </w:rPr>
        <w:t>In the normal course of our resort management business, we enter into purchase commitments on behalf of property owners’ associations to manage the daily operating needs of our resorts. Since we are reimbursed for these commitments from the cash flows of the resorts, these obligations have minimal impact on our net income and cash flow.</w:t>
      </w:r>
    </w:p>
    <w:p>
      <w:pPr>
        <w:spacing w:after="0" w:line="115"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Leases That Have Not Yet Commenced</w:t>
      </w:r>
    </w:p>
    <w:p>
      <w:pPr>
        <w:spacing w:after="0" w:line="78" w:lineRule="exact"/>
        <w:rPr>
          <w:sz w:val="20"/>
          <w:szCs w:val="20"/>
          <w:color w:val="auto"/>
        </w:rPr>
      </w:pPr>
    </w:p>
    <w:p>
      <w:pPr>
        <w:ind w:left="8" w:right="200" w:firstLine="432"/>
        <w:spacing w:after="0" w:line="298" w:lineRule="auto"/>
        <w:rPr>
          <w:sz w:val="20"/>
          <w:szCs w:val="20"/>
          <w:color w:val="auto"/>
        </w:rPr>
      </w:pPr>
      <w:r>
        <w:rPr>
          <w:rFonts w:ascii="Arial" w:cs="Arial" w:eastAsia="Arial" w:hAnsi="Arial"/>
          <w:sz w:val="11"/>
          <w:szCs w:val="11"/>
          <w:color w:val="auto"/>
        </w:rPr>
        <w:t>During the first quarter of 2020, we entered into a finance lease arrangement for our new global headquarters in Orlando, Florida. The new Orlando corporate office building is currently expected to be completed in 2023, at which time the lease term will commence and a right-of-use asset and corresponding liability will be recorded on our balance sheet. The initial lease term is approximately 16 years with total lease payments of $129 million for the aforementioned period. See Footnote 11 “Contingencies and Commitments” to our Financial Statements for additional information on this lease, including additional arrangements made as a result of the COVID-19 pandemic.</w:t>
      </w:r>
    </w:p>
    <w:p>
      <w:pPr>
        <w:spacing w:after="0" w:line="10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Recent Accounting Pronouncements</w:t>
      </w:r>
    </w:p>
    <w:p>
      <w:pPr>
        <w:spacing w:after="0" w:line="82" w:lineRule="exact"/>
        <w:rPr>
          <w:sz w:val="20"/>
          <w:szCs w:val="20"/>
          <w:color w:val="auto"/>
        </w:rPr>
      </w:pPr>
    </w:p>
    <w:p>
      <w:pPr>
        <w:ind w:left="8" w:right="400" w:firstLine="432"/>
        <w:spacing w:after="0" w:line="276" w:lineRule="auto"/>
        <w:rPr>
          <w:sz w:val="20"/>
          <w:szCs w:val="20"/>
          <w:color w:val="auto"/>
        </w:rPr>
      </w:pPr>
      <w:r>
        <w:rPr>
          <w:rFonts w:ascii="Arial" w:cs="Arial" w:eastAsia="Arial" w:hAnsi="Arial"/>
          <w:sz w:val="12"/>
          <w:szCs w:val="12"/>
          <w:color w:val="auto"/>
        </w:rPr>
        <w:t>See Footnote 2 “Significant Accounting Policies and Recent Accounting Standards” to our Financial Statements for a discussion of recently issued accounting pronouncements, including information on new accounting standards and the future adoption of such standards.</w:t>
      </w:r>
    </w:p>
    <w:p>
      <w:pPr>
        <w:spacing w:after="0" w:line="11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Critical Accounting Policies and Estimates</w:t>
      </w:r>
    </w:p>
    <w:p>
      <w:pPr>
        <w:spacing w:after="0" w:line="82" w:lineRule="exact"/>
        <w:rPr>
          <w:sz w:val="20"/>
          <w:szCs w:val="20"/>
          <w:color w:val="auto"/>
        </w:rPr>
      </w:pPr>
    </w:p>
    <w:p>
      <w:pPr>
        <w:ind w:left="8" w:right="100" w:firstLine="432"/>
        <w:spacing w:after="0" w:line="263" w:lineRule="auto"/>
        <w:rPr>
          <w:sz w:val="20"/>
          <w:szCs w:val="20"/>
          <w:color w:val="auto"/>
        </w:rPr>
      </w:pPr>
      <w:r>
        <w:rPr>
          <w:rFonts w:ascii="Arial" w:cs="Arial" w:eastAsia="Arial" w:hAnsi="Arial"/>
          <w:sz w:val="12"/>
          <w:szCs w:val="12"/>
          <w:color w:val="auto"/>
        </w:rPr>
        <w:t>Our preparation of financial statements in accordance with GAAP requires management to make estimates and assumptions that affect reported amounts and related disclosures. We have discussed those policies and estimates that we believe are critical and require the use of complex judgment in their application in our most recent Annual Report on Form 10-K. Since the date of our most recent Annual Report on Form 10-K, there have been no material changes to our critical accounting policies or the methodologies or assumptions we apply under them.</w:t>
      </w:r>
    </w:p>
    <w:p>
      <w:pPr>
        <w:spacing w:after="0" w:line="113" w:lineRule="exact"/>
        <w:rPr>
          <w:sz w:val="20"/>
          <w:szCs w:val="20"/>
          <w:color w:val="auto"/>
        </w:rPr>
      </w:pPr>
    </w:p>
    <w:p>
      <w:pPr>
        <w:jc w:val="center"/>
        <w:ind w:left="420"/>
        <w:spacing w:after="0"/>
        <w:rPr>
          <w:sz w:val="20"/>
          <w:szCs w:val="20"/>
          <w:color w:val="auto"/>
        </w:rPr>
      </w:pPr>
      <w:r>
        <w:rPr>
          <w:rFonts w:ascii="Arial" w:cs="Arial" w:eastAsia="Arial" w:hAnsi="Arial"/>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191135</wp:posOffset>
            </wp:positionV>
            <wp:extent cx="7203440" cy="368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75" w:right="299" w:bottom="1440" w:gutter="0" w:footer="0" w:header="0"/>
        </w:sectPr>
      </w:pPr>
    </w:p>
    <w:bookmarkStart w:id="75" w:name="page76"/>
    <w:bookmarkEnd w:id="75"/>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5"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b w:val="1"/>
          <w:bCs w:val="1"/>
          <w:color w:val="auto"/>
        </w:rPr>
        <w:t>Item 3.</w:t>
      </w:r>
      <w:r>
        <w:rPr>
          <w:sz w:val="20"/>
          <w:szCs w:val="20"/>
          <w:color w:val="auto"/>
        </w:rPr>
        <w:tab/>
      </w:r>
      <w:r>
        <w:rPr>
          <w:rFonts w:ascii="Arial" w:cs="Arial" w:eastAsia="Arial" w:hAnsi="Arial"/>
          <w:sz w:val="10"/>
          <w:szCs w:val="10"/>
          <w:b w:val="1"/>
          <w:bCs w:val="1"/>
          <w:color w:val="auto"/>
        </w:rPr>
        <w:t>Quantitative and Qualitative Disclosures About Market Risk</w:t>
      </w:r>
    </w:p>
    <w:p>
      <w:pPr>
        <w:spacing w:after="0" w:line="8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Our exposure to market risk has not changed materially from that disclosed in Part I, Item 7A of our Annual Report on Form 10-K for the year ended December 31, 2020, other than as set forth below.</w:t>
      </w:r>
    </w:p>
    <w:p>
      <w:pPr>
        <w:spacing w:after="0" w:line="78"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During the first quarter of 2021, we issued $575 million of 2026 Convertible Notes. Holders may convert the 2026 Convertible Notes prior to maturity upon the occurrence of certain circumstances. Upon conversion, holders of the 2026 Convertible Notes will receive cash, shares of our common stock, or a combination of cash and shares of our common stock, at our election.</w:t>
      </w:r>
    </w:p>
    <w:p>
      <w:pPr>
        <w:spacing w:after="0" w:line="43" w:lineRule="exact"/>
        <w:rPr>
          <w:sz w:val="20"/>
          <w:szCs w:val="20"/>
          <w:color w:val="auto"/>
        </w:rPr>
      </w:pPr>
    </w:p>
    <w:p>
      <w:pPr>
        <w:ind w:right="260" w:firstLine="432"/>
        <w:spacing w:after="0" w:line="276" w:lineRule="auto"/>
        <w:rPr>
          <w:sz w:val="20"/>
          <w:szCs w:val="20"/>
          <w:color w:val="auto"/>
        </w:rPr>
      </w:pPr>
      <w:r>
        <w:rPr>
          <w:rFonts w:ascii="Arial" w:cs="Arial" w:eastAsia="Arial" w:hAnsi="Arial"/>
          <w:sz w:val="12"/>
          <w:szCs w:val="12"/>
          <w:color w:val="auto"/>
        </w:rPr>
        <w:t>Concurrently with the issuance of the 2026 Convertible Notes, we entered into convertible note hedges and warrants as discussed further in Footnote 13 “Debt” to these Financial Statements. Taken together, these separate transactions were intended to reduce the potential economic dilution to our common stock from the conversion of the 2026 Convertible Notes.</w:t>
      </w:r>
    </w:p>
    <w:p>
      <w:pPr>
        <w:spacing w:after="0" w:line="43" w:lineRule="exact"/>
        <w:rPr>
          <w:sz w:val="20"/>
          <w:szCs w:val="20"/>
          <w:color w:val="auto"/>
        </w:rPr>
      </w:pPr>
    </w:p>
    <w:p>
      <w:pPr>
        <w:ind w:right="80" w:firstLine="432"/>
        <w:spacing w:after="0" w:line="283" w:lineRule="auto"/>
        <w:rPr>
          <w:sz w:val="20"/>
          <w:szCs w:val="20"/>
          <w:color w:val="auto"/>
        </w:rPr>
      </w:pPr>
      <w:r>
        <w:rPr>
          <w:rFonts w:ascii="Arial" w:cs="Arial" w:eastAsia="Arial" w:hAnsi="Arial"/>
          <w:sz w:val="11"/>
          <w:szCs w:val="11"/>
          <w:color w:val="auto"/>
        </w:rPr>
        <w:t>The 2026 Convertible Notes have a fixed annual interest rate of 0.00 percent and, therefore, we do not have economic interest rate exposure on our 2026 Convertible Notes. However, the fair market value of the 2026 Convertible Notes is exposed to interest rate risk. Generally, the fair market value of the 2026 Convertible Notes will increase as interest rates fall and decrease as interest rates rise. In addition, the fair market value of the 2026 Convertible Notes is affected by our stock price and will increase as our stock price increases and decrease as our stock price decreases. The net carrying value of the 2026 Convertible Notes was $448 million as of June 30, 2021. This represents the liability component of the principal balance of the 2026 Convertible Notes, net of unamortized debt discount and issuance costs, as of June 30, 2021. The total estimated fair market value of the 2026 Convertible Notes was $633 million as of June 30, 2021, and the fair market value was determined based on the quoted market price of the 2026 Convertible Notes in an over-the-counter market as of the last day of trading for the quarter ended June 30, 2021. For further information see Footnote 7 “Financial Instruments” and Footnote 13 “Debt” to these Financial Statements.</w:t>
      </w:r>
    </w:p>
    <w:p>
      <w:pPr>
        <w:spacing w:after="0" w:line="41" w:lineRule="exact"/>
        <w:rPr>
          <w:sz w:val="20"/>
          <w:szCs w:val="20"/>
          <w:color w:val="auto"/>
        </w:rPr>
      </w:pPr>
    </w:p>
    <w:p>
      <w:pPr>
        <w:ind w:right="440" w:firstLine="432"/>
        <w:spacing w:after="0" w:line="276" w:lineRule="auto"/>
        <w:rPr>
          <w:sz w:val="20"/>
          <w:szCs w:val="20"/>
          <w:color w:val="auto"/>
        </w:rPr>
      </w:pPr>
      <w:r>
        <w:rPr>
          <w:rFonts w:ascii="Arial" w:cs="Arial" w:eastAsia="Arial" w:hAnsi="Arial"/>
          <w:sz w:val="12"/>
          <w:szCs w:val="12"/>
          <w:color w:val="auto"/>
        </w:rPr>
        <w:t>During the second quarter of 2021, we issued $500 million of 2029 Notes. Refer to Footnote 13 “Debt” to these Financial Statements for additional information, including our redemption of a portion of the 2026 Notes subsequent to the end of the quarter.</w:t>
      </w:r>
    </w:p>
    <w:p>
      <w:pPr>
        <w:spacing w:after="0" w:line="111"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b w:val="1"/>
          <w:bCs w:val="1"/>
          <w:color w:val="auto"/>
        </w:rPr>
        <w:t>Item 4.</w:t>
      </w:r>
      <w:r>
        <w:rPr>
          <w:sz w:val="20"/>
          <w:szCs w:val="20"/>
          <w:color w:val="auto"/>
        </w:rPr>
        <w:tab/>
      </w:r>
      <w:r>
        <w:rPr>
          <w:rFonts w:ascii="Arial" w:cs="Arial" w:eastAsia="Arial" w:hAnsi="Arial"/>
          <w:sz w:val="10"/>
          <w:szCs w:val="10"/>
          <w:b w:val="1"/>
          <w:bCs w:val="1"/>
          <w:color w:val="auto"/>
        </w:rPr>
        <w:t>Controls and Procedures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Disclosure Controls and Procedures</w:t>
      </w:r>
    </w:p>
    <w:p>
      <w:pPr>
        <w:spacing w:after="0" w:line="78" w:lineRule="exact"/>
        <w:rPr>
          <w:sz w:val="20"/>
          <w:szCs w:val="20"/>
          <w:color w:val="auto"/>
        </w:rPr>
      </w:pPr>
    </w:p>
    <w:p>
      <w:pPr>
        <w:ind w:right="60" w:firstLine="432"/>
        <w:spacing w:after="0" w:line="280" w:lineRule="auto"/>
        <w:rPr>
          <w:sz w:val="20"/>
          <w:szCs w:val="20"/>
          <w:color w:val="auto"/>
        </w:rPr>
      </w:pPr>
      <w:r>
        <w:rPr>
          <w:rFonts w:ascii="Arial" w:cs="Arial" w:eastAsia="Arial" w:hAnsi="Arial"/>
          <w:sz w:val="11"/>
          <w:szCs w:val="11"/>
          <w:color w:val="auto"/>
        </w:rPr>
        <w:t>As of the end of the period covered by this Quarterly Report on Form 10-Q, we evaluated, under the supervision and with the participation of our management, including our Chief Executive Officer and Chief Financial Officer, the effectiveness of the design and operation of our disclosure controls and procedures (as such term is defined in Rules 13a-15(e) and 15d-15(e) of the Securities Exchange Act of 1934, as amended (the “Exchange Act”)), and management necessarily applied its judgment in assessing the costs and benefits of such controls and procedures, which by their nature, can provide only reasonable assurance about management’s control objectives. Our disclosure controls and procedures have been designed to provide reasonable assurance of achieving the desired control objectives. However, the design of any system of controls is based in part upon certain assumptions about the likelihood of future events, and we cannot assure you that any design will succeed in achieving its stated goals under all potential future conditions, regardless of how remote. Based upon the foregoing evaluation, our Chief Executive Officer and Chief Financial Officer concluded that as of June 30, 2021, our disclosure controls and procedures were effective and operating to provide reasonable assurance that we record, process, summarize and report the information we are required to disclose in the reports that we file or submit under the Exchange Act within the time periods specified in the rules and forms of the SEC, and to provide reasonable assurance that we accumulate and communicate such information to our management, including our Chief Executive Officer and Chief Financial Officer, as appropriate to allow timely decisions about required disclosure.</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Changes in Internal Control Over Financial Reporting</w:t>
      </w:r>
    </w:p>
    <w:p>
      <w:pPr>
        <w:spacing w:after="0" w:line="78" w:lineRule="exact"/>
        <w:rPr>
          <w:sz w:val="20"/>
          <w:szCs w:val="20"/>
          <w:color w:val="auto"/>
        </w:rPr>
      </w:pPr>
    </w:p>
    <w:p>
      <w:pPr>
        <w:ind w:right="220" w:firstLine="432"/>
        <w:spacing w:after="0" w:line="263" w:lineRule="auto"/>
        <w:rPr>
          <w:sz w:val="20"/>
          <w:szCs w:val="20"/>
          <w:color w:val="auto"/>
        </w:rPr>
      </w:pPr>
      <w:r>
        <w:rPr>
          <w:rFonts w:ascii="Arial" w:cs="Arial" w:eastAsia="Arial" w:hAnsi="Arial"/>
          <w:sz w:val="12"/>
          <w:szCs w:val="12"/>
          <w:color w:val="auto"/>
        </w:rPr>
        <w:t>During the second quarter of 2021, we completed the Welk Acquisition. We are currently in the process of assessing Welk’s internal control over financial reporting and integrating Welk’s internal control over financial reporting with our existing internal control over financial reporting. There were no other changes in our internal control over financial reporting during the period covered by this Quarterly Report on Form 10-Q that have materially affected, or are reasonably likely to materially affect, our internal control over financial reporting.</w:t>
      </w:r>
    </w:p>
    <w:p>
      <w:pPr>
        <w:spacing w:after="0" w:line="113" w:lineRule="exact"/>
        <w:rPr>
          <w:sz w:val="20"/>
          <w:szCs w:val="20"/>
          <w:color w:val="auto"/>
        </w:rPr>
      </w:pPr>
    </w:p>
    <w:p>
      <w:pPr>
        <w:jc w:val="center"/>
        <w:ind w:left="420"/>
        <w:spacing w:after="0"/>
        <w:rPr>
          <w:sz w:val="20"/>
          <w:szCs w:val="20"/>
          <w:color w:val="auto"/>
        </w:rPr>
      </w:pPr>
      <w:r>
        <w:rPr>
          <w:rFonts w:ascii="Arial" w:cs="Arial" w:eastAsia="Arial" w:hAnsi="Arial"/>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191135</wp:posOffset>
            </wp:positionV>
            <wp:extent cx="7203440" cy="368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275" w:right="319" w:bottom="1440" w:gutter="0" w:footer="0" w:header="0"/>
        </w:sectPr>
      </w:pPr>
    </w:p>
    <w:bookmarkStart w:id="76" w:name="page77"/>
    <w:bookmarkEnd w:id="76"/>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Part II. OTHER INFORMATION</w:t>
      </w:r>
    </w:p>
    <w:p>
      <w:pPr>
        <w:spacing w:after="0" w:line="150"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b w:val="1"/>
          <w:bCs w:val="1"/>
          <w:color w:val="auto"/>
        </w:rPr>
        <w:t>Item 1.</w:t>
      </w:r>
      <w:r>
        <w:rPr>
          <w:sz w:val="20"/>
          <w:szCs w:val="20"/>
          <w:color w:val="auto"/>
        </w:rPr>
        <w:tab/>
      </w:r>
      <w:r>
        <w:rPr>
          <w:rFonts w:ascii="Arial" w:cs="Arial" w:eastAsia="Arial" w:hAnsi="Arial"/>
          <w:sz w:val="10"/>
          <w:szCs w:val="10"/>
          <w:b w:val="1"/>
          <w:bCs w:val="1"/>
          <w:color w:val="auto"/>
        </w:rPr>
        <w:t>Legal Proceedings</w:t>
      </w:r>
    </w:p>
    <w:p>
      <w:pPr>
        <w:spacing w:after="0" w:line="82" w:lineRule="exact"/>
        <w:rPr>
          <w:sz w:val="20"/>
          <w:szCs w:val="20"/>
          <w:color w:val="auto"/>
        </w:rPr>
      </w:pPr>
    </w:p>
    <w:p>
      <w:pPr>
        <w:jc w:val="both"/>
        <w:ind w:right="20" w:firstLine="432"/>
        <w:spacing w:after="0" w:line="298" w:lineRule="auto"/>
        <w:rPr>
          <w:sz w:val="20"/>
          <w:szCs w:val="20"/>
          <w:color w:val="auto"/>
        </w:rPr>
      </w:pPr>
      <w:r>
        <w:rPr>
          <w:rFonts w:ascii="Arial" w:cs="Arial" w:eastAsia="Arial" w:hAnsi="Arial"/>
          <w:sz w:val="11"/>
          <w:szCs w:val="11"/>
          <w:color w:val="auto"/>
        </w:rPr>
        <w:t>Currently, and from time to time, we are subject to claims in legal proceedings arising in the normal course of business, including, among others, the legal actions discussed in Footnote 11 “Contingencies and Commitments” to our Financial Statements. While management presently believes that the ultimate outcome of these proceedings, individually and in the aggregate, will not materially harm our financial position, cash flows, or overall trends in results of operations, legal proceedings are inherently uncertain, and unfavorable rulings could, individually or in aggregate, have a material adverse effect on our business, financial condition, or operating results.</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1A. Risk Factors</w:t>
      </w:r>
    </w:p>
    <w:p>
      <w:pPr>
        <w:spacing w:after="0" w:line="82" w:lineRule="exact"/>
        <w:rPr>
          <w:sz w:val="20"/>
          <w:szCs w:val="20"/>
          <w:color w:val="auto"/>
        </w:rPr>
      </w:pPr>
    </w:p>
    <w:p>
      <w:pPr>
        <w:ind w:right="120" w:firstLine="432"/>
        <w:spacing w:after="0" w:line="276" w:lineRule="auto"/>
        <w:rPr>
          <w:sz w:val="20"/>
          <w:szCs w:val="20"/>
          <w:color w:val="auto"/>
        </w:rPr>
      </w:pPr>
      <w:r>
        <w:rPr>
          <w:rFonts w:ascii="Arial" w:cs="Arial" w:eastAsia="Arial" w:hAnsi="Arial"/>
          <w:sz w:val="12"/>
          <w:szCs w:val="12"/>
          <w:color w:val="auto"/>
        </w:rPr>
        <w:t>There have been no material changes from the risk factors disclosed in Part I, Item 1A of our Annual Report on Form 10-K for the fiscal year ended December 31, 2020 (the “2020 Annual Report”). The COVID-19 pandemic has heightened, and in some cases, manifested, certain of the risks we normally face in our business, including those disclosed in the 2020 Annual Report.</w:t>
      </w:r>
    </w:p>
    <w:p>
      <w:pPr>
        <w:spacing w:after="0" w:line="111"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b w:val="1"/>
          <w:bCs w:val="1"/>
          <w:color w:val="auto"/>
        </w:rPr>
        <w:t>Item 6.</w:t>
      </w:r>
      <w:r>
        <w:rPr>
          <w:sz w:val="20"/>
          <w:szCs w:val="20"/>
          <w:color w:val="auto"/>
        </w:rPr>
        <w:tab/>
      </w:r>
      <w:r>
        <w:rPr>
          <w:rFonts w:ascii="Arial" w:cs="Arial" w:eastAsia="Arial" w:hAnsi="Arial"/>
          <w:sz w:val="10"/>
          <w:szCs w:val="10"/>
          <w:b w:val="1"/>
          <w:bCs w:val="1"/>
          <w:color w:val="auto"/>
        </w:rPr>
        <w:t>Exhibits</w:t>
      </w:r>
    </w:p>
    <w:p>
      <w:pPr>
        <w:spacing w:after="0" w:line="4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All documents referenced below are being filed as a part of this Quarterly Report on Form 10-Q, unless otherwise noted.</w:t>
      </w:r>
    </w:p>
    <w:p>
      <w:pPr>
        <w:sectPr>
          <w:pgSz w:w="11900" w:h="16838" w:orient="portrait"/>
          <w:cols w:equalWidth="0" w:num="1">
            <w:col w:w="11300"/>
          </w:cols>
          <w:pgMar w:left="300" w:top="275" w:right="299" w:bottom="1440" w:gutter="0" w:footer="0" w:header="0"/>
        </w:sectPr>
      </w:pPr>
    </w:p>
    <w:p>
      <w:pPr>
        <w:spacing w:after="0" w:line="294" w:lineRule="exact"/>
        <w:rPr>
          <w:sz w:val="20"/>
          <w:szCs w:val="20"/>
          <w:color w:val="auto"/>
        </w:rPr>
      </w:pPr>
    </w:p>
    <w:p>
      <w:pPr>
        <w:ind w:left="100"/>
        <w:spacing w:after="0"/>
        <w:rPr>
          <w:sz w:val="20"/>
          <w:szCs w:val="20"/>
          <w:color w:val="auto"/>
        </w:rPr>
      </w:pPr>
      <w:r>
        <w:rPr>
          <w:rFonts w:ascii="Arial" w:cs="Arial" w:eastAsia="Arial" w:hAnsi="Arial"/>
          <w:sz w:val="10"/>
          <w:szCs w:val="10"/>
          <w:b w:val="1"/>
          <w:bCs w:val="1"/>
          <w:color w:val="auto"/>
        </w:rPr>
        <w:t>Exhibit Number</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2"/>
        </w:trPr>
        <w:tc>
          <w:tcPr>
            <w:tcW w:w="2060" w:type="dxa"/>
            <w:vAlign w:val="bottom"/>
          </w:tcPr>
          <w:p>
            <w:pPr>
              <w:spacing w:after="0"/>
              <w:rPr>
                <w:sz w:val="12"/>
                <w:szCs w:val="12"/>
                <w:color w:val="auto"/>
              </w:rPr>
            </w:pPr>
          </w:p>
        </w:tc>
        <w:tc>
          <w:tcPr>
            <w:tcW w:w="2300" w:type="dxa"/>
            <w:vAlign w:val="bottom"/>
          </w:tcPr>
          <w:p>
            <w:pPr>
              <w:jc w:val="center"/>
              <w:ind w:left="1106"/>
              <w:spacing w:after="0"/>
              <w:rPr>
                <w:sz w:val="20"/>
                <w:szCs w:val="20"/>
                <w:color w:val="auto"/>
              </w:rPr>
            </w:pPr>
            <w:r>
              <w:rPr>
                <w:rFonts w:ascii="Arial" w:cs="Arial" w:eastAsia="Arial" w:hAnsi="Arial"/>
                <w:sz w:val="11"/>
                <w:szCs w:val="11"/>
                <w:b w:val="1"/>
                <w:bCs w:val="1"/>
                <w:color w:val="auto"/>
                <w:w w:val="85"/>
              </w:rPr>
              <w:t>Filed</w:t>
            </w:r>
          </w:p>
        </w:tc>
        <w:tc>
          <w:tcPr>
            <w:tcW w:w="700" w:type="dxa"/>
            <w:vAlign w:val="bottom"/>
            <w:tcBorders>
              <w:bottom w:val="single" w:sz="8" w:color="auto"/>
            </w:tcBorders>
          </w:tcPr>
          <w:p>
            <w:pPr>
              <w:spacing w:after="0"/>
              <w:rPr>
                <w:sz w:val="12"/>
                <w:szCs w:val="12"/>
                <w:color w:val="auto"/>
              </w:rPr>
            </w:pPr>
          </w:p>
        </w:tc>
        <w:tc>
          <w:tcPr>
            <w:tcW w:w="2480" w:type="dxa"/>
            <w:vAlign w:val="bottom"/>
            <w:tcBorders>
              <w:bottom w:val="single" w:sz="8" w:color="auto"/>
            </w:tcBorders>
            <w:gridSpan w:val="2"/>
          </w:tcPr>
          <w:p>
            <w:pPr>
              <w:ind w:left="100"/>
              <w:spacing w:after="0"/>
              <w:rPr>
                <w:sz w:val="20"/>
                <w:szCs w:val="20"/>
                <w:color w:val="auto"/>
              </w:rPr>
            </w:pPr>
            <w:r>
              <w:rPr>
                <w:rFonts w:ascii="Arial" w:cs="Arial" w:eastAsia="Arial" w:hAnsi="Arial"/>
                <w:sz w:val="11"/>
                <w:szCs w:val="11"/>
                <w:b w:val="1"/>
                <w:bCs w:val="1"/>
                <w:color w:val="auto"/>
              </w:rPr>
              <w:t>Incorporation By Reference From</w:t>
            </w:r>
          </w:p>
        </w:tc>
      </w:tr>
      <w:tr>
        <w:trPr>
          <w:trHeight w:val="149"/>
        </w:trPr>
        <w:tc>
          <w:tcPr>
            <w:tcW w:w="2060" w:type="dxa"/>
            <w:vAlign w:val="bottom"/>
          </w:tcPr>
          <w:p>
            <w:pPr>
              <w:spacing w:after="0"/>
              <w:rPr>
                <w:sz w:val="20"/>
                <w:szCs w:val="20"/>
                <w:color w:val="auto"/>
              </w:rPr>
            </w:pPr>
            <w:r>
              <w:rPr>
                <w:rFonts w:ascii="Arial" w:cs="Arial" w:eastAsia="Arial" w:hAnsi="Arial"/>
                <w:sz w:val="11"/>
                <w:szCs w:val="11"/>
                <w:b w:val="1"/>
                <w:bCs w:val="1"/>
                <w:color w:val="auto"/>
              </w:rPr>
              <w:t>Description</w:t>
            </w:r>
          </w:p>
        </w:tc>
        <w:tc>
          <w:tcPr>
            <w:tcW w:w="2300" w:type="dxa"/>
            <w:vAlign w:val="bottom"/>
          </w:tcPr>
          <w:p>
            <w:pPr>
              <w:jc w:val="center"/>
              <w:ind w:left="1106"/>
              <w:spacing w:after="0"/>
              <w:rPr>
                <w:sz w:val="20"/>
                <w:szCs w:val="20"/>
                <w:color w:val="auto"/>
              </w:rPr>
            </w:pPr>
            <w:r>
              <w:rPr>
                <w:rFonts w:ascii="Arial" w:cs="Arial" w:eastAsia="Arial" w:hAnsi="Arial"/>
                <w:sz w:val="11"/>
                <w:szCs w:val="11"/>
                <w:b w:val="1"/>
                <w:bCs w:val="1"/>
                <w:color w:val="auto"/>
                <w:w w:val="90"/>
              </w:rPr>
              <w:t>Herewith</w:t>
            </w:r>
          </w:p>
        </w:tc>
        <w:tc>
          <w:tcPr>
            <w:tcW w:w="700" w:type="dxa"/>
            <w:vAlign w:val="bottom"/>
          </w:tcPr>
          <w:p>
            <w:pPr>
              <w:ind w:left="320"/>
              <w:spacing w:after="0"/>
              <w:rPr>
                <w:sz w:val="20"/>
                <w:szCs w:val="20"/>
                <w:color w:val="auto"/>
              </w:rPr>
            </w:pPr>
            <w:r>
              <w:rPr>
                <w:rFonts w:ascii="Arial" w:cs="Arial" w:eastAsia="Arial" w:hAnsi="Arial"/>
                <w:sz w:val="11"/>
                <w:szCs w:val="11"/>
                <w:b w:val="1"/>
                <w:bCs w:val="1"/>
                <w:color w:val="auto"/>
              </w:rPr>
              <w:t>Form</w:t>
            </w:r>
          </w:p>
        </w:tc>
        <w:tc>
          <w:tcPr>
            <w:tcW w:w="1240" w:type="dxa"/>
            <w:vAlign w:val="bottom"/>
          </w:tcPr>
          <w:p>
            <w:pPr>
              <w:ind w:left="540"/>
              <w:spacing w:after="0"/>
              <w:rPr>
                <w:sz w:val="20"/>
                <w:szCs w:val="20"/>
                <w:color w:val="auto"/>
              </w:rPr>
            </w:pPr>
            <w:r>
              <w:rPr>
                <w:rFonts w:ascii="Arial" w:cs="Arial" w:eastAsia="Arial" w:hAnsi="Arial"/>
                <w:sz w:val="11"/>
                <w:szCs w:val="11"/>
                <w:b w:val="1"/>
                <w:bCs w:val="1"/>
                <w:color w:val="auto"/>
              </w:rPr>
              <w:t>Exhibit</w:t>
            </w:r>
          </w:p>
        </w:tc>
        <w:tc>
          <w:tcPr>
            <w:tcW w:w="1240" w:type="dxa"/>
            <w:vAlign w:val="bottom"/>
          </w:tcPr>
          <w:p>
            <w:pPr>
              <w:ind w:left="360"/>
              <w:spacing w:after="0"/>
              <w:rPr>
                <w:sz w:val="20"/>
                <w:szCs w:val="20"/>
                <w:color w:val="auto"/>
              </w:rPr>
            </w:pPr>
            <w:r>
              <w:rPr>
                <w:rFonts w:ascii="Arial" w:cs="Arial" w:eastAsia="Arial" w:hAnsi="Arial"/>
                <w:sz w:val="11"/>
                <w:szCs w:val="11"/>
                <w:b w:val="1"/>
                <w:bCs w:val="1"/>
                <w:color w:val="auto"/>
              </w:rPr>
              <w:t>Date Filed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-2392045</wp:posOffset>
            </wp:positionH>
            <wp:positionV relativeFrom="paragraph">
              <wp:posOffset>2540</wp:posOffset>
            </wp:positionV>
            <wp:extent cx="7178040" cy="1771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8040" cy="177165"/>
                    </a:xfrm>
                    <a:prstGeom prst="rect">
                      <a:avLst/>
                    </a:prstGeom>
                    <a:noFill/>
                  </pic:spPr>
                </pic:pic>
              </a:graphicData>
            </a:graphic>
          </wp:anchor>
        </w:drawing>
      </w:r>
    </w:p>
    <w:p>
      <w:pPr>
        <w:spacing w:after="0" w:line="13" w:lineRule="exact"/>
        <w:rPr>
          <w:sz w:val="20"/>
          <w:szCs w:val="20"/>
          <w:color w:val="auto"/>
        </w:rPr>
      </w:pPr>
    </w:p>
    <w:p>
      <w:pPr>
        <w:sectPr>
          <w:pgSz w:w="11900" w:h="16838" w:orient="portrait"/>
          <w:cols w:equalWidth="0" w:num="2">
            <w:col w:w="3040" w:space="720"/>
            <w:col w:w="7540"/>
          </w:cols>
          <w:pgMar w:left="300" w:top="275" w:right="299" w:bottom="1440" w:gutter="0" w:footer="0" w:header="0"/>
          <w:type w:val="continuous"/>
        </w:sectPr>
      </w:pPr>
    </w:p>
    <w:p>
      <w:pPr>
        <w:spacing w:after="0" w:line="54" w:lineRule="exact"/>
        <w:rPr>
          <w:sz w:val="20"/>
          <w:szCs w:val="20"/>
          <w:color w:val="auto"/>
        </w:rPr>
      </w:pPr>
    </w:p>
    <w:p>
      <w:pPr>
        <w:ind w:left="400"/>
        <w:spacing w:after="0"/>
        <w:rPr>
          <w:rFonts w:ascii="Arial" w:cs="Arial" w:eastAsia="Arial" w:hAnsi="Arial"/>
          <w:sz w:val="11"/>
          <w:szCs w:val="11"/>
          <w:u w:val="single" w:color="auto"/>
          <w:color w:val="0000FF"/>
        </w:rPr>
      </w:pPr>
      <w:hyperlink r:id="rId110">
        <w:r>
          <w:rPr>
            <w:rFonts w:ascii="Arial" w:cs="Arial" w:eastAsia="Arial" w:hAnsi="Arial"/>
            <w:sz w:val="11"/>
            <w:szCs w:val="11"/>
            <w:u w:val="single" w:color="auto"/>
            <w:color w:val="0000FF"/>
          </w:rPr>
          <w:t>2.1</w:t>
        </w:r>
      </w:hyperlink>
    </w:p>
    <w:p>
      <w:pPr>
        <w:spacing w:after="0" w:line="126" w:lineRule="exact"/>
        <w:rPr>
          <w:sz w:val="20"/>
          <w:szCs w:val="20"/>
          <w:color w:val="auto"/>
        </w:rPr>
      </w:pPr>
    </w:p>
    <w:p>
      <w:pPr>
        <w:ind w:left="400"/>
        <w:spacing w:after="0"/>
        <w:rPr>
          <w:rFonts w:ascii="Arial" w:cs="Arial" w:eastAsia="Arial" w:hAnsi="Arial"/>
          <w:sz w:val="11"/>
          <w:szCs w:val="11"/>
          <w:u w:val="single" w:color="auto"/>
          <w:color w:val="0000FF"/>
        </w:rPr>
      </w:pPr>
      <w:hyperlink r:id="rId111">
        <w:r>
          <w:rPr>
            <w:rFonts w:ascii="Arial" w:cs="Arial" w:eastAsia="Arial" w:hAnsi="Arial"/>
            <w:sz w:val="11"/>
            <w:szCs w:val="11"/>
            <w:u w:val="single" w:color="auto"/>
            <w:color w:val="0000FF"/>
          </w:rPr>
          <w:t>3.1</w:t>
        </w:r>
      </w:hyperlink>
    </w:p>
    <w:p>
      <w:pPr>
        <w:spacing w:after="0" w:line="99" w:lineRule="exact"/>
        <w:rPr>
          <w:sz w:val="20"/>
          <w:szCs w:val="20"/>
          <w:color w:val="auto"/>
        </w:rPr>
      </w:pPr>
    </w:p>
    <w:p>
      <w:pPr>
        <w:ind w:left="400"/>
        <w:spacing w:after="0"/>
        <w:rPr>
          <w:rFonts w:ascii="Arial" w:cs="Arial" w:eastAsia="Arial" w:hAnsi="Arial"/>
          <w:sz w:val="11"/>
          <w:szCs w:val="11"/>
          <w:u w:val="single" w:color="auto"/>
          <w:color w:val="0000FF"/>
        </w:rPr>
      </w:pPr>
      <w:hyperlink r:id="rId112">
        <w:r>
          <w:rPr>
            <w:rFonts w:ascii="Arial" w:cs="Arial" w:eastAsia="Arial" w:hAnsi="Arial"/>
            <w:sz w:val="11"/>
            <w:szCs w:val="11"/>
            <w:u w:val="single" w:color="auto"/>
            <w:color w:val="0000FF"/>
          </w:rPr>
          <w:t>3.2</w:t>
        </w:r>
      </w:hyperlink>
    </w:p>
    <w:p>
      <w:pPr>
        <w:spacing w:after="0" w:line="153" w:lineRule="exact"/>
        <w:rPr>
          <w:sz w:val="20"/>
          <w:szCs w:val="20"/>
          <w:color w:val="auto"/>
        </w:rPr>
      </w:pPr>
    </w:p>
    <w:p>
      <w:pPr>
        <w:ind w:left="400"/>
        <w:spacing w:after="0"/>
        <w:rPr>
          <w:rFonts w:ascii="Arial" w:cs="Arial" w:eastAsia="Arial" w:hAnsi="Arial"/>
          <w:sz w:val="11"/>
          <w:szCs w:val="11"/>
          <w:u w:val="single" w:color="auto"/>
          <w:color w:val="0000FF"/>
        </w:rPr>
      </w:pPr>
      <w:hyperlink r:id="rId113">
        <w:r>
          <w:rPr>
            <w:rFonts w:ascii="Arial" w:cs="Arial" w:eastAsia="Arial" w:hAnsi="Arial"/>
            <w:sz w:val="11"/>
            <w:szCs w:val="11"/>
            <w:u w:val="single" w:color="auto"/>
            <w:color w:val="0000FF"/>
          </w:rPr>
          <w:t>4.1</w:t>
        </w:r>
      </w:hyperlink>
    </w:p>
    <w:p>
      <w:pPr>
        <w:spacing w:after="0" w:line="216" w:lineRule="exact"/>
        <w:rPr>
          <w:sz w:val="20"/>
          <w:szCs w:val="20"/>
          <w:color w:val="auto"/>
        </w:rPr>
      </w:pPr>
    </w:p>
    <w:p>
      <w:pPr>
        <w:ind w:left="400"/>
        <w:spacing w:after="0"/>
        <w:rPr>
          <w:rFonts w:ascii="Arial" w:cs="Arial" w:eastAsia="Arial" w:hAnsi="Arial"/>
          <w:sz w:val="11"/>
          <w:szCs w:val="11"/>
          <w:u w:val="single" w:color="auto"/>
          <w:color w:val="0000FF"/>
        </w:rPr>
      </w:pPr>
      <w:hyperlink r:id="rId114">
        <w:r>
          <w:rPr>
            <w:rFonts w:ascii="Arial" w:cs="Arial" w:eastAsia="Arial" w:hAnsi="Arial"/>
            <w:sz w:val="11"/>
            <w:szCs w:val="11"/>
            <w:u w:val="single" w:color="auto"/>
            <w:color w:val="0000FF"/>
          </w:rPr>
          <w:t>4.2</w:t>
        </w:r>
      </w:hyperlink>
    </w:p>
    <w:p>
      <w:pPr>
        <w:spacing w:after="0" w:line="162" w:lineRule="exact"/>
        <w:rPr>
          <w:sz w:val="20"/>
          <w:szCs w:val="20"/>
          <w:color w:val="auto"/>
        </w:rPr>
      </w:pPr>
    </w:p>
    <w:p>
      <w:pPr>
        <w:ind w:left="400"/>
        <w:spacing w:after="0"/>
        <w:rPr>
          <w:rFonts w:ascii="Arial" w:cs="Arial" w:eastAsia="Arial" w:hAnsi="Arial"/>
          <w:sz w:val="11"/>
          <w:szCs w:val="11"/>
          <w:u w:val="single" w:color="auto"/>
          <w:color w:val="0000FF"/>
        </w:rPr>
      </w:pPr>
      <w:hyperlink r:id="rId115">
        <w:r>
          <w:rPr>
            <w:rFonts w:ascii="Arial" w:cs="Arial" w:eastAsia="Arial" w:hAnsi="Arial"/>
            <w:sz w:val="11"/>
            <w:szCs w:val="11"/>
            <w:u w:val="single" w:color="auto"/>
            <w:color w:val="0000FF"/>
          </w:rPr>
          <w:t>4.3</w:t>
        </w:r>
      </w:hyperlink>
    </w:p>
    <w:p>
      <w:pPr>
        <w:spacing w:after="0" w:line="216" w:lineRule="exact"/>
        <w:rPr>
          <w:sz w:val="20"/>
          <w:szCs w:val="20"/>
          <w:color w:val="auto"/>
        </w:rPr>
      </w:pPr>
    </w:p>
    <w:p>
      <w:pPr>
        <w:ind w:left="400"/>
        <w:spacing w:after="0"/>
        <w:rPr>
          <w:rFonts w:ascii="Arial" w:cs="Arial" w:eastAsia="Arial" w:hAnsi="Arial"/>
          <w:sz w:val="11"/>
          <w:szCs w:val="11"/>
          <w:u w:val="single" w:color="auto"/>
          <w:color w:val="0000FF"/>
        </w:rPr>
      </w:pPr>
      <w:hyperlink r:id="rId116">
        <w:r>
          <w:rPr>
            <w:rFonts w:ascii="Arial" w:cs="Arial" w:eastAsia="Arial" w:hAnsi="Arial"/>
            <w:sz w:val="11"/>
            <w:szCs w:val="11"/>
            <w:u w:val="single" w:color="auto"/>
            <w:color w:val="0000FF"/>
          </w:rPr>
          <w:t>4.4</w:t>
        </w:r>
      </w:hyperlink>
    </w:p>
    <w:p>
      <w:pPr>
        <w:spacing w:after="0" w:line="270" w:lineRule="exact"/>
        <w:rPr>
          <w:sz w:val="20"/>
          <w:szCs w:val="20"/>
          <w:color w:val="auto"/>
        </w:rPr>
      </w:pPr>
    </w:p>
    <w:p>
      <w:pPr>
        <w:ind w:left="400"/>
        <w:spacing w:after="0"/>
        <w:rPr>
          <w:rFonts w:ascii="Arial" w:cs="Arial" w:eastAsia="Arial" w:hAnsi="Arial"/>
          <w:sz w:val="11"/>
          <w:szCs w:val="11"/>
          <w:u w:val="single" w:color="auto"/>
          <w:color w:val="0000FF"/>
        </w:rPr>
      </w:pPr>
      <w:hyperlink r:id="rId117">
        <w:r>
          <w:rPr>
            <w:rFonts w:ascii="Arial" w:cs="Arial" w:eastAsia="Arial" w:hAnsi="Arial"/>
            <w:sz w:val="11"/>
            <w:szCs w:val="11"/>
            <w:u w:val="single" w:color="auto"/>
            <w:color w:val="0000FF"/>
          </w:rPr>
          <w:t>4.5</w:t>
        </w:r>
      </w:hyperlink>
    </w:p>
    <w:p>
      <w:pPr>
        <w:spacing w:after="0" w:line="180" w:lineRule="exact"/>
        <w:rPr>
          <w:sz w:val="20"/>
          <w:szCs w:val="20"/>
          <w:color w:val="auto"/>
        </w:rPr>
      </w:pPr>
    </w:p>
    <w:p>
      <w:pPr>
        <w:ind w:left="400"/>
        <w:spacing w:after="0"/>
        <w:rPr>
          <w:rFonts w:ascii="Arial" w:cs="Arial" w:eastAsia="Arial" w:hAnsi="Arial"/>
          <w:sz w:val="11"/>
          <w:szCs w:val="11"/>
          <w:u w:val="single" w:color="auto"/>
          <w:color w:val="0000FF"/>
        </w:rPr>
      </w:pPr>
      <w:hyperlink r:id="rId118">
        <w:r>
          <w:rPr>
            <w:rFonts w:ascii="Arial" w:cs="Arial" w:eastAsia="Arial" w:hAnsi="Arial"/>
            <w:sz w:val="11"/>
            <w:szCs w:val="11"/>
            <w:u w:val="single" w:color="auto"/>
            <w:color w:val="0000FF"/>
          </w:rPr>
          <w:t>4.6</w:t>
        </w:r>
      </w:hyperlink>
    </w:p>
    <w:p>
      <w:pPr>
        <w:spacing w:after="0" w:line="144" w:lineRule="exact"/>
        <w:rPr>
          <w:sz w:val="20"/>
          <w:szCs w:val="20"/>
          <w:color w:val="auto"/>
        </w:rPr>
      </w:pPr>
    </w:p>
    <w:p>
      <w:pPr>
        <w:ind w:left="400"/>
        <w:spacing w:after="0"/>
        <w:rPr>
          <w:rFonts w:ascii="Arial" w:cs="Arial" w:eastAsia="Arial" w:hAnsi="Arial"/>
          <w:sz w:val="11"/>
          <w:szCs w:val="11"/>
          <w:u w:val="single" w:color="auto"/>
          <w:color w:val="0000FF"/>
        </w:rPr>
      </w:pPr>
      <w:hyperlink r:id="rId119">
        <w:r>
          <w:rPr>
            <w:rFonts w:ascii="Arial" w:cs="Arial" w:eastAsia="Arial" w:hAnsi="Arial"/>
            <w:sz w:val="11"/>
            <w:szCs w:val="11"/>
            <w:u w:val="single" w:color="auto"/>
            <w:color w:val="0000FF"/>
          </w:rPr>
          <w:t>4.7</w:t>
        </w:r>
      </w:hyperlink>
    </w:p>
    <w:p>
      <w:pPr>
        <w:spacing w:after="0" w:line="90" w:lineRule="exact"/>
        <w:rPr>
          <w:sz w:val="20"/>
          <w:szCs w:val="20"/>
          <w:color w:val="auto"/>
        </w:rPr>
      </w:pPr>
    </w:p>
    <w:p>
      <w:pPr>
        <w:ind w:left="400"/>
        <w:spacing w:after="0"/>
        <w:rPr>
          <w:rFonts w:ascii="Arial" w:cs="Arial" w:eastAsia="Arial" w:hAnsi="Arial"/>
          <w:sz w:val="11"/>
          <w:szCs w:val="11"/>
          <w:u w:val="single" w:color="auto"/>
          <w:color w:val="0000FF"/>
        </w:rPr>
      </w:pPr>
      <w:hyperlink r:id="rId116">
        <w:r>
          <w:rPr>
            <w:rFonts w:ascii="Arial" w:cs="Arial" w:eastAsia="Arial" w:hAnsi="Arial"/>
            <w:sz w:val="11"/>
            <w:szCs w:val="11"/>
            <w:u w:val="single" w:color="auto"/>
            <w:color w:val="0000FF"/>
          </w:rPr>
          <w:t>4.8</w:t>
        </w:r>
      </w:hyperlink>
    </w:p>
    <w:p>
      <w:pPr>
        <w:spacing w:after="0" w:line="20" w:lineRule="exact"/>
        <w:rPr>
          <w:sz w:val="20"/>
          <w:szCs w:val="20"/>
          <w:color w:val="auto"/>
        </w:rPr>
      </w:pPr>
      <w:r>
        <w:rPr>
          <w:sz w:val="20"/>
          <w:szCs w:val="20"/>
          <w:color w:val="auto"/>
        </w:rPr>
        <w:br w:type="column"/>
      </w:r>
    </w:p>
    <w:p>
      <w:pPr>
        <w:ind w:right="840"/>
        <w:spacing w:after="0" w:line="319" w:lineRule="auto"/>
        <w:rPr>
          <w:sz w:val="20"/>
          <w:szCs w:val="20"/>
          <w:color w:val="auto"/>
        </w:rPr>
      </w:pPr>
      <w:r>
        <w:rPr>
          <w:rFonts w:ascii="Arial" w:cs="Arial" w:eastAsia="Arial" w:hAnsi="Arial"/>
          <w:sz w:val="10"/>
          <w:szCs w:val="10"/>
          <w:color w:val="auto"/>
        </w:rPr>
        <w:t>Agreement and Plan of Merger by and among Marriott Vacations Worldwide Corporation, Sommelier Acquisition Corp., Champagne Resorts, Inc., Welk Hospitality Group, Inc. and the Shareholder Representative, dated as of January 26, 2021</w:t>
      </w:r>
    </w:p>
    <w:p>
      <w:pPr>
        <w:ind w:right="2680"/>
        <w:spacing w:after="0" w:line="391" w:lineRule="auto"/>
        <w:rPr>
          <w:sz w:val="20"/>
          <w:szCs w:val="20"/>
          <w:color w:val="auto"/>
        </w:rPr>
      </w:pPr>
      <w:r>
        <w:rPr>
          <w:rFonts w:ascii="Arial" w:cs="Arial" w:eastAsia="Arial" w:hAnsi="Arial"/>
          <w:sz w:val="12"/>
          <w:szCs w:val="12"/>
          <w:color w:val="auto"/>
        </w:rPr>
        <w:t>Restated Certificate of Incorporation of Marriott Vacations Worldwide Corporation Restated Bylaws of Marriott Vacations Worldwide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-690245</wp:posOffset>
            </wp:positionH>
            <wp:positionV relativeFrom="paragraph">
              <wp:posOffset>-165100</wp:posOffset>
            </wp:positionV>
            <wp:extent cx="7178040" cy="1428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0">
                      <a:extLst>
                        <a:ext uri="{28A0092B-C50C-407E-A947-70E740481C1C}"/>
                      </a:extLst>
                    </a:blip>
                    <a:srcRect/>
                    <a:stretch>
                      <a:fillRect/>
                    </a:stretch>
                  </pic:blipFill>
                  <pic:spPr bwMode="auto">
                    <a:xfrm>
                      <a:off x="0" y="0"/>
                      <a:ext cx="7178040" cy="142875"/>
                    </a:xfrm>
                    <a:prstGeom prst="rect">
                      <a:avLst/>
                    </a:prstGeom>
                    <a:noFill/>
                  </pic:spPr>
                </pic:pic>
              </a:graphicData>
            </a:graphic>
          </wp:anchor>
        </w:drawing>
      </w:r>
    </w:p>
    <w:p>
      <w:pPr>
        <w:ind w:right="1040"/>
        <w:spacing w:after="0" w:line="234" w:lineRule="auto"/>
        <w:rPr>
          <w:sz w:val="20"/>
          <w:szCs w:val="20"/>
          <w:color w:val="auto"/>
        </w:rPr>
      </w:pPr>
      <w:r>
        <w:rPr>
          <w:rFonts w:ascii="Arial" w:cs="Arial" w:eastAsia="Arial" w:hAnsi="Arial"/>
          <w:sz w:val="12"/>
          <w:szCs w:val="12"/>
          <w:color w:val="auto"/>
        </w:rPr>
        <w:t>Form of certificate representing shares of common stock, par value $0.01 per share, of Marriott Vacations Worldwide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-690245</wp:posOffset>
            </wp:positionH>
            <wp:positionV relativeFrom="paragraph">
              <wp:posOffset>23495</wp:posOffset>
            </wp:positionV>
            <wp:extent cx="7178040" cy="2171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1">
                      <a:extLst>
                        <a:ext uri="{28A0092B-C50C-407E-A947-70E740481C1C}"/>
                      </a:extLst>
                    </a:blip>
                    <a:srcRect/>
                    <a:stretch>
                      <a:fillRect/>
                    </a:stretch>
                  </pic:blipFill>
                  <pic:spPr bwMode="auto">
                    <a:xfrm>
                      <a:off x="0" y="0"/>
                      <a:ext cx="7178040" cy="217170"/>
                    </a:xfrm>
                    <a:prstGeom prst="rect">
                      <a:avLst/>
                    </a:prstGeom>
                    <a:noFill/>
                  </pic:spPr>
                </pic:pic>
              </a:graphicData>
            </a:graphic>
          </wp:anchor>
        </w:drawing>
      </w:r>
    </w:p>
    <w:p>
      <w:pPr>
        <w:spacing w:after="0" w:line="53" w:lineRule="exact"/>
        <w:rPr>
          <w:sz w:val="20"/>
          <w:szCs w:val="20"/>
          <w:color w:val="auto"/>
        </w:rPr>
      </w:pPr>
    </w:p>
    <w:p>
      <w:pPr>
        <w:jc w:val="both"/>
        <w:ind w:right="860"/>
        <w:spacing w:after="0" w:line="234" w:lineRule="auto"/>
        <w:rPr>
          <w:sz w:val="20"/>
          <w:szCs w:val="20"/>
          <w:color w:val="auto"/>
        </w:rPr>
      </w:pPr>
      <w:r>
        <w:rPr>
          <w:rFonts w:ascii="Arial" w:cs="Arial" w:eastAsia="Arial" w:hAnsi="Arial"/>
          <w:sz w:val="12"/>
          <w:szCs w:val="12"/>
          <w:color w:val="auto"/>
        </w:rPr>
        <w:t>Indenture between Marriott Vacations Worldwide Corporation and The Bank of New York Mellon Trust Company, N.A., as trustee, dated September 25, 2017</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color w:val="auto"/>
        </w:rPr>
        <w:t>Form of 1.50% Convertible Senior Note due 2022 (included as Exhibit A to Exhibit 4.2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-690245</wp:posOffset>
            </wp:positionH>
            <wp:positionV relativeFrom="paragraph">
              <wp:posOffset>32385</wp:posOffset>
            </wp:positionV>
            <wp:extent cx="7178040" cy="2914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2">
                      <a:extLst>
                        <a:ext uri="{28A0092B-C50C-407E-A947-70E740481C1C}"/>
                      </a:extLst>
                    </a:blip>
                    <a:srcRect/>
                    <a:stretch>
                      <a:fillRect/>
                    </a:stretch>
                  </pic:blipFill>
                  <pic:spPr bwMode="auto">
                    <a:xfrm>
                      <a:off x="0" y="0"/>
                      <a:ext cx="7178040" cy="291465"/>
                    </a:xfrm>
                    <a:prstGeom prst="rect">
                      <a:avLst/>
                    </a:prstGeom>
                    <a:noFill/>
                  </pic:spPr>
                </pic:pic>
              </a:graphicData>
            </a:graphic>
          </wp:anchor>
        </w:drawing>
      </w:r>
    </w:p>
    <w:p>
      <w:pPr>
        <w:spacing w:after="0" w:line="67" w:lineRule="exact"/>
        <w:rPr>
          <w:sz w:val="20"/>
          <w:szCs w:val="20"/>
          <w:color w:val="auto"/>
        </w:rPr>
      </w:pPr>
    </w:p>
    <w:p>
      <w:pPr>
        <w:jc w:val="both"/>
        <w:ind w:right="880"/>
        <w:spacing w:after="0" w:line="224" w:lineRule="auto"/>
        <w:rPr>
          <w:sz w:val="20"/>
          <w:szCs w:val="20"/>
          <w:color w:val="auto"/>
        </w:rPr>
      </w:pPr>
      <w:r>
        <w:rPr>
          <w:rFonts w:ascii="Arial" w:cs="Arial" w:eastAsia="Arial" w:hAnsi="Arial"/>
          <w:sz w:val="12"/>
          <w:szCs w:val="12"/>
          <w:color w:val="auto"/>
        </w:rPr>
        <w:t>Indenture, dated as of August 23, 2018, by and among Marriott Ownership Resorts, Inc., Marriott Vacations Worldwide Corporation, as guarantor, the other guarantors party thereto and the Bank of New York Mellon Trust Company, N.A., as trustee</w:t>
      </w:r>
    </w:p>
    <w:p>
      <w:pPr>
        <w:spacing w:after="0" w:line="73" w:lineRule="exact"/>
        <w:rPr>
          <w:sz w:val="20"/>
          <w:szCs w:val="20"/>
          <w:color w:val="auto"/>
        </w:rPr>
      </w:pPr>
    </w:p>
    <w:p>
      <w:pPr>
        <w:ind w:right="900"/>
        <w:spacing w:after="0" w:line="234" w:lineRule="auto"/>
        <w:rPr>
          <w:sz w:val="20"/>
          <w:szCs w:val="20"/>
          <w:color w:val="auto"/>
        </w:rPr>
      </w:pPr>
      <w:r>
        <w:rPr>
          <w:rFonts w:ascii="Arial" w:cs="Arial" w:eastAsia="Arial" w:hAnsi="Arial"/>
          <w:sz w:val="12"/>
          <w:szCs w:val="12"/>
          <w:color w:val="auto"/>
        </w:rPr>
        <w:t>First Supplemental Indenture, dated September 1, 2018, by and among Marriott Ownership Resorts, Inc., ILG, LLC, the guarantors party thereto and the Bank of New York Mellon Trust Company, N.A., 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-690245</wp:posOffset>
            </wp:positionH>
            <wp:positionV relativeFrom="paragraph">
              <wp:posOffset>23495</wp:posOffset>
            </wp:positionV>
            <wp:extent cx="7178040" cy="171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3">
                      <a:extLst>
                        <a:ext uri="{28A0092B-C50C-407E-A947-70E740481C1C}"/>
                      </a:extLst>
                    </a:blip>
                    <a:srcRect/>
                    <a:stretch>
                      <a:fillRect/>
                    </a:stretch>
                  </pic:blipFill>
                  <pic:spPr bwMode="auto">
                    <a:xfrm>
                      <a:off x="0" y="0"/>
                      <a:ext cx="7178040" cy="171450"/>
                    </a:xfrm>
                    <a:prstGeom prst="rect">
                      <a:avLst/>
                    </a:prstGeom>
                    <a:noFill/>
                  </pic:spPr>
                </pic:pic>
              </a:graphicData>
            </a:graphic>
          </wp:anchor>
        </w:drawing>
      </w:r>
    </w:p>
    <w:p>
      <w:pPr>
        <w:spacing w:after="0" w:line="17" w:lineRule="exact"/>
        <w:rPr>
          <w:sz w:val="20"/>
          <w:szCs w:val="20"/>
          <w:color w:val="auto"/>
        </w:rPr>
      </w:pPr>
    </w:p>
    <w:p>
      <w:pPr>
        <w:ind w:right="900"/>
        <w:spacing w:after="0" w:line="234" w:lineRule="auto"/>
        <w:rPr>
          <w:sz w:val="20"/>
          <w:szCs w:val="20"/>
          <w:color w:val="auto"/>
        </w:rPr>
      </w:pPr>
      <w:r>
        <w:rPr>
          <w:rFonts w:ascii="Arial" w:cs="Arial" w:eastAsia="Arial" w:hAnsi="Arial"/>
          <w:sz w:val="12"/>
          <w:szCs w:val="12"/>
          <w:color w:val="auto"/>
        </w:rPr>
        <w:t>Second Supplemental Indenture, dated December 31, 2019, by and among Marriott Ownership Resorts, Inc., ILG, LLC, MVW Vacations, LLC and the Bank of New York Mellon Trust Company, N.A., as trustee</w:t>
      </w:r>
    </w:p>
    <w:p>
      <w:pPr>
        <w:spacing w:after="0" w:line="1" w:lineRule="exact"/>
        <w:rPr>
          <w:sz w:val="20"/>
          <w:szCs w:val="20"/>
          <w:color w:val="auto"/>
        </w:rPr>
      </w:pPr>
    </w:p>
    <w:p>
      <w:pPr>
        <w:ind w:right="1060"/>
        <w:spacing w:after="0" w:line="234" w:lineRule="auto"/>
        <w:rPr>
          <w:sz w:val="20"/>
          <w:szCs w:val="20"/>
          <w:color w:val="auto"/>
        </w:rPr>
      </w:pPr>
      <w:r>
        <w:rPr>
          <w:rFonts w:ascii="Arial" w:cs="Arial" w:eastAsia="Arial" w:hAnsi="Arial"/>
          <w:sz w:val="12"/>
          <w:szCs w:val="12"/>
          <w:color w:val="auto"/>
        </w:rPr>
        <w:t>Third Supplemental Indenture, dated February 26, 2020, by and among Marriott Ownership Resorts, Inc., ILG, LLC, MVW Services Corporation, and the Bank of New York Mellon Trust Company, N.A., 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-690245</wp:posOffset>
            </wp:positionH>
            <wp:positionV relativeFrom="paragraph">
              <wp:posOffset>635</wp:posOffset>
            </wp:positionV>
            <wp:extent cx="7178040" cy="971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4">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Form of 6.500% Senior Note due 2026 (included as Exhibit A to Exhibit 4.4 above)</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3"/>
        </w:trPr>
        <w:tc>
          <w:tcPr>
            <w:tcW w:w="620" w:type="dxa"/>
            <w:vAlign w:val="bottom"/>
          </w:tcPr>
          <w:p>
            <w:pPr>
              <w:jc w:val="center"/>
              <w:ind w:right="320"/>
              <w:spacing w:after="0"/>
              <w:rPr>
                <w:sz w:val="20"/>
                <w:szCs w:val="20"/>
                <w:color w:val="auto"/>
              </w:rPr>
            </w:pPr>
            <w:r>
              <w:rPr>
                <w:rFonts w:ascii="Arial" w:cs="Arial" w:eastAsia="Arial" w:hAnsi="Arial"/>
                <w:sz w:val="12"/>
                <w:szCs w:val="12"/>
                <w:color w:val="auto"/>
              </w:rPr>
              <w:t>8-K</w:t>
            </w:r>
          </w:p>
        </w:tc>
        <w:tc>
          <w:tcPr>
            <w:tcW w:w="920" w:type="dxa"/>
            <w:vAlign w:val="bottom"/>
          </w:tcPr>
          <w:p>
            <w:pPr>
              <w:jc w:val="right"/>
              <w:ind w:right="340"/>
              <w:spacing w:after="0"/>
              <w:rPr>
                <w:sz w:val="20"/>
                <w:szCs w:val="20"/>
                <w:color w:val="auto"/>
              </w:rPr>
            </w:pPr>
            <w:r>
              <w:rPr>
                <w:rFonts w:ascii="Arial" w:cs="Arial" w:eastAsia="Arial" w:hAnsi="Arial"/>
                <w:sz w:val="12"/>
                <w:szCs w:val="12"/>
                <w:color w:val="auto"/>
              </w:rPr>
              <w:t>2.1</w:t>
            </w:r>
          </w:p>
        </w:tc>
        <w:tc>
          <w:tcPr>
            <w:tcW w:w="920" w:type="dxa"/>
            <w:vAlign w:val="bottom"/>
          </w:tcPr>
          <w:p>
            <w:pPr>
              <w:jc w:val="center"/>
              <w:ind w:left="340"/>
              <w:spacing w:after="0"/>
              <w:rPr>
                <w:sz w:val="20"/>
                <w:szCs w:val="20"/>
                <w:color w:val="auto"/>
              </w:rPr>
            </w:pPr>
            <w:r>
              <w:rPr>
                <w:rFonts w:ascii="Arial" w:cs="Arial" w:eastAsia="Arial" w:hAnsi="Arial"/>
                <w:sz w:val="12"/>
                <w:szCs w:val="12"/>
                <w:color w:val="auto"/>
                <w:w w:val="89"/>
              </w:rPr>
              <w:t>1/26/2021</w:t>
            </w:r>
          </w:p>
        </w:tc>
      </w:tr>
      <w:tr>
        <w:trPr>
          <w:trHeight w:val="252"/>
        </w:trPr>
        <w:tc>
          <w:tcPr>
            <w:tcW w:w="620" w:type="dxa"/>
            <w:vAlign w:val="bottom"/>
          </w:tcPr>
          <w:p>
            <w:pPr>
              <w:jc w:val="center"/>
              <w:ind w:right="320"/>
              <w:spacing w:after="0"/>
              <w:rPr>
                <w:sz w:val="20"/>
                <w:szCs w:val="20"/>
                <w:color w:val="auto"/>
              </w:rPr>
            </w:pPr>
            <w:r>
              <w:rPr>
                <w:rFonts w:ascii="Arial" w:cs="Arial" w:eastAsia="Arial" w:hAnsi="Arial"/>
                <w:sz w:val="12"/>
                <w:szCs w:val="12"/>
                <w:color w:val="auto"/>
              </w:rPr>
              <w:t>8-K</w:t>
            </w:r>
          </w:p>
        </w:tc>
        <w:tc>
          <w:tcPr>
            <w:tcW w:w="920" w:type="dxa"/>
            <w:vAlign w:val="bottom"/>
          </w:tcPr>
          <w:p>
            <w:pPr>
              <w:jc w:val="right"/>
              <w:ind w:right="340"/>
              <w:spacing w:after="0"/>
              <w:rPr>
                <w:sz w:val="20"/>
                <w:szCs w:val="20"/>
                <w:color w:val="auto"/>
              </w:rPr>
            </w:pPr>
            <w:r>
              <w:rPr>
                <w:rFonts w:ascii="Arial" w:cs="Arial" w:eastAsia="Arial" w:hAnsi="Arial"/>
                <w:sz w:val="12"/>
                <w:szCs w:val="12"/>
                <w:color w:val="auto"/>
              </w:rPr>
              <w:t>3.1</w:t>
            </w:r>
          </w:p>
        </w:tc>
        <w:tc>
          <w:tcPr>
            <w:tcW w:w="920" w:type="dxa"/>
            <w:vAlign w:val="bottom"/>
          </w:tcPr>
          <w:p>
            <w:pPr>
              <w:jc w:val="center"/>
              <w:ind w:left="320"/>
              <w:spacing w:after="0"/>
              <w:rPr>
                <w:sz w:val="20"/>
                <w:szCs w:val="20"/>
                <w:color w:val="auto"/>
              </w:rPr>
            </w:pPr>
            <w:r>
              <w:rPr>
                <w:rFonts w:ascii="Arial" w:cs="Arial" w:eastAsia="Arial" w:hAnsi="Arial"/>
                <w:sz w:val="12"/>
                <w:szCs w:val="12"/>
                <w:color w:val="auto"/>
                <w:w w:val="89"/>
              </w:rPr>
              <w:t>11/22/2011</w:t>
            </w:r>
          </w:p>
        </w:tc>
      </w:tr>
      <w:tr>
        <w:trPr>
          <w:trHeight w:val="225"/>
        </w:trPr>
        <w:tc>
          <w:tcPr>
            <w:tcW w:w="620" w:type="dxa"/>
            <w:vAlign w:val="bottom"/>
          </w:tcPr>
          <w:p>
            <w:pPr>
              <w:jc w:val="center"/>
              <w:ind w:right="320"/>
              <w:spacing w:after="0"/>
              <w:rPr>
                <w:sz w:val="20"/>
                <w:szCs w:val="20"/>
                <w:color w:val="auto"/>
              </w:rPr>
            </w:pPr>
            <w:r>
              <w:rPr>
                <w:rFonts w:ascii="Arial" w:cs="Arial" w:eastAsia="Arial" w:hAnsi="Arial"/>
                <w:sz w:val="12"/>
                <w:szCs w:val="12"/>
                <w:color w:val="auto"/>
              </w:rPr>
              <w:t>8-K</w:t>
            </w:r>
          </w:p>
        </w:tc>
        <w:tc>
          <w:tcPr>
            <w:tcW w:w="920" w:type="dxa"/>
            <w:vAlign w:val="bottom"/>
          </w:tcPr>
          <w:p>
            <w:pPr>
              <w:jc w:val="right"/>
              <w:ind w:right="340"/>
              <w:spacing w:after="0"/>
              <w:rPr>
                <w:sz w:val="20"/>
                <w:szCs w:val="20"/>
                <w:color w:val="auto"/>
              </w:rPr>
            </w:pPr>
            <w:r>
              <w:rPr>
                <w:rFonts w:ascii="Arial" w:cs="Arial" w:eastAsia="Arial" w:hAnsi="Arial"/>
                <w:sz w:val="12"/>
                <w:szCs w:val="12"/>
                <w:color w:val="auto"/>
              </w:rPr>
              <w:t>3.2</w:t>
            </w:r>
          </w:p>
        </w:tc>
        <w:tc>
          <w:tcPr>
            <w:tcW w:w="920" w:type="dxa"/>
            <w:vAlign w:val="bottom"/>
          </w:tcPr>
          <w:p>
            <w:pPr>
              <w:jc w:val="center"/>
              <w:ind w:left="320"/>
              <w:spacing w:after="0"/>
              <w:rPr>
                <w:sz w:val="20"/>
                <w:szCs w:val="20"/>
                <w:color w:val="auto"/>
              </w:rPr>
            </w:pPr>
            <w:r>
              <w:rPr>
                <w:rFonts w:ascii="Arial" w:cs="Arial" w:eastAsia="Arial" w:hAnsi="Arial"/>
                <w:sz w:val="12"/>
                <w:szCs w:val="12"/>
                <w:color w:val="auto"/>
                <w:w w:val="89"/>
              </w:rPr>
              <w:t>11/22/2011</w:t>
            </w:r>
          </w:p>
        </w:tc>
      </w:tr>
      <w:tr>
        <w:trPr>
          <w:trHeight w:val="279"/>
        </w:trPr>
        <w:tc>
          <w:tcPr>
            <w:tcW w:w="620" w:type="dxa"/>
            <w:vAlign w:val="bottom"/>
          </w:tcPr>
          <w:p>
            <w:pPr>
              <w:jc w:val="center"/>
              <w:ind w:right="320"/>
              <w:spacing w:after="0"/>
              <w:rPr>
                <w:sz w:val="20"/>
                <w:szCs w:val="20"/>
                <w:color w:val="auto"/>
              </w:rPr>
            </w:pPr>
            <w:r>
              <w:rPr>
                <w:rFonts w:ascii="Arial" w:cs="Arial" w:eastAsia="Arial" w:hAnsi="Arial"/>
                <w:sz w:val="12"/>
                <w:szCs w:val="12"/>
                <w:color w:val="auto"/>
                <w:w w:val="89"/>
              </w:rPr>
              <w:t>10</w:t>
            </w:r>
          </w:p>
        </w:tc>
        <w:tc>
          <w:tcPr>
            <w:tcW w:w="920" w:type="dxa"/>
            <w:vAlign w:val="bottom"/>
          </w:tcPr>
          <w:p>
            <w:pPr>
              <w:jc w:val="right"/>
              <w:ind w:right="340"/>
              <w:spacing w:after="0"/>
              <w:rPr>
                <w:sz w:val="20"/>
                <w:szCs w:val="20"/>
                <w:color w:val="auto"/>
              </w:rPr>
            </w:pPr>
            <w:r>
              <w:rPr>
                <w:rFonts w:ascii="Arial" w:cs="Arial" w:eastAsia="Arial" w:hAnsi="Arial"/>
                <w:sz w:val="12"/>
                <w:szCs w:val="12"/>
                <w:color w:val="auto"/>
              </w:rPr>
              <w:t>4.1</w:t>
            </w:r>
          </w:p>
        </w:tc>
        <w:tc>
          <w:tcPr>
            <w:tcW w:w="920" w:type="dxa"/>
            <w:vAlign w:val="bottom"/>
          </w:tcPr>
          <w:p>
            <w:pPr>
              <w:jc w:val="center"/>
              <w:ind w:left="320"/>
              <w:spacing w:after="0"/>
              <w:rPr>
                <w:sz w:val="20"/>
                <w:szCs w:val="20"/>
                <w:color w:val="auto"/>
              </w:rPr>
            </w:pPr>
            <w:r>
              <w:rPr>
                <w:rFonts w:ascii="Arial" w:cs="Arial" w:eastAsia="Arial" w:hAnsi="Arial"/>
                <w:sz w:val="12"/>
                <w:szCs w:val="12"/>
                <w:color w:val="auto"/>
                <w:w w:val="89"/>
              </w:rPr>
              <w:t>10/14/2011</w:t>
            </w:r>
          </w:p>
        </w:tc>
      </w:tr>
      <w:tr>
        <w:trPr>
          <w:trHeight w:val="342"/>
        </w:trPr>
        <w:tc>
          <w:tcPr>
            <w:tcW w:w="620" w:type="dxa"/>
            <w:vAlign w:val="bottom"/>
          </w:tcPr>
          <w:p>
            <w:pPr>
              <w:jc w:val="center"/>
              <w:ind w:right="320"/>
              <w:spacing w:after="0"/>
              <w:rPr>
                <w:sz w:val="20"/>
                <w:szCs w:val="20"/>
                <w:color w:val="auto"/>
              </w:rPr>
            </w:pPr>
            <w:r>
              <w:rPr>
                <w:rFonts w:ascii="Arial" w:cs="Arial" w:eastAsia="Arial" w:hAnsi="Arial"/>
                <w:sz w:val="12"/>
                <w:szCs w:val="12"/>
                <w:color w:val="auto"/>
                <w:w w:val="89"/>
              </w:rPr>
              <w:t>10-Q</w:t>
            </w:r>
          </w:p>
        </w:tc>
        <w:tc>
          <w:tcPr>
            <w:tcW w:w="920" w:type="dxa"/>
            <w:vAlign w:val="bottom"/>
          </w:tcPr>
          <w:p>
            <w:pPr>
              <w:jc w:val="right"/>
              <w:ind w:right="340"/>
              <w:spacing w:after="0"/>
              <w:rPr>
                <w:sz w:val="20"/>
                <w:szCs w:val="20"/>
                <w:color w:val="auto"/>
              </w:rPr>
            </w:pPr>
            <w:r>
              <w:rPr>
                <w:rFonts w:ascii="Arial" w:cs="Arial" w:eastAsia="Arial" w:hAnsi="Arial"/>
                <w:sz w:val="12"/>
                <w:szCs w:val="12"/>
                <w:color w:val="auto"/>
              </w:rPr>
              <w:t>4.1</w:t>
            </w:r>
          </w:p>
        </w:tc>
        <w:tc>
          <w:tcPr>
            <w:tcW w:w="920" w:type="dxa"/>
            <w:vAlign w:val="bottom"/>
          </w:tcPr>
          <w:p>
            <w:pPr>
              <w:jc w:val="center"/>
              <w:ind w:left="340"/>
              <w:spacing w:after="0"/>
              <w:rPr>
                <w:sz w:val="20"/>
                <w:szCs w:val="20"/>
                <w:color w:val="auto"/>
              </w:rPr>
            </w:pPr>
            <w:r>
              <w:rPr>
                <w:rFonts w:ascii="Arial" w:cs="Arial" w:eastAsia="Arial" w:hAnsi="Arial"/>
                <w:sz w:val="12"/>
                <w:szCs w:val="12"/>
                <w:color w:val="auto"/>
                <w:w w:val="89"/>
              </w:rPr>
              <w:t>11/2/2017</w:t>
            </w:r>
          </w:p>
        </w:tc>
      </w:tr>
      <w:tr>
        <w:trPr>
          <w:trHeight w:val="288"/>
        </w:trPr>
        <w:tc>
          <w:tcPr>
            <w:tcW w:w="620" w:type="dxa"/>
            <w:vAlign w:val="bottom"/>
          </w:tcPr>
          <w:p>
            <w:pPr>
              <w:jc w:val="center"/>
              <w:ind w:right="320"/>
              <w:spacing w:after="0"/>
              <w:rPr>
                <w:sz w:val="20"/>
                <w:szCs w:val="20"/>
                <w:color w:val="auto"/>
              </w:rPr>
            </w:pPr>
            <w:r>
              <w:rPr>
                <w:rFonts w:ascii="Arial" w:cs="Arial" w:eastAsia="Arial" w:hAnsi="Arial"/>
                <w:sz w:val="12"/>
                <w:szCs w:val="12"/>
                <w:color w:val="auto"/>
                <w:w w:val="89"/>
              </w:rPr>
              <w:t>10-Q</w:t>
            </w:r>
          </w:p>
        </w:tc>
        <w:tc>
          <w:tcPr>
            <w:tcW w:w="920" w:type="dxa"/>
            <w:vAlign w:val="bottom"/>
          </w:tcPr>
          <w:p>
            <w:pPr>
              <w:jc w:val="right"/>
              <w:ind w:right="340"/>
              <w:spacing w:after="0"/>
              <w:rPr>
                <w:sz w:val="20"/>
                <w:szCs w:val="20"/>
                <w:color w:val="auto"/>
              </w:rPr>
            </w:pPr>
            <w:r>
              <w:rPr>
                <w:rFonts w:ascii="Arial" w:cs="Arial" w:eastAsia="Arial" w:hAnsi="Arial"/>
                <w:sz w:val="12"/>
                <w:szCs w:val="12"/>
                <w:color w:val="auto"/>
              </w:rPr>
              <w:t>4.1</w:t>
            </w:r>
          </w:p>
        </w:tc>
        <w:tc>
          <w:tcPr>
            <w:tcW w:w="920" w:type="dxa"/>
            <w:vAlign w:val="bottom"/>
          </w:tcPr>
          <w:p>
            <w:pPr>
              <w:jc w:val="center"/>
              <w:ind w:left="340"/>
              <w:spacing w:after="0"/>
              <w:rPr>
                <w:sz w:val="20"/>
                <w:szCs w:val="20"/>
                <w:color w:val="auto"/>
              </w:rPr>
            </w:pPr>
            <w:r>
              <w:rPr>
                <w:rFonts w:ascii="Arial" w:cs="Arial" w:eastAsia="Arial" w:hAnsi="Arial"/>
                <w:sz w:val="12"/>
                <w:szCs w:val="12"/>
                <w:color w:val="auto"/>
                <w:w w:val="89"/>
              </w:rPr>
              <w:t>11/2/2017</w:t>
            </w:r>
          </w:p>
        </w:tc>
      </w:tr>
      <w:tr>
        <w:trPr>
          <w:trHeight w:val="342"/>
        </w:trPr>
        <w:tc>
          <w:tcPr>
            <w:tcW w:w="620" w:type="dxa"/>
            <w:vAlign w:val="bottom"/>
          </w:tcPr>
          <w:p>
            <w:pPr>
              <w:jc w:val="center"/>
              <w:ind w:right="320"/>
              <w:spacing w:after="0"/>
              <w:rPr>
                <w:sz w:val="20"/>
                <w:szCs w:val="20"/>
                <w:color w:val="auto"/>
              </w:rPr>
            </w:pPr>
            <w:r>
              <w:rPr>
                <w:rFonts w:ascii="Arial" w:cs="Arial" w:eastAsia="Arial" w:hAnsi="Arial"/>
                <w:sz w:val="12"/>
                <w:szCs w:val="12"/>
                <w:color w:val="auto"/>
              </w:rPr>
              <w:t>8-K</w:t>
            </w:r>
          </w:p>
        </w:tc>
        <w:tc>
          <w:tcPr>
            <w:tcW w:w="920" w:type="dxa"/>
            <w:vAlign w:val="bottom"/>
          </w:tcPr>
          <w:p>
            <w:pPr>
              <w:jc w:val="right"/>
              <w:ind w:right="340"/>
              <w:spacing w:after="0"/>
              <w:rPr>
                <w:sz w:val="20"/>
                <w:szCs w:val="20"/>
                <w:color w:val="auto"/>
              </w:rPr>
            </w:pPr>
            <w:r>
              <w:rPr>
                <w:rFonts w:ascii="Arial" w:cs="Arial" w:eastAsia="Arial" w:hAnsi="Arial"/>
                <w:sz w:val="12"/>
                <w:szCs w:val="12"/>
                <w:color w:val="auto"/>
              </w:rPr>
              <w:t>4.1</w:t>
            </w:r>
          </w:p>
        </w:tc>
        <w:tc>
          <w:tcPr>
            <w:tcW w:w="920" w:type="dxa"/>
            <w:vAlign w:val="bottom"/>
          </w:tcPr>
          <w:p>
            <w:pPr>
              <w:jc w:val="center"/>
              <w:ind w:left="340"/>
              <w:spacing w:after="0"/>
              <w:rPr>
                <w:sz w:val="20"/>
                <w:szCs w:val="20"/>
                <w:color w:val="auto"/>
              </w:rPr>
            </w:pPr>
            <w:r>
              <w:rPr>
                <w:rFonts w:ascii="Arial" w:cs="Arial" w:eastAsia="Arial" w:hAnsi="Arial"/>
                <w:sz w:val="12"/>
                <w:szCs w:val="12"/>
                <w:color w:val="auto"/>
                <w:w w:val="89"/>
              </w:rPr>
              <w:t>8/23/2018</w:t>
            </w:r>
          </w:p>
        </w:tc>
      </w:tr>
      <w:tr>
        <w:trPr>
          <w:trHeight w:val="396"/>
        </w:trPr>
        <w:tc>
          <w:tcPr>
            <w:tcW w:w="620" w:type="dxa"/>
            <w:vAlign w:val="bottom"/>
          </w:tcPr>
          <w:p>
            <w:pPr>
              <w:jc w:val="center"/>
              <w:ind w:right="320"/>
              <w:spacing w:after="0"/>
              <w:rPr>
                <w:sz w:val="20"/>
                <w:szCs w:val="20"/>
                <w:color w:val="auto"/>
              </w:rPr>
            </w:pPr>
            <w:r>
              <w:rPr>
                <w:rFonts w:ascii="Arial" w:cs="Arial" w:eastAsia="Arial" w:hAnsi="Arial"/>
                <w:sz w:val="12"/>
                <w:szCs w:val="12"/>
                <w:color w:val="auto"/>
              </w:rPr>
              <w:t>8-K</w:t>
            </w:r>
          </w:p>
        </w:tc>
        <w:tc>
          <w:tcPr>
            <w:tcW w:w="920" w:type="dxa"/>
            <w:vAlign w:val="bottom"/>
          </w:tcPr>
          <w:p>
            <w:pPr>
              <w:jc w:val="right"/>
              <w:ind w:right="340"/>
              <w:spacing w:after="0"/>
              <w:rPr>
                <w:sz w:val="20"/>
                <w:szCs w:val="20"/>
                <w:color w:val="auto"/>
              </w:rPr>
            </w:pPr>
            <w:r>
              <w:rPr>
                <w:rFonts w:ascii="Arial" w:cs="Arial" w:eastAsia="Arial" w:hAnsi="Arial"/>
                <w:sz w:val="12"/>
                <w:szCs w:val="12"/>
                <w:color w:val="auto"/>
              </w:rPr>
              <w:t>4.7</w:t>
            </w:r>
          </w:p>
        </w:tc>
        <w:tc>
          <w:tcPr>
            <w:tcW w:w="920" w:type="dxa"/>
            <w:vAlign w:val="bottom"/>
          </w:tcPr>
          <w:p>
            <w:pPr>
              <w:jc w:val="center"/>
              <w:ind w:left="340"/>
              <w:spacing w:after="0"/>
              <w:rPr>
                <w:sz w:val="20"/>
                <w:szCs w:val="20"/>
                <w:color w:val="auto"/>
              </w:rPr>
            </w:pPr>
            <w:r>
              <w:rPr>
                <w:rFonts w:ascii="Arial" w:cs="Arial" w:eastAsia="Arial" w:hAnsi="Arial"/>
                <w:sz w:val="12"/>
                <w:szCs w:val="12"/>
                <w:color w:val="auto"/>
                <w:w w:val="94"/>
              </w:rPr>
              <w:t>9/5/2018</w:t>
            </w:r>
          </w:p>
        </w:tc>
      </w:tr>
      <w:tr>
        <w:trPr>
          <w:trHeight w:val="306"/>
        </w:trPr>
        <w:tc>
          <w:tcPr>
            <w:tcW w:w="620" w:type="dxa"/>
            <w:vAlign w:val="bottom"/>
          </w:tcPr>
          <w:p>
            <w:pPr>
              <w:jc w:val="center"/>
              <w:ind w:right="320"/>
              <w:spacing w:after="0"/>
              <w:rPr>
                <w:sz w:val="20"/>
                <w:szCs w:val="20"/>
                <w:color w:val="auto"/>
              </w:rPr>
            </w:pPr>
            <w:r>
              <w:rPr>
                <w:rFonts w:ascii="Arial" w:cs="Arial" w:eastAsia="Arial" w:hAnsi="Arial"/>
                <w:sz w:val="12"/>
                <w:szCs w:val="12"/>
                <w:color w:val="auto"/>
                <w:w w:val="94"/>
              </w:rPr>
              <w:t>10-K</w:t>
            </w:r>
          </w:p>
        </w:tc>
        <w:tc>
          <w:tcPr>
            <w:tcW w:w="920" w:type="dxa"/>
            <w:vAlign w:val="bottom"/>
          </w:tcPr>
          <w:p>
            <w:pPr>
              <w:jc w:val="right"/>
              <w:ind w:right="340"/>
              <w:spacing w:after="0"/>
              <w:rPr>
                <w:sz w:val="20"/>
                <w:szCs w:val="20"/>
                <w:color w:val="auto"/>
              </w:rPr>
            </w:pPr>
            <w:r>
              <w:rPr>
                <w:rFonts w:ascii="Arial" w:cs="Arial" w:eastAsia="Arial" w:hAnsi="Arial"/>
                <w:sz w:val="12"/>
                <w:szCs w:val="12"/>
                <w:color w:val="auto"/>
              </w:rPr>
              <w:t>4.6</w:t>
            </w:r>
          </w:p>
        </w:tc>
        <w:tc>
          <w:tcPr>
            <w:tcW w:w="920" w:type="dxa"/>
            <w:vAlign w:val="bottom"/>
          </w:tcPr>
          <w:p>
            <w:pPr>
              <w:jc w:val="center"/>
              <w:ind w:left="340"/>
              <w:spacing w:after="0"/>
              <w:rPr>
                <w:sz w:val="20"/>
                <w:szCs w:val="20"/>
                <w:color w:val="auto"/>
              </w:rPr>
            </w:pPr>
            <w:r>
              <w:rPr>
                <w:rFonts w:ascii="Arial" w:cs="Arial" w:eastAsia="Arial" w:hAnsi="Arial"/>
                <w:sz w:val="12"/>
                <w:szCs w:val="12"/>
                <w:color w:val="auto"/>
                <w:w w:val="94"/>
              </w:rPr>
              <w:t>3/2/2020</w:t>
            </w:r>
          </w:p>
        </w:tc>
      </w:tr>
      <w:tr>
        <w:trPr>
          <w:trHeight w:val="270"/>
        </w:trPr>
        <w:tc>
          <w:tcPr>
            <w:tcW w:w="620" w:type="dxa"/>
            <w:vAlign w:val="bottom"/>
          </w:tcPr>
          <w:p>
            <w:pPr>
              <w:jc w:val="center"/>
              <w:ind w:right="320"/>
              <w:spacing w:after="0"/>
              <w:rPr>
                <w:sz w:val="20"/>
                <w:szCs w:val="20"/>
                <w:color w:val="auto"/>
              </w:rPr>
            </w:pPr>
            <w:r>
              <w:rPr>
                <w:rFonts w:ascii="Arial" w:cs="Arial" w:eastAsia="Arial" w:hAnsi="Arial"/>
                <w:sz w:val="12"/>
                <w:szCs w:val="12"/>
                <w:color w:val="auto"/>
                <w:w w:val="94"/>
              </w:rPr>
              <w:t>10-K</w:t>
            </w:r>
          </w:p>
        </w:tc>
        <w:tc>
          <w:tcPr>
            <w:tcW w:w="920" w:type="dxa"/>
            <w:vAlign w:val="bottom"/>
          </w:tcPr>
          <w:p>
            <w:pPr>
              <w:jc w:val="right"/>
              <w:ind w:right="340"/>
              <w:spacing w:after="0"/>
              <w:rPr>
                <w:sz w:val="20"/>
                <w:szCs w:val="20"/>
                <w:color w:val="auto"/>
              </w:rPr>
            </w:pPr>
            <w:r>
              <w:rPr>
                <w:rFonts w:ascii="Arial" w:cs="Arial" w:eastAsia="Arial" w:hAnsi="Arial"/>
                <w:sz w:val="12"/>
                <w:szCs w:val="12"/>
                <w:color w:val="auto"/>
              </w:rPr>
              <w:t>4.7</w:t>
            </w:r>
          </w:p>
        </w:tc>
        <w:tc>
          <w:tcPr>
            <w:tcW w:w="920" w:type="dxa"/>
            <w:vAlign w:val="bottom"/>
          </w:tcPr>
          <w:p>
            <w:pPr>
              <w:jc w:val="center"/>
              <w:ind w:left="340"/>
              <w:spacing w:after="0"/>
              <w:rPr>
                <w:sz w:val="20"/>
                <w:szCs w:val="20"/>
                <w:color w:val="auto"/>
              </w:rPr>
            </w:pPr>
            <w:r>
              <w:rPr>
                <w:rFonts w:ascii="Arial" w:cs="Arial" w:eastAsia="Arial" w:hAnsi="Arial"/>
                <w:sz w:val="12"/>
                <w:szCs w:val="12"/>
                <w:color w:val="auto"/>
                <w:w w:val="94"/>
              </w:rPr>
              <w:t>3/2/2020</w:t>
            </w:r>
          </w:p>
        </w:tc>
      </w:tr>
      <w:tr>
        <w:trPr>
          <w:trHeight w:val="216"/>
        </w:trPr>
        <w:tc>
          <w:tcPr>
            <w:tcW w:w="620" w:type="dxa"/>
            <w:vAlign w:val="bottom"/>
          </w:tcPr>
          <w:p>
            <w:pPr>
              <w:jc w:val="center"/>
              <w:ind w:right="320"/>
              <w:spacing w:after="0"/>
              <w:rPr>
                <w:sz w:val="20"/>
                <w:szCs w:val="20"/>
                <w:color w:val="auto"/>
              </w:rPr>
            </w:pPr>
            <w:r>
              <w:rPr>
                <w:rFonts w:ascii="Arial" w:cs="Arial" w:eastAsia="Arial" w:hAnsi="Arial"/>
                <w:sz w:val="12"/>
                <w:szCs w:val="12"/>
                <w:color w:val="auto"/>
              </w:rPr>
              <w:t>8-K</w:t>
            </w:r>
          </w:p>
        </w:tc>
        <w:tc>
          <w:tcPr>
            <w:tcW w:w="920" w:type="dxa"/>
            <w:vAlign w:val="bottom"/>
          </w:tcPr>
          <w:p>
            <w:pPr>
              <w:jc w:val="right"/>
              <w:ind w:right="340"/>
              <w:spacing w:after="0"/>
              <w:rPr>
                <w:sz w:val="20"/>
                <w:szCs w:val="20"/>
                <w:color w:val="auto"/>
              </w:rPr>
            </w:pPr>
            <w:r>
              <w:rPr>
                <w:rFonts w:ascii="Arial" w:cs="Arial" w:eastAsia="Arial" w:hAnsi="Arial"/>
                <w:sz w:val="12"/>
                <w:szCs w:val="12"/>
                <w:color w:val="auto"/>
              </w:rPr>
              <w:t>4.1</w:t>
            </w:r>
          </w:p>
        </w:tc>
        <w:tc>
          <w:tcPr>
            <w:tcW w:w="920" w:type="dxa"/>
            <w:vAlign w:val="bottom"/>
          </w:tcPr>
          <w:p>
            <w:pPr>
              <w:jc w:val="center"/>
              <w:ind w:left="340"/>
              <w:spacing w:after="0"/>
              <w:rPr>
                <w:sz w:val="20"/>
                <w:szCs w:val="20"/>
                <w:color w:val="auto"/>
              </w:rPr>
            </w:pPr>
            <w:r>
              <w:rPr>
                <w:rFonts w:ascii="Arial" w:cs="Arial" w:eastAsia="Arial" w:hAnsi="Arial"/>
                <w:sz w:val="12"/>
                <w:szCs w:val="12"/>
                <w:color w:val="auto"/>
                <w:w w:val="89"/>
              </w:rPr>
              <w:t>8/23/2018</w:t>
            </w:r>
          </w:p>
        </w:tc>
      </w:tr>
    </w:tbl>
    <w:p>
      <w:pPr>
        <w:spacing w:after="0" w:line="180" w:lineRule="exact"/>
        <w:rPr>
          <w:sz w:val="20"/>
          <w:szCs w:val="20"/>
          <w:color w:val="auto"/>
        </w:rPr>
      </w:pPr>
    </w:p>
    <w:p>
      <w:pPr>
        <w:sectPr>
          <w:pgSz w:w="11900" w:h="16838" w:orient="portrait"/>
          <w:cols w:equalWidth="0" w:num="3">
            <w:col w:w="560" w:space="520"/>
            <w:col w:w="6660" w:space="720"/>
            <w:col w:w="2840"/>
          </w:cols>
          <w:pgMar w:left="300" w:top="275" w:right="299" w:bottom="1440" w:gutter="0" w:footer="0" w:header="0"/>
          <w:type w:val="continuous"/>
        </w:sectPr>
      </w:pPr>
    </w:p>
    <w:p>
      <w:pPr>
        <w:jc w:val="center"/>
        <w:ind w:left="420"/>
        <w:spacing w:after="0"/>
        <w:rPr>
          <w:sz w:val="20"/>
          <w:szCs w:val="20"/>
          <w:color w:val="auto"/>
        </w:rPr>
      </w:pPr>
      <w:r>
        <w:rPr>
          <w:rFonts w:ascii="Arial" w:cs="Arial" w:eastAsia="Arial" w:hAnsi="Arial"/>
          <w:sz w:val="10"/>
          <w:szCs w:val="10"/>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205740</wp:posOffset>
            </wp:positionV>
            <wp:extent cx="7203440" cy="368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type w:val="continuous"/>
        </w:sectPr>
      </w:pPr>
    </w:p>
    <w:bookmarkStart w:id="77" w:name="page78"/>
    <w:bookmarkEnd w:id="77"/>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92" w:lineRule="exact"/>
        <w:rPr>
          <w:sz w:val="20"/>
          <w:szCs w:val="20"/>
          <w:color w:val="auto"/>
        </w:rPr>
      </w:pPr>
    </w:p>
    <w:tbl>
      <w:tblPr>
        <w:tblLayout w:type="fixed"/>
        <w:tblInd w:w="100" w:type="dxa"/>
        <w:tblCellMar>
          <w:top w:w="0" w:type="dxa"/>
          <w:left w:w="0" w:type="dxa"/>
          <w:bottom w:w="0" w:type="dxa"/>
          <w:right w:w="0" w:type="dxa"/>
        </w:tblCellMar>
      </w:tblPr>
      <w:tr>
        <w:trPr>
          <w:trHeight w:val="142"/>
        </w:trPr>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060" w:type="dxa"/>
            <w:vAlign w:val="bottom"/>
          </w:tcPr>
          <w:p>
            <w:pPr>
              <w:jc w:val="center"/>
              <w:ind w:right="26"/>
              <w:spacing w:after="0"/>
              <w:rPr>
                <w:sz w:val="20"/>
                <w:szCs w:val="20"/>
                <w:color w:val="auto"/>
              </w:rPr>
            </w:pPr>
            <w:r>
              <w:rPr>
                <w:rFonts w:ascii="Arial" w:cs="Arial" w:eastAsia="Arial" w:hAnsi="Arial"/>
                <w:sz w:val="11"/>
                <w:szCs w:val="11"/>
                <w:b w:val="1"/>
                <w:bCs w:val="1"/>
                <w:color w:val="auto"/>
                <w:w w:val="85"/>
              </w:rPr>
              <w:t>Filed</w:t>
            </w:r>
          </w:p>
        </w:tc>
        <w:tc>
          <w:tcPr>
            <w:tcW w:w="700" w:type="dxa"/>
            <w:vAlign w:val="bottom"/>
            <w:tcBorders>
              <w:bottom w:val="single" w:sz="8" w:color="auto"/>
            </w:tcBorders>
          </w:tcPr>
          <w:p>
            <w:pPr>
              <w:spacing w:after="0"/>
              <w:rPr>
                <w:sz w:val="12"/>
                <w:szCs w:val="12"/>
                <w:color w:val="auto"/>
              </w:rPr>
            </w:pPr>
          </w:p>
        </w:tc>
        <w:tc>
          <w:tcPr>
            <w:tcW w:w="2480" w:type="dxa"/>
            <w:vAlign w:val="bottom"/>
            <w:tcBorders>
              <w:bottom w:val="single" w:sz="8" w:color="auto"/>
            </w:tcBorders>
            <w:gridSpan w:val="2"/>
          </w:tcPr>
          <w:p>
            <w:pPr>
              <w:ind w:left="100"/>
              <w:spacing w:after="0"/>
              <w:rPr>
                <w:sz w:val="20"/>
                <w:szCs w:val="20"/>
                <w:color w:val="auto"/>
              </w:rPr>
            </w:pPr>
            <w:r>
              <w:rPr>
                <w:rFonts w:ascii="Arial" w:cs="Arial" w:eastAsia="Arial" w:hAnsi="Arial"/>
                <w:sz w:val="11"/>
                <w:szCs w:val="11"/>
                <w:b w:val="1"/>
                <w:bCs w:val="1"/>
                <w:color w:val="auto"/>
              </w:rPr>
              <w:t>Incorporation By Reference From</w:t>
            </w:r>
          </w:p>
        </w:tc>
        <w:tc>
          <w:tcPr>
            <w:tcW w:w="0" w:type="dxa"/>
            <w:vAlign w:val="bottom"/>
          </w:tcPr>
          <w:p>
            <w:pPr>
              <w:spacing w:after="0"/>
              <w:rPr>
                <w:sz w:val="1"/>
                <w:szCs w:val="1"/>
                <w:color w:val="auto"/>
              </w:rPr>
            </w:pPr>
          </w:p>
        </w:tc>
      </w:tr>
      <w:tr>
        <w:trPr>
          <w:trHeight w:val="149"/>
        </w:trPr>
        <w:tc>
          <w:tcPr>
            <w:tcW w:w="86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3"/>
              </w:rPr>
              <w:t>Exhibit Number</w:t>
            </w:r>
          </w:p>
        </w:tc>
        <w:tc>
          <w:tcPr>
            <w:tcW w:w="6100" w:type="dxa"/>
            <w:vAlign w:val="bottom"/>
          </w:tcPr>
          <w:p>
            <w:pPr>
              <w:ind w:left="2800"/>
              <w:spacing w:after="0"/>
              <w:rPr>
                <w:sz w:val="20"/>
                <w:szCs w:val="20"/>
                <w:color w:val="auto"/>
              </w:rPr>
            </w:pPr>
            <w:r>
              <w:rPr>
                <w:rFonts w:ascii="Arial" w:cs="Arial" w:eastAsia="Arial" w:hAnsi="Arial"/>
                <w:sz w:val="11"/>
                <w:szCs w:val="11"/>
                <w:b w:val="1"/>
                <w:bCs w:val="1"/>
                <w:color w:val="auto"/>
              </w:rPr>
              <w:t>Description</w:t>
            </w:r>
          </w:p>
        </w:tc>
        <w:tc>
          <w:tcPr>
            <w:tcW w:w="1060" w:type="dxa"/>
            <w:vAlign w:val="bottom"/>
          </w:tcPr>
          <w:p>
            <w:pPr>
              <w:jc w:val="center"/>
              <w:ind w:right="26"/>
              <w:spacing w:after="0"/>
              <w:rPr>
                <w:sz w:val="20"/>
                <w:szCs w:val="20"/>
                <w:color w:val="auto"/>
              </w:rPr>
            </w:pPr>
            <w:r>
              <w:rPr>
                <w:rFonts w:ascii="Arial" w:cs="Arial" w:eastAsia="Arial" w:hAnsi="Arial"/>
                <w:sz w:val="11"/>
                <w:szCs w:val="11"/>
                <w:b w:val="1"/>
                <w:bCs w:val="1"/>
                <w:color w:val="auto"/>
                <w:w w:val="90"/>
              </w:rPr>
              <w:t>Herewith</w:t>
            </w:r>
          </w:p>
        </w:tc>
        <w:tc>
          <w:tcPr>
            <w:tcW w:w="700" w:type="dxa"/>
            <w:vAlign w:val="bottom"/>
          </w:tcPr>
          <w:p>
            <w:pPr>
              <w:jc w:val="center"/>
              <w:ind w:left="143"/>
              <w:spacing w:after="0"/>
              <w:rPr>
                <w:sz w:val="20"/>
                <w:szCs w:val="20"/>
                <w:color w:val="auto"/>
              </w:rPr>
            </w:pPr>
            <w:r>
              <w:rPr>
                <w:rFonts w:ascii="Arial" w:cs="Arial" w:eastAsia="Arial" w:hAnsi="Arial"/>
                <w:sz w:val="11"/>
                <w:szCs w:val="11"/>
                <w:b w:val="1"/>
                <w:bCs w:val="1"/>
                <w:color w:val="auto"/>
                <w:w w:val="94"/>
              </w:rPr>
              <w:t>Form</w:t>
            </w:r>
          </w:p>
        </w:tc>
        <w:tc>
          <w:tcPr>
            <w:tcW w:w="1240" w:type="dxa"/>
            <w:vAlign w:val="bottom"/>
          </w:tcPr>
          <w:p>
            <w:pPr>
              <w:jc w:val="center"/>
              <w:ind w:left="124"/>
              <w:spacing w:after="0"/>
              <w:rPr>
                <w:sz w:val="20"/>
                <w:szCs w:val="20"/>
                <w:color w:val="auto"/>
              </w:rPr>
            </w:pPr>
            <w:r>
              <w:rPr>
                <w:rFonts w:ascii="Arial" w:cs="Arial" w:eastAsia="Arial" w:hAnsi="Arial"/>
                <w:sz w:val="11"/>
                <w:szCs w:val="11"/>
                <w:b w:val="1"/>
                <w:bCs w:val="1"/>
                <w:color w:val="auto"/>
                <w:w w:val="92"/>
              </w:rPr>
              <w:t>Exhibit</w:t>
            </w:r>
          </w:p>
        </w:tc>
        <w:tc>
          <w:tcPr>
            <w:tcW w:w="1240" w:type="dxa"/>
            <w:vAlign w:val="bottom"/>
          </w:tcPr>
          <w:p>
            <w:pPr>
              <w:ind w:left="360"/>
              <w:spacing w:after="0"/>
              <w:rPr>
                <w:sz w:val="20"/>
                <w:szCs w:val="20"/>
                <w:color w:val="auto"/>
              </w:rPr>
            </w:pPr>
            <w:r>
              <w:rPr>
                <w:rFonts w:ascii="Arial" w:cs="Arial" w:eastAsia="Arial" w:hAnsi="Arial"/>
                <w:sz w:val="11"/>
                <w:szCs w:val="11"/>
                <w:b w:val="1"/>
                <w:bCs w:val="1"/>
                <w:color w:val="auto"/>
              </w:rPr>
              <w:t>Date Filed</w:t>
            </w:r>
          </w:p>
        </w:tc>
        <w:tc>
          <w:tcPr>
            <w:tcW w:w="0" w:type="dxa"/>
            <w:vAlign w:val="bottom"/>
          </w:tcPr>
          <w:p>
            <w:pPr>
              <w:spacing w:after="0"/>
              <w:rPr>
                <w:sz w:val="1"/>
                <w:szCs w:val="1"/>
                <w:color w:val="auto"/>
              </w:rPr>
            </w:pPr>
          </w:p>
        </w:tc>
      </w:tr>
      <w:tr>
        <w:trPr>
          <w:trHeight w:val="121"/>
        </w:trPr>
        <w:tc>
          <w:tcPr>
            <w:tcW w:w="460" w:type="dxa"/>
            <w:vAlign w:val="bottom"/>
            <w:gridSpan w:val="2"/>
            <w:vMerge w:val="restart"/>
          </w:tcPr>
          <w:p>
            <w:pPr>
              <w:jc w:val="center"/>
              <w:spacing w:after="0"/>
              <w:rPr>
                <w:rFonts w:ascii="Arial" w:cs="Arial" w:eastAsia="Arial" w:hAnsi="Arial"/>
                <w:sz w:val="12"/>
                <w:szCs w:val="12"/>
                <w:color w:val="0000FF"/>
              </w:rPr>
            </w:pPr>
            <w:hyperlink r:id="rId126">
              <w:r>
                <w:rPr>
                  <w:rFonts w:ascii="Arial" w:cs="Arial" w:eastAsia="Arial" w:hAnsi="Arial"/>
                  <w:sz w:val="12"/>
                  <w:szCs w:val="12"/>
                  <w:color w:val="0000FF"/>
                </w:rPr>
                <w:t>4.</w:t>
              </w:r>
              <w:r>
                <w:rPr>
                  <w:rFonts w:ascii="Arial" w:cs="Arial" w:eastAsia="Arial" w:hAnsi="Arial"/>
                  <w:sz w:val="12"/>
                  <w:szCs w:val="12"/>
                  <w:u w:val="single" w:color="auto"/>
                  <w:color w:val="0000FF"/>
                </w:rPr>
                <w:t>9</w:t>
              </w:r>
            </w:hyperlink>
          </w:p>
        </w:tc>
        <w:tc>
          <w:tcPr>
            <w:tcW w:w="400" w:type="dxa"/>
            <w:vAlign w:val="bottom"/>
          </w:tcPr>
          <w:p>
            <w:pPr>
              <w:spacing w:after="0"/>
              <w:rPr>
                <w:sz w:val="10"/>
                <w:szCs w:val="10"/>
                <w:color w:val="auto"/>
              </w:rPr>
            </w:pPr>
          </w:p>
        </w:tc>
        <w:tc>
          <w:tcPr>
            <w:tcW w:w="6100" w:type="dxa"/>
            <w:vAlign w:val="bottom"/>
          </w:tcPr>
          <w:p>
            <w:pPr>
              <w:ind w:left="120"/>
              <w:spacing w:after="0" w:line="121" w:lineRule="exact"/>
              <w:rPr>
                <w:sz w:val="20"/>
                <w:szCs w:val="20"/>
                <w:color w:val="auto"/>
              </w:rPr>
            </w:pPr>
            <w:r>
              <w:rPr>
                <w:rFonts w:ascii="Arial" w:cs="Arial" w:eastAsia="Arial" w:hAnsi="Arial"/>
                <w:sz w:val="12"/>
                <w:szCs w:val="12"/>
                <w:color w:val="auto"/>
                <w:w w:val="95"/>
              </w:rPr>
              <w:t>Registration Rights Agreement, dated as of August 23, 2018, by and among Marriott Ownership Resorts, Inc., Marriott</w:t>
            </w:r>
          </w:p>
        </w:tc>
        <w:tc>
          <w:tcPr>
            <w:tcW w:w="1060" w:type="dxa"/>
            <w:vAlign w:val="bottom"/>
          </w:tcPr>
          <w:p>
            <w:pPr>
              <w:spacing w:after="0"/>
              <w:rPr>
                <w:sz w:val="10"/>
                <w:szCs w:val="10"/>
                <w:color w:val="auto"/>
              </w:rPr>
            </w:pPr>
          </w:p>
        </w:tc>
        <w:tc>
          <w:tcPr>
            <w:tcW w:w="700" w:type="dxa"/>
            <w:vAlign w:val="bottom"/>
            <w:vMerge w:val="restart"/>
          </w:tcPr>
          <w:p>
            <w:pPr>
              <w:jc w:val="center"/>
              <w:ind w:left="163"/>
              <w:spacing w:after="0"/>
              <w:rPr>
                <w:sz w:val="20"/>
                <w:szCs w:val="20"/>
                <w:color w:val="auto"/>
              </w:rPr>
            </w:pPr>
            <w:r>
              <w:rPr>
                <w:rFonts w:ascii="Arial" w:cs="Arial" w:eastAsia="Arial" w:hAnsi="Arial"/>
                <w:sz w:val="12"/>
                <w:szCs w:val="12"/>
                <w:color w:val="auto"/>
              </w:rPr>
              <w:t>8-K</w:t>
            </w:r>
          </w:p>
        </w:tc>
        <w:tc>
          <w:tcPr>
            <w:tcW w:w="1240" w:type="dxa"/>
            <w:vAlign w:val="bottom"/>
            <w:vMerge w:val="restart"/>
          </w:tcPr>
          <w:p>
            <w:pPr>
              <w:jc w:val="right"/>
              <w:ind w:right="404"/>
              <w:spacing w:after="0"/>
              <w:rPr>
                <w:sz w:val="20"/>
                <w:szCs w:val="20"/>
                <w:color w:val="auto"/>
              </w:rPr>
            </w:pPr>
            <w:r>
              <w:rPr>
                <w:rFonts w:ascii="Arial" w:cs="Arial" w:eastAsia="Arial" w:hAnsi="Arial"/>
                <w:sz w:val="12"/>
                <w:szCs w:val="12"/>
                <w:color w:val="auto"/>
              </w:rPr>
              <w:t>4.3</w:t>
            </w:r>
          </w:p>
        </w:tc>
        <w:tc>
          <w:tcPr>
            <w:tcW w:w="1240" w:type="dxa"/>
            <w:vAlign w:val="bottom"/>
            <w:vMerge w:val="restart"/>
          </w:tcPr>
          <w:p>
            <w:pPr>
              <w:ind w:left="360"/>
              <w:spacing w:after="0"/>
              <w:rPr>
                <w:sz w:val="20"/>
                <w:szCs w:val="20"/>
                <w:color w:val="auto"/>
              </w:rPr>
            </w:pPr>
            <w:r>
              <w:rPr>
                <w:rFonts w:ascii="Arial" w:cs="Arial" w:eastAsia="Arial" w:hAnsi="Arial"/>
                <w:sz w:val="12"/>
                <w:szCs w:val="12"/>
                <w:color w:val="auto"/>
              </w:rPr>
              <w:t>8/23/2018</w:t>
            </w:r>
          </w:p>
        </w:tc>
        <w:tc>
          <w:tcPr>
            <w:tcW w:w="0" w:type="dxa"/>
            <w:vAlign w:val="bottom"/>
          </w:tcPr>
          <w:p>
            <w:pPr>
              <w:spacing w:after="0"/>
              <w:rPr>
                <w:sz w:val="1"/>
                <w:szCs w:val="1"/>
                <w:color w:val="auto"/>
              </w:rPr>
            </w:pPr>
          </w:p>
        </w:tc>
      </w:tr>
      <w:tr>
        <w:trPr>
          <w:trHeight w:val="126"/>
        </w:trPr>
        <w:tc>
          <w:tcPr>
            <w:tcW w:w="460" w:type="dxa"/>
            <w:vAlign w:val="bottom"/>
            <w:gridSpan w:val="2"/>
            <w:vMerge w:val="continue"/>
          </w:tcPr>
          <w:p>
            <w:pPr>
              <w:spacing w:after="0"/>
              <w:rPr>
                <w:sz w:val="10"/>
                <w:szCs w:val="10"/>
                <w:color w:val="auto"/>
              </w:rPr>
            </w:pPr>
          </w:p>
        </w:tc>
        <w:tc>
          <w:tcPr>
            <w:tcW w:w="400" w:type="dxa"/>
            <w:vAlign w:val="bottom"/>
          </w:tcPr>
          <w:p>
            <w:pPr>
              <w:spacing w:after="0"/>
              <w:rPr>
                <w:sz w:val="10"/>
                <w:szCs w:val="10"/>
                <w:color w:val="auto"/>
              </w:rPr>
            </w:pPr>
          </w:p>
        </w:tc>
        <w:tc>
          <w:tcPr>
            <w:tcW w:w="6100" w:type="dxa"/>
            <w:vAlign w:val="bottom"/>
          </w:tcPr>
          <w:p>
            <w:pPr>
              <w:ind w:left="120"/>
              <w:spacing w:after="0" w:line="126" w:lineRule="exact"/>
              <w:rPr>
                <w:sz w:val="20"/>
                <w:szCs w:val="20"/>
                <w:color w:val="auto"/>
              </w:rPr>
            </w:pPr>
            <w:r>
              <w:rPr>
                <w:rFonts w:ascii="Arial" w:cs="Arial" w:eastAsia="Arial" w:hAnsi="Arial"/>
                <w:sz w:val="12"/>
                <w:szCs w:val="12"/>
                <w:color w:val="auto"/>
                <w:w w:val="94"/>
              </w:rPr>
              <w:t>Vacations Worldwide Corporation, as guarantor, the other guarantors party thereto and Merrill Lynch, Pierce, Fenner &amp;</w:t>
            </w:r>
          </w:p>
        </w:tc>
        <w:tc>
          <w:tcPr>
            <w:tcW w:w="106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300" w:type="dxa"/>
            <w:vAlign w:val="bottom"/>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400" w:type="dxa"/>
            <w:vAlign w:val="bottom"/>
          </w:tcPr>
          <w:p>
            <w:pPr>
              <w:spacing w:after="0"/>
              <w:rPr>
                <w:sz w:val="11"/>
                <w:szCs w:val="11"/>
                <w:color w:val="auto"/>
              </w:rPr>
            </w:pPr>
          </w:p>
        </w:tc>
        <w:tc>
          <w:tcPr>
            <w:tcW w:w="6100" w:type="dxa"/>
            <w:vAlign w:val="bottom"/>
          </w:tcPr>
          <w:p>
            <w:pPr>
              <w:ind w:left="120"/>
              <w:spacing w:after="0" w:line="133" w:lineRule="exact"/>
              <w:rPr>
                <w:sz w:val="20"/>
                <w:szCs w:val="20"/>
                <w:color w:val="auto"/>
              </w:rPr>
            </w:pPr>
            <w:r>
              <w:rPr>
                <w:rFonts w:ascii="Arial" w:cs="Arial" w:eastAsia="Arial" w:hAnsi="Arial"/>
                <w:sz w:val="12"/>
                <w:szCs w:val="12"/>
                <w:color w:val="auto"/>
              </w:rPr>
              <w:t>Smith Incorporated</w:t>
            </w:r>
          </w:p>
        </w:tc>
        <w:tc>
          <w:tcPr>
            <w:tcW w:w="10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7178040" cy="2457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7">
                      <a:extLst>
                        <a:ext uri="{28A0092B-C50C-407E-A947-70E740481C1C}"/>
                      </a:extLst>
                    </a:blip>
                    <a:srcRect/>
                    <a:stretch>
                      <a:fillRect/>
                    </a:stretch>
                  </pic:blipFill>
                  <pic:spPr bwMode="auto">
                    <a:xfrm>
                      <a:off x="0" y="0"/>
                      <a:ext cx="7178040" cy="245745"/>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tbl>
      <w:tblPr>
        <w:tblLayout w:type="fixed"/>
        <w:tblInd w:w="380" w:type="dxa"/>
        <w:tblCellMar>
          <w:top w:w="0" w:type="dxa"/>
          <w:left w:w="0" w:type="dxa"/>
          <w:bottom w:w="0" w:type="dxa"/>
          <w:right w:w="0" w:type="dxa"/>
        </w:tblCellMar>
      </w:tblPr>
      <w:tr>
        <w:trPr>
          <w:trHeight w:val="108"/>
        </w:trPr>
        <w:tc>
          <w:tcPr>
            <w:tcW w:w="460" w:type="dxa"/>
            <w:vAlign w:val="bottom"/>
            <w:gridSpan w:val="2"/>
            <w:vMerge w:val="restart"/>
          </w:tcPr>
          <w:p>
            <w:pPr>
              <w:spacing w:after="0"/>
              <w:rPr>
                <w:rFonts w:ascii="Arial" w:cs="Arial" w:eastAsia="Arial" w:hAnsi="Arial"/>
                <w:sz w:val="12"/>
                <w:szCs w:val="12"/>
                <w:color w:val="0000FF"/>
              </w:rPr>
            </w:pPr>
            <w:hyperlink r:id="rId128">
              <w:r>
                <w:rPr>
                  <w:rFonts w:ascii="Arial" w:cs="Arial" w:eastAsia="Arial" w:hAnsi="Arial"/>
                  <w:sz w:val="12"/>
                  <w:szCs w:val="12"/>
                  <w:color w:val="0000FF"/>
                </w:rPr>
                <w:t>4.</w:t>
              </w:r>
              <w:r>
                <w:rPr>
                  <w:rFonts w:ascii="Arial" w:cs="Arial" w:eastAsia="Arial" w:hAnsi="Arial"/>
                  <w:sz w:val="12"/>
                  <w:szCs w:val="12"/>
                  <w:u w:val="single" w:color="auto"/>
                  <w:color w:val="0000FF"/>
                </w:rPr>
                <w:t>10</w:t>
              </w:r>
            </w:hyperlink>
          </w:p>
        </w:tc>
        <w:tc>
          <w:tcPr>
            <w:tcW w:w="6060" w:type="dxa"/>
            <w:vAlign w:val="bottom"/>
          </w:tcPr>
          <w:p>
            <w:pPr>
              <w:ind w:left="240"/>
              <w:spacing w:after="0" w:line="109" w:lineRule="exact"/>
              <w:rPr>
                <w:sz w:val="20"/>
                <w:szCs w:val="20"/>
                <w:color w:val="auto"/>
              </w:rPr>
            </w:pPr>
            <w:r>
              <w:rPr>
                <w:rFonts w:ascii="Arial" w:cs="Arial" w:eastAsia="Arial" w:hAnsi="Arial"/>
                <w:sz w:val="12"/>
                <w:szCs w:val="12"/>
                <w:color w:val="auto"/>
                <w:w w:val="95"/>
              </w:rPr>
              <w:t>Joinder Agreement to Registration Rights Agreement, dated as of September 1, 2018, by and among ILG, LLC, the</w:t>
            </w:r>
          </w:p>
        </w:tc>
        <w:tc>
          <w:tcPr>
            <w:tcW w:w="0" w:type="dxa"/>
            <w:vAlign w:val="bottom"/>
          </w:tcPr>
          <w:p>
            <w:pPr>
              <w:spacing w:after="0"/>
              <w:rPr>
                <w:sz w:val="1"/>
                <w:szCs w:val="1"/>
                <w:color w:val="auto"/>
              </w:rPr>
            </w:pPr>
          </w:p>
        </w:tc>
      </w:tr>
      <w:tr>
        <w:trPr>
          <w:trHeight w:val="126"/>
        </w:trPr>
        <w:tc>
          <w:tcPr>
            <w:tcW w:w="460" w:type="dxa"/>
            <w:vAlign w:val="bottom"/>
            <w:gridSpan w:val="2"/>
            <w:vMerge w:val="continue"/>
          </w:tcPr>
          <w:p>
            <w:pPr>
              <w:spacing w:after="0"/>
              <w:rPr>
                <w:sz w:val="10"/>
                <w:szCs w:val="10"/>
                <w:color w:val="auto"/>
              </w:rPr>
            </w:pPr>
          </w:p>
        </w:tc>
        <w:tc>
          <w:tcPr>
            <w:tcW w:w="6060" w:type="dxa"/>
            <w:vAlign w:val="bottom"/>
          </w:tcPr>
          <w:p>
            <w:pPr>
              <w:ind w:left="240"/>
              <w:spacing w:after="0" w:line="126" w:lineRule="exact"/>
              <w:rPr>
                <w:sz w:val="20"/>
                <w:szCs w:val="20"/>
                <w:color w:val="auto"/>
              </w:rPr>
            </w:pPr>
            <w:r>
              <w:rPr>
                <w:rFonts w:ascii="Arial" w:cs="Arial" w:eastAsia="Arial" w:hAnsi="Arial"/>
                <w:sz w:val="12"/>
                <w:szCs w:val="12"/>
                <w:color w:val="auto"/>
                <w:w w:val="96"/>
              </w:rPr>
              <w:t>guarantors party thereto and Merrill Lynch, Pierce, Fenner &amp; Smith Incorporated as the representative of the initial</w:t>
            </w:r>
          </w:p>
        </w:tc>
        <w:tc>
          <w:tcPr>
            <w:tcW w:w="0" w:type="dxa"/>
            <w:vAlign w:val="bottom"/>
          </w:tcPr>
          <w:p>
            <w:pPr>
              <w:spacing w:after="0"/>
              <w:rPr>
                <w:sz w:val="1"/>
                <w:szCs w:val="1"/>
                <w:color w:val="auto"/>
              </w:rPr>
            </w:pPr>
          </w:p>
        </w:tc>
      </w:tr>
      <w:tr>
        <w:trPr>
          <w:trHeight w:val="124"/>
        </w:trPr>
        <w:tc>
          <w:tcPr>
            <w:tcW w:w="200" w:type="dxa"/>
            <w:vAlign w:val="bottom"/>
            <w:tcBorders>
              <w:top w:val="single" w:sz="8" w:color="0000FF"/>
            </w:tcBorders>
          </w:tcPr>
          <w:p>
            <w:pPr>
              <w:spacing w:after="0"/>
              <w:rPr>
                <w:sz w:val="10"/>
                <w:szCs w:val="10"/>
                <w:color w:val="auto"/>
              </w:rPr>
            </w:pPr>
          </w:p>
        </w:tc>
        <w:tc>
          <w:tcPr>
            <w:tcW w:w="260" w:type="dxa"/>
            <w:vAlign w:val="bottom"/>
          </w:tcPr>
          <w:p>
            <w:pPr>
              <w:spacing w:after="0"/>
              <w:rPr>
                <w:sz w:val="10"/>
                <w:szCs w:val="10"/>
                <w:color w:val="auto"/>
              </w:rPr>
            </w:pPr>
          </w:p>
        </w:tc>
        <w:tc>
          <w:tcPr>
            <w:tcW w:w="6060" w:type="dxa"/>
            <w:vAlign w:val="bottom"/>
          </w:tcPr>
          <w:p>
            <w:pPr>
              <w:ind w:left="240"/>
              <w:spacing w:after="0" w:line="124" w:lineRule="exact"/>
              <w:rPr>
                <w:sz w:val="20"/>
                <w:szCs w:val="20"/>
                <w:color w:val="auto"/>
              </w:rPr>
            </w:pPr>
            <w:r>
              <w:rPr>
                <w:rFonts w:ascii="Arial" w:cs="Arial" w:eastAsia="Arial" w:hAnsi="Arial"/>
                <w:sz w:val="12"/>
                <w:szCs w:val="12"/>
                <w:color w:val="auto"/>
              </w:rPr>
              <w:t>purchasers</w:t>
            </w:r>
          </w:p>
        </w:tc>
        <w:tc>
          <w:tcPr>
            <w:tcW w:w="0" w:type="dxa"/>
            <w:vAlign w:val="bottom"/>
          </w:tcPr>
          <w:p>
            <w:pPr>
              <w:spacing w:after="0"/>
              <w:rPr>
                <w:sz w:val="1"/>
                <w:szCs w:val="1"/>
                <w:color w:val="auto"/>
              </w:rPr>
            </w:pPr>
          </w:p>
        </w:tc>
      </w:tr>
      <w:tr>
        <w:trPr>
          <w:trHeight w:val="117"/>
        </w:trPr>
        <w:tc>
          <w:tcPr>
            <w:tcW w:w="200" w:type="dxa"/>
            <w:vAlign w:val="bottom"/>
            <w:vMerge w:val="restart"/>
          </w:tcPr>
          <w:p>
            <w:pPr>
              <w:spacing w:after="0"/>
              <w:rPr>
                <w:rFonts w:ascii="Arial" w:cs="Arial" w:eastAsia="Arial" w:hAnsi="Arial"/>
                <w:sz w:val="12"/>
                <w:szCs w:val="12"/>
                <w:color w:val="0000FF"/>
                <w:w w:val="76"/>
              </w:rPr>
            </w:pPr>
            <w:hyperlink r:id="rId129">
              <w:r>
                <w:rPr>
                  <w:rFonts w:ascii="Arial" w:cs="Arial" w:eastAsia="Arial" w:hAnsi="Arial"/>
                  <w:sz w:val="12"/>
                  <w:szCs w:val="12"/>
                  <w:color w:val="0000FF"/>
                  <w:w w:val="76"/>
                </w:rPr>
                <w:t>4.</w:t>
              </w:r>
              <w:r>
                <w:rPr>
                  <w:rFonts w:ascii="Arial" w:cs="Arial" w:eastAsia="Arial" w:hAnsi="Arial"/>
                  <w:sz w:val="12"/>
                  <w:szCs w:val="12"/>
                  <w:u w:val="single" w:color="auto"/>
                  <w:color w:val="0000FF"/>
                  <w:w w:val="76"/>
                </w:rPr>
                <w:t>11</w:t>
              </w:r>
            </w:hyperlink>
          </w:p>
        </w:tc>
        <w:tc>
          <w:tcPr>
            <w:tcW w:w="260" w:type="dxa"/>
            <w:vAlign w:val="bottom"/>
          </w:tcPr>
          <w:p>
            <w:pPr>
              <w:spacing w:after="0"/>
              <w:rPr>
                <w:sz w:val="10"/>
                <w:szCs w:val="10"/>
                <w:color w:val="auto"/>
              </w:rPr>
            </w:pPr>
          </w:p>
        </w:tc>
        <w:tc>
          <w:tcPr>
            <w:tcW w:w="6060" w:type="dxa"/>
            <w:vAlign w:val="bottom"/>
          </w:tcPr>
          <w:p>
            <w:pPr>
              <w:ind w:left="240"/>
              <w:spacing w:after="0" w:line="117" w:lineRule="exact"/>
              <w:rPr>
                <w:sz w:val="20"/>
                <w:szCs w:val="20"/>
                <w:color w:val="auto"/>
              </w:rPr>
            </w:pPr>
            <w:r>
              <w:rPr>
                <w:rFonts w:ascii="Arial" w:cs="Arial" w:eastAsia="Arial" w:hAnsi="Arial"/>
                <w:sz w:val="12"/>
                <w:szCs w:val="12"/>
                <w:color w:val="auto"/>
                <w:w w:val="92"/>
              </w:rPr>
              <w:t>Indenture, dated as of October 1, 2019, by and among Marriott Ownership Resorts, Inc., Marriott Vacations Worldwide</w:t>
            </w:r>
          </w:p>
        </w:tc>
        <w:tc>
          <w:tcPr>
            <w:tcW w:w="0" w:type="dxa"/>
            <w:vAlign w:val="bottom"/>
          </w:tcPr>
          <w:p>
            <w:pPr>
              <w:spacing w:after="0"/>
              <w:rPr>
                <w:sz w:val="1"/>
                <w:szCs w:val="1"/>
                <w:color w:val="auto"/>
              </w:rPr>
            </w:pPr>
          </w:p>
        </w:tc>
      </w:tr>
      <w:tr>
        <w:trPr>
          <w:trHeight w:val="131"/>
        </w:trPr>
        <w:tc>
          <w:tcPr>
            <w:tcW w:w="200" w:type="dxa"/>
            <w:vAlign w:val="bottom"/>
            <w:tcBorders>
              <w:bottom w:val="single" w:sz="8" w:color="0000FF"/>
            </w:tcBorders>
            <w:vMerge w:val="continue"/>
          </w:tcPr>
          <w:p>
            <w:pPr>
              <w:spacing w:after="0"/>
              <w:rPr>
                <w:sz w:val="10"/>
                <w:szCs w:val="10"/>
                <w:color w:val="auto"/>
              </w:rPr>
            </w:pPr>
          </w:p>
        </w:tc>
        <w:tc>
          <w:tcPr>
            <w:tcW w:w="260" w:type="dxa"/>
            <w:vAlign w:val="bottom"/>
          </w:tcPr>
          <w:p>
            <w:pPr>
              <w:spacing w:after="0"/>
              <w:rPr>
                <w:sz w:val="10"/>
                <w:szCs w:val="10"/>
                <w:color w:val="auto"/>
              </w:rPr>
            </w:pPr>
          </w:p>
        </w:tc>
        <w:tc>
          <w:tcPr>
            <w:tcW w:w="6060" w:type="dxa"/>
            <w:vAlign w:val="bottom"/>
          </w:tcPr>
          <w:p>
            <w:pPr>
              <w:ind w:left="240"/>
              <w:spacing w:after="0" w:line="126" w:lineRule="exact"/>
              <w:rPr>
                <w:sz w:val="20"/>
                <w:szCs w:val="20"/>
                <w:color w:val="auto"/>
              </w:rPr>
            </w:pPr>
            <w:r>
              <w:rPr>
                <w:rFonts w:ascii="Arial" w:cs="Arial" w:eastAsia="Arial" w:hAnsi="Arial"/>
                <w:sz w:val="12"/>
                <w:szCs w:val="12"/>
                <w:color w:val="auto"/>
                <w:w w:val="90"/>
              </w:rPr>
              <w:t>Corporation, as guarantor, the other guarantors party thereto and The Bank of New York Mellon Trust Company, N.A., as</w:t>
            </w:r>
          </w:p>
        </w:tc>
        <w:tc>
          <w:tcPr>
            <w:tcW w:w="0" w:type="dxa"/>
            <w:vAlign w:val="bottom"/>
          </w:tcPr>
          <w:p>
            <w:pPr>
              <w:spacing w:after="0"/>
              <w:rPr>
                <w:sz w:val="1"/>
                <w:szCs w:val="1"/>
                <w:color w:val="auto"/>
              </w:rPr>
            </w:pPr>
          </w:p>
        </w:tc>
      </w:tr>
      <w:tr>
        <w:trPr>
          <w:trHeight w:val="124"/>
        </w:trPr>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60" w:type="dxa"/>
            <w:vAlign w:val="bottom"/>
          </w:tcPr>
          <w:p>
            <w:pPr>
              <w:ind w:left="240"/>
              <w:spacing w:after="0" w:line="124" w:lineRule="exact"/>
              <w:rPr>
                <w:sz w:val="20"/>
                <w:szCs w:val="20"/>
                <w:color w:val="auto"/>
              </w:rPr>
            </w:pPr>
            <w:r>
              <w:rPr>
                <w:rFonts w:ascii="Arial" w:cs="Arial" w:eastAsia="Arial" w:hAnsi="Arial"/>
                <w:sz w:val="12"/>
                <w:szCs w:val="12"/>
                <w:color w:val="auto"/>
              </w:rPr>
              <w:t>trustee</w:t>
            </w:r>
          </w:p>
        </w:tc>
        <w:tc>
          <w:tcPr>
            <w:tcW w:w="0" w:type="dxa"/>
            <w:vAlign w:val="bottom"/>
          </w:tcPr>
          <w:p>
            <w:pPr>
              <w:spacing w:after="0"/>
              <w:rPr>
                <w:sz w:val="1"/>
                <w:szCs w:val="1"/>
                <w:color w:val="auto"/>
              </w:rPr>
            </w:pPr>
          </w:p>
        </w:tc>
      </w:tr>
      <w:tr>
        <w:trPr>
          <w:trHeight w:val="117"/>
        </w:trPr>
        <w:tc>
          <w:tcPr>
            <w:tcW w:w="460" w:type="dxa"/>
            <w:vAlign w:val="bottom"/>
            <w:gridSpan w:val="2"/>
            <w:vMerge w:val="restart"/>
          </w:tcPr>
          <w:p>
            <w:pPr>
              <w:spacing w:after="0"/>
              <w:rPr>
                <w:rFonts w:ascii="Arial" w:cs="Arial" w:eastAsia="Arial" w:hAnsi="Arial"/>
                <w:sz w:val="12"/>
                <w:szCs w:val="12"/>
                <w:color w:val="0000FF"/>
              </w:rPr>
            </w:pPr>
            <w:hyperlink r:id="rId130">
              <w:r>
                <w:rPr>
                  <w:rFonts w:ascii="Arial" w:cs="Arial" w:eastAsia="Arial" w:hAnsi="Arial"/>
                  <w:sz w:val="12"/>
                  <w:szCs w:val="12"/>
                  <w:color w:val="0000FF"/>
                </w:rPr>
                <w:t>4.</w:t>
              </w:r>
              <w:r>
                <w:rPr>
                  <w:rFonts w:ascii="Arial" w:cs="Arial" w:eastAsia="Arial" w:hAnsi="Arial"/>
                  <w:sz w:val="12"/>
                  <w:szCs w:val="12"/>
                  <w:u w:val="single" w:color="auto"/>
                  <w:color w:val="0000FF"/>
                </w:rPr>
                <w:t>12</w:t>
              </w:r>
            </w:hyperlink>
          </w:p>
        </w:tc>
        <w:tc>
          <w:tcPr>
            <w:tcW w:w="6060" w:type="dxa"/>
            <w:vAlign w:val="bottom"/>
          </w:tcPr>
          <w:p>
            <w:pPr>
              <w:ind w:left="240"/>
              <w:spacing w:after="0" w:line="117" w:lineRule="exact"/>
              <w:rPr>
                <w:sz w:val="20"/>
                <w:szCs w:val="20"/>
                <w:color w:val="auto"/>
              </w:rPr>
            </w:pPr>
            <w:r>
              <w:rPr>
                <w:rFonts w:ascii="Arial" w:cs="Arial" w:eastAsia="Arial" w:hAnsi="Arial"/>
                <w:sz w:val="12"/>
                <w:szCs w:val="12"/>
                <w:color w:val="auto"/>
                <w:w w:val="92"/>
              </w:rPr>
              <w:t>Supplemental Indenture, dated December 31, 2019, by and among Marriott Ownership Resorts, Inc., MVW Vacations,</w:t>
            </w:r>
          </w:p>
        </w:tc>
        <w:tc>
          <w:tcPr>
            <w:tcW w:w="0" w:type="dxa"/>
            <w:vAlign w:val="bottom"/>
          </w:tcPr>
          <w:p>
            <w:pPr>
              <w:spacing w:after="0"/>
              <w:rPr>
                <w:sz w:val="1"/>
                <w:szCs w:val="1"/>
                <w:color w:val="auto"/>
              </w:rPr>
            </w:pPr>
          </w:p>
        </w:tc>
      </w:tr>
      <w:tr>
        <w:trPr>
          <w:trHeight w:val="63"/>
        </w:trPr>
        <w:tc>
          <w:tcPr>
            <w:tcW w:w="460" w:type="dxa"/>
            <w:vAlign w:val="bottom"/>
            <w:gridSpan w:val="2"/>
            <w:vMerge w:val="continue"/>
          </w:tcPr>
          <w:p>
            <w:pPr>
              <w:spacing w:after="0"/>
              <w:rPr>
                <w:sz w:val="5"/>
                <w:szCs w:val="5"/>
                <w:color w:val="auto"/>
              </w:rPr>
            </w:pPr>
          </w:p>
        </w:tc>
        <w:tc>
          <w:tcPr>
            <w:tcW w:w="6060" w:type="dxa"/>
            <w:vAlign w:val="bottom"/>
            <w:vMerge w:val="restart"/>
          </w:tcPr>
          <w:p>
            <w:pPr>
              <w:ind w:left="240"/>
              <w:spacing w:after="0"/>
              <w:rPr>
                <w:sz w:val="20"/>
                <w:szCs w:val="20"/>
                <w:color w:val="auto"/>
              </w:rPr>
            </w:pPr>
            <w:r>
              <w:rPr>
                <w:rFonts w:ascii="Arial" w:cs="Arial" w:eastAsia="Arial" w:hAnsi="Arial"/>
                <w:sz w:val="12"/>
                <w:szCs w:val="12"/>
                <w:color w:val="auto"/>
              </w:rPr>
              <w:t>LLC and the Bank of New York Mellon Trust Company, N.A., as trustee</w:t>
            </w:r>
          </w:p>
        </w:tc>
        <w:tc>
          <w:tcPr>
            <w:tcW w:w="0" w:type="dxa"/>
            <w:vAlign w:val="bottom"/>
          </w:tcPr>
          <w:p>
            <w:pPr>
              <w:spacing w:after="0"/>
              <w:rPr>
                <w:sz w:val="1"/>
                <w:szCs w:val="1"/>
                <w:color w:val="auto"/>
              </w:rPr>
            </w:pPr>
          </w:p>
        </w:tc>
      </w:tr>
      <w:tr>
        <w:trPr>
          <w:trHeight w:val="70"/>
        </w:trPr>
        <w:tc>
          <w:tcPr>
            <w:tcW w:w="200" w:type="dxa"/>
            <w:vAlign w:val="bottom"/>
            <w:tcBorders>
              <w:top w:val="single" w:sz="8" w:color="0000FF"/>
            </w:tcBorders>
          </w:tcPr>
          <w:p>
            <w:pPr>
              <w:spacing w:after="0"/>
              <w:rPr>
                <w:sz w:val="6"/>
                <w:szCs w:val="6"/>
                <w:color w:val="auto"/>
              </w:rPr>
            </w:pPr>
          </w:p>
        </w:tc>
        <w:tc>
          <w:tcPr>
            <w:tcW w:w="260" w:type="dxa"/>
            <w:vAlign w:val="bottom"/>
          </w:tcPr>
          <w:p>
            <w:pPr>
              <w:spacing w:after="0"/>
              <w:rPr>
                <w:sz w:val="6"/>
                <w:szCs w:val="6"/>
                <w:color w:val="auto"/>
              </w:rPr>
            </w:pPr>
          </w:p>
        </w:tc>
        <w:tc>
          <w:tcPr>
            <w:tcW w:w="6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7"/>
        </w:trPr>
        <w:tc>
          <w:tcPr>
            <w:tcW w:w="460" w:type="dxa"/>
            <w:vAlign w:val="bottom"/>
            <w:gridSpan w:val="2"/>
            <w:vMerge w:val="restart"/>
          </w:tcPr>
          <w:p>
            <w:pPr>
              <w:spacing w:after="0"/>
              <w:rPr>
                <w:rFonts w:ascii="Arial" w:cs="Arial" w:eastAsia="Arial" w:hAnsi="Arial"/>
                <w:sz w:val="12"/>
                <w:szCs w:val="12"/>
                <w:color w:val="0000FF"/>
              </w:rPr>
            </w:pPr>
            <w:hyperlink r:id="rId131">
              <w:r>
                <w:rPr>
                  <w:rFonts w:ascii="Arial" w:cs="Arial" w:eastAsia="Arial" w:hAnsi="Arial"/>
                  <w:sz w:val="12"/>
                  <w:szCs w:val="12"/>
                  <w:color w:val="0000FF"/>
                </w:rPr>
                <w:t>4.</w:t>
              </w:r>
              <w:r>
                <w:rPr>
                  <w:rFonts w:ascii="Arial" w:cs="Arial" w:eastAsia="Arial" w:hAnsi="Arial"/>
                  <w:sz w:val="12"/>
                  <w:szCs w:val="12"/>
                  <w:u w:val="single" w:color="auto"/>
                  <w:color w:val="0000FF"/>
                </w:rPr>
                <w:t>13</w:t>
              </w:r>
            </w:hyperlink>
          </w:p>
        </w:tc>
        <w:tc>
          <w:tcPr>
            <w:tcW w:w="6060" w:type="dxa"/>
            <w:vAlign w:val="bottom"/>
          </w:tcPr>
          <w:p>
            <w:pPr>
              <w:ind w:left="240"/>
              <w:spacing w:after="0" w:line="117" w:lineRule="exact"/>
              <w:rPr>
                <w:sz w:val="20"/>
                <w:szCs w:val="20"/>
                <w:color w:val="auto"/>
              </w:rPr>
            </w:pPr>
            <w:r>
              <w:rPr>
                <w:rFonts w:ascii="Arial" w:cs="Arial" w:eastAsia="Arial" w:hAnsi="Arial"/>
                <w:sz w:val="12"/>
                <w:szCs w:val="12"/>
                <w:color w:val="auto"/>
                <w:w w:val="96"/>
              </w:rPr>
              <w:t>Second Supplemental Indenture, dated February 26, 2020, by and among Marriott Ownership Resorts, Inc., MVW</w:t>
            </w:r>
          </w:p>
        </w:tc>
        <w:tc>
          <w:tcPr>
            <w:tcW w:w="0" w:type="dxa"/>
            <w:vAlign w:val="bottom"/>
          </w:tcPr>
          <w:p>
            <w:pPr>
              <w:spacing w:after="0"/>
              <w:rPr>
                <w:sz w:val="1"/>
                <w:szCs w:val="1"/>
                <w:color w:val="auto"/>
              </w:rPr>
            </w:pPr>
          </w:p>
        </w:tc>
      </w:tr>
      <w:tr>
        <w:trPr>
          <w:trHeight w:val="63"/>
        </w:trPr>
        <w:tc>
          <w:tcPr>
            <w:tcW w:w="460" w:type="dxa"/>
            <w:vAlign w:val="bottom"/>
            <w:gridSpan w:val="2"/>
            <w:vMerge w:val="continue"/>
          </w:tcPr>
          <w:p>
            <w:pPr>
              <w:spacing w:after="0"/>
              <w:rPr>
                <w:sz w:val="5"/>
                <w:szCs w:val="5"/>
                <w:color w:val="auto"/>
              </w:rPr>
            </w:pPr>
          </w:p>
        </w:tc>
        <w:tc>
          <w:tcPr>
            <w:tcW w:w="6060" w:type="dxa"/>
            <w:vAlign w:val="bottom"/>
            <w:vMerge w:val="restart"/>
          </w:tcPr>
          <w:p>
            <w:pPr>
              <w:ind w:left="240"/>
              <w:spacing w:after="0"/>
              <w:rPr>
                <w:sz w:val="20"/>
                <w:szCs w:val="20"/>
                <w:color w:val="auto"/>
              </w:rPr>
            </w:pPr>
            <w:r>
              <w:rPr>
                <w:rFonts w:ascii="Arial" w:cs="Arial" w:eastAsia="Arial" w:hAnsi="Arial"/>
                <w:sz w:val="12"/>
                <w:szCs w:val="12"/>
                <w:color w:val="auto"/>
              </w:rPr>
              <w:t>Services Corporation, and the Bank of New York Mellow Trust Company, N.A., as trustee</w:t>
            </w:r>
          </w:p>
        </w:tc>
        <w:tc>
          <w:tcPr>
            <w:tcW w:w="0" w:type="dxa"/>
            <w:vAlign w:val="bottom"/>
          </w:tcPr>
          <w:p>
            <w:pPr>
              <w:spacing w:after="0"/>
              <w:rPr>
                <w:sz w:val="1"/>
                <w:szCs w:val="1"/>
                <w:color w:val="auto"/>
              </w:rPr>
            </w:pPr>
          </w:p>
        </w:tc>
      </w:tr>
      <w:tr>
        <w:trPr>
          <w:trHeight w:val="70"/>
        </w:trPr>
        <w:tc>
          <w:tcPr>
            <w:tcW w:w="200" w:type="dxa"/>
            <w:vAlign w:val="bottom"/>
            <w:tcBorders>
              <w:top w:val="single" w:sz="8" w:color="0000FF"/>
            </w:tcBorders>
          </w:tcPr>
          <w:p>
            <w:pPr>
              <w:spacing w:after="0"/>
              <w:rPr>
                <w:sz w:val="6"/>
                <w:szCs w:val="6"/>
                <w:color w:val="auto"/>
              </w:rPr>
            </w:pPr>
          </w:p>
        </w:tc>
        <w:tc>
          <w:tcPr>
            <w:tcW w:w="260" w:type="dxa"/>
            <w:vAlign w:val="bottom"/>
          </w:tcPr>
          <w:p>
            <w:pPr>
              <w:spacing w:after="0"/>
              <w:rPr>
                <w:sz w:val="6"/>
                <w:szCs w:val="6"/>
                <w:color w:val="auto"/>
              </w:rPr>
            </w:pPr>
          </w:p>
        </w:tc>
        <w:tc>
          <w:tcPr>
            <w:tcW w:w="6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460" w:type="dxa"/>
            <w:vAlign w:val="bottom"/>
            <w:gridSpan w:val="2"/>
          </w:tcPr>
          <w:p>
            <w:pPr>
              <w:spacing w:after="0" w:line="126" w:lineRule="exact"/>
              <w:rPr>
                <w:rFonts w:ascii="Arial" w:cs="Arial" w:eastAsia="Arial" w:hAnsi="Arial"/>
                <w:sz w:val="12"/>
                <w:szCs w:val="12"/>
                <w:color w:val="0000FF"/>
              </w:rPr>
            </w:pPr>
            <w:hyperlink r:id="rId129">
              <w:r>
                <w:rPr>
                  <w:rFonts w:ascii="Arial" w:cs="Arial" w:eastAsia="Arial" w:hAnsi="Arial"/>
                  <w:sz w:val="12"/>
                  <w:szCs w:val="12"/>
                  <w:color w:val="0000FF"/>
                </w:rPr>
                <w:t>4.</w:t>
              </w:r>
              <w:r>
                <w:rPr>
                  <w:rFonts w:ascii="Arial" w:cs="Arial" w:eastAsia="Arial" w:hAnsi="Arial"/>
                  <w:sz w:val="12"/>
                  <w:szCs w:val="12"/>
                  <w:u w:val="single" w:color="auto"/>
                  <w:color w:val="0000FF"/>
                </w:rPr>
                <w:t>14</w:t>
              </w:r>
            </w:hyperlink>
          </w:p>
        </w:tc>
        <w:tc>
          <w:tcPr>
            <w:tcW w:w="6060" w:type="dxa"/>
            <w:vAlign w:val="bottom"/>
          </w:tcPr>
          <w:p>
            <w:pPr>
              <w:ind w:left="240"/>
              <w:spacing w:after="0" w:line="126" w:lineRule="exact"/>
              <w:rPr>
                <w:sz w:val="20"/>
                <w:szCs w:val="20"/>
                <w:color w:val="auto"/>
              </w:rPr>
            </w:pPr>
            <w:r>
              <w:rPr>
                <w:rFonts w:ascii="Arial" w:cs="Arial" w:eastAsia="Arial" w:hAnsi="Arial"/>
                <w:sz w:val="12"/>
                <w:szCs w:val="12"/>
                <w:color w:val="auto"/>
              </w:rPr>
              <w:t>Form of 4.750% Senior Notes due 2028 (included as Exhibit A to Exhibit 4.11 above)</w:t>
            </w:r>
          </w:p>
        </w:tc>
        <w:tc>
          <w:tcPr>
            <w:tcW w:w="0" w:type="dxa"/>
            <w:vAlign w:val="bottom"/>
          </w:tcPr>
          <w:p>
            <w:pPr>
              <w:spacing w:after="0"/>
              <w:rPr>
                <w:sz w:val="1"/>
                <w:szCs w:val="1"/>
                <w:color w:val="auto"/>
              </w:rPr>
            </w:pPr>
          </w:p>
        </w:tc>
      </w:tr>
      <w:tr>
        <w:trPr>
          <w:trHeight w:val="20"/>
        </w:trPr>
        <w:tc>
          <w:tcPr>
            <w:tcW w:w="2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60" w:type="dxa"/>
            <w:vAlign w:val="bottom"/>
            <w:vMerge w:val="restart"/>
          </w:tcPr>
          <w:p>
            <w:pPr>
              <w:ind w:left="240"/>
              <w:spacing w:after="0"/>
              <w:rPr>
                <w:sz w:val="20"/>
                <w:szCs w:val="20"/>
                <w:color w:val="auto"/>
              </w:rPr>
            </w:pPr>
            <w:r>
              <w:rPr>
                <w:rFonts w:ascii="Arial" w:cs="Arial" w:eastAsia="Arial" w:hAnsi="Arial"/>
                <w:sz w:val="12"/>
                <w:szCs w:val="12"/>
                <w:color w:val="auto"/>
                <w:w w:val="92"/>
              </w:rPr>
              <w:t>Registration Rights Agreement, dated as of October 1, 2019, by and among Marriott Ownership Resorts, Inc., Marriott</w:t>
            </w:r>
          </w:p>
        </w:tc>
        <w:tc>
          <w:tcPr>
            <w:tcW w:w="0" w:type="dxa"/>
            <w:vAlign w:val="bottom"/>
          </w:tcPr>
          <w:p>
            <w:pPr>
              <w:spacing w:after="0" w:line="20" w:lineRule="exact"/>
              <w:rPr>
                <w:sz w:val="1"/>
                <w:szCs w:val="1"/>
                <w:color w:val="auto"/>
              </w:rPr>
            </w:pPr>
          </w:p>
        </w:tc>
      </w:tr>
      <w:tr>
        <w:trPr>
          <w:trHeight w:val="124"/>
        </w:trPr>
        <w:tc>
          <w:tcPr>
            <w:tcW w:w="460" w:type="dxa"/>
            <w:vAlign w:val="bottom"/>
            <w:gridSpan w:val="2"/>
            <w:vMerge w:val="restart"/>
          </w:tcPr>
          <w:p>
            <w:pPr>
              <w:spacing w:after="0"/>
              <w:rPr>
                <w:rFonts w:ascii="Arial" w:cs="Arial" w:eastAsia="Arial" w:hAnsi="Arial"/>
                <w:sz w:val="12"/>
                <w:szCs w:val="12"/>
                <w:color w:val="0000FF"/>
              </w:rPr>
            </w:pPr>
            <w:hyperlink r:id="rId132">
              <w:r>
                <w:rPr>
                  <w:rFonts w:ascii="Arial" w:cs="Arial" w:eastAsia="Arial" w:hAnsi="Arial"/>
                  <w:sz w:val="12"/>
                  <w:szCs w:val="12"/>
                  <w:color w:val="0000FF"/>
                </w:rPr>
                <w:t>4.</w:t>
              </w:r>
              <w:r>
                <w:rPr>
                  <w:rFonts w:ascii="Arial" w:cs="Arial" w:eastAsia="Arial" w:hAnsi="Arial"/>
                  <w:sz w:val="12"/>
                  <w:szCs w:val="12"/>
                  <w:u w:val="single" w:color="auto"/>
                  <w:color w:val="0000FF"/>
                </w:rPr>
                <w:t>15</w:t>
              </w:r>
            </w:hyperlink>
          </w:p>
        </w:tc>
        <w:tc>
          <w:tcPr>
            <w:tcW w:w="6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460" w:type="dxa"/>
            <w:vAlign w:val="bottom"/>
            <w:gridSpan w:val="2"/>
            <w:vMerge w:val="continue"/>
          </w:tcPr>
          <w:p>
            <w:pPr>
              <w:spacing w:after="0"/>
              <w:rPr>
                <w:sz w:val="5"/>
                <w:szCs w:val="5"/>
                <w:color w:val="auto"/>
              </w:rPr>
            </w:pPr>
          </w:p>
        </w:tc>
        <w:tc>
          <w:tcPr>
            <w:tcW w:w="6060" w:type="dxa"/>
            <w:vAlign w:val="bottom"/>
            <w:vMerge w:val="restart"/>
          </w:tcPr>
          <w:p>
            <w:pPr>
              <w:ind w:left="240"/>
              <w:spacing w:after="0"/>
              <w:rPr>
                <w:sz w:val="20"/>
                <w:szCs w:val="20"/>
                <w:color w:val="auto"/>
              </w:rPr>
            </w:pPr>
            <w:r>
              <w:rPr>
                <w:rFonts w:ascii="Arial" w:cs="Arial" w:eastAsia="Arial" w:hAnsi="Arial"/>
                <w:sz w:val="12"/>
                <w:szCs w:val="12"/>
                <w:color w:val="auto"/>
                <w:w w:val="95"/>
              </w:rPr>
              <w:t>Vacations Worldwide Corporation, as guarantor, the other guarantors party thereto and J.P. Morgan Securities LLC</w:t>
            </w:r>
          </w:p>
        </w:tc>
        <w:tc>
          <w:tcPr>
            <w:tcW w:w="0" w:type="dxa"/>
            <w:vAlign w:val="bottom"/>
          </w:tcPr>
          <w:p>
            <w:pPr>
              <w:spacing w:after="0"/>
              <w:rPr>
                <w:sz w:val="1"/>
                <w:szCs w:val="1"/>
                <w:color w:val="auto"/>
              </w:rPr>
            </w:pPr>
          </w:p>
        </w:tc>
      </w:tr>
      <w:tr>
        <w:trPr>
          <w:trHeight w:val="70"/>
        </w:trPr>
        <w:tc>
          <w:tcPr>
            <w:tcW w:w="200" w:type="dxa"/>
            <w:vAlign w:val="bottom"/>
            <w:tcBorders>
              <w:top w:val="single" w:sz="8" w:color="0000FF"/>
            </w:tcBorders>
          </w:tcPr>
          <w:p>
            <w:pPr>
              <w:spacing w:after="0"/>
              <w:rPr>
                <w:sz w:val="6"/>
                <w:szCs w:val="6"/>
                <w:color w:val="auto"/>
              </w:rPr>
            </w:pPr>
          </w:p>
        </w:tc>
        <w:tc>
          <w:tcPr>
            <w:tcW w:w="260" w:type="dxa"/>
            <w:vAlign w:val="bottom"/>
          </w:tcPr>
          <w:p>
            <w:pPr>
              <w:spacing w:after="0"/>
              <w:rPr>
                <w:sz w:val="6"/>
                <w:szCs w:val="6"/>
                <w:color w:val="auto"/>
              </w:rPr>
            </w:pPr>
          </w:p>
        </w:tc>
        <w:tc>
          <w:tcPr>
            <w:tcW w:w="6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7"/>
        </w:trPr>
        <w:tc>
          <w:tcPr>
            <w:tcW w:w="460" w:type="dxa"/>
            <w:vAlign w:val="bottom"/>
            <w:gridSpan w:val="2"/>
            <w:vMerge w:val="restart"/>
          </w:tcPr>
          <w:p>
            <w:pPr>
              <w:spacing w:after="0"/>
              <w:rPr>
                <w:rFonts w:ascii="Arial" w:cs="Arial" w:eastAsia="Arial" w:hAnsi="Arial"/>
                <w:sz w:val="12"/>
                <w:szCs w:val="12"/>
                <w:color w:val="0000FF"/>
              </w:rPr>
            </w:pPr>
            <w:hyperlink r:id="rId133">
              <w:r>
                <w:rPr>
                  <w:rFonts w:ascii="Arial" w:cs="Arial" w:eastAsia="Arial" w:hAnsi="Arial"/>
                  <w:sz w:val="12"/>
                  <w:szCs w:val="12"/>
                  <w:color w:val="0000FF"/>
                </w:rPr>
                <w:t>4.</w:t>
              </w:r>
              <w:r>
                <w:rPr>
                  <w:rFonts w:ascii="Arial" w:cs="Arial" w:eastAsia="Arial" w:hAnsi="Arial"/>
                  <w:sz w:val="12"/>
                  <w:szCs w:val="12"/>
                  <w:u w:val="single" w:color="auto"/>
                  <w:color w:val="0000FF"/>
                </w:rPr>
                <w:t>16</w:t>
              </w:r>
            </w:hyperlink>
          </w:p>
        </w:tc>
        <w:tc>
          <w:tcPr>
            <w:tcW w:w="6060" w:type="dxa"/>
            <w:vAlign w:val="bottom"/>
          </w:tcPr>
          <w:p>
            <w:pPr>
              <w:ind w:left="240"/>
              <w:spacing w:after="0" w:line="117" w:lineRule="exact"/>
              <w:rPr>
                <w:sz w:val="20"/>
                <w:szCs w:val="20"/>
                <w:color w:val="auto"/>
              </w:rPr>
            </w:pPr>
            <w:r>
              <w:rPr>
                <w:rFonts w:ascii="Arial" w:cs="Arial" w:eastAsia="Arial" w:hAnsi="Arial"/>
                <w:sz w:val="12"/>
                <w:szCs w:val="12"/>
                <w:color w:val="auto"/>
                <w:w w:val="94"/>
              </w:rPr>
              <w:t>Indenture, dated as of May 13, 2020, by and among Marriott Ownership Resorts, Inc., Marriott Vacations Worldwide</w:t>
            </w:r>
          </w:p>
        </w:tc>
        <w:tc>
          <w:tcPr>
            <w:tcW w:w="0" w:type="dxa"/>
            <w:vAlign w:val="bottom"/>
          </w:tcPr>
          <w:p>
            <w:pPr>
              <w:spacing w:after="0"/>
              <w:rPr>
                <w:sz w:val="1"/>
                <w:szCs w:val="1"/>
                <w:color w:val="auto"/>
              </w:rPr>
            </w:pPr>
          </w:p>
        </w:tc>
      </w:tr>
      <w:tr>
        <w:trPr>
          <w:trHeight w:val="126"/>
        </w:trPr>
        <w:tc>
          <w:tcPr>
            <w:tcW w:w="460" w:type="dxa"/>
            <w:vAlign w:val="bottom"/>
            <w:gridSpan w:val="2"/>
            <w:vMerge w:val="continue"/>
          </w:tcPr>
          <w:p>
            <w:pPr>
              <w:spacing w:after="0"/>
              <w:rPr>
                <w:sz w:val="10"/>
                <w:szCs w:val="10"/>
                <w:color w:val="auto"/>
              </w:rPr>
            </w:pPr>
          </w:p>
        </w:tc>
        <w:tc>
          <w:tcPr>
            <w:tcW w:w="6060" w:type="dxa"/>
            <w:vAlign w:val="bottom"/>
          </w:tcPr>
          <w:p>
            <w:pPr>
              <w:ind w:left="240"/>
              <w:spacing w:after="0" w:line="126" w:lineRule="exact"/>
              <w:rPr>
                <w:sz w:val="20"/>
                <w:szCs w:val="20"/>
                <w:color w:val="auto"/>
              </w:rPr>
            </w:pPr>
            <w:r>
              <w:rPr>
                <w:rFonts w:ascii="Arial" w:cs="Arial" w:eastAsia="Arial" w:hAnsi="Arial"/>
                <w:sz w:val="12"/>
                <w:szCs w:val="12"/>
                <w:color w:val="auto"/>
                <w:w w:val="90"/>
              </w:rPr>
              <w:t>Corporation, as guarantor, the other guarantors party thereto and The Bank of New York Mellon Trust Company, N.A., as</w:t>
            </w:r>
          </w:p>
        </w:tc>
        <w:tc>
          <w:tcPr>
            <w:tcW w:w="0" w:type="dxa"/>
            <w:vAlign w:val="bottom"/>
          </w:tcPr>
          <w:p>
            <w:pPr>
              <w:spacing w:after="0"/>
              <w:rPr>
                <w:sz w:val="1"/>
                <w:szCs w:val="1"/>
                <w:color w:val="auto"/>
              </w:rPr>
            </w:pPr>
          </w:p>
        </w:tc>
      </w:tr>
      <w:tr>
        <w:trPr>
          <w:trHeight w:val="124"/>
        </w:trPr>
        <w:tc>
          <w:tcPr>
            <w:tcW w:w="200" w:type="dxa"/>
            <w:vAlign w:val="bottom"/>
            <w:tcBorders>
              <w:top w:val="single" w:sz="8" w:color="0000FF"/>
            </w:tcBorders>
          </w:tcPr>
          <w:p>
            <w:pPr>
              <w:spacing w:after="0"/>
              <w:rPr>
                <w:sz w:val="10"/>
                <w:szCs w:val="10"/>
                <w:color w:val="auto"/>
              </w:rPr>
            </w:pPr>
          </w:p>
        </w:tc>
        <w:tc>
          <w:tcPr>
            <w:tcW w:w="260" w:type="dxa"/>
            <w:vAlign w:val="bottom"/>
          </w:tcPr>
          <w:p>
            <w:pPr>
              <w:spacing w:after="0"/>
              <w:rPr>
                <w:sz w:val="10"/>
                <w:szCs w:val="10"/>
                <w:color w:val="auto"/>
              </w:rPr>
            </w:pPr>
          </w:p>
        </w:tc>
        <w:tc>
          <w:tcPr>
            <w:tcW w:w="6060" w:type="dxa"/>
            <w:vAlign w:val="bottom"/>
          </w:tcPr>
          <w:p>
            <w:pPr>
              <w:ind w:left="240"/>
              <w:spacing w:after="0" w:line="124" w:lineRule="exact"/>
              <w:rPr>
                <w:sz w:val="20"/>
                <w:szCs w:val="20"/>
                <w:color w:val="auto"/>
              </w:rPr>
            </w:pPr>
            <w:r>
              <w:rPr>
                <w:rFonts w:ascii="Arial" w:cs="Arial" w:eastAsia="Arial" w:hAnsi="Arial"/>
                <w:sz w:val="12"/>
                <w:szCs w:val="12"/>
                <w:color w:val="auto"/>
              </w:rPr>
              <w:t>trustee and collateral agent</w:t>
            </w:r>
          </w:p>
        </w:tc>
        <w:tc>
          <w:tcPr>
            <w:tcW w:w="0" w:type="dxa"/>
            <w:vAlign w:val="bottom"/>
          </w:tcPr>
          <w:p>
            <w:pPr>
              <w:spacing w:after="0"/>
              <w:rPr>
                <w:sz w:val="1"/>
                <w:szCs w:val="1"/>
                <w:color w:val="auto"/>
              </w:rPr>
            </w:pPr>
          </w:p>
        </w:tc>
      </w:tr>
      <w:tr>
        <w:trPr>
          <w:trHeight w:val="126"/>
        </w:trPr>
        <w:tc>
          <w:tcPr>
            <w:tcW w:w="460" w:type="dxa"/>
            <w:vAlign w:val="bottom"/>
            <w:gridSpan w:val="2"/>
          </w:tcPr>
          <w:p>
            <w:pPr>
              <w:spacing w:after="0" w:line="126" w:lineRule="exact"/>
              <w:rPr>
                <w:rFonts w:ascii="Arial" w:cs="Arial" w:eastAsia="Arial" w:hAnsi="Arial"/>
                <w:sz w:val="12"/>
                <w:szCs w:val="12"/>
                <w:color w:val="0000FF"/>
              </w:rPr>
            </w:pPr>
            <w:hyperlink r:id="rId133">
              <w:r>
                <w:rPr>
                  <w:rFonts w:ascii="Arial" w:cs="Arial" w:eastAsia="Arial" w:hAnsi="Arial"/>
                  <w:sz w:val="12"/>
                  <w:szCs w:val="12"/>
                  <w:color w:val="0000FF"/>
                </w:rPr>
                <w:t>4.</w:t>
              </w:r>
              <w:r>
                <w:rPr>
                  <w:rFonts w:ascii="Arial" w:cs="Arial" w:eastAsia="Arial" w:hAnsi="Arial"/>
                  <w:sz w:val="12"/>
                  <w:szCs w:val="12"/>
                  <w:u w:val="single" w:color="auto"/>
                  <w:color w:val="0000FF"/>
                </w:rPr>
                <w:t>17</w:t>
              </w:r>
            </w:hyperlink>
          </w:p>
        </w:tc>
        <w:tc>
          <w:tcPr>
            <w:tcW w:w="6060" w:type="dxa"/>
            <w:vAlign w:val="bottom"/>
          </w:tcPr>
          <w:p>
            <w:pPr>
              <w:ind w:left="240"/>
              <w:spacing w:after="0" w:line="126" w:lineRule="exact"/>
              <w:rPr>
                <w:sz w:val="20"/>
                <w:szCs w:val="20"/>
                <w:color w:val="auto"/>
              </w:rPr>
            </w:pPr>
            <w:r>
              <w:rPr>
                <w:rFonts w:ascii="Arial" w:cs="Arial" w:eastAsia="Arial" w:hAnsi="Arial"/>
                <w:sz w:val="12"/>
                <w:szCs w:val="12"/>
                <w:color w:val="auto"/>
              </w:rPr>
              <w:t>Form of 6.125% Senior Secured Notes due 2025 (included as Exhibit A to Exhibit 4.16)</w:t>
            </w:r>
          </w:p>
        </w:tc>
        <w:tc>
          <w:tcPr>
            <w:tcW w:w="0" w:type="dxa"/>
            <w:vAlign w:val="bottom"/>
          </w:tcPr>
          <w:p>
            <w:pPr>
              <w:spacing w:after="0"/>
              <w:rPr>
                <w:sz w:val="1"/>
                <w:szCs w:val="1"/>
                <w:color w:val="auto"/>
              </w:rPr>
            </w:pPr>
          </w:p>
        </w:tc>
      </w:tr>
      <w:tr>
        <w:trPr>
          <w:trHeight w:val="20"/>
        </w:trPr>
        <w:tc>
          <w:tcPr>
            <w:tcW w:w="2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60" w:type="dxa"/>
            <w:vAlign w:val="bottom"/>
            <w:vMerge w:val="restart"/>
          </w:tcPr>
          <w:p>
            <w:pPr>
              <w:ind w:left="240"/>
              <w:spacing w:after="0"/>
              <w:rPr>
                <w:sz w:val="20"/>
                <w:szCs w:val="20"/>
                <w:color w:val="auto"/>
              </w:rPr>
            </w:pPr>
            <w:r>
              <w:rPr>
                <w:rFonts w:ascii="Arial" w:cs="Arial" w:eastAsia="Arial" w:hAnsi="Arial"/>
                <w:sz w:val="12"/>
                <w:szCs w:val="12"/>
                <w:color w:val="auto"/>
                <w:w w:val="92"/>
              </w:rPr>
              <w:t>Indenture, dated as of February 2, 2021, by and among Marriott Vacations Worldwide Corporation, Marriott Ownership</w:t>
            </w:r>
          </w:p>
        </w:tc>
        <w:tc>
          <w:tcPr>
            <w:tcW w:w="0" w:type="dxa"/>
            <w:vAlign w:val="bottom"/>
          </w:tcPr>
          <w:p>
            <w:pPr>
              <w:spacing w:after="0" w:line="20" w:lineRule="exact"/>
              <w:rPr>
                <w:sz w:val="1"/>
                <w:szCs w:val="1"/>
                <w:color w:val="auto"/>
              </w:rPr>
            </w:pPr>
          </w:p>
        </w:tc>
      </w:tr>
      <w:tr>
        <w:trPr>
          <w:trHeight w:val="124"/>
        </w:trPr>
        <w:tc>
          <w:tcPr>
            <w:tcW w:w="460" w:type="dxa"/>
            <w:vAlign w:val="bottom"/>
            <w:gridSpan w:val="2"/>
            <w:vMerge w:val="restart"/>
          </w:tcPr>
          <w:p>
            <w:pPr>
              <w:spacing w:after="0"/>
              <w:rPr>
                <w:rFonts w:ascii="Arial" w:cs="Arial" w:eastAsia="Arial" w:hAnsi="Arial"/>
                <w:sz w:val="12"/>
                <w:szCs w:val="12"/>
                <w:color w:val="0000FF"/>
              </w:rPr>
            </w:pPr>
            <w:hyperlink r:id="rId134">
              <w:r>
                <w:rPr>
                  <w:rFonts w:ascii="Arial" w:cs="Arial" w:eastAsia="Arial" w:hAnsi="Arial"/>
                  <w:sz w:val="12"/>
                  <w:szCs w:val="12"/>
                  <w:color w:val="0000FF"/>
                </w:rPr>
                <w:t>4.</w:t>
              </w:r>
              <w:r>
                <w:rPr>
                  <w:rFonts w:ascii="Arial" w:cs="Arial" w:eastAsia="Arial" w:hAnsi="Arial"/>
                  <w:sz w:val="12"/>
                  <w:szCs w:val="12"/>
                  <w:u w:val="single" w:color="auto"/>
                  <w:color w:val="0000FF"/>
                </w:rPr>
                <w:t>18</w:t>
              </w:r>
            </w:hyperlink>
          </w:p>
        </w:tc>
        <w:tc>
          <w:tcPr>
            <w:tcW w:w="6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460" w:type="dxa"/>
            <w:vAlign w:val="bottom"/>
            <w:gridSpan w:val="2"/>
            <w:vMerge w:val="continue"/>
          </w:tcPr>
          <w:p>
            <w:pPr>
              <w:spacing w:after="0"/>
              <w:rPr>
                <w:sz w:val="5"/>
                <w:szCs w:val="5"/>
                <w:color w:val="auto"/>
              </w:rPr>
            </w:pPr>
          </w:p>
        </w:tc>
        <w:tc>
          <w:tcPr>
            <w:tcW w:w="6060" w:type="dxa"/>
            <w:vAlign w:val="bottom"/>
            <w:vMerge w:val="restart"/>
          </w:tcPr>
          <w:p>
            <w:pPr>
              <w:ind w:left="240"/>
              <w:spacing w:after="0"/>
              <w:rPr>
                <w:sz w:val="20"/>
                <w:szCs w:val="20"/>
                <w:color w:val="auto"/>
              </w:rPr>
            </w:pPr>
            <w:r>
              <w:rPr>
                <w:rFonts w:ascii="Arial" w:cs="Arial" w:eastAsia="Arial" w:hAnsi="Arial"/>
                <w:sz w:val="12"/>
                <w:szCs w:val="12"/>
                <w:color w:val="auto"/>
                <w:w w:val="91"/>
              </w:rPr>
              <w:t>Resorts, Inc. and the other guarantors party thereto and The Bank of New York Mellon Trust Company, N.A., as trustee</w:t>
            </w:r>
          </w:p>
        </w:tc>
        <w:tc>
          <w:tcPr>
            <w:tcW w:w="0" w:type="dxa"/>
            <w:vAlign w:val="bottom"/>
          </w:tcPr>
          <w:p>
            <w:pPr>
              <w:spacing w:after="0"/>
              <w:rPr>
                <w:sz w:val="1"/>
                <w:szCs w:val="1"/>
                <w:color w:val="auto"/>
              </w:rPr>
            </w:pPr>
          </w:p>
        </w:tc>
      </w:tr>
      <w:tr>
        <w:trPr>
          <w:trHeight w:val="70"/>
        </w:trPr>
        <w:tc>
          <w:tcPr>
            <w:tcW w:w="200" w:type="dxa"/>
            <w:vAlign w:val="bottom"/>
            <w:tcBorders>
              <w:top w:val="single" w:sz="8" w:color="0000FF"/>
            </w:tcBorders>
          </w:tcPr>
          <w:p>
            <w:pPr>
              <w:spacing w:after="0"/>
              <w:rPr>
                <w:sz w:val="6"/>
                <w:szCs w:val="6"/>
                <w:color w:val="auto"/>
              </w:rPr>
            </w:pPr>
          </w:p>
        </w:tc>
        <w:tc>
          <w:tcPr>
            <w:tcW w:w="260" w:type="dxa"/>
            <w:vAlign w:val="bottom"/>
          </w:tcPr>
          <w:p>
            <w:pPr>
              <w:spacing w:after="0"/>
              <w:rPr>
                <w:sz w:val="6"/>
                <w:szCs w:val="6"/>
                <w:color w:val="auto"/>
              </w:rPr>
            </w:pPr>
          </w:p>
        </w:tc>
        <w:tc>
          <w:tcPr>
            <w:tcW w:w="6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460" w:type="dxa"/>
            <w:vAlign w:val="bottom"/>
            <w:gridSpan w:val="2"/>
          </w:tcPr>
          <w:p>
            <w:pPr>
              <w:spacing w:after="0" w:line="126" w:lineRule="exact"/>
              <w:rPr>
                <w:rFonts w:ascii="Arial" w:cs="Arial" w:eastAsia="Arial" w:hAnsi="Arial"/>
                <w:sz w:val="12"/>
                <w:szCs w:val="12"/>
                <w:color w:val="0000FF"/>
              </w:rPr>
            </w:pPr>
            <w:hyperlink r:id="rId135">
              <w:r>
                <w:rPr>
                  <w:rFonts w:ascii="Arial" w:cs="Arial" w:eastAsia="Arial" w:hAnsi="Arial"/>
                  <w:sz w:val="12"/>
                  <w:szCs w:val="12"/>
                  <w:color w:val="0000FF"/>
                </w:rPr>
                <w:t>4.</w:t>
              </w:r>
              <w:r>
                <w:rPr>
                  <w:rFonts w:ascii="Arial" w:cs="Arial" w:eastAsia="Arial" w:hAnsi="Arial"/>
                  <w:sz w:val="12"/>
                  <w:szCs w:val="12"/>
                  <w:u w:val="single" w:color="auto"/>
                  <w:color w:val="0000FF"/>
                </w:rPr>
                <w:t>19</w:t>
              </w:r>
            </w:hyperlink>
          </w:p>
        </w:tc>
        <w:tc>
          <w:tcPr>
            <w:tcW w:w="6060" w:type="dxa"/>
            <w:vAlign w:val="bottom"/>
          </w:tcPr>
          <w:p>
            <w:pPr>
              <w:ind w:left="240"/>
              <w:spacing w:after="0" w:line="126" w:lineRule="exact"/>
              <w:rPr>
                <w:sz w:val="20"/>
                <w:szCs w:val="20"/>
                <w:color w:val="auto"/>
              </w:rPr>
            </w:pPr>
            <w:r>
              <w:rPr>
                <w:rFonts w:ascii="Arial" w:cs="Arial" w:eastAsia="Arial" w:hAnsi="Arial"/>
                <w:sz w:val="12"/>
                <w:szCs w:val="12"/>
                <w:color w:val="auto"/>
              </w:rPr>
              <w:t>Form of 0.00% Convertible Senior Note due 2026 (included as Exhibit A to Exhibit 4.18 above)</w:t>
            </w:r>
          </w:p>
        </w:tc>
        <w:tc>
          <w:tcPr>
            <w:tcW w:w="0" w:type="dxa"/>
            <w:vAlign w:val="bottom"/>
          </w:tcPr>
          <w:p>
            <w:pPr>
              <w:spacing w:after="0"/>
              <w:rPr>
                <w:sz w:val="1"/>
                <w:szCs w:val="1"/>
                <w:color w:val="auto"/>
              </w:rPr>
            </w:pPr>
          </w:p>
        </w:tc>
      </w:tr>
      <w:tr>
        <w:trPr>
          <w:trHeight w:val="20"/>
        </w:trPr>
        <w:tc>
          <w:tcPr>
            <w:tcW w:w="2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60" w:type="dxa"/>
            <w:vAlign w:val="bottom"/>
            <w:vMerge w:val="restart"/>
          </w:tcPr>
          <w:p>
            <w:pPr>
              <w:ind w:left="240"/>
              <w:spacing w:after="0"/>
              <w:rPr>
                <w:sz w:val="20"/>
                <w:szCs w:val="20"/>
                <w:color w:val="auto"/>
              </w:rPr>
            </w:pPr>
            <w:r>
              <w:rPr>
                <w:rFonts w:ascii="Arial" w:cs="Arial" w:eastAsia="Arial" w:hAnsi="Arial"/>
                <w:sz w:val="12"/>
                <w:szCs w:val="12"/>
                <w:color w:val="auto"/>
                <w:w w:val="94"/>
              </w:rPr>
              <w:t>Indenture, dated as of June 21, 2021, by and among Marriott Ownership Resorts, Inc., Marriott Vacations Worldwide</w:t>
            </w:r>
          </w:p>
        </w:tc>
        <w:tc>
          <w:tcPr>
            <w:tcW w:w="0" w:type="dxa"/>
            <w:vAlign w:val="bottom"/>
          </w:tcPr>
          <w:p>
            <w:pPr>
              <w:spacing w:after="0" w:line="20" w:lineRule="exact"/>
              <w:rPr>
                <w:sz w:val="1"/>
                <w:szCs w:val="1"/>
                <w:color w:val="auto"/>
              </w:rPr>
            </w:pPr>
          </w:p>
        </w:tc>
      </w:tr>
      <w:tr>
        <w:trPr>
          <w:trHeight w:val="124"/>
        </w:trPr>
        <w:tc>
          <w:tcPr>
            <w:tcW w:w="460" w:type="dxa"/>
            <w:vAlign w:val="bottom"/>
            <w:gridSpan w:val="2"/>
            <w:vMerge w:val="restart"/>
          </w:tcPr>
          <w:p>
            <w:pPr>
              <w:spacing w:after="0"/>
              <w:rPr>
                <w:rFonts w:ascii="Arial" w:cs="Arial" w:eastAsia="Arial" w:hAnsi="Arial"/>
                <w:sz w:val="12"/>
                <w:szCs w:val="12"/>
                <w:color w:val="0000FF"/>
              </w:rPr>
            </w:pPr>
            <w:hyperlink r:id="rId136">
              <w:r>
                <w:rPr>
                  <w:rFonts w:ascii="Arial" w:cs="Arial" w:eastAsia="Arial" w:hAnsi="Arial"/>
                  <w:sz w:val="12"/>
                  <w:szCs w:val="12"/>
                  <w:color w:val="0000FF"/>
                </w:rPr>
                <w:t>4.</w:t>
              </w:r>
              <w:r>
                <w:rPr>
                  <w:rFonts w:ascii="Arial" w:cs="Arial" w:eastAsia="Arial" w:hAnsi="Arial"/>
                  <w:sz w:val="12"/>
                  <w:szCs w:val="12"/>
                  <w:u w:val="single" w:color="auto"/>
                  <w:color w:val="0000FF"/>
                </w:rPr>
                <w:t>20</w:t>
              </w:r>
            </w:hyperlink>
          </w:p>
        </w:tc>
        <w:tc>
          <w:tcPr>
            <w:tcW w:w="6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60" w:type="dxa"/>
            <w:vAlign w:val="bottom"/>
            <w:gridSpan w:val="2"/>
            <w:vMerge w:val="continue"/>
          </w:tcPr>
          <w:p>
            <w:pPr>
              <w:spacing w:after="0"/>
              <w:rPr>
                <w:sz w:val="10"/>
                <w:szCs w:val="10"/>
                <w:color w:val="auto"/>
              </w:rPr>
            </w:pPr>
          </w:p>
        </w:tc>
        <w:tc>
          <w:tcPr>
            <w:tcW w:w="6060" w:type="dxa"/>
            <w:vAlign w:val="bottom"/>
          </w:tcPr>
          <w:p>
            <w:pPr>
              <w:ind w:left="240"/>
              <w:spacing w:after="0" w:line="126" w:lineRule="exact"/>
              <w:rPr>
                <w:sz w:val="20"/>
                <w:szCs w:val="20"/>
                <w:color w:val="auto"/>
              </w:rPr>
            </w:pPr>
            <w:r>
              <w:rPr>
                <w:rFonts w:ascii="Arial" w:cs="Arial" w:eastAsia="Arial" w:hAnsi="Arial"/>
                <w:sz w:val="12"/>
                <w:szCs w:val="12"/>
                <w:color w:val="auto"/>
                <w:w w:val="90"/>
              </w:rPr>
              <w:t>Corporation, as guarantor, the other guarantors party thereto and The Bank of New York Mellon Trust Company, N.A., as</w:t>
            </w:r>
          </w:p>
        </w:tc>
        <w:tc>
          <w:tcPr>
            <w:tcW w:w="0" w:type="dxa"/>
            <w:vAlign w:val="bottom"/>
          </w:tcPr>
          <w:p>
            <w:pPr>
              <w:spacing w:after="0"/>
              <w:rPr>
                <w:sz w:val="1"/>
                <w:szCs w:val="1"/>
                <w:color w:val="auto"/>
              </w:rPr>
            </w:pPr>
          </w:p>
        </w:tc>
      </w:tr>
      <w:tr>
        <w:trPr>
          <w:trHeight w:val="133"/>
        </w:trPr>
        <w:tc>
          <w:tcPr>
            <w:tcW w:w="200" w:type="dxa"/>
            <w:vAlign w:val="bottom"/>
            <w:tcBorders>
              <w:top w:val="single" w:sz="8" w:color="0000FF"/>
            </w:tcBorders>
          </w:tcPr>
          <w:p>
            <w:pPr>
              <w:spacing w:after="0"/>
              <w:rPr>
                <w:sz w:val="11"/>
                <w:szCs w:val="11"/>
                <w:color w:val="auto"/>
              </w:rPr>
            </w:pPr>
          </w:p>
        </w:tc>
        <w:tc>
          <w:tcPr>
            <w:tcW w:w="260" w:type="dxa"/>
            <w:vAlign w:val="bottom"/>
          </w:tcPr>
          <w:p>
            <w:pPr>
              <w:spacing w:after="0"/>
              <w:rPr>
                <w:sz w:val="11"/>
                <w:szCs w:val="11"/>
                <w:color w:val="auto"/>
              </w:rPr>
            </w:pPr>
          </w:p>
        </w:tc>
        <w:tc>
          <w:tcPr>
            <w:tcW w:w="6060" w:type="dxa"/>
            <w:vAlign w:val="bottom"/>
          </w:tcPr>
          <w:p>
            <w:pPr>
              <w:ind w:left="240"/>
              <w:spacing w:after="0" w:line="133" w:lineRule="exact"/>
              <w:rPr>
                <w:sz w:val="20"/>
                <w:szCs w:val="20"/>
                <w:color w:val="auto"/>
              </w:rPr>
            </w:pPr>
            <w:r>
              <w:rPr>
                <w:rFonts w:ascii="Arial" w:cs="Arial" w:eastAsia="Arial" w:hAnsi="Arial"/>
                <w:sz w:val="12"/>
                <w:szCs w:val="12"/>
                <w:color w:val="auto"/>
              </w:rPr>
              <w:t>trustee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-1473835</wp:posOffset>
            </wp:positionV>
            <wp:extent cx="7178040" cy="17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7">
                      <a:extLst>
                        <a:ext uri="{28A0092B-C50C-407E-A947-70E740481C1C}"/>
                      </a:extLst>
                    </a:blip>
                    <a:srcRect/>
                    <a:stretch>
                      <a:fillRect/>
                    </a:stretch>
                  </pic:blipFill>
                  <pic:spPr bwMode="auto">
                    <a:xfrm>
                      <a:off x="0" y="0"/>
                      <a:ext cx="7178040" cy="1714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-1130935</wp:posOffset>
            </wp:positionV>
            <wp:extent cx="7178040" cy="971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8">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-862330</wp:posOffset>
            </wp:positionV>
            <wp:extent cx="7178040" cy="2457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9">
                      <a:extLst>
                        <a:ext uri="{28A0092B-C50C-407E-A947-70E740481C1C}"/>
                      </a:extLst>
                    </a:blip>
                    <a:srcRect/>
                    <a:stretch>
                      <a:fillRect/>
                    </a:stretch>
                  </pic:blipFill>
                  <pic:spPr bwMode="auto">
                    <a:xfrm>
                      <a:off x="0" y="0"/>
                      <a:ext cx="7178040" cy="2457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-519430</wp:posOffset>
            </wp:positionV>
            <wp:extent cx="7178040" cy="171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0">
                      <a:extLst>
                        <a:ext uri="{28A0092B-C50C-407E-A947-70E740481C1C}"/>
                      </a:extLst>
                    </a:blip>
                    <a:srcRect/>
                    <a:stretch>
                      <a:fillRect/>
                    </a:stretch>
                  </pic:blipFill>
                  <pic:spPr bwMode="auto">
                    <a:xfrm>
                      <a:off x="0" y="0"/>
                      <a:ext cx="7178040" cy="1714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-250825</wp:posOffset>
            </wp:positionV>
            <wp:extent cx="7178040" cy="2457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1">
                      <a:extLst>
                        <a:ext uri="{28A0092B-C50C-407E-A947-70E740481C1C}"/>
                      </a:extLst>
                    </a:blip>
                    <a:srcRect/>
                    <a:stretch>
                      <a:fillRect/>
                    </a:stretch>
                  </pic:blipFill>
                  <pic:spPr bwMode="auto">
                    <a:xfrm>
                      <a:off x="0" y="0"/>
                      <a:ext cx="7178040" cy="2457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3"/>
        </w:trPr>
        <w:tc>
          <w:tcPr>
            <w:tcW w:w="600" w:type="dxa"/>
            <w:vAlign w:val="bottom"/>
          </w:tcPr>
          <w:p>
            <w:pPr>
              <w:jc w:val="center"/>
              <w:ind w:right="300"/>
              <w:spacing w:after="0"/>
              <w:rPr>
                <w:sz w:val="20"/>
                <w:szCs w:val="20"/>
                <w:color w:val="auto"/>
              </w:rPr>
            </w:pPr>
            <w:r>
              <w:rPr>
                <w:rFonts w:ascii="Arial" w:cs="Arial" w:eastAsia="Arial" w:hAnsi="Arial"/>
                <w:sz w:val="12"/>
                <w:szCs w:val="12"/>
                <w:color w:val="auto"/>
              </w:rPr>
              <w:t>8-K</w:t>
            </w:r>
          </w:p>
        </w:tc>
        <w:tc>
          <w:tcPr>
            <w:tcW w:w="960" w:type="dxa"/>
            <w:vAlign w:val="bottom"/>
          </w:tcPr>
          <w:p>
            <w:pPr>
              <w:jc w:val="center"/>
              <w:spacing w:after="0"/>
              <w:rPr>
                <w:sz w:val="20"/>
                <w:szCs w:val="20"/>
                <w:color w:val="auto"/>
              </w:rPr>
            </w:pPr>
            <w:r>
              <w:rPr>
                <w:rFonts w:ascii="Arial" w:cs="Arial" w:eastAsia="Arial" w:hAnsi="Arial"/>
                <w:sz w:val="12"/>
                <w:szCs w:val="12"/>
                <w:color w:val="auto"/>
                <w:w w:val="83"/>
              </w:rPr>
              <w:t>4.8</w:t>
            </w:r>
          </w:p>
        </w:tc>
        <w:tc>
          <w:tcPr>
            <w:tcW w:w="880" w:type="dxa"/>
            <w:vAlign w:val="bottom"/>
          </w:tcPr>
          <w:p>
            <w:pPr>
              <w:jc w:val="center"/>
              <w:ind w:left="340"/>
              <w:spacing w:after="0"/>
              <w:rPr>
                <w:sz w:val="20"/>
                <w:szCs w:val="20"/>
                <w:color w:val="auto"/>
              </w:rPr>
            </w:pPr>
            <w:r>
              <w:rPr>
                <w:rFonts w:ascii="Arial" w:cs="Arial" w:eastAsia="Arial" w:hAnsi="Arial"/>
                <w:sz w:val="12"/>
                <w:szCs w:val="12"/>
                <w:color w:val="auto"/>
                <w:w w:val="94"/>
              </w:rPr>
              <w:t>9/5/2018</w:t>
            </w:r>
          </w:p>
        </w:tc>
      </w:tr>
      <w:tr>
        <w:trPr>
          <w:trHeight w:val="387"/>
        </w:trPr>
        <w:tc>
          <w:tcPr>
            <w:tcW w:w="600" w:type="dxa"/>
            <w:vAlign w:val="bottom"/>
          </w:tcPr>
          <w:p>
            <w:pPr>
              <w:jc w:val="center"/>
              <w:ind w:right="300"/>
              <w:spacing w:after="0"/>
              <w:rPr>
                <w:sz w:val="20"/>
                <w:szCs w:val="20"/>
                <w:color w:val="auto"/>
              </w:rPr>
            </w:pPr>
            <w:r>
              <w:rPr>
                <w:rFonts w:ascii="Arial" w:cs="Arial" w:eastAsia="Arial" w:hAnsi="Arial"/>
                <w:sz w:val="12"/>
                <w:szCs w:val="12"/>
                <w:color w:val="auto"/>
              </w:rPr>
              <w:t>8-K</w:t>
            </w:r>
          </w:p>
        </w:tc>
        <w:tc>
          <w:tcPr>
            <w:tcW w:w="960" w:type="dxa"/>
            <w:vAlign w:val="bottom"/>
          </w:tcPr>
          <w:p>
            <w:pPr>
              <w:jc w:val="center"/>
              <w:spacing w:after="0"/>
              <w:rPr>
                <w:sz w:val="20"/>
                <w:szCs w:val="20"/>
                <w:color w:val="auto"/>
              </w:rPr>
            </w:pPr>
            <w:r>
              <w:rPr>
                <w:rFonts w:ascii="Arial" w:cs="Arial" w:eastAsia="Arial" w:hAnsi="Arial"/>
                <w:sz w:val="12"/>
                <w:szCs w:val="12"/>
                <w:color w:val="auto"/>
                <w:w w:val="83"/>
              </w:rPr>
              <w:t>4.1</w:t>
            </w:r>
          </w:p>
        </w:tc>
        <w:tc>
          <w:tcPr>
            <w:tcW w:w="880" w:type="dxa"/>
            <w:vAlign w:val="bottom"/>
          </w:tcPr>
          <w:p>
            <w:pPr>
              <w:jc w:val="center"/>
              <w:ind w:left="340"/>
              <w:spacing w:after="0"/>
              <w:rPr>
                <w:sz w:val="20"/>
                <w:szCs w:val="20"/>
                <w:color w:val="auto"/>
              </w:rPr>
            </w:pPr>
            <w:r>
              <w:rPr>
                <w:rFonts w:ascii="Arial" w:cs="Arial" w:eastAsia="Arial" w:hAnsi="Arial"/>
                <w:sz w:val="12"/>
                <w:szCs w:val="12"/>
                <w:color w:val="auto"/>
                <w:w w:val="89"/>
              </w:rPr>
              <w:t>10/1/2019</w:t>
            </w:r>
          </w:p>
        </w:tc>
      </w:tr>
      <w:tr>
        <w:trPr>
          <w:trHeight w:val="324"/>
        </w:trPr>
        <w:tc>
          <w:tcPr>
            <w:tcW w:w="600" w:type="dxa"/>
            <w:vAlign w:val="bottom"/>
          </w:tcPr>
          <w:p>
            <w:pPr>
              <w:jc w:val="center"/>
              <w:ind w:right="300"/>
              <w:spacing w:after="0"/>
              <w:rPr>
                <w:sz w:val="20"/>
                <w:szCs w:val="20"/>
                <w:color w:val="auto"/>
              </w:rPr>
            </w:pPr>
            <w:r>
              <w:rPr>
                <w:rFonts w:ascii="Arial" w:cs="Arial" w:eastAsia="Arial" w:hAnsi="Arial"/>
                <w:sz w:val="12"/>
                <w:szCs w:val="12"/>
                <w:color w:val="auto"/>
                <w:w w:val="94"/>
              </w:rPr>
              <w:t>10-K</w:t>
            </w:r>
          </w:p>
        </w:tc>
        <w:tc>
          <w:tcPr>
            <w:tcW w:w="960" w:type="dxa"/>
            <w:vAlign w:val="bottom"/>
          </w:tcPr>
          <w:p>
            <w:pPr>
              <w:jc w:val="center"/>
              <w:spacing w:after="0"/>
              <w:rPr>
                <w:sz w:val="20"/>
                <w:szCs w:val="20"/>
                <w:color w:val="auto"/>
              </w:rPr>
            </w:pPr>
            <w:r>
              <w:rPr>
                <w:rFonts w:ascii="Arial" w:cs="Arial" w:eastAsia="Arial" w:hAnsi="Arial"/>
                <w:sz w:val="12"/>
                <w:szCs w:val="12"/>
                <w:color w:val="auto"/>
                <w:w w:val="93"/>
              </w:rPr>
              <w:t>4.12</w:t>
            </w:r>
          </w:p>
        </w:tc>
        <w:tc>
          <w:tcPr>
            <w:tcW w:w="880" w:type="dxa"/>
            <w:vAlign w:val="bottom"/>
          </w:tcPr>
          <w:p>
            <w:pPr>
              <w:jc w:val="center"/>
              <w:ind w:left="340"/>
              <w:spacing w:after="0"/>
              <w:rPr>
                <w:sz w:val="20"/>
                <w:szCs w:val="20"/>
                <w:color w:val="auto"/>
              </w:rPr>
            </w:pPr>
            <w:r>
              <w:rPr>
                <w:rFonts w:ascii="Arial" w:cs="Arial" w:eastAsia="Arial" w:hAnsi="Arial"/>
                <w:sz w:val="12"/>
                <w:szCs w:val="12"/>
                <w:color w:val="auto"/>
                <w:w w:val="94"/>
              </w:rPr>
              <w:t>3/2/2020</w:t>
            </w:r>
          </w:p>
        </w:tc>
      </w:tr>
      <w:tr>
        <w:trPr>
          <w:trHeight w:val="270"/>
        </w:trPr>
        <w:tc>
          <w:tcPr>
            <w:tcW w:w="600" w:type="dxa"/>
            <w:vAlign w:val="bottom"/>
          </w:tcPr>
          <w:p>
            <w:pPr>
              <w:jc w:val="center"/>
              <w:ind w:right="300"/>
              <w:spacing w:after="0"/>
              <w:rPr>
                <w:sz w:val="20"/>
                <w:szCs w:val="20"/>
                <w:color w:val="auto"/>
              </w:rPr>
            </w:pPr>
            <w:r>
              <w:rPr>
                <w:rFonts w:ascii="Arial" w:cs="Arial" w:eastAsia="Arial" w:hAnsi="Arial"/>
                <w:sz w:val="12"/>
                <w:szCs w:val="12"/>
                <w:color w:val="auto"/>
                <w:w w:val="94"/>
              </w:rPr>
              <w:t>10-K</w:t>
            </w:r>
          </w:p>
        </w:tc>
        <w:tc>
          <w:tcPr>
            <w:tcW w:w="960" w:type="dxa"/>
            <w:vAlign w:val="bottom"/>
          </w:tcPr>
          <w:p>
            <w:pPr>
              <w:jc w:val="center"/>
              <w:spacing w:after="0"/>
              <w:rPr>
                <w:sz w:val="20"/>
                <w:szCs w:val="20"/>
                <w:color w:val="auto"/>
              </w:rPr>
            </w:pPr>
            <w:r>
              <w:rPr>
                <w:rFonts w:ascii="Arial" w:cs="Arial" w:eastAsia="Arial" w:hAnsi="Arial"/>
                <w:sz w:val="12"/>
                <w:szCs w:val="12"/>
                <w:color w:val="auto"/>
                <w:w w:val="93"/>
              </w:rPr>
              <w:t>4.13</w:t>
            </w:r>
          </w:p>
        </w:tc>
        <w:tc>
          <w:tcPr>
            <w:tcW w:w="880" w:type="dxa"/>
            <w:vAlign w:val="bottom"/>
          </w:tcPr>
          <w:p>
            <w:pPr>
              <w:jc w:val="center"/>
              <w:ind w:left="340"/>
              <w:spacing w:after="0"/>
              <w:rPr>
                <w:sz w:val="20"/>
                <w:szCs w:val="20"/>
                <w:color w:val="auto"/>
              </w:rPr>
            </w:pPr>
            <w:r>
              <w:rPr>
                <w:rFonts w:ascii="Arial" w:cs="Arial" w:eastAsia="Arial" w:hAnsi="Arial"/>
                <w:sz w:val="12"/>
                <w:szCs w:val="12"/>
                <w:color w:val="auto"/>
                <w:w w:val="94"/>
              </w:rPr>
              <w:t>3/2/2020</w:t>
            </w:r>
          </w:p>
        </w:tc>
      </w:tr>
      <w:tr>
        <w:trPr>
          <w:trHeight w:val="216"/>
        </w:trPr>
        <w:tc>
          <w:tcPr>
            <w:tcW w:w="600" w:type="dxa"/>
            <w:vAlign w:val="bottom"/>
          </w:tcPr>
          <w:p>
            <w:pPr>
              <w:jc w:val="center"/>
              <w:ind w:right="300"/>
              <w:spacing w:after="0"/>
              <w:rPr>
                <w:sz w:val="20"/>
                <w:szCs w:val="20"/>
                <w:color w:val="auto"/>
              </w:rPr>
            </w:pPr>
            <w:r>
              <w:rPr>
                <w:rFonts w:ascii="Arial" w:cs="Arial" w:eastAsia="Arial" w:hAnsi="Arial"/>
                <w:sz w:val="12"/>
                <w:szCs w:val="12"/>
                <w:color w:val="auto"/>
              </w:rPr>
              <w:t>8-K</w:t>
            </w:r>
          </w:p>
        </w:tc>
        <w:tc>
          <w:tcPr>
            <w:tcW w:w="960" w:type="dxa"/>
            <w:vAlign w:val="bottom"/>
          </w:tcPr>
          <w:p>
            <w:pPr>
              <w:jc w:val="center"/>
              <w:spacing w:after="0"/>
              <w:rPr>
                <w:sz w:val="20"/>
                <w:szCs w:val="20"/>
                <w:color w:val="auto"/>
              </w:rPr>
            </w:pPr>
            <w:r>
              <w:rPr>
                <w:rFonts w:ascii="Arial" w:cs="Arial" w:eastAsia="Arial" w:hAnsi="Arial"/>
                <w:sz w:val="12"/>
                <w:szCs w:val="12"/>
                <w:color w:val="auto"/>
                <w:w w:val="83"/>
              </w:rPr>
              <w:t>4.2</w:t>
            </w:r>
          </w:p>
        </w:tc>
        <w:tc>
          <w:tcPr>
            <w:tcW w:w="880" w:type="dxa"/>
            <w:vAlign w:val="bottom"/>
          </w:tcPr>
          <w:p>
            <w:pPr>
              <w:jc w:val="center"/>
              <w:ind w:left="340"/>
              <w:spacing w:after="0"/>
              <w:rPr>
                <w:sz w:val="20"/>
                <w:szCs w:val="20"/>
                <w:color w:val="auto"/>
              </w:rPr>
            </w:pPr>
            <w:r>
              <w:rPr>
                <w:rFonts w:ascii="Arial" w:cs="Arial" w:eastAsia="Arial" w:hAnsi="Arial"/>
                <w:sz w:val="12"/>
                <w:szCs w:val="12"/>
                <w:color w:val="auto"/>
                <w:w w:val="89"/>
              </w:rPr>
              <w:t>10/1/2019</w:t>
            </w:r>
          </w:p>
        </w:tc>
      </w:tr>
      <w:tr>
        <w:trPr>
          <w:trHeight w:val="207"/>
        </w:trPr>
        <w:tc>
          <w:tcPr>
            <w:tcW w:w="600" w:type="dxa"/>
            <w:vAlign w:val="bottom"/>
          </w:tcPr>
          <w:p>
            <w:pPr>
              <w:jc w:val="center"/>
              <w:ind w:right="300"/>
              <w:spacing w:after="0"/>
              <w:rPr>
                <w:sz w:val="20"/>
                <w:szCs w:val="20"/>
                <w:color w:val="auto"/>
              </w:rPr>
            </w:pPr>
            <w:r>
              <w:rPr>
                <w:rFonts w:ascii="Arial" w:cs="Arial" w:eastAsia="Arial" w:hAnsi="Arial"/>
                <w:sz w:val="12"/>
                <w:szCs w:val="12"/>
                <w:color w:val="auto"/>
              </w:rPr>
              <w:t>8-K</w:t>
            </w:r>
          </w:p>
        </w:tc>
        <w:tc>
          <w:tcPr>
            <w:tcW w:w="960" w:type="dxa"/>
            <w:vAlign w:val="bottom"/>
          </w:tcPr>
          <w:p>
            <w:pPr>
              <w:jc w:val="center"/>
              <w:spacing w:after="0"/>
              <w:rPr>
                <w:sz w:val="20"/>
                <w:szCs w:val="20"/>
                <w:color w:val="auto"/>
              </w:rPr>
            </w:pPr>
            <w:r>
              <w:rPr>
                <w:rFonts w:ascii="Arial" w:cs="Arial" w:eastAsia="Arial" w:hAnsi="Arial"/>
                <w:sz w:val="12"/>
                <w:szCs w:val="12"/>
                <w:color w:val="auto"/>
                <w:w w:val="83"/>
              </w:rPr>
              <w:t>4.3</w:t>
            </w:r>
          </w:p>
        </w:tc>
        <w:tc>
          <w:tcPr>
            <w:tcW w:w="880" w:type="dxa"/>
            <w:vAlign w:val="bottom"/>
          </w:tcPr>
          <w:p>
            <w:pPr>
              <w:jc w:val="center"/>
              <w:ind w:left="340"/>
              <w:spacing w:after="0"/>
              <w:rPr>
                <w:sz w:val="20"/>
                <w:szCs w:val="20"/>
                <w:color w:val="auto"/>
              </w:rPr>
            </w:pPr>
            <w:r>
              <w:rPr>
                <w:rFonts w:ascii="Arial" w:cs="Arial" w:eastAsia="Arial" w:hAnsi="Arial"/>
                <w:sz w:val="12"/>
                <w:szCs w:val="12"/>
                <w:color w:val="auto"/>
                <w:w w:val="89"/>
              </w:rPr>
              <w:t>10/1/2019</w:t>
            </w:r>
          </w:p>
        </w:tc>
      </w:tr>
      <w:tr>
        <w:trPr>
          <w:trHeight w:val="333"/>
        </w:trPr>
        <w:tc>
          <w:tcPr>
            <w:tcW w:w="600" w:type="dxa"/>
            <w:vAlign w:val="bottom"/>
          </w:tcPr>
          <w:p>
            <w:pPr>
              <w:jc w:val="center"/>
              <w:ind w:right="300"/>
              <w:spacing w:after="0"/>
              <w:rPr>
                <w:sz w:val="20"/>
                <w:szCs w:val="20"/>
                <w:color w:val="auto"/>
              </w:rPr>
            </w:pPr>
            <w:r>
              <w:rPr>
                <w:rFonts w:ascii="Arial" w:cs="Arial" w:eastAsia="Arial" w:hAnsi="Arial"/>
                <w:sz w:val="12"/>
                <w:szCs w:val="12"/>
                <w:color w:val="auto"/>
              </w:rPr>
              <w:t>8-K</w:t>
            </w:r>
          </w:p>
        </w:tc>
        <w:tc>
          <w:tcPr>
            <w:tcW w:w="960" w:type="dxa"/>
            <w:vAlign w:val="bottom"/>
          </w:tcPr>
          <w:p>
            <w:pPr>
              <w:jc w:val="center"/>
              <w:spacing w:after="0"/>
              <w:rPr>
                <w:sz w:val="20"/>
                <w:szCs w:val="20"/>
                <w:color w:val="auto"/>
              </w:rPr>
            </w:pPr>
            <w:r>
              <w:rPr>
                <w:rFonts w:ascii="Arial" w:cs="Arial" w:eastAsia="Arial" w:hAnsi="Arial"/>
                <w:sz w:val="12"/>
                <w:szCs w:val="12"/>
                <w:color w:val="auto"/>
                <w:w w:val="83"/>
              </w:rPr>
              <w:t>4.1</w:t>
            </w:r>
          </w:p>
        </w:tc>
        <w:tc>
          <w:tcPr>
            <w:tcW w:w="880" w:type="dxa"/>
            <w:vAlign w:val="bottom"/>
          </w:tcPr>
          <w:p>
            <w:pPr>
              <w:jc w:val="center"/>
              <w:ind w:left="340"/>
              <w:spacing w:after="0"/>
              <w:rPr>
                <w:sz w:val="20"/>
                <w:szCs w:val="20"/>
                <w:color w:val="auto"/>
              </w:rPr>
            </w:pPr>
            <w:r>
              <w:rPr>
                <w:rFonts w:ascii="Arial" w:cs="Arial" w:eastAsia="Arial" w:hAnsi="Arial"/>
                <w:sz w:val="12"/>
                <w:szCs w:val="12"/>
                <w:color w:val="auto"/>
                <w:w w:val="89"/>
              </w:rPr>
              <w:t>5/15/2020</w:t>
            </w:r>
          </w:p>
        </w:tc>
      </w:tr>
      <w:tr>
        <w:trPr>
          <w:trHeight w:val="270"/>
        </w:trPr>
        <w:tc>
          <w:tcPr>
            <w:tcW w:w="600" w:type="dxa"/>
            <w:vAlign w:val="bottom"/>
          </w:tcPr>
          <w:p>
            <w:pPr>
              <w:jc w:val="center"/>
              <w:ind w:right="300"/>
              <w:spacing w:after="0"/>
              <w:rPr>
                <w:sz w:val="20"/>
                <w:szCs w:val="20"/>
                <w:color w:val="auto"/>
              </w:rPr>
            </w:pPr>
            <w:r>
              <w:rPr>
                <w:rFonts w:ascii="Arial" w:cs="Arial" w:eastAsia="Arial" w:hAnsi="Arial"/>
                <w:sz w:val="12"/>
                <w:szCs w:val="12"/>
                <w:color w:val="auto"/>
              </w:rPr>
              <w:t>8-K</w:t>
            </w:r>
          </w:p>
        </w:tc>
        <w:tc>
          <w:tcPr>
            <w:tcW w:w="960" w:type="dxa"/>
            <w:vAlign w:val="bottom"/>
          </w:tcPr>
          <w:p>
            <w:pPr>
              <w:jc w:val="center"/>
              <w:spacing w:after="0"/>
              <w:rPr>
                <w:sz w:val="20"/>
                <w:szCs w:val="20"/>
                <w:color w:val="auto"/>
              </w:rPr>
            </w:pPr>
            <w:r>
              <w:rPr>
                <w:rFonts w:ascii="Arial" w:cs="Arial" w:eastAsia="Arial" w:hAnsi="Arial"/>
                <w:sz w:val="12"/>
                <w:szCs w:val="12"/>
                <w:color w:val="auto"/>
                <w:w w:val="83"/>
              </w:rPr>
              <w:t>4.1</w:t>
            </w:r>
          </w:p>
        </w:tc>
        <w:tc>
          <w:tcPr>
            <w:tcW w:w="880" w:type="dxa"/>
            <w:vAlign w:val="bottom"/>
          </w:tcPr>
          <w:p>
            <w:pPr>
              <w:jc w:val="center"/>
              <w:ind w:left="340"/>
              <w:spacing w:after="0"/>
              <w:rPr>
                <w:sz w:val="20"/>
                <w:szCs w:val="20"/>
                <w:color w:val="auto"/>
              </w:rPr>
            </w:pPr>
            <w:r>
              <w:rPr>
                <w:rFonts w:ascii="Arial" w:cs="Arial" w:eastAsia="Arial" w:hAnsi="Arial"/>
                <w:sz w:val="12"/>
                <w:szCs w:val="12"/>
                <w:color w:val="auto"/>
                <w:w w:val="89"/>
              </w:rPr>
              <w:t>5/15/2020</w:t>
            </w:r>
          </w:p>
        </w:tc>
      </w:tr>
      <w:tr>
        <w:trPr>
          <w:trHeight w:val="207"/>
        </w:trPr>
        <w:tc>
          <w:tcPr>
            <w:tcW w:w="600" w:type="dxa"/>
            <w:vAlign w:val="bottom"/>
          </w:tcPr>
          <w:p>
            <w:pPr>
              <w:jc w:val="center"/>
              <w:ind w:right="300"/>
              <w:spacing w:after="0"/>
              <w:rPr>
                <w:sz w:val="20"/>
                <w:szCs w:val="20"/>
                <w:color w:val="auto"/>
              </w:rPr>
            </w:pPr>
            <w:r>
              <w:rPr>
                <w:rFonts w:ascii="Arial" w:cs="Arial" w:eastAsia="Arial" w:hAnsi="Arial"/>
                <w:sz w:val="12"/>
                <w:szCs w:val="12"/>
                <w:color w:val="auto"/>
              </w:rPr>
              <w:t>8-K</w:t>
            </w:r>
          </w:p>
        </w:tc>
        <w:tc>
          <w:tcPr>
            <w:tcW w:w="960" w:type="dxa"/>
            <w:vAlign w:val="bottom"/>
          </w:tcPr>
          <w:p>
            <w:pPr>
              <w:jc w:val="center"/>
              <w:spacing w:after="0"/>
              <w:rPr>
                <w:sz w:val="20"/>
                <w:szCs w:val="20"/>
                <w:color w:val="auto"/>
              </w:rPr>
            </w:pPr>
            <w:r>
              <w:rPr>
                <w:rFonts w:ascii="Arial" w:cs="Arial" w:eastAsia="Arial" w:hAnsi="Arial"/>
                <w:sz w:val="12"/>
                <w:szCs w:val="12"/>
                <w:color w:val="auto"/>
                <w:w w:val="83"/>
              </w:rPr>
              <w:t>4.1</w:t>
            </w:r>
          </w:p>
        </w:tc>
        <w:tc>
          <w:tcPr>
            <w:tcW w:w="880" w:type="dxa"/>
            <w:vAlign w:val="bottom"/>
          </w:tcPr>
          <w:p>
            <w:pPr>
              <w:jc w:val="center"/>
              <w:ind w:left="340"/>
              <w:spacing w:after="0"/>
              <w:rPr>
                <w:sz w:val="20"/>
                <w:szCs w:val="20"/>
                <w:color w:val="auto"/>
              </w:rPr>
            </w:pPr>
            <w:r>
              <w:rPr>
                <w:rFonts w:ascii="Arial" w:cs="Arial" w:eastAsia="Arial" w:hAnsi="Arial"/>
                <w:sz w:val="12"/>
                <w:szCs w:val="12"/>
                <w:color w:val="auto"/>
                <w:w w:val="94"/>
              </w:rPr>
              <w:t>2/3/2021</w:t>
            </w:r>
          </w:p>
        </w:tc>
      </w:tr>
      <w:tr>
        <w:trPr>
          <w:trHeight w:val="216"/>
        </w:trPr>
        <w:tc>
          <w:tcPr>
            <w:tcW w:w="600" w:type="dxa"/>
            <w:vAlign w:val="bottom"/>
          </w:tcPr>
          <w:p>
            <w:pPr>
              <w:jc w:val="center"/>
              <w:ind w:right="300"/>
              <w:spacing w:after="0"/>
              <w:rPr>
                <w:sz w:val="20"/>
                <w:szCs w:val="20"/>
                <w:color w:val="auto"/>
              </w:rPr>
            </w:pPr>
            <w:r>
              <w:rPr>
                <w:rFonts w:ascii="Arial" w:cs="Arial" w:eastAsia="Arial" w:hAnsi="Arial"/>
                <w:sz w:val="12"/>
                <w:szCs w:val="12"/>
                <w:color w:val="auto"/>
              </w:rPr>
              <w:t>8-K</w:t>
            </w:r>
          </w:p>
        </w:tc>
        <w:tc>
          <w:tcPr>
            <w:tcW w:w="960" w:type="dxa"/>
            <w:vAlign w:val="bottom"/>
          </w:tcPr>
          <w:p>
            <w:pPr>
              <w:jc w:val="center"/>
              <w:spacing w:after="0"/>
              <w:rPr>
                <w:sz w:val="20"/>
                <w:szCs w:val="20"/>
                <w:color w:val="auto"/>
              </w:rPr>
            </w:pPr>
            <w:r>
              <w:rPr>
                <w:rFonts w:ascii="Arial" w:cs="Arial" w:eastAsia="Arial" w:hAnsi="Arial"/>
                <w:sz w:val="12"/>
                <w:szCs w:val="12"/>
                <w:color w:val="auto"/>
                <w:w w:val="83"/>
              </w:rPr>
              <w:t>4.1</w:t>
            </w:r>
          </w:p>
        </w:tc>
        <w:tc>
          <w:tcPr>
            <w:tcW w:w="880" w:type="dxa"/>
            <w:vAlign w:val="bottom"/>
          </w:tcPr>
          <w:p>
            <w:pPr>
              <w:jc w:val="center"/>
              <w:ind w:left="340"/>
              <w:spacing w:after="0"/>
              <w:rPr>
                <w:sz w:val="20"/>
                <w:szCs w:val="20"/>
                <w:color w:val="auto"/>
              </w:rPr>
            </w:pPr>
            <w:r>
              <w:rPr>
                <w:rFonts w:ascii="Arial" w:cs="Arial" w:eastAsia="Arial" w:hAnsi="Arial"/>
                <w:sz w:val="12"/>
                <w:szCs w:val="12"/>
                <w:color w:val="auto"/>
                <w:w w:val="94"/>
              </w:rPr>
              <w:t>2/3/2021</w:t>
            </w:r>
          </w:p>
        </w:tc>
      </w:tr>
      <w:tr>
        <w:trPr>
          <w:trHeight w:val="270"/>
        </w:trPr>
        <w:tc>
          <w:tcPr>
            <w:tcW w:w="600" w:type="dxa"/>
            <w:vAlign w:val="bottom"/>
          </w:tcPr>
          <w:p>
            <w:pPr>
              <w:jc w:val="center"/>
              <w:ind w:right="300"/>
              <w:spacing w:after="0"/>
              <w:rPr>
                <w:sz w:val="20"/>
                <w:szCs w:val="20"/>
                <w:color w:val="auto"/>
              </w:rPr>
            </w:pPr>
            <w:r>
              <w:rPr>
                <w:rFonts w:ascii="Arial" w:cs="Arial" w:eastAsia="Arial" w:hAnsi="Arial"/>
                <w:sz w:val="12"/>
                <w:szCs w:val="12"/>
                <w:color w:val="auto"/>
              </w:rPr>
              <w:t>8-K</w:t>
            </w:r>
          </w:p>
        </w:tc>
        <w:tc>
          <w:tcPr>
            <w:tcW w:w="960" w:type="dxa"/>
            <w:vAlign w:val="bottom"/>
          </w:tcPr>
          <w:p>
            <w:pPr>
              <w:jc w:val="center"/>
              <w:spacing w:after="0"/>
              <w:rPr>
                <w:sz w:val="20"/>
                <w:szCs w:val="20"/>
                <w:color w:val="auto"/>
              </w:rPr>
            </w:pPr>
            <w:r>
              <w:rPr>
                <w:rFonts w:ascii="Arial" w:cs="Arial" w:eastAsia="Arial" w:hAnsi="Arial"/>
                <w:sz w:val="12"/>
                <w:szCs w:val="12"/>
                <w:color w:val="auto"/>
                <w:w w:val="83"/>
              </w:rPr>
              <w:t>4.1</w:t>
            </w:r>
          </w:p>
        </w:tc>
        <w:tc>
          <w:tcPr>
            <w:tcW w:w="880" w:type="dxa"/>
            <w:vAlign w:val="bottom"/>
          </w:tcPr>
          <w:p>
            <w:pPr>
              <w:jc w:val="center"/>
              <w:ind w:left="340"/>
              <w:spacing w:after="0"/>
              <w:rPr>
                <w:sz w:val="20"/>
                <w:szCs w:val="20"/>
                <w:color w:val="auto"/>
              </w:rPr>
            </w:pPr>
            <w:r>
              <w:rPr>
                <w:rFonts w:ascii="Arial" w:cs="Arial" w:eastAsia="Arial" w:hAnsi="Arial"/>
                <w:sz w:val="12"/>
                <w:szCs w:val="12"/>
                <w:color w:val="auto"/>
                <w:w w:val="89"/>
              </w:rPr>
              <w:t>6/22/2021</w:t>
            </w:r>
          </w:p>
        </w:tc>
      </w:tr>
    </w:tbl>
    <w:p>
      <w:pPr>
        <w:spacing w:after="0" w:line="126" w:lineRule="exact"/>
        <w:rPr>
          <w:sz w:val="20"/>
          <w:szCs w:val="20"/>
          <w:color w:val="auto"/>
        </w:rPr>
      </w:pPr>
    </w:p>
    <w:p>
      <w:pPr>
        <w:sectPr>
          <w:pgSz w:w="11900" w:h="16838" w:orient="portrait"/>
          <w:cols w:equalWidth="0" w:num="2">
            <w:col w:w="7740" w:space="720"/>
            <w:col w:w="2840"/>
          </w:cols>
          <w:pgMar w:left="300" w:top="275" w:right="299" w:bottom="1440" w:gutter="0" w:footer="0" w:header="0"/>
          <w:type w:val="continuous"/>
        </w:sectPr>
      </w:pPr>
    </w:p>
    <w:tbl>
      <w:tblPr>
        <w:tblLayout w:type="fixed"/>
        <w:tblInd w:w="0" w:type="dxa"/>
        <w:tblCellMar>
          <w:top w:w="0" w:type="dxa"/>
          <w:left w:w="0" w:type="dxa"/>
          <w:bottom w:w="0" w:type="dxa"/>
          <w:right w:w="0" w:type="dxa"/>
        </w:tblCellMar>
      </w:tblPr>
      <w:tr>
        <w:trPr>
          <w:trHeight w:val="117"/>
        </w:trPr>
        <w:tc>
          <w:tcPr>
            <w:tcW w:w="840" w:type="dxa"/>
            <w:vAlign w:val="bottom"/>
            <w:gridSpan w:val="3"/>
          </w:tcPr>
          <w:p>
            <w:pPr>
              <w:jc w:val="right"/>
              <w:ind w:right="260"/>
              <w:spacing w:after="0" w:line="117" w:lineRule="exact"/>
              <w:rPr>
                <w:rFonts w:ascii="Arial" w:cs="Arial" w:eastAsia="Arial" w:hAnsi="Arial"/>
                <w:sz w:val="12"/>
                <w:szCs w:val="12"/>
                <w:color w:val="0000FF"/>
              </w:rPr>
            </w:pPr>
            <w:hyperlink r:id="rId142">
              <w:r>
                <w:rPr>
                  <w:rFonts w:ascii="Arial" w:cs="Arial" w:eastAsia="Arial" w:hAnsi="Arial"/>
                  <w:sz w:val="12"/>
                  <w:szCs w:val="12"/>
                  <w:color w:val="0000FF"/>
                </w:rPr>
                <w:t>4.</w:t>
              </w:r>
              <w:r>
                <w:rPr>
                  <w:rFonts w:ascii="Arial" w:cs="Arial" w:eastAsia="Arial" w:hAnsi="Arial"/>
                  <w:sz w:val="12"/>
                  <w:szCs w:val="12"/>
                  <w:u w:val="single" w:color="auto"/>
                  <w:color w:val="0000FF"/>
                </w:rPr>
                <w:t>21</w:t>
              </w:r>
            </w:hyperlink>
          </w:p>
        </w:tc>
        <w:tc>
          <w:tcPr>
            <w:tcW w:w="6200" w:type="dxa"/>
            <w:vAlign w:val="bottom"/>
          </w:tcPr>
          <w:p>
            <w:pPr>
              <w:ind w:left="240"/>
              <w:spacing w:after="0" w:line="117" w:lineRule="exact"/>
              <w:rPr>
                <w:sz w:val="20"/>
                <w:szCs w:val="20"/>
                <w:color w:val="auto"/>
              </w:rPr>
            </w:pPr>
            <w:r>
              <w:rPr>
                <w:rFonts w:ascii="Arial" w:cs="Arial" w:eastAsia="Arial" w:hAnsi="Arial"/>
                <w:sz w:val="12"/>
                <w:szCs w:val="12"/>
                <w:color w:val="auto"/>
              </w:rPr>
              <w:t>Form of 4.500% Senior Notes due 2029 (included as Exhibit A to Exhibit 4.20 above)</w:t>
            </w:r>
          </w:p>
        </w:tc>
        <w:tc>
          <w:tcPr>
            <w:tcW w:w="2020" w:type="dxa"/>
            <w:vAlign w:val="bottom"/>
          </w:tcPr>
          <w:p>
            <w:pPr>
              <w:jc w:val="center"/>
              <w:ind w:left="1000"/>
              <w:spacing w:after="0" w:line="117" w:lineRule="exact"/>
              <w:rPr>
                <w:sz w:val="20"/>
                <w:szCs w:val="20"/>
                <w:color w:val="auto"/>
              </w:rPr>
            </w:pPr>
            <w:r>
              <w:rPr>
                <w:rFonts w:ascii="Arial" w:cs="Arial" w:eastAsia="Arial" w:hAnsi="Arial"/>
                <w:sz w:val="12"/>
                <w:szCs w:val="12"/>
                <w:color w:val="auto"/>
              </w:rPr>
              <w:t>8-K</w:t>
            </w:r>
          </w:p>
        </w:tc>
        <w:tc>
          <w:tcPr>
            <w:tcW w:w="960" w:type="dxa"/>
            <w:vAlign w:val="bottom"/>
          </w:tcPr>
          <w:p>
            <w:pPr>
              <w:jc w:val="center"/>
              <w:spacing w:after="0" w:line="117" w:lineRule="exact"/>
              <w:rPr>
                <w:sz w:val="20"/>
                <w:szCs w:val="20"/>
                <w:color w:val="auto"/>
              </w:rPr>
            </w:pPr>
            <w:r>
              <w:rPr>
                <w:rFonts w:ascii="Arial" w:cs="Arial" w:eastAsia="Arial" w:hAnsi="Arial"/>
                <w:sz w:val="12"/>
                <w:szCs w:val="12"/>
                <w:color w:val="auto"/>
                <w:w w:val="83"/>
              </w:rPr>
              <w:t>4.2</w:t>
            </w:r>
          </w:p>
        </w:tc>
        <w:tc>
          <w:tcPr>
            <w:tcW w:w="1280" w:type="dxa"/>
            <w:vAlign w:val="bottom"/>
          </w:tcPr>
          <w:p>
            <w:pPr>
              <w:jc w:val="center"/>
              <w:spacing w:after="0" w:line="117" w:lineRule="exact"/>
              <w:rPr>
                <w:sz w:val="20"/>
                <w:szCs w:val="20"/>
                <w:color w:val="auto"/>
              </w:rPr>
            </w:pPr>
            <w:r>
              <w:rPr>
                <w:rFonts w:ascii="Arial" w:cs="Arial" w:eastAsia="Arial" w:hAnsi="Arial"/>
                <w:sz w:val="12"/>
                <w:szCs w:val="12"/>
                <w:color w:val="auto"/>
                <w:w w:val="89"/>
              </w:rPr>
              <w:t>6/22/2021</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60" w:type="dxa"/>
            <w:vAlign w:val="bottom"/>
          </w:tcPr>
          <w:p>
            <w:pPr>
              <w:spacing w:after="0"/>
              <w:rPr>
                <w:sz w:val="2"/>
                <w:szCs w:val="2"/>
                <w:color w:val="auto"/>
              </w:rPr>
            </w:pPr>
          </w:p>
        </w:tc>
        <w:tc>
          <w:tcPr>
            <w:tcW w:w="62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840" w:type="dxa"/>
            <w:vAlign w:val="bottom"/>
            <w:gridSpan w:val="3"/>
            <w:shd w:val="clear" w:color="auto" w:fill="CCEEFF"/>
          </w:tcPr>
          <w:p>
            <w:pPr>
              <w:jc w:val="right"/>
              <w:ind w:right="260"/>
              <w:spacing w:after="0" w:line="126" w:lineRule="exact"/>
              <w:rPr>
                <w:rFonts w:ascii="Arial" w:cs="Arial" w:eastAsia="Arial" w:hAnsi="Arial"/>
                <w:sz w:val="12"/>
                <w:szCs w:val="12"/>
                <w:color w:val="0000FF"/>
              </w:rPr>
            </w:pPr>
            <w:hyperlink r:id="rId143">
              <w:r>
                <w:rPr>
                  <w:rFonts w:ascii="Arial" w:cs="Arial" w:eastAsia="Arial" w:hAnsi="Arial"/>
                  <w:sz w:val="12"/>
                  <w:szCs w:val="12"/>
                  <w:color w:val="0000FF"/>
                </w:rPr>
                <w:t>4.</w:t>
              </w:r>
              <w:r>
                <w:rPr>
                  <w:rFonts w:ascii="Arial" w:cs="Arial" w:eastAsia="Arial" w:hAnsi="Arial"/>
                  <w:sz w:val="12"/>
                  <w:szCs w:val="12"/>
                  <w:u w:val="single" w:color="auto"/>
                  <w:color w:val="0000FF"/>
                </w:rPr>
                <w:t>22</w:t>
              </w:r>
            </w:hyperlink>
          </w:p>
        </w:tc>
        <w:tc>
          <w:tcPr>
            <w:tcW w:w="6200" w:type="dxa"/>
            <w:vAlign w:val="bottom"/>
            <w:shd w:val="clear" w:color="auto" w:fill="CCEEFF"/>
          </w:tcPr>
          <w:p>
            <w:pPr>
              <w:ind w:left="240"/>
              <w:spacing w:after="0" w:line="126" w:lineRule="exact"/>
              <w:rPr>
                <w:sz w:val="20"/>
                <w:szCs w:val="20"/>
                <w:color w:val="auto"/>
              </w:rPr>
            </w:pPr>
            <w:r>
              <w:rPr>
                <w:rFonts w:ascii="Arial" w:cs="Arial" w:eastAsia="Arial" w:hAnsi="Arial"/>
                <w:sz w:val="12"/>
                <w:szCs w:val="12"/>
                <w:color w:val="auto"/>
              </w:rPr>
              <w:t>Description of Registered Securities</w:t>
            </w:r>
          </w:p>
        </w:tc>
        <w:tc>
          <w:tcPr>
            <w:tcW w:w="2020" w:type="dxa"/>
            <w:vAlign w:val="bottom"/>
            <w:shd w:val="clear" w:color="auto" w:fill="CCEEFF"/>
          </w:tcPr>
          <w:p>
            <w:pPr>
              <w:jc w:val="center"/>
              <w:ind w:left="1000"/>
              <w:spacing w:after="0" w:line="126" w:lineRule="exact"/>
              <w:rPr>
                <w:sz w:val="20"/>
                <w:szCs w:val="20"/>
                <w:color w:val="auto"/>
              </w:rPr>
            </w:pPr>
            <w:r>
              <w:rPr>
                <w:rFonts w:ascii="Arial" w:cs="Arial" w:eastAsia="Arial" w:hAnsi="Arial"/>
                <w:sz w:val="12"/>
                <w:szCs w:val="12"/>
                <w:color w:val="auto"/>
                <w:w w:val="94"/>
              </w:rPr>
              <w:t>10-K</w:t>
            </w:r>
          </w:p>
        </w:tc>
        <w:tc>
          <w:tcPr>
            <w:tcW w:w="960" w:type="dxa"/>
            <w:vAlign w:val="bottom"/>
            <w:shd w:val="clear" w:color="auto" w:fill="CCEEFF"/>
          </w:tcPr>
          <w:p>
            <w:pPr>
              <w:jc w:val="center"/>
              <w:spacing w:after="0" w:line="126" w:lineRule="exact"/>
              <w:rPr>
                <w:sz w:val="20"/>
                <w:szCs w:val="20"/>
                <w:color w:val="auto"/>
              </w:rPr>
            </w:pPr>
            <w:r>
              <w:rPr>
                <w:rFonts w:ascii="Arial" w:cs="Arial" w:eastAsia="Arial" w:hAnsi="Arial"/>
                <w:sz w:val="12"/>
                <w:szCs w:val="12"/>
                <w:color w:val="auto"/>
                <w:w w:val="93"/>
              </w:rPr>
              <w:t>4.16</w:t>
            </w:r>
          </w:p>
        </w:tc>
        <w:tc>
          <w:tcPr>
            <w:tcW w:w="1280" w:type="dxa"/>
            <w:vAlign w:val="bottom"/>
            <w:shd w:val="clear" w:color="auto" w:fill="CCEEFF"/>
          </w:tcPr>
          <w:p>
            <w:pPr>
              <w:jc w:val="center"/>
              <w:spacing w:after="0" w:line="126" w:lineRule="exact"/>
              <w:rPr>
                <w:sz w:val="20"/>
                <w:szCs w:val="20"/>
                <w:color w:val="auto"/>
              </w:rPr>
            </w:pPr>
            <w:r>
              <w:rPr>
                <w:rFonts w:ascii="Arial" w:cs="Arial" w:eastAsia="Arial" w:hAnsi="Arial"/>
                <w:sz w:val="12"/>
                <w:szCs w:val="12"/>
                <w:color w:val="auto"/>
                <w:w w:val="94"/>
              </w:rPr>
              <w:t>3/2/2020</w:t>
            </w:r>
          </w:p>
        </w:tc>
        <w:tc>
          <w:tcPr>
            <w:tcW w:w="0" w:type="dxa"/>
            <w:vAlign w:val="bottom"/>
          </w:tcPr>
          <w:p>
            <w:pPr>
              <w:spacing w:after="0"/>
              <w:rPr>
                <w:sz w:val="1"/>
                <w:szCs w:val="1"/>
                <w:color w:val="auto"/>
              </w:rPr>
            </w:pPr>
          </w:p>
        </w:tc>
      </w:tr>
      <w:tr>
        <w:trPr>
          <w:trHeight w:val="27"/>
        </w:trPr>
        <w:tc>
          <w:tcPr>
            <w:tcW w:w="380" w:type="dxa"/>
            <w:vAlign w:val="bottom"/>
            <w:shd w:val="clear" w:color="auto" w:fill="CCEE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20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840" w:type="dxa"/>
            <w:vAlign w:val="bottom"/>
            <w:gridSpan w:val="3"/>
            <w:vMerge w:val="restart"/>
          </w:tcPr>
          <w:p>
            <w:pPr>
              <w:jc w:val="right"/>
              <w:ind w:right="260"/>
              <w:spacing w:after="0"/>
              <w:rPr>
                <w:rFonts w:ascii="Arial" w:cs="Arial" w:eastAsia="Arial" w:hAnsi="Arial"/>
                <w:sz w:val="12"/>
                <w:szCs w:val="12"/>
                <w:color w:val="0000FF"/>
              </w:rPr>
            </w:pPr>
            <w:hyperlink r:id="rId144">
              <w:r>
                <w:rPr>
                  <w:rFonts w:ascii="Arial" w:cs="Arial" w:eastAsia="Arial" w:hAnsi="Arial"/>
                  <w:sz w:val="12"/>
                  <w:szCs w:val="12"/>
                  <w:color w:val="0000FF"/>
                </w:rPr>
                <w:t>10.</w:t>
              </w:r>
              <w:r>
                <w:rPr>
                  <w:rFonts w:ascii="Arial" w:cs="Arial" w:eastAsia="Arial" w:hAnsi="Arial"/>
                  <w:sz w:val="12"/>
                  <w:szCs w:val="12"/>
                  <w:u w:val="single" w:color="auto"/>
                  <w:color w:val="0000FF"/>
                </w:rPr>
                <w:t>1</w:t>
              </w:r>
            </w:hyperlink>
          </w:p>
        </w:tc>
        <w:tc>
          <w:tcPr>
            <w:tcW w:w="6200" w:type="dxa"/>
            <w:vAlign w:val="bottom"/>
          </w:tcPr>
          <w:p>
            <w:pPr>
              <w:ind w:left="240"/>
              <w:spacing w:after="0" w:line="117" w:lineRule="exact"/>
              <w:rPr>
                <w:sz w:val="20"/>
                <w:szCs w:val="20"/>
                <w:color w:val="auto"/>
              </w:rPr>
            </w:pPr>
            <w:r>
              <w:rPr>
                <w:rFonts w:ascii="Arial" w:cs="Arial" w:eastAsia="Arial" w:hAnsi="Arial"/>
                <w:sz w:val="12"/>
                <w:szCs w:val="12"/>
                <w:color w:val="auto"/>
                <w:w w:val="98"/>
              </w:rPr>
              <w:t>Waiver to Credit Agreement, dated as of May 14, 2020, by and among Marriott Vacations Worldwide Corporation,</w:t>
            </w:r>
          </w:p>
        </w:tc>
        <w:tc>
          <w:tcPr>
            <w:tcW w:w="2020" w:type="dxa"/>
            <w:vAlign w:val="bottom"/>
            <w:vMerge w:val="restart"/>
          </w:tcPr>
          <w:p>
            <w:pPr>
              <w:jc w:val="center"/>
              <w:ind w:left="1000"/>
              <w:spacing w:after="0"/>
              <w:rPr>
                <w:sz w:val="20"/>
                <w:szCs w:val="20"/>
                <w:color w:val="auto"/>
              </w:rPr>
            </w:pPr>
            <w:r>
              <w:rPr>
                <w:rFonts w:ascii="Arial" w:cs="Arial" w:eastAsia="Arial" w:hAnsi="Arial"/>
                <w:sz w:val="12"/>
                <w:szCs w:val="12"/>
                <w:color w:val="auto"/>
              </w:rPr>
              <w:t>8-K</w:t>
            </w:r>
          </w:p>
        </w:tc>
        <w:tc>
          <w:tcPr>
            <w:tcW w:w="960" w:type="dxa"/>
            <w:vAlign w:val="bottom"/>
            <w:vMerge w:val="restart"/>
          </w:tcPr>
          <w:p>
            <w:pPr>
              <w:jc w:val="center"/>
              <w:spacing w:after="0"/>
              <w:rPr>
                <w:sz w:val="20"/>
                <w:szCs w:val="20"/>
                <w:color w:val="auto"/>
              </w:rPr>
            </w:pPr>
            <w:r>
              <w:rPr>
                <w:rFonts w:ascii="Arial" w:cs="Arial" w:eastAsia="Arial" w:hAnsi="Arial"/>
                <w:sz w:val="12"/>
                <w:szCs w:val="12"/>
                <w:color w:val="auto"/>
                <w:w w:val="83"/>
              </w:rPr>
              <w:t>4.3</w:t>
            </w:r>
          </w:p>
        </w:tc>
        <w:tc>
          <w:tcPr>
            <w:tcW w:w="1280" w:type="dxa"/>
            <w:vAlign w:val="bottom"/>
            <w:vMerge w:val="restart"/>
          </w:tcPr>
          <w:p>
            <w:pPr>
              <w:jc w:val="center"/>
              <w:spacing w:after="0"/>
              <w:rPr>
                <w:sz w:val="20"/>
                <w:szCs w:val="20"/>
                <w:color w:val="auto"/>
              </w:rPr>
            </w:pPr>
            <w:r>
              <w:rPr>
                <w:rFonts w:ascii="Arial" w:cs="Arial" w:eastAsia="Arial" w:hAnsi="Arial"/>
                <w:sz w:val="12"/>
                <w:szCs w:val="12"/>
                <w:color w:val="auto"/>
                <w:w w:val="89"/>
              </w:rPr>
              <w:t>5/15/2020</w:t>
            </w:r>
          </w:p>
        </w:tc>
        <w:tc>
          <w:tcPr>
            <w:tcW w:w="0" w:type="dxa"/>
            <w:vAlign w:val="bottom"/>
          </w:tcPr>
          <w:p>
            <w:pPr>
              <w:spacing w:after="0"/>
              <w:rPr>
                <w:sz w:val="1"/>
                <w:szCs w:val="1"/>
                <w:color w:val="auto"/>
              </w:rPr>
            </w:pPr>
          </w:p>
        </w:tc>
      </w:tr>
      <w:tr>
        <w:trPr>
          <w:trHeight w:val="126"/>
        </w:trPr>
        <w:tc>
          <w:tcPr>
            <w:tcW w:w="840" w:type="dxa"/>
            <w:vAlign w:val="bottom"/>
            <w:gridSpan w:val="3"/>
            <w:vMerge w:val="continue"/>
          </w:tcPr>
          <w:p>
            <w:pPr>
              <w:spacing w:after="0"/>
              <w:rPr>
                <w:sz w:val="10"/>
                <w:szCs w:val="10"/>
                <w:color w:val="auto"/>
              </w:rPr>
            </w:pPr>
          </w:p>
        </w:tc>
        <w:tc>
          <w:tcPr>
            <w:tcW w:w="6200" w:type="dxa"/>
            <w:vAlign w:val="bottom"/>
          </w:tcPr>
          <w:p>
            <w:pPr>
              <w:ind w:left="240"/>
              <w:spacing w:after="0" w:line="126" w:lineRule="exact"/>
              <w:rPr>
                <w:sz w:val="20"/>
                <w:szCs w:val="20"/>
                <w:color w:val="auto"/>
              </w:rPr>
            </w:pPr>
            <w:r>
              <w:rPr>
                <w:rFonts w:ascii="Arial" w:cs="Arial" w:eastAsia="Arial" w:hAnsi="Arial"/>
                <w:sz w:val="12"/>
                <w:szCs w:val="12"/>
                <w:color w:val="auto"/>
                <w:w w:val="98"/>
              </w:rPr>
              <w:t>Marriott Ownership Resorts, Inc., the Revolving Credit Lenders party thereto and JPMorgan Chase Bank, N.A., as</w:t>
            </w:r>
          </w:p>
        </w:tc>
        <w:tc>
          <w:tcPr>
            <w:tcW w:w="20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80" w:type="dxa"/>
            <w:vAlign w:val="bottom"/>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260" w:type="dxa"/>
            <w:vAlign w:val="bottom"/>
          </w:tcPr>
          <w:p>
            <w:pPr>
              <w:spacing w:after="0"/>
              <w:rPr>
                <w:sz w:val="10"/>
                <w:szCs w:val="10"/>
                <w:color w:val="auto"/>
              </w:rPr>
            </w:pPr>
          </w:p>
        </w:tc>
        <w:tc>
          <w:tcPr>
            <w:tcW w:w="6200" w:type="dxa"/>
            <w:vAlign w:val="bottom"/>
          </w:tcPr>
          <w:p>
            <w:pPr>
              <w:ind w:left="240"/>
              <w:spacing w:after="0" w:line="124" w:lineRule="exact"/>
              <w:rPr>
                <w:sz w:val="20"/>
                <w:szCs w:val="20"/>
                <w:color w:val="auto"/>
              </w:rPr>
            </w:pPr>
            <w:r>
              <w:rPr>
                <w:rFonts w:ascii="Arial" w:cs="Arial" w:eastAsia="Arial" w:hAnsi="Arial"/>
                <w:sz w:val="12"/>
                <w:szCs w:val="12"/>
                <w:color w:val="auto"/>
              </w:rPr>
              <w:t>administrative agent</w:t>
            </w:r>
          </w:p>
        </w:tc>
        <w:tc>
          <w:tcPr>
            <w:tcW w:w="2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840" w:type="dxa"/>
            <w:vAlign w:val="bottom"/>
            <w:gridSpan w:val="3"/>
            <w:shd w:val="clear" w:color="auto" w:fill="CCEEFF"/>
          </w:tcPr>
          <w:p>
            <w:pPr>
              <w:jc w:val="right"/>
              <w:ind w:right="260"/>
              <w:spacing w:after="0" w:line="126" w:lineRule="exact"/>
              <w:rPr>
                <w:rFonts w:ascii="Arial" w:cs="Arial" w:eastAsia="Arial" w:hAnsi="Arial"/>
                <w:sz w:val="12"/>
                <w:szCs w:val="12"/>
                <w:color w:val="0000FF"/>
              </w:rPr>
            </w:pPr>
            <w:hyperlink r:id="rId145">
              <w:r>
                <w:rPr>
                  <w:rFonts w:ascii="Arial" w:cs="Arial" w:eastAsia="Arial" w:hAnsi="Arial"/>
                  <w:sz w:val="12"/>
                  <w:szCs w:val="12"/>
                  <w:color w:val="0000FF"/>
                </w:rPr>
                <w:t>22.</w:t>
              </w:r>
              <w:r>
                <w:rPr>
                  <w:rFonts w:ascii="Arial" w:cs="Arial" w:eastAsia="Arial" w:hAnsi="Arial"/>
                  <w:sz w:val="12"/>
                  <w:szCs w:val="12"/>
                  <w:u w:val="single" w:color="auto"/>
                  <w:color w:val="0000FF"/>
                </w:rPr>
                <w:t>1</w:t>
              </w:r>
            </w:hyperlink>
          </w:p>
        </w:tc>
        <w:tc>
          <w:tcPr>
            <w:tcW w:w="6200" w:type="dxa"/>
            <w:vAlign w:val="bottom"/>
            <w:shd w:val="clear" w:color="auto" w:fill="CCEEFF"/>
          </w:tcPr>
          <w:p>
            <w:pPr>
              <w:ind w:left="240"/>
              <w:spacing w:after="0" w:line="126" w:lineRule="exact"/>
              <w:rPr>
                <w:sz w:val="20"/>
                <w:szCs w:val="20"/>
                <w:color w:val="auto"/>
              </w:rPr>
            </w:pPr>
            <w:r>
              <w:rPr>
                <w:rFonts w:ascii="Arial" w:cs="Arial" w:eastAsia="Arial" w:hAnsi="Arial"/>
                <w:sz w:val="12"/>
                <w:szCs w:val="12"/>
                <w:color w:val="auto"/>
              </w:rPr>
              <w:t>List of the Issuer and its Guarantor Subsidiaries</w:t>
            </w:r>
          </w:p>
        </w:tc>
        <w:tc>
          <w:tcPr>
            <w:tcW w:w="2020" w:type="dxa"/>
            <w:vAlign w:val="bottom"/>
            <w:shd w:val="clear" w:color="auto" w:fill="CCEEFF"/>
          </w:tcPr>
          <w:p>
            <w:pPr>
              <w:jc w:val="center"/>
              <w:ind w:left="1000"/>
              <w:spacing w:after="0" w:line="126" w:lineRule="exact"/>
              <w:rPr>
                <w:sz w:val="20"/>
                <w:szCs w:val="20"/>
                <w:color w:val="auto"/>
              </w:rPr>
            </w:pPr>
            <w:r>
              <w:rPr>
                <w:rFonts w:ascii="Arial" w:cs="Arial" w:eastAsia="Arial" w:hAnsi="Arial"/>
                <w:sz w:val="12"/>
                <w:szCs w:val="12"/>
                <w:color w:val="auto"/>
                <w:w w:val="89"/>
              </w:rPr>
              <w:t>10-Q</w:t>
            </w:r>
          </w:p>
        </w:tc>
        <w:tc>
          <w:tcPr>
            <w:tcW w:w="960" w:type="dxa"/>
            <w:vAlign w:val="bottom"/>
            <w:shd w:val="clear" w:color="auto" w:fill="CCEEFF"/>
          </w:tcPr>
          <w:p>
            <w:pPr>
              <w:jc w:val="center"/>
              <w:spacing w:after="0" w:line="126" w:lineRule="exact"/>
              <w:rPr>
                <w:sz w:val="20"/>
                <w:szCs w:val="20"/>
                <w:color w:val="auto"/>
              </w:rPr>
            </w:pPr>
            <w:r>
              <w:rPr>
                <w:rFonts w:ascii="Arial" w:cs="Arial" w:eastAsia="Arial" w:hAnsi="Arial"/>
                <w:sz w:val="12"/>
                <w:szCs w:val="12"/>
                <w:color w:val="auto"/>
                <w:w w:val="93"/>
              </w:rPr>
              <w:t>22.1</w:t>
            </w:r>
          </w:p>
        </w:tc>
        <w:tc>
          <w:tcPr>
            <w:tcW w:w="1280" w:type="dxa"/>
            <w:vAlign w:val="bottom"/>
            <w:shd w:val="clear" w:color="auto" w:fill="CCEEFF"/>
          </w:tcPr>
          <w:p>
            <w:pPr>
              <w:jc w:val="center"/>
              <w:spacing w:after="0" w:line="126" w:lineRule="exact"/>
              <w:rPr>
                <w:sz w:val="20"/>
                <w:szCs w:val="20"/>
                <w:color w:val="auto"/>
              </w:rPr>
            </w:pPr>
            <w:r>
              <w:rPr>
                <w:rFonts w:ascii="Arial" w:cs="Arial" w:eastAsia="Arial" w:hAnsi="Arial"/>
                <w:sz w:val="12"/>
                <w:szCs w:val="12"/>
                <w:color w:val="auto"/>
                <w:w w:val="89"/>
              </w:rPr>
              <w:t>11/5/2020</w:t>
            </w:r>
          </w:p>
        </w:tc>
        <w:tc>
          <w:tcPr>
            <w:tcW w:w="0" w:type="dxa"/>
            <w:vAlign w:val="bottom"/>
          </w:tcPr>
          <w:p>
            <w:pPr>
              <w:spacing w:after="0"/>
              <w:rPr>
                <w:sz w:val="1"/>
                <w:szCs w:val="1"/>
                <w:color w:val="auto"/>
              </w:rPr>
            </w:pPr>
          </w:p>
        </w:tc>
      </w:tr>
      <w:tr>
        <w:trPr>
          <w:trHeight w:val="27"/>
        </w:trPr>
        <w:tc>
          <w:tcPr>
            <w:tcW w:w="380" w:type="dxa"/>
            <w:vAlign w:val="bottom"/>
            <w:shd w:val="clear" w:color="auto" w:fill="CCEE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20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840" w:type="dxa"/>
            <w:vAlign w:val="bottom"/>
            <w:gridSpan w:val="3"/>
          </w:tcPr>
          <w:p>
            <w:pPr>
              <w:jc w:val="right"/>
              <w:ind w:right="260"/>
              <w:spacing w:after="0" w:line="126" w:lineRule="exact"/>
              <w:rPr>
                <w:rFonts w:ascii="Arial" w:cs="Arial" w:eastAsia="Arial" w:hAnsi="Arial"/>
                <w:sz w:val="12"/>
                <w:szCs w:val="12"/>
                <w:color w:val="0000FF"/>
              </w:rPr>
            </w:pPr>
            <w:hyperlink w:anchor="page81">
              <w:r>
                <w:rPr>
                  <w:rFonts w:ascii="Arial" w:cs="Arial" w:eastAsia="Arial" w:hAnsi="Arial"/>
                  <w:sz w:val="12"/>
                  <w:szCs w:val="12"/>
                  <w:color w:val="0000FF"/>
                </w:rPr>
                <w:t>31.</w:t>
              </w:r>
              <w:r>
                <w:rPr>
                  <w:rFonts w:ascii="Arial" w:cs="Arial" w:eastAsia="Arial" w:hAnsi="Arial"/>
                  <w:sz w:val="12"/>
                  <w:szCs w:val="12"/>
                  <w:u w:val="single" w:color="auto"/>
                  <w:color w:val="0000FF"/>
                </w:rPr>
                <w:t>1</w:t>
              </w:r>
            </w:hyperlink>
          </w:p>
        </w:tc>
        <w:tc>
          <w:tcPr>
            <w:tcW w:w="6200" w:type="dxa"/>
            <w:vAlign w:val="bottom"/>
          </w:tcPr>
          <w:p>
            <w:pPr>
              <w:ind w:left="240"/>
              <w:spacing w:after="0" w:line="126" w:lineRule="exact"/>
              <w:rPr>
                <w:sz w:val="20"/>
                <w:szCs w:val="20"/>
                <w:color w:val="auto"/>
              </w:rPr>
            </w:pPr>
            <w:r>
              <w:rPr>
                <w:rFonts w:ascii="Arial" w:cs="Arial" w:eastAsia="Arial" w:hAnsi="Arial"/>
                <w:sz w:val="12"/>
                <w:szCs w:val="12"/>
                <w:color w:val="auto"/>
              </w:rPr>
              <w:t>Certification of Chief Executive Officer pursuant to Rule 13a-14(a) of the Securities Exchange Act of 1934</w:t>
            </w:r>
          </w:p>
        </w:tc>
        <w:tc>
          <w:tcPr>
            <w:tcW w:w="2020" w:type="dxa"/>
            <w:vAlign w:val="bottom"/>
          </w:tcPr>
          <w:p>
            <w:pPr>
              <w:ind w:left="460"/>
              <w:spacing w:after="0" w:line="126" w:lineRule="exact"/>
              <w:rPr>
                <w:sz w:val="20"/>
                <w:szCs w:val="20"/>
                <w:color w:val="auto"/>
              </w:rPr>
            </w:pPr>
            <w:r>
              <w:rPr>
                <w:rFonts w:ascii="Arial" w:cs="Arial" w:eastAsia="Arial" w:hAnsi="Arial"/>
                <w:sz w:val="12"/>
                <w:szCs w:val="12"/>
                <w:color w:val="auto"/>
              </w:rPr>
              <w:t>X</w:t>
            </w:r>
          </w:p>
        </w:tc>
        <w:tc>
          <w:tcPr>
            <w:tcW w:w="9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60" w:type="dxa"/>
            <w:vAlign w:val="bottom"/>
          </w:tcPr>
          <w:p>
            <w:pPr>
              <w:spacing w:after="0"/>
              <w:rPr>
                <w:sz w:val="2"/>
                <w:szCs w:val="2"/>
                <w:color w:val="auto"/>
              </w:rPr>
            </w:pPr>
          </w:p>
        </w:tc>
        <w:tc>
          <w:tcPr>
            <w:tcW w:w="62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840" w:type="dxa"/>
            <w:vAlign w:val="bottom"/>
            <w:gridSpan w:val="3"/>
            <w:shd w:val="clear" w:color="auto" w:fill="CCEEFF"/>
          </w:tcPr>
          <w:p>
            <w:pPr>
              <w:jc w:val="right"/>
              <w:ind w:right="260"/>
              <w:spacing w:after="0" w:line="126" w:lineRule="exact"/>
              <w:rPr>
                <w:rFonts w:ascii="Arial" w:cs="Arial" w:eastAsia="Arial" w:hAnsi="Arial"/>
                <w:sz w:val="12"/>
                <w:szCs w:val="12"/>
                <w:color w:val="0000FF"/>
              </w:rPr>
            </w:pPr>
            <w:hyperlink w:anchor="page82">
              <w:r>
                <w:rPr>
                  <w:rFonts w:ascii="Arial" w:cs="Arial" w:eastAsia="Arial" w:hAnsi="Arial"/>
                  <w:sz w:val="12"/>
                  <w:szCs w:val="12"/>
                  <w:color w:val="0000FF"/>
                </w:rPr>
                <w:t>31.</w:t>
              </w:r>
              <w:r>
                <w:rPr>
                  <w:rFonts w:ascii="Arial" w:cs="Arial" w:eastAsia="Arial" w:hAnsi="Arial"/>
                  <w:sz w:val="12"/>
                  <w:szCs w:val="12"/>
                  <w:u w:val="single" w:color="auto"/>
                  <w:color w:val="0000FF"/>
                </w:rPr>
                <w:t>2</w:t>
              </w:r>
            </w:hyperlink>
          </w:p>
        </w:tc>
        <w:tc>
          <w:tcPr>
            <w:tcW w:w="6200" w:type="dxa"/>
            <w:vAlign w:val="bottom"/>
            <w:shd w:val="clear" w:color="auto" w:fill="CCEEFF"/>
          </w:tcPr>
          <w:p>
            <w:pPr>
              <w:ind w:left="240"/>
              <w:spacing w:after="0" w:line="126" w:lineRule="exact"/>
              <w:rPr>
                <w:sz w:val="20"/>
                <w:szCs w:val="20"/>
                <w:color w:val="auto"/>
              </w:rPr>
            </w:pPr>
            <w:r>
              <w:rPr>
                <w:rFonts w:ascii="Arial" w:cs="Arial" w:eastAsia="Arial" w:hAnsi="Arial"/>
                <w:sz w:val="12"/>
                <w:szCs w:val="12"/>
                <w:color w:val="auto"/>
              </w:rPr>
              <w:t>Certification of Chief Financial Officer pursuant to Rule 13a-14(a) of the Securities Exchange Act of 1934</w:t>
            </w:r>
          </w:p>
        </w:tc>
        <w:tc>
          <w:tcPr>
            <w:tcW w:w="2020" w:type="dxa"/>
            <w:vAlign w:val="bottom"/>
            <w:shd w:val="clear" w:color="auto" w:fill="CCEEFF"/>
          </w:tcPr>
          <w:p>
            <w:pPr>
              <w:ind w:left="460"/>
              <w:spacing w:after="0" w:line="126" w:lineRule="exact"/>
              <w:rPr>
                <w:sz w:val="20"/>
                <w:szCs w:val="20"/>
                <w:color w:val="auto"/>
              </w:rPr>
            </w:pPr>
            <w:r>
              <w:rPr>
                <w:rFonts w:ascii="Arial" w:cs="Arial" w:eastAsia="Arial" w:hAnsi="Arial"/>
                <w:sz w:val="12"/>
                <w:szCs w:val="12"/>
                <w:color w:val="auto"/>
              </w:rPr>
              <w:t>X</w:t>
            </w:r>
          </w:p>
        </w:tc>
        <w:tc>
          <w:tcPr>
            <w:tcW w:w="96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33"/>
        </w:trPr>
        <w:tc>
          <w:tcPr>
            <w:tcW w:w="380" w:type="dxa"/>
            <w:vAlign w:val="bottom"/>
            <w:tcBorders>
              <w:top w:val="single" w:sz="8" w:color="CCEE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6200" w:type="dxa"/>
            <w:vAlign w:val="bottom"/>
            <w:tcBorders>
              <w:top w:val="single" w:sz="8" w:color="CCEEFF"/>
            </w:tcBorders>
          </w:tcPr>
          <w:p>
            <w:pPr>
              <w:ind w:left="4960"/>
              <w:spacing w:after="0"/>
              <w:rPr>
                <w:sz w:val="20"/>
                <w:szCs w:val="20"/>
                <w:color w:val="auto"/>
              </w:rPr>
            </w:pPr>
            <w:r>
              <w:rPr>
                <w:rFonts w:ascii="Arial" w:cs="Arial" w:eastAsia="Arial" w:hAnsi="Arial"/>
                <w:sz w:val="12"/>
                <w:szCs w:val="12"/>
                <w:color w:val="auto"/>
              </w:rPr>
              <w:t>76</w:t>
            </w:r>
          </w:p>
        </w:tc>
        <w:tc>
          <w:tcPr>
            <w:tcW w:w="202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128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3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20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type w:val="continuous"/>
        </w:sectPr>
      </w:pPr>
    </w:p>
    <w:bookmarkStart w:id="78" w:name="page79"/>
    <w:bookmarkEnd w:id="78"/>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1040" w:type="dxa"/>
            <w:vAlign w:val="bottom"/>
          </w:tcPr>
          <w:p>
            <w:pPr>
              <w:jc w:val="center"/>
              <w:ind w:right="46"/>
              <w:spacing w:after="0"/>
              <w:rPr>
                <w:sz w:val="20"/>
                <w:szCs w:val="20"/>
                <w:color w:val="auto"/>
              </w:rPr>
            </w:pPr>
            <w:r>
              <w:rPr>
                <w:rFonts w:ascii="Arial" w:cs="Arial" w:eastAsia="Arial" w:hAnsi="Arial"/>
                <w:sz w:val="11"/>
                <w:szCs w:val="11"/>
                <w:b w:val="1"/>
                <w:bCs w:val="1"/>
                <w:color w:val="auto"/>
                <w:w w:val="85"/>
              </w:rPr>
              <w:t>Filed</w:t>
            </w:r>
          </w:p>
        </w:tc>
        <w:tc>
          <w:tcPr>
            <w:tcW w:w="700" w:type="dxa"/>
            <w:vAlign w:val="bottom"/>
            <w:tcBorders>
              <w:bottom w:val="single" w:sz="8" w:color="auto"/>
            </w:tcBorders>
          </w:tcPr>
          <w:p>
            <w:pPr>
              <w:spacing w:after="0"/>
              <w:rPr>
                <w:sz w:val="12"/>
                <w:szCs w:val="12"/>
                <w:color w:val="auto"/>
              </w:rPr>
            </w:pPr>
          </w:p>
        </w:tc>
        <w:tc>
          <w:tcPr>
            <w:tcW w:w="2480" w:type="dxa"/>
            <w:vAlign w:val="bottom"/>
            <w:tcBorders>
              <w:bottom w:val="single" w:sz="8" w:color="auto"/>
            </w:tcBorders>
            <w:gridSpan w:val="2"/>
          </w:tcPr>
          <w:p>
            <w:pPr>
              <w:ind w:left="100"/>
              <w:spacing w:after="0"/>
              <w:rPr>
                <w:sz w:val="20"/>
                <w:szCs w:val="20"/>
                <w:color w:val="auto"/>
              </w:rPr>
            </w:pPr>
            <w:r>
              <w:rPr>
                <w:rFonts w:ascii="Arial" w:cs="Arial" w:eastAsia="Arial" w:hAnsi="Arial"/>
                <w:sz w:val="11"/>
                <w:szCs w:val="11"/>
                <w:b w:val="1"/>
                <w:bCs w:val="1"/>
                <w:color w:val="auto"/>
              </w:rPr>
              <w:t>Incorporation By Reference From</w:t>
            </w:r>
          </w:p>
        </w:tc>
      </w:tr>
      <w:tr>
        <w:trPr>
          <w:trHeight w:val="149"/>
        </w:trPr>
        <w:tc>
          <w:tcPr>
            <w:tcW w:w="960" w:type="dxa"/>
            <w:vAlign w:val="bottom"/>
            <w:gridSpan w:val="3"/>
          </w:tcPr>
          <w:p>
            <w:pPr>
              <w:jc w:val="center"/>
              <w:spacing w:after="0"/>
              <w:rPr>
                <w:sz w:val="20"/>
                <w:szCs w:val="20"/>
                <w:color w:val="auto"/>
              </w:rPr>
            </w:pPr>
            <w:r>
              <w:rPr>
                <w:rFonts w:ascii="Arial" w:cs="Arial" w:eastAsia="Arial" w:hAnsi="Arial"/>
                <w:sz w:val="11"/>
                <w:szCs w:val="11"/>
                <w:b w:val="1"/>
                <w:bCs w:val="1"/>
                <w:color w:val="auto"/>
                <w:w w:val="93"/>
              </w:rPr>
              <w:t>Exhibit Number</w:t>
            </w:r>
          </w:p>
        </w:tc>
        <w:tc>
          <w:tcPr>
            <w:tcW w:w="6120" w:type="dxa"/>
            <w:vAlign w:val="bottom"/>
          </w:tcPr>
          <w:p>
            <w:pPr>
              <w:ind w:left="2800"/>
              <w:spacing w:after="0"/>
              <w:rPr>
                <w:sz w:val="20"/>
                <w:szCs w:val="20"/>
                <w:color w:val="auto"/>
              </w:rPr>
            </w:pPr>
            <w:r>
              <w:rPr>
                <w:rFonts w:ascii="Arial" w:cs="Arial" w:eastAsia="Arial" w:hAnsi="Arial"/>
                <w:sz w:val="11"/>
                <w:szCs w:val="11"/>
                <w:b w:val="1"/>
                <w:bCs w:val="1"/>
                <w:color w:val="auto"/>
              </w:rPr>
              <w:t>Description</w:t>
            </w:r>
          </w:p>
        </w:tc>
        <w:tc>
          <w:tcPr>
            <w:tcW w:w="1040" w:type="dxa"/>
            <w:vAlign w:val="bottom"/>
          </w:tcPr>
          <w:p>
            <w:pPr>
              <w:jc w:val="center"/>
              <w:ind w:right="46"/>
              <w:spacing w:after="0"/>
              <w:rPr>
                <w:sz w:val="20"/>
                <w:szCs w:val="20"/>
                <w:color w:val="auto"/>
              </w:rPr>
            </w:pPr>
            <w:r>
              <w:rPr>
                <w:rFonts w:ascii="Arial" w:cs="Arial" w:eastAsia="Arial" w:hAnsi="Arial"/>
                <w:sz w:val="11"/>
                <w:szCs w:val="11"/>
                <w:b w:val="1"/>
                <w:bCs w:val="1"/>
                <w:color w:val="auto"/>
                <w:w w:val="90"/>
              </w:rPr>
              <w:t>Herewith</w:t>
            </w:r>
          </w:p>
        </w:tc>
        <w:tc>
          <w:tcPr>
            <w:tcW w:w="700" w:type="dxa"/>
            <w:vAlign w:val="bottom"/>
          </w:tcPr>
          <w:p>
            <w:pPr>
              <w:ind w:left="320"/>
              <w:spacing w:after="0"/>
              <w:rPr>
                <w:sz w:val="20"/>
                <w:szCs w:val="20"/>
                <w:color w:val="auto"/>
              </w:rPr>
            </w:pPr>
            <w:r>
              <w:rPr>
                <w:rFonts w:ascii="Arial" w:cs="Arial" w:eastAsia="Arial" w:hAnsi="Arial"/>
                <w:sz w:val="11"/>
                <w:szCs w:val="11"/>
                <w:b w:val="1"/>
                <w:bCs w:val="1"/>
                <w:color w:val="auto"/>
              </w:rPr>
              <w:t>Form</w:t>
            </w:r>
          </w:p>
        </w:tc>
        <w:tc>
          <w:tcPr>
            <w:tcW w:w="1240" w:type="dxa"/>
            <w:vAlign w:val="bottom"/>
          </w:tcPr>
          <w:p>
            <w:pPr>
              <w:ind w:left="540"/>
              <w:spacing w:after="0"/>
              <w:rPr>
                <w:sz w:val="20"/>
                <w:szCs w:val="20"/>
                <w:color w:val="auto"/>
              </w:rPr>
            </w:pPr>
            <w:r>
              <w:rPr>
                <w:rFonts w:ascii="Arial" w:cs="Arial" w:eastAsia="Arial" w:hAnsi="Arial"/>
                <w:sz w:val="11"/>
                <w:szCs w:val="11"/>
                <w:b w:val="1"/>
                <w:bCs w:val="1"/>
                <w:color w:val="auto"/>
              </w:rPr>
              <w:t>Exhibit</w:t>
            </w:r>
          </w:p>
        </w:tc>
        <w:tc>
          <w:tcPr>
            <w:tcW w:w="1240" w:type="dxa"/>
            <w:vAlign w:val="bottom"/>
          </w:tcPr>
          <w:p>
            <w:pPr>
              <w:ind w:left="360"/>
              <w:spacing w:after="0"/>
              <w:rPr>
                <w:sz w:val="20"/>
                <w:szCs w:val="20"/>
                <w:color w:val="auto"/>
              </w:rPr>
            </w:pPr>
            <w:r>
              <w:rPr>
                <w:rFonts w:ascii="Arial" w:cs="Arial" w:eastAsia="Arial" w:hAnsi="Arial"/>
                <w:sz w:val="11"/>
                <w:szCs w:val="11"/>
                <w:b w:val="1"/>
                <w:bCs w:val="1"/>
                <w:color w:val="auto"/>
              </w:rPr>
              <w:t>Date Filed</w:t>
            </w:r>
          </w:p>
        </w:tc>
      </w:tr>
      <w:tr>
        <w:trPr>
          <w:trHeight w:val="130"/>
        </w:trPr>
        <w:tc>
          <w:tcPr>
            <w:tcW w:w="960" w:type="dxa"/>
            <w:vAlign w:val="bottom"/>
            <w:gridSpan w:val="3"/>
          </w:tcPr>
          <w:p>
            <w:pPr>
              <w:jc w:val="center"/>
              <w:spacing w:after="0" w:line="130" w:lineRule="exact"/>
              <w:rPr>
                <w:rFonts w:ascii="Arial" w:cs="Arial" w:eastAsia="Arial" w:hAnsi="Arial"/>
                <w:sz w:val="12"/>
                <w:szCs w:val="12"/>
                <w:color w:val="0000FF"/>
                <w:w w:val="85"/>
              </w:rPr>
            </w:pPr>
            <w:hyperlink w:anchor="page83">
              <w:r>
                <w:rPr>
                  <w:rFonts w:ascii="Arial" w:cs="Arial" w:eastAsia="Arial" w:hAnsi="Arial"/>
                  <w:sz w:val="12"/>
                  <w:szCs w:val="12"/>
                  <w:color w:val="0000FF"/>
                  <w:w w:val="85"/>
                </w:rPr>
                <w:t>32.</w:t>
              </w:r>
              <w:r>
                <w:rPr>
                  <w:rFonts w:ascii="Arial" w:cs="Arial" w:eastAsia="Arial" w:hAnsi="Arial"/>
                  <w:sz w:val="12"/>
                  <w:szCs w:val="12"/>
                  <w:u w:val="single" w:color="auto"/>
                  <w:color w:val="0000FF"/>
                  <w:w w:val="85"/>
                </w:rPr>
                <w:t>1</w:t>
              </w:r>
            </w:hyperlink>
          </w:p>
        </w:tc>
        <w:tc>
          <w:tcPr>
            <w:tcW w:w="6120" w:type="dxa"/>
            <w:vAlign w:val="bottom"/>
          </w:tcPr>
          <w:p>
            <w:pPr>
              <w:ind w:left="120"/>
              <w:spacing w:after="0" w:line="130" w:lineRule="exact"/>
              <w:rPr>
                <w:sz w:val="20"/>
                <w:szCs w:val="20"/>
                <w:color w:val="auto"/>
              </w:rPr>
            </w:pPr>
            <w:r>
              <w:rPr>
                <w:rFonts w:ascii="Arial" w:cs="Arial" w:eastAsia="Arial" w:hAnsi="Arial"/>
                <w:sz w:val="12"/>
                <w:szCs w:val="12"/>
                <w:color w:val="auto"/>
                <w:w w:val="95"/>
              </w:rPr>
              <w:t>Certification of Chief Executive Officer pursuant to Rule 13a-14(b) and Section 906 of the Sarbanes-Oxley Act of 2002</w:t>
            </w:r>
          </w:p>
        </w:tc>
        <w:tc>
          <w:tcPr>
            <w:tcW w:w="10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tcPr>
          <w:p>
            <w:pPr>
              <w:ind w:left="120"/>
              <w:spacing w:after="0" w:line="130" w:lineRule="exact"/>
              <w:rPr>
                <w:sz w:val="20"/>
                <w:szCs w:val="20"/>
                <w:color w:val="auto"/>
              </w:rPr>
            </w:pPr>
            <w:r>
              <w:rPr>
                <w:rFonts w:ascii="Arial" w:cs="Arial" w:eastAsia="Arial" w:hAnsi="Arial"/>
                <w:sz w:val="12"/>
                <w:szCs w:val="12"/>
                <w:color w:val="auto"/>
              </w:rPr>
              <w:t>Furnished</w:t>
            </w:r>
          </w:p>
        </w:tc>
        <w:tc>
          <w:tcPr>
            <w:tcW w:w="1240" w:type="dxa"/>
            <w:vAlign w:val="bottom"/>
          </w:tcPr>
          <w:p>
            <w:pPr>
              <w:spacing w:after="0"/>
              <w:rPr>
                <w:sz w:val="11"/>
                <w:szCs w:val="11"/>
                <w:color w:val="auto"/>
              </w:rPr>
            </w:pPr>
          </w:p>
        </w:tc>
      </w:tr>
      <w:tr>
        <w:trPr>
          <w:trHeight w:val="27"/>
        </w:trPr>
        <w:tc>
          <w:tcPr>
            <w:tcW w:w="38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3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26"/>
        </w:trPr>
        <w:tc>
          <w:tcPr>
            <w:tcW w:w="960" w:type="dxa"/>
            <w:vAlign w:val="bottom"/>
            <w:gridSpan w:val="3"/>
            <w:shd w:val="clear" w:color="auto" w:fill="CCEEFF"/>
          </w:tcPr>
          <w:p>
            <w:pPr>
              <w:jc w:val="center"/>
              <w:spacing w:after="0" w:line="126" w:lineRule="exact"/>
              <w:rPr>
                <w:rFonts w:ascii="Arial" w:cs="Arial" w:eastAsia="Arial" w:hAnsi="Arial"/>
                <w:sz w:val="12"/>
                <w:szCs w:val="12"/>
                <w:color w:val="0000FF"/>
                <w:w w:val="85"/>
              </w:rPr>
            </w:pPr>
            <w:hyperlink w:anchor="page84">
              <w:r>
                <w:rPr>
                  <w:rFonts w:ascii="Arial" w:cs="Arial" w:eastAsia="Arial" w:hAnsi="Arial"/>
                  <w:sz w:val="12"/>
                  <w:szCs w:val="12"/>
                  <w:color w:val="0000FF"/>
                  <w:w w:val="85"/>
                </w:rPr>
                <w:t>32.</w:t>
              </w:r>
              <w:r>
                <w:rPr>
                  <w:rFonts w:ascii="Arial" w:cs="Arial" w:eastAsia="Arial" w:hAnsi="Arial"/>
                  <w:sz w:val="12"/>
                  <w:szCs w:val="12"/>
                  <w:u w:val="single" w:color="auto"/>
                  <w:color w:val="0000FF"/>
                  <w:w w:val="85"/>
                </w:rPr>
                <w:t>2</w:t>
              </w:r>
            </w:hyperlink>
          </w:p>
        </w:tc>
        <w:tc>
          <w:tcPr>
            <w:tcW w:w="6120" w:type="dxa"/>
            <w:vAlign w:val="bottom"/>
            <w:shd w:val="clear" w:color="auto" w:fill="CCEEFF"/>
          </w:tcPr>
          <w:p>
            <w:pPr>
              <w:ind w:left="120"/>
              <w:spacing w:after="0" w:line="126" w:lineRule="exact"/>
              <w:rPr>
                <w:sz w:val="20"/>
                <w:szCs w:val="20"/>
                <w:color w:val="auto"/>
              </w:rPr>
            </w:pPr>
            <w:r>
              <w:rPr>
                <w:rFonts w:ascii="Arial" w:cs="Arial" w:eastAsia="Arial" w:hAnsi="Arial"/>
                <w:sz w:val="12"/>
                <w:szCs w:val="12"/>
                <w:color w:val="auto"/>
                <w:w w:val="96"/>
              </w:rPr>
              <w:t>Certification of Chief Financial Officer pursuant to Rule 13a-14(b) and Section 906 of the Sarbanes-Oxley Act of 2002</w:t>
            </w:r>
          </w:p>
        </w:tc>
        <w:tc>
          <w:tcPr>
            <w:tcW w:w="10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40" w:type="dxa"/>
            <w:vAlign w:val="bottom"/>
            <w:shd w:val="clear" w:color="auto" w:fill="CCEEFF"/>
          </w:tcPr>
          <w:p>
            <w:pPr>
              <w:ind w:left="120"/>
              <w:spacing w:after="0" w:line="126" w:lineRule="exact"/>
              <w:rPr>
                <w:sz w:val="20"/>
                <w:szCs w:val="20"/>
                <w:color w:val="auto"/>
              </w:rPr>
            </w:pPr>
            <w:r>
              <w:rPr>
                <w:rFonts w:ascii="Arial" w:cs="Arial" w:eastAsia="Arial" w:hAnsi="Arial"/>
                <w:sz w:val="12"/>
                <w:szCs w:val="12"/>
                <w:color w:val="auto"/>
              </w:rPr>
              <w:t>Furnished</w:t>
            </w:r>
          </w:p>
        </w:tc>
        <w:tc>
          <w:tcPr>
            <w:tcW w:w="1240" w:type="dxa"/>
            <w:vAlign w:val="bottom"/>
            <w:shd w:val="clear" w:color="auto" w:fill="CCEEFF"/>
          </w:tcPr>
          <w:p>
            <w:pPr>
              <w:spacing w:after="0"/>
              <w:rPr>
                <w:sz w:val="10"/>
                <w:szCs w:val="10"/>
                <w:color w:val="auto"/>
              </w:rPr>
            </w:pPr>
          </w:p>
        </w:tc>
      </w:tr>
      <w:tr>
        <w:trPr>
          <w:trHeight w:val="27"/>
        </w:trPr>
        <w:tc>
          <w:tcPr>
            <w:tcW w:w="380" w:type="dxa"/>
            <w:vAlign w:val="bottom"/>
            <w:shd w:val="clear" w:color="auto" w:fill="CCEE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ind w:left="1080"/>
        <w:spacing w:after="0"/>
        <w:rPr>
          <w:sz w:val="20"/>
          <w:szCs w:val="20"/>
          <w:color w:val="auto"/>
        </w:rPr>
      </w:pPr>
      <w:r>
        <w:rPr>
          <w:rFonts w:ascii="Arial" w:cs="Arial" w:eastAsia="Arial" w:hAnsi="Arial"/>
          <w:sz w:val="11"/>
          <w:szCs w:val="11"/>
          <w:color w:val="auto"/>
        </w:rPr>
        <w:t>The following financial statements from the Company’s Quarterly Report on Form 10-Q for the quarter ended June 30, 2021, formatted in Inline XBRL: (i) Interim Consolidated Statements of Income, (ii) Interim</w:t>
      </w:r>
    </w:p>
    <w:p>
      <w:pPr>
        <w:spacing w:after="0" w:line="1" w:lineRule="exact"/>
        <w:rPr>
          <w:sz w:val="20"/>
          <w:szCs w:val="20"/>
          <w:color w:val="auto"/>
        </w:rPr>
      </w:pPr>
    </w:p>
    <w:p>
      <w:pPr>
        <w:ind w:left="1080" w:right="120" w:hanging="688"/>
        <w:spacing w:after="0" w:line="226" w:lineRule="auto"/>
        <w:tabs>
          <w:tab w:leader="none" w:pos="1080" w:val="left"/>
        </w:tabs>
        <w:numPr>
          <w:ilvl w:val="0"/>
          <w:numId w:val="39"/>
        </w:numPr>
        <w:rPr>
          <w:rFonts w:ascii="Arial" w:cs="Arial" w:eastAsia="Arial" w:hAnsi="Arial"/>
          <w:sz w:val="12"/>
          <w:szCs w:val="12"/>
          <w:color w:val="auto"/>
        </w:rPr>
      </w:pPr>
      <w:r>
        <w:rPr>
          <w:rFonts w:ascii="Arial" w:cs="Arial" w:eastAsia="Arial" w:hAnsi="Arial"/>
          <w:sz w:val="12"/>
          <w:szCs w:val="12"/>
          <w:color w:val="auto"/>
        </w:rPr>
        <w:t>Consolidated Statements of Comprehensive Income, (iii) Interim Consolidated Balance Sheets, (iv) Interim Consolidated Statements of Cash Flows, (v) Interim Consolidated Statements of Shareholders’ Equity, and (vi) Notes to Interim Consolidated Financial Statements</w:t>
      </w:r>
    </w:p>
    <w:p>
      <w:pPr>
        <w:ind w:left="1080" w:hanging="688"/>
        <w:spacing w:after="0"/>
        <w:tabs>
          <w:tab w:leader="none" w:pos="1080" w:val="left"/>
        </w:tabs>
        <w:numPr>
          <w:ilvl w:val="0"/>
          <w:numId w:val="40"/>
        </w:numPr>
        <w:rPr>
          <w:rFonts w:ascii="Arial" w:cs="Arial" w:eastAsia="Arial" w:hAnsi="Arial"/>
          <w:sz w:val="12"/>
          <w:szCs w:val="12"/>
          <w:color w:val="auto"/>
        </w:rPr>
      </w:pPr>
      <w:r>
        <w:rPr>
          <w:rFonts w:ascii="Arial" w:cs="Arial" w:eastAsia="Arial" w:hAnsi="Arial"/>
          <w:sz w:val="12"/>
          <w:szCs w:val="12"/>
          <w:color w:val="auto"/>
        </w:rPr>
        <w:t>The cover page from the Company’s Quarterly Report on Form 10-Q for the quarter ended June 30, 2021, formatted in Inline XBRL and contained in Exhibit 101</w:t>
      </w:r>
    </w:p>
    <w:p>
      <w:pPr>
        <w:spacing w:after="0" w:line="141" w:lineRule="exact"/>
        <w:rPr>
          <w:rFonts w:ascii="Arial" w:cs="Arial" w:eastAsia="Arial" w:hAnsi="Arial"/>
          <w:sz w:val="12"/>
          <w:szCs w:val="12"/>
          <w:color w:val="auto"/>
        </w:rPr>
      </w:pPr>
    </w:p>
    <w:p>
      <w:pPr>
        <w:jc w:val="center"/>
        <w:ind w:left="1900" w:right="240" w:hanging="4722"/>
        <w:spacing w:after="0" w:line="620" w:lineRule="auto"/>
        <w:rPr>
          <w:rFonts w:ascii="Arial" w:cs="Arial" w:eastAsia="Arial" w:hAnsi="Arial"/>
          <w:sz w:val="12"/>
          <w:szCs w:val="12"/>
          <w:color w:val="auto"/>
        </w:rPr>
      </w:pPr>
      <w:r>
        <w:rPr>
          <w:rFonts w:ascii="Arial" w:cs="Arial" w:eastAsia="Arial" w:hAnsi="Arial"/>
          <w:sz w:val="12"/>
          <w:szCs w:val="12"/>
          <w:color w:val="auto"/>
        </w:rPr>
        <w:t>*Schedules have been omitted pursuant to Item 601(b)(2) of Regulation S-K. The Company agrees to furnish supplemental copies to the SEC of any omitted schedule upon request by the SEC.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54610</wp:posOffset>
            </wp:positionV>
            <wp:extent cx="7203440" cy="368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79" w:name="page80"/>
    <w:bookmarkEnd w:id="79"/>
    <w:p>
      <w:pPr>
        <w:jc w:val="center"/>
        <w:ind w:left="420"/>
        <w:spacing w:after="0"/>
        <w:rPr>
          <w:sz w:val="20"/>
          <w:szCs w:val="20"/>
          <w:color w:val="auto"/>
        </w:rPr>
      </w:pPr>
      <w:r>
        <w:rPr>
          <w:rFonts w:ascii="Arial" w:cs="Arial" w:eastAsia="Arial" w:hAnsi="Arial"/>
          <w:sz w:val="12"/>
          <w:szCs w:val="12"/>
          <w:b w:val="1"/>
          <w:bCs w:val="1"/>
          <w:color w:val="auto"/>
        </w:rPr>
        <w:t>SIGNATURES</w:t>
      </w:r>
    </w:p>
    <w:p>
      <w:pPr>
        <w:spacing w:after="0" w:line="154" w:lineRule="exact"/>
        <w:rPr>
          <w:sz w:val="20"/>
          <w:szCs w:val="20"/>
          <w:color w:val="auto"/>
        </w:rPr>
      </w:pPr>
    </w:p>
    <w:p>
      <w:pPr>
        <w:ind w:left="58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thereunto duly authorized.</w:t>
      </w:r>
    </w:p>
    <w:p>
      <w:pPr>
        <w:spacing w:after="0" w:line="96" w:lineRule="exact"/>
        <w:rPr>
          <w:sz w:val="20"/>
          <w:szCs w:val="20"/>
          <w:color w:val="auto"/>
        </w:rPr>
      </w:pPr>
    </w:p>
    <w:p>
      <w:pPr>
        <w:ind w:left="4480"/>
        <w:spacing w:after="0"/>
        <w:rPr>
          <w:sz w:val="20"/>
          <w:szCs w:val="20"/>
          <w:color w:val="auto"/>
        </w:rPr>
      </w:pPr>
      <w:r>
        <w:rPr>
          <w:rFonts w:ascii="Arial" w:cs="Arial" w:eastAsia="Arial" w:hAnsi="Arial"/>
          <w:sz w:val="12"/>
          <w:szCs w:val="12"/>
          <w:color w:val="auto"/>
        </w:rPr>
        <w:t>MARRIOTT VACATIONS WORLDWIDE CORPORATION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80" w:type="dxa"/>
            <w:vAlign w:val="bottom"/>
          </w:tcPr>
          <w:p>
            <w:pPr>
              <w:spacing w:after="0"/>
              <w:rPr>
                <w:sz w:val="20"/>
                <w:szCs w:val="20"/>
                <w:color w:val="auto"/>
              </w:rPr>
            </w:pPr>
            <w:r>
              <w:rPr>
                <w:rFonts w:ascii="Arial" w:cs="Arial" w:eastAsia="Arial" w:hAnsi="Arial"/>
                <w:sz w:val="12"/>
                <w:szCs w:val="12"/>
                <w:color w:val="auto"/>
              </w:rPr>
              <w:t>Date:</w:t>
            </w:r>
          </w:p>
        </w:tc>
        <w:tc>
          <w:tcPr>
            <w:tcW w:w="3980" w:type="dxa"/>
            <w:vAlign w:val="bottom"/>
          </w:tcPr>
          <w:p>
            <w:pPr>
              <w:ind w:left="200"/>
              <w:spacing w:after="0"/>
              <w:rPr>
                <w:sz w:val="20"/>
                <w:szCs w:val="20"/>
                <w:color w:val="auto"/>
              </w:rPr>
            </w:pPr>
            <w:r>
              <w:rPr>
                <w:rFonts w:ascii="Arial" w:cs="Arial" w:eastAsia="Arial" w:hAnsi="Arial"/>
                <w:sz w:val="12"/>
                <w:szCs w:val="12"/>
                <w:color w:val="auto"/>
              </w:rPr>
              <w:t>August 4, 2021</w:t>
            </w:r>
          </w:p>
        </w:tc>
        <w:tc>
          <w:tcPr>
            <w:tcW w:w="684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Stephen P. Weisz</w:t>
            </w:r>
          </w:p>
        </w:tc>
      </w:tr>
      <w:tr>
        <w:trPr>
          <w:trHeight w:val="142"/>
        </w:trPr>
        <w:tc>
          <w:tcPr>
            <w:tcW w:w="48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6840" w:type="dxa"/>
            <w:vAlign w:val="bottom"/>
          </w:tcPr>
          <w:p>
            <w:pPr>
              <w:ind w:left="20"/>
              <w:spacing w:after="0"/>
              <w:rPr>
                <w:sz w:val="20"/>
                <w:szCs w:val="20"/>
                <w:color w:val="auto"/>
              </w:rPr>
            </w:pPr>
            <w:r>
              <w:rPr>
                <w:rFonts w:ascii="Arial" w:cs="Arial" w:eastAsia="Arial" w:hAnsi="Arial"/>
                <w:sz w:val="12"/>
                <w:szCs w:val="12"/>
                <w:color w:val="auto"/>
              </w:rPr>
              <w:t>Stephen P. Weisz</w:t>
            </w:r>
          </w:p>
        </w:tc>
      </w:tr>
      <w:tr>
        <w:trPr>
          <w:trHeight w:val="153"/>
        </w:trPr>
        <w:tc>
          <w:tcPr>
            <w:tcW w:w="48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6840" w:type="dxa"/>
            <w:vAlign w:val="bottom"/>
          </w:tcPr>
          <w:p>
            <w:pPr>
              <w:ind w:left="20"/>
              <w:spacing w:after="0"/>
              <w:rPr>
                <w:sz w:val="20"/>
                <w:szCs w:val="20"/>
                <w:color w:val="auto"/>
              </w:rPr>
            </w:pPr>
            <w:r>
              <w:rPr>
                <w:rFonts w:ascii="Arial" w:cs="Arial" w:eastAsia="Arial" w:hAnsi="Arial"/>
                <w:sz w:val="12"/>
                <w:szCs w:val="12"/>
                <w:color w:val="auto"/>
              </w:rPr>
              <w:t>Chief Executive Officer</w:t>
            </w:r>
          </w:p>
        </w:tc>
      </w:tr>
      <w:tr>
        <w:trPr>
          <w:trHeight w:val="333"/>
        </w:trPr>
        <w:tc>
          <w:tcPr>
            <w:tcW w:w="4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684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John E. Geller, Jr.</w:t>
            </w:r>
          </w:p>
        </w:tc>
      </w:tr>
      <w:tr>
        <w:trPr>
          <w:trHeight w:val="142"/>
        </w:trPr>
        <w:tc>
          <w:tcPr>
            <w:tcW w:w="48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6840" w:type="dxa"/>
            <w:vAlign w:val="bottom"/>
          </w:tcPr>
          <w:p>
            <w:pPr>
              <w:ind w:left="20"/>
              <w:spacing w:after="0"/>
              <w:rPr>
                <w:sz w:val="20"/>
                <w:szCs w:val="20"/>
                <w:color w:val="auto"/>
              </w:rPr>
            </w:pPr>
            <w:r>
              <w:rPr>
                <w:rFonts w:ascii="Arial" w:cs="Arial" w:eastAsia="Arial" w:hAnsi="Arial"/>
                <w:sz w:val="12"/>
                <w:szCs w:val="12"/>
                <w:color w:val="auto"/>
              </w:rPr>
              <w:t>John E. Geller, Jr.</w:t>
            </w:r>
          </w:p>
        </w:tc>
      </w:tr>
      <w:tr>
        <w:trPr>
          <w:trHeight w:val="153"/>
        </w:trPr>
        <w:tc>
          <w:tcPr>
            <w:tcW w:w="48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6840" w:type="dxa"/>
            <w:vAlign w:val="bottom"/>
          </w:tcPr>
          <w:p>
            <w:pPr>
              <w:ind w:left="20"/>
              <w:spacing w:after="0"/>
              <w:rPr>
                <w:sz w:val="20"/>
                <w:szCs w:val="20"/>
                <w:color w:val="auto"/>
              </w:rPr>
            </w:pPr>
            <w:r>
              <w:rPr>
                <w:rFonts w:ascii="Arial" w:cs="Arial" w:eastAsia="Arial" w:hAnsi="Arial"/>
                <w:sz w:val="12"/>
                <w:szCs w:val="12"/>
                <w:color w:val="auto"/>
              </w:rPr>
              <w:t>President and Chief Financial Officer</w:t>
            </w:r>
          </w:p>
        </w:tc>
      </w:tr>
      <w:tr>
        <w:trPr>
          <w:trHeight w:val="333"/>
        </w:trPr>
        <w:tc>
          <w:tcPr>
            <w:tcW w:w="4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6840" w:type="dxa"/>
            <w:vAlign w:val="bottom"/>
          </w:tcPr>
          <w:p>
            <w:pPr>
              <w:ind w:left="1340"/>
              <w:spacing w:after="0"/>
              <w:rPr>
                <w:sz w:val="20"/>
                <w:szCs w:val="20"/>
                <w:color w:val="auto"/>
              </w:rPr>
            </w:pPr>
            <w:r>
              <w:rPr>
                <w:rFonts w:ascii="Arial" w:cs="Arial" w:eastAsia="Arial" w:hAnsi="Arial"/>
                <w:sz w:val="12"/>
                <w:szCs w:val="12"/>
                <w:color w:val="auto"/>
              </w:rPr>
              <w:t>78</w:t>
            </w:r>
          </w:p>
        </w:tc>
      </w:tr>
    </w:tbl>
    <w:p>
      <w:pPr>
        <w:sectPr>
          <w:pgSz w:w="11900" w:h="16838" w:orient="portrait"/>
          <w:cols w:equalWidth="0" w:num="1">
            <w:col w:w="11300"/>
          </w:cols>
          <w:pgMar w:left="300" w:top="784" w:right="299" w:bottom="1440" w:gutter="0" w:footer="0" w:header="0"/>
        </w:sectPr>
      </w:pPr>
    </w:p>
    <w:bookmarkStart w:id="80" w:name="page81"/>
    <w:bookmarkEnd w:id="80"/>
    <w:p>
      <w:pPr>
        <w:jc w:val="right"/>
        <w:spacing w:after="0"/>
        <w:rPr>
          <w:sz w:val="20"/>
          <w:szCs w:val="20"/>
          <w:color w:val="auto"/>
        </w:rPr>
      </w:pPr>
      <w:r>
        <w:rPr>
          <w:rFonts w:ascii="Arial" w:cs="Arial" w:eastAsia="Arial" w:hAnsi="Arial"/>
          <w:sz w:val="12"/>
          <w:szCs w:val="12"/>
          <w:b w:val="1"/>
          <w:bCs w:val="1"/>
          <w:color w:val="auto"/>
        </w:rPr>
        <w:t>Exhibit 31.1</w:t>
      </w:r>
    </w:p>
    <w:p>
      <w:pPr>
        <w:spacing w:after="0" w:line="15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Certificate of Chief Executive Officer</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Pursuant to Rule 13a-14(a) of the Securities Exchange Act of 1934</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2"/>
          <w:szCs w:val="12"/>
          <w:color w:val="auto"/>
        </w:rPr>
        <w:t>I, Stephen P. Weisz, certify that:</w:t>
      </w:r>
    </w:p>
    <w:p>
      <w:pPr>
        <w:spacing w:after="0" w:line="78" w:lineRule="exact"/>
        <w:rPr>
          <w:sz w:val="20"/>
          <w:szCs w:val="20"/>
          <w:color w:val="auto"/>
        </w:rPr>
      </w:pPr>
    </w:p>
    <w:p>
      <w:pPr>
        <w:ind w:left="428" w:hanging="428"/>
        <w:spacing w:after="0"/>
        <w:tabs>
          <w:tab w:leader="none" w:pos="428" w:val="left"/>
        </w:tabs>
        <w:numPr>
          <w:ilvl w:val="0"/>
          <w:numId w:val="41"/>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Marriott Vacations Worldwide Corporation;</w:t>
      </w:r>
    </w:p>
    <w:p>
      <w:pPr>
        <w:spacing w:after="0" w:line="78" w:lineRule="exact"/>
        <w:rPr>
          <w:rFonts w:ascii="Arial" w:cs="Arial" w:eastAsia="Arial" w:hAnsi="Arial"/>
          <w:sz w:val="12"/>
          <w:szCs w:val="12"/>
          <w:color w:val="auto"/>
        </w:rPr>
      </w:pPr>
    </w:p>
    <w:p>
      <w:pPr>
        <w:ind w:left="428" w:right="240" w:hanging="428"/>
        <w:spacing w:after="0" w:line="276" w:lineRule="auto"/>
        <w:tabs>
          <w:tab w:leader="none" w:pos="428" w:val="left"/>
        </w:tabs>
        <w:numPr>
          <w:ilvl w:val="0"/>
          <w:numId w:val="41"/>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Arial" w:cs="Arial" w:eastAsia="Arial" w:hAnsi="Arial"/>
          <w:sz w:val="12"/>
          <w:szCs w:val="12"/>
          <w:color w:val="auto"/>
        </w:rPr>
      </w:pPr>
    </w:p>
    <w:p>
      <w:pPr>
        <w:ind w:left="428" w:right="80" w:hanging="428"/>
        <w:spacing w:after="0" w:line="276" w:lineRule="auto"/>
        <w:tabs>
          <w:tab w:leader="none" w:pos="428" w:val="left"/>
        </w:tabs>
        <w:numPr>
          <w:ilvl w:val="0"/>
          <w:numId w:val="41"/>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Arial" w:cs="Arial" w:eastAsia="Arial" w:hAnsi="Arial"/>
          <w:sz w:val="12"/>
          <w:szCs w:val="12"/>
          <w:color w:val="auto"/>
        </w:rPr>
      </w:pPr>
    </w:p>
    <w:p>
      <w:pPr>
        <w:ind w:left="428" w:right="440" w:hanging="428"/>
        <w:spacing w:after="0" w:line="276" w:lineRule="auto"/>
        <w:tabs>
          <w:tab w:leader="none" w:pos="428" w:val="left"/>
        </w:tabs>
        <w:numPr>
          <w:ilvl w:val="0"/>
          <w:numId w:val="41"/>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2" w:lineRule="exact"/>
        <w:rPr>
          <w:rFonts w:ascii="Arial" w:cs="Arial" w:eastAsia="Arial" w:hAnsi="Arial"/>
          <w:sz w:val="12"/>
          <w:szCs w:val="12"/>
          <w:color w:val="auto"/>
        </w:rPr>
      </w:pPr>
    </w:p>
    <w:p>
      <w:pPr>
        <w:ind w:left="868" w:right="240" w:hanging="436"/>
        <w:spacing w:after="0" w:line="276" w:lineRule="auto"/>
        <w:tabs>
          <w:tab w:leader="none" w:pos="866" w:val="left"/>
        </w:tabs>
        <w:numPr>
          <w:ilvl w:val="1"/>
          <w:numId w:val="41"/>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2" w:lineRule="exact"/>
        <w:rPr>
          <w:rFonts w:ascii="Arial" w:cs="Arial" w:eastAsia="Arial" w:hAnsi="Arial"/>
          <w:sz w:val="12"/>
          <w:szCs w:val="12"/>
          <w:color w:val="auto"/>
        </w:rPr>
      </w:pPr>
    </w:p>
    <w:p>
      <w:pPr>
        <w:ind w:left="868" w:right="440" w:hanging="436"/>
        <w:spacing w:after="0" w:line="276" w:lineRule="auto"/>
        <w:tabs>
          <w:tab w:leader="none" w:pos="864" w:val="left"/>
        </w:tabs>
        <w:numPr>
          <w:ilvl w:val="1"/>
          <w:numId w:val="41"/>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2" w:lineRule="exact"/>
        <w:rPr>
          <w:rFonts w:ascii="Arial" w:cs="Arial" w:eastAsia="Arial" w:hAnsi="Arial"/>
          <w:sz w:val="12"/>
          <w:szCs w:val="12"/>
          <w:color w:val="auto"/>
        </w:rPr>
      </w:pPr>
    </w:p>
    <w:p>
      <w:pPr>
        <w:ind w:left="868" w:right="20" w:hanging="436"/>
        <w:spacing w:after="0" w:line="276" w:lineRule="auto"/>
        <w:tabs>
          <w:tab w:leader="none" w:pos="866" w:val="left"/>
        </w:tabs>
        <w:numPr>
          <w:ilvl w:val="1"/>
          <w:numId w:val="41"/>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2"/>
          <w:szCs w:val="12"/>
          <w:color w:val="auto"/>
        </w:rPr>
      </w:pPr>
    </w:p>
    <w:p>
      <w:pPr>
        <w:ind w:left="868" w:right="60" w:hanging="436"/>
        <w:spacing w:after="0" w:line="276" w:lineRule="auto"/>
        <w:tabs>
          <w:tab w:leader="none" w:pos="864" w:val="left"/>
        </w:tabs>
        <w:numPr>
          <w:ilvl w:val="1"/>
          <w:numId w:val="41"/>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2" w:lineRule="exact"/>
        <w:rPr>
          <w:rFonts w:ascii="Arial" w:cs="Arial" w:eastAsia="Arial" w:hAnsi="Arial"/>
          <w:sz w:val="12"/>
          <w:szCs w:val="12"/>
          <w:color w:val="auto"/>
        </w:rPr>
      </w:pPr>
    </w:p>
    <w:p>
      <w:pPr>
        <w:ind w:left="428" w:right="220" w:hanging="428"/>
        <w:spacing w:after="0" w:line="276" w:lineRule="auto"/>
        <w:tabs>
          <w:tab w:leader="none" w:pos="428" w:val="left"/>
        </w:tabs>
        <w:numPr>
          <w:ilvl w:val="0"/>
          <w:numId w:val="41"/>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rFonts w:ascii="Arial" w:cs="Arial" w:eastAsia="Arial" w:hAnsi="Arial"/>
          <w:sz w:val="12"/>
          <w:szCs w:val="12"/>
          <w:color w:val="auto"/>
        </w:rPr>
      </w:pPr>
    </w:p>
    <w:p>
      <w:pPr>
        <w:ind w:left="868" w:right="380" w:hanging="436"/>
        <w:spacing w:after="0" w:line="276" w:lineRule="auto"/>
        <w:tabs>
          <w:tab w:leader="none" w:pos="866" w:val="left"/>
        </w:tabs>
        <w:numPr>
          <w:ilvl w:val="1"/>
          <w:numId w:val="41"/>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2" w:lineRule="exact"/>
        <w:rPr>
          <w:rFonts w:ascii="Arial" w:cs="Arial" w:eastAsia="Arial" w:hAnsi="Arial"/>
          <w:sz w:val="12"/>
          <w:szCs w:val="12"/>
          <w:color w:val="auto"/>
        </w:rPr>
      </w:pPr>
    </w:p>
    <w:p>
      <w:pPr>
        <w:ind w:left="868" w:hanging="436"/>
        <w:spacing w:after="0"/>
        <w:tabs>
          <w:tab w:leader="none" w:pos="868" w:val="left"/>
        </w:tabs>
        <w:numPr>
          <w:ilvl w:val="1"/>
          <w:numId w:val="41"/>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Date: August 4, 2021</w:t>
      </w:r>
    </w:p>
    <w:p>
      <w:pPr>
        <w:spacing w:after="0" w:line="276" w:lineRule="exact"/>
        <w:rPr>
          <w:sz w:val="20"/>
          <w:szCs w:val="20"/>
          <w:color w:val="auto"/>
        </w:rPr>
      </w:pPr>
    </w:p>
    <w:p>
      <w:pPr>
        <w:ind w:left="4648"/>
        <w:spacing w:after="0"/>
        <w:rPr>
          <w:sz w:val="20"/>
          <w:szCs w:val="20"/>
          <w:color w:val="auto"/>
        </w:rPr>
      </w:pPr>
      <w:r>
        <w:rPr>
          <w:rFonts w:ascii="Arial" w:cs="Arial" w:eastAsia="Arial" w:hAnsi="Arial"/>
          <w:sz w:val="12"/>
          <w:szCs w:val="12"/>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2937510</wp:posOffset>
            </wp:positionH>
            <wp:positionV relativeFrom="paragraph">
              <wp:posOffset>9525</wp:posOffset>
            </wp:positionV>
            <wp:extent cx="4229100"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9">
                      <a:extLst>
                        <a:ext uri="{28A0092B-C50C-407E-A947-70E740481C1C}"/>
                      </a:extLst>
                    </a:blip>
                    <a:srcRect/>
                    <a:stretch>
                      <a:fillRect/>
                    </a:stretch>
                  </pic:blipFill>
                  <pic:spPr bwMode="auto">
                    <a:xfrm>
                      <a:off x="0" y="0"/>
                      <a:ext cx="4229100" cy="5715"/>
                    </a:xfrm>
                    <a:prstGeom prst="rect">
                      <a:avLst/>
                    </a:prstGeom>
                    <a:noFill/>
                  </pic:spPr>
                </pic:pic>
              </a:graphicData>
            </a:graphic>
          </wp:anchor>
        </w:drawing>
      </w:r>
    </w:p>
    <w:p>
      <w:pPr>
        <w:spacing w:after="0" w:line="4" w:lineRule="exact"/>
        <w:rPr>
          <w:sz w:val="20"/>
          <w:szCs w:val="20"/>
          <w:color w:val="auto"/>
        </w:rPr>
      </w:pPr>
    </w:p>
    <w:p>
      <w:pPr>
        <w:ind w:left="4648"/>
        <w:spacing w:after="0"/>
        <w:rPr>
          <w:sz w:val="20"/>
          <w:szCs w:val="20"/>
          <w:color w:val="auto"/>
        </w:rPr>
      </w:pPr>
      <w:r>
        <w:rPr>
          <w:rFonts w:ascii="Arial" w:cs="Arial" w:eastAsia="Arial" w:hAnsi="Arial"/>
          <w:sz w:val="12"/>
          <w:szCs w:val="12"/>
          <w:color w:val="auto"/>
        </w:rPr>
        <w:t>Stephen P. Weisz</w:t>
      </w:r>
    </w:p>
    <w:p>
      <w:pPr>
        <w:spacing w:after="0" w:line="15" w:lineRule="exact"/>
        <w:rPr>
          <w:sz w:val="20"/>
          <w:szCs w:val="20"/>
          <w:color w:val="auto"/>
        </w:rPr>
      </w:pPr>
    </w:p>
    <w:p>
      <w:pPr>
        <w:ind w:left="4648"/>
        <w:spacing w:after="0"/>
        <w:rPr>
          <w:sz w:val="20"/>
          <w:szCs w:val="20"/>
          <w:color w:val="auto"/>
        </w:rPr>
      </w:pPr>
      <w:r>
        <w:rPr>
          <w:rFonts w:ascii="Arial" w:cs="Arial" w:eastAsia="Arial" w:hAnsi="Arial"/>
          <w:sz w:val="12"/>
          <w:szCs w:val="12"/>
          <w:color w:val="auto"/>
        </w:rPr>
        <w:t>Chief Executive Officer</w:t>
      </w:r>
    </w:p>
    <w:p>
      <w:pPr>
        <w:spacing w:after="0" w:line="15" w:lineRule="exact"/>
        <w:rPr>
          <w:sz w:val="20"/>
          <w:szCs w:val="20"/>
          <w:color w:val="auto"/>
        </w:rPr>
      </w:pPr>
    </w:p>
    <w:p>
      <w:pPr>
        <w:ind w:left="4648"/>
        <w:spacing w:after="0"/>
        <w:rPr>
          <w:sz w:val="20"/>
          <w:szCs w:val="20"/>
          <w:color w:val="auto"/>
        </w:rPr>
      </w:pPr>
      <w:r>
        <w:rPr>
          <w:rFonts w:ascii="Arial" w:cs="Arial" w:eastAsia="Arial" w:hAnsi="Arial"/>
          <w:sz w:val="12"/>
          <w:szCs w:val="12"/>
          <w:color w:val="auto"/>
        </w:rPr>
        <w:t>(Principal Executive Officer)</w:t>
      </w:r>
    </w:p>
    <w:p>
      <w:pPr>
        <w:sectPr>
          <w:pgSz w:w="11900" w:h="16838" w:orient="portrait"/>
          <w:cols w:equalWidth="0" w:num="1">
            <w:col w:w="11308"/>
          </w:cols>
          <w:pgMar w:left="292" w:top="640" w:right="299" w:bottom="1440" w:gutter="0" w:footer="0" w:header="0"/>
        </w:sectPr>
      </w:pPr>
    </w:p>
    <w:bookmarkStart w:id="81" w:name="page82"/>
    <w:bookmarkEnd w:id="81"/>
    <w:p>
      <w:pPr>
        <w:jc w:val="right"/>
        <w:spacing w:after="0"/>
        <w:rPr>
          <w:sz w:val="20"/>
          <w:szCs w:val="20"/>
          <w:color w:val="auto"/>
        </w:rPr>
      </w:pPr>
      <w:r>
        <w:rPr>
          <w:rFonts w:ascii="Arial" w:cs="Arial" w:eastAsia="Arial" w:hAnsi="Arial"/>
          <w:sz w:val="12"/>
          <w:szCs w:val="12"/>
          <w:b w:val="1"/>
          <w:bCs w:val="1"/>
          <w:color w:val="auto"/>
        </w:rPr>
        <w:t>Exhibit 31.2</w:t>
      </w:r>
    </w:p>
    <w:p>
      <w:pPr>
        <w:spacing w:after="0" w:line="15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Certificate of Chief Financial Officer</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Pursuant to Rule 13a-14(a) of the Securities Exchange Act of 1934</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2"/>
          <w:szCs w:val="12"/>
          <w:color w:val="auto"/>
        </w:rPr>
        <w:t>I, John E. Geller, Jr., certify that:</w:t>
      </w:r>
    </w:p>
    <w:p>
      <w:pPr>
        <w:spacing w:after="0" w:line="78" w:lineRule="exact"/>
        <w:rPr>
          <w:sz w:val="20"/>
          <w:szCs w:val="20"/>
          <w:color w:val="auto"/>
        </w:rPr>
      </w:pPr>
    </w:p>
    <w:p>
      <w:pPr>
        <w:ind w:left="428" w:hanging="428"/>
        <w:spacing w:after="0"/>
        <w:tabs>
          <w:tab w:leader="none" w:pos="428" w:val="left"/>
        </w:tabs>
        <w:numPr>
          <w:ilvl w:val="0"/>
          <w:numId w:val="42"/>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Marriott Vacations Worldwide Corporation;</w:t>
      </w:r>
    </w:p>
    <w:p>
      <w:pPr>
        <w:spacing w:after="0" w:line="78" w:lineRule="exact"/>
        <w:rPr>
          <w:rFonts w:ascii="Arial" w:cs="Arial" w:eastAsia="Arial" w:hAnsi="Arial"/>
          <w:sz w:val="12"/>
          <w:szCs w:val="12"/>
          <w:color w:val="auto"/>
        </w:rPr>
      </w:pPr>
    </w:p>
    <w:p>
      <w:pPr>
        <w:ind w:left="428" w:right="240" w:hanging="428"/>
        <w:spacing w:after="0" w:line="276" w:lineRule="auto"/>
        <w:tabs>
          <w:tab w:leader="none" w:pos="428" w:val="left"/>
        </w:tabs>
        <w:numPr>
          <w:ilvl w:val="0"/>
          <w:numId w:val="42"/>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Arial" w:cs="Arial" w:eastAsia="Arial" w:hAnsi="Arial"/>
          <w:sz w:val="12"/>
          <w:szCs w:val="12"/>
          <w:color w:val="auto"/>
        </w:rPr>
      </w:pPr>
    </w:p>
    <w:p>
      <w:pPr>
        <w:ind w:left="428" w:right="80" w:hanging="428"/>
        <w:spacing w:after="0" w:line="276" w:lineRule="auto"/>
        <w:tabs>
          <w:tab w:leader="none" w:pos="428" w:val="left"/>
        </w:tabs>
        <w:numPr>
          <w:ilvl w:val="0"/>
          <w:numId w:val="42"/>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Arial" w:cs="Arial" w:eastAsia="Arial" w:hAnsi="Arial"/>
          <w:sz w:val="12"/>
          <w:szCs w:val="12"/>
          <w:color w:val="auto"/>
        </w:rPr>
      </w:pPr>
    </w:p>
    <w:p>
      <w:pPr>
        <w:ind w:left="428" w:right="440" w:hanging="428"/>
        <w:spacing w:after="0" w:line="276" w:lineRule="auto"/>
        <w:tabs>
          <w:tab w:leader="none" w:pos="428" w:val="left"/>
        </w:tabs>
        <w:numPr>
          <w:ilvl w:val="0"/>
          <w:numId w:val="42"/>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2" w:lineRule="exact"/>
        <w:rPr>
          <w:rFonts w:ascii="Arial" w:cs="Arial" w:eastAsia="Arial" w:hAnsi="Arial"/>
          <w:sz w:val="12"/>
          <w:szCs w:val="12"/>
          <w:color w:val="auto"/>
        </w:rPr>
      </w:pPr>
    </w:p>
    <w:p>
      <w:pPr>
        <w:ind w:left="868" w:right="240" w:hanging="436"/>
        <w:spacing w:after="0" w:line="276" w:lineRule="auto"/>
        <w:tabs>
          <w:tab w:leader="none" w:pos="866" w:val="left"/>
        </w:tabs>
        <w:numPr>
          <w:ilvl w:val="1"/>
          <w:numId w:val="42"/>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2" w:lineRule="exact"/>
        <w:rPr>
          <w:rFonts w:ascii="Arial" w:cs="Arial" w:eastAsia="Arial" w:hAnsi="Arial"/>
          <w:sz w:val="12"/>
          <w:szCs w:val="12"/>
          <w:color w:val="auto"/>
        </w:rPr>
      </w:pPr>
    </w:p>
    <w:p>
      <w:pPr>
        <w:ind w:left="868" w:right="440" w:hanging="436"/>
        <w:spacing w:after="0" w:line="276" w:lineRule="auto"/>
        <w:tabs>
          <w:tab w:leader="none" w:pos="864" w:val="left"/>
        </w:tabs>
        <w:numPr>
          <w:ilvl w:val="1"/>
          <w:numId w:val="42"/>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2" w:lineRule="exact"/>
        <w:rPr>
          <w:rFonts w:ascii="Arial" w:cs="Arial" w:eastAsia="Arial" w:hAnsi="Arial"/>
          <w:sz w:val="12"/>
          <w:szCs w:val="12"/>
          <w:color w:val="auto"/>
        </w:rPr>
      </w:pPr>
    </w:p>
    <w:p>
      <w:pPr>
        <w:ind w:left="868" w:right="20" w:hanging="436"/>
        <w:spacing w:after="0" w:line="276" w:lineRule="auto"/>
        <w:tabs>
          <w:tab w:leader="none" w:pos="866" w:val="left"/>
        </w:tabs>
        <w:numPr>
          <w:ilvl w:val="1"/>
          <w:numId w:val="42"/>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2"/>
          <w:szCs w:val="12"/>
          <w:color w:val="auto"/>
        </w:rPr>
      </w:pPr>
    </w:p>
    <w:p>
      <w:pPr>
        <w:ind w:left="868" w:right="60" w:hanging="436"/>
        <w:spacing w:after="0" w:line="276" w:lineRule="auto"/>
        <w:tabs>
          <w:tab w:leader="none" w:pos="864" w:val="left"/>
        </w:tabs>
        <w:numPr>
          <w:ilvl w:val="1"/>
          <w:numId w:val="42"/>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2" w:lineRule="exact"/>
        <w:rPr>
          <w:rFonts w:ascii="Arial" w:cs="Arial" w:eastAsia="Arial" w:hAnsi="Arial"/>
          <w:sz w:val="12"/>
          <w:szCs w:val="12"/>
          <w:color w:val="auto"/>
        </w:rPr>
      </w:pPr>
    </w:p>
    <w:p>
      <w:pPr>
        <w:ind w:left="428" w:right="220" w:hanging="428"/>
        <w:spacing w:after="0" w:line="276" w:lineRule="auto"/>
        <w:tabs>
          <w:tab w:leader="none" w:pos="428" w:val="left"/>
        </w:tabs>
        <w:numPr>
          <w:ilvl w:val="0"/>
          <w:numId w:val="42"/>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rFonts w:ascii="Arial" w:cs="Arial" w:eastAsia="Arial" w:hAnsi="Arial"/>
          <w:sz w:val="12"/>
          <w:szCs w:val="12"/>
          <w:color w:val="auto"/>
        </w:rPr>
      </w:pPr>
    </w:p>
    <w:p>
      <w:pPr>
        <w:ind w:left="868" w:right="380" w:hanging="436"/>
        <w:spacing w:after="0" w:line="276" w:lineRule="auto"/>
        <w:tabs>
          <w:tab w:leader="none" w:pos="866" w:val="left"/>
        </w:tabs>
        <w:numPr>
          <w:ilvl w:val="1"/>
          <w:numId w:val="42"/>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2" w:lineRule="exact"/>
        <w:rPr>
          <w:rFonts w:ascii="Arial" w:cs="Arial" w:eastAsia="Arial" w:hAnsi="Arial"/>
          <w:sz w:val="12"/>
          <w:szCs w:val="12"/>
          <w:color w:val="auto"/>
        </w:rPr>
      </w:pPr>
    </w:p>
    <w:p>
      <w:pPr>
        <w:ind w:left="868" w:hanging="436"/>
        <w:spacing w:after="0"/>
        <w:tabs>
          <w:tab w:leader="none" w:pos="868" w:val="left"/>
        </w:tabs>
        <w:numPr>
          <w:ilvl w:val="1"/>
          <w:numId w:val="42"/>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Date: August 4, 2021</w:t>
      </w:r>
    </w:p>
    <w:p>
      <w:pPr>
        <w:spacing w:after="0" w:line="267" w:lineRule="exact"/>
        <w:rPr>
          <w:sz w:val="20"/>
          <w:szCs w:val="20"/>
          <w:color w:val="auto"/>
        </w:rPr>
      </w:pPr>
    </w:p>
    <w:p>
      <w:pPr>
        <w:ind w:left="4248"/>
        <w:spacing w:after="0"/>
        <w:rPr>
          <w:sz w:val="20"/>
          <w:szCs w:val="20"/>
          <w:color w:val="auto"/>
        </w:rPr>
      </w:pPr>
      <w:r>
        <w:rPr>
          <w:rFonts w:ascii="Arial" w:cs="Arial" w:eastAsia="Arial" w:hAnsi="Arial"/>
          <w:sz w:val="12"/>
          <w:szCs w:val="12"/>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2691765</wp:posOffset>
            </wp:positionH>
            <wp:positionV relativeFrom="paragraph">
              <wp:posOffset>9525</wp:posOffset>
            </wp:positionV>
            <wp:extent cx="4406265"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0">
                      <a:extLst>
                        <a:ext uri="{28A0092B-C50C-407E-A947-70E740481C1C}"/>
                      </a:extLst>
                    </a:blip>
                    <a:srcRect/>
                    <a:stretch>
                      <a:fillRect/>
                    </a:stretch>
                  </pic:blipFill>
                  <pic:spPr bwMode="auto">
                    <a:xfrm>
                      <a:off x="0" y="0"/>
                      <a:ext cx="4406265" cy="5715"/>
                    </a:xfrm>
                    <a:prstGeom prst="rect">
                      <a:avLst/>
                    </a:prstGeom>
                    <a:noFill/>
                  </pic:spPr>
                </pic:pic>
              </a:graphicData>
            </a:graphic>
          </wp:anchor>
        </w:drawing>
      </w:r>
    </w:p>
    <w:p>
      <w:pPr>
        <w:spacing w:after="0" w:line="4" w:lineRule="exact"/>
        <w:rPr>
          <w:sz w:val="20"/>
          <w:szCs w:val="20"/>
          <w:color w:val="auto"/>
        </w:rPr>
      </w:pPr>
    </w:p>
    <w:p>
      <w:pPr>
        <w:ind w:left="4248"/>
        <w:spacing w:after="0"/>
        <w:rPr>
          <w:sz w:val="20"/>
          <w:szCs w:val="20"/>
          <w:color w:val="auto"/>
        </w:rPr>
      </w:pPr>
      <w:r>
        <w:rPr>
          <w:rFonts w:ascii="Arial" w:cs="Arial" w:eastAsia="Arial" w:hAnsi="Arial"/>
          <w:sz w:val="12"/>
          <w:szCs w:val="12"/>
          <w:color w:val="auto"/>
        </w:rPr>
        <w:t>John E. Geller, Jr.</w:t>
      </w:r>
    </w:p>
    <w:p>
      <w:pPr>
        <w:spacing w:after="0" w:line="15" w:lineRule="exact"/>
        <w:rPr>
          <w:sz w:val="20"/>
          <w:szCs w:val="20"/>
          <w:color w:val="auto"/>
        </w:rPr>
      </w:pPr>
    </w:p>
    <w:p>
      <w:pPr>
        <w:ind w:left="4248"/>
        <w:spacing w:after="0"/>
        <w:rPr>
          <w:sz w:val="20"/>
          <w:szCs w:val="20"/>
          <w:color w:val="auto"/>
        </w:rPr>
      </w:pPr>
      <w:r>
        <w:rPr>
          <w:rFonts w:ascii="Arial" w:cs="Arial" w:eastAsia="Arial" w:hAnsi="Arial"/>
          <w:sz w:val="12"/>
          <w:szCs w:val="12"/>
          <w:color w:val="auto"/>
        </w:rPr>
        <w:t>President and Chief Financial Officer</w:t>
      </w:r>
    </w:p>
    <w:p>
      <w:pPr>
        <w:spacing w:after="0" w:line="15" w:lineRule="exact"/>
        <w:rPr>
          <w:sz w:val="20"/>
          <w:szCs w:val="20"/>
          <w:color w:val="auto"/>
        </w:rPr>
      </w:pPr>
    </w:p>
    <w:p>
      <w:pPr>
        <w:ind w:left="4248"/>
        <w:spacing w:after="0"/>
        <w:rPr>
          <w:sz w:val="20"/>
          <w:szCs w:val="20"/>
          <w:color w:val="auto"/>
        </w:rPr>
      </w:pPr>
      <w:r>
        <w:rPr>
          <w:rFonts w:ascii="Arial" w:cs="Arial" w:eastAsia="Arial" w:hAnsi="Arial"/>
          <w:sz w:val="12"/>
          <w:szCs w:val="12"/>
          <w:color w:val="auto"/>
        </w:rPr>
        <w:t>(Principal Financial Officer)</w:t>
      </w:r>
    </w:p>
    <w:p>
      <w:pPr>
        <w:sectPr>
          <w:pgSz w:w="11900" w:h="16838" w:orient="portrait"/>
          <w:cols w:equalWidth="0" w:num="1">
            <w:col w:w="11308"/>
          </w:cols>
          <w:pgMar w:left="292" w:top="640" w:right="299" w:bottom="1440" w:gutter="0" w:footer="0" w:header="0"/>
        </w:sectPr>
      </w:pPr>
    </w:p>
    <w:bookmarkStart w:id="82" w:name="page83"/>
    <w:bookmarkEnd w:id="82"/>
    <w:p>
      <w:pPr>
        <w:jc w:val="right"/>
        <w:spacing w:after="0"/>
        <w:rPr>
          <w:sz w:val="20"/>
          <w:szCs w:val="20"/>
          <w:color w:val="auto"/>
        </w:rPr>
      </w:pPr>
      <w:r>
        <w:rPr>
          <w:rFonts w:ascii="Arial" w:cs="Arial" w:eastAsia="Arial" w:hAnsi="Arial"/>
          <w:sz w:val="12"/>
          <w:szCs w:val="12"/>
          <w:b w:val="1"/>
          <w:bCs w:val="1"/>
          <w:color w:val="auto"/>
        </w:rPr>
        <w:t>Exhibit 32.1</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Pursuant to Rule 13a-14(b) and Section 906 of the Sarbanes-Oxley Act of 2002</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(18 U.S.C. Sections 1350(a) and (b))</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2"/>
          <w:szCs w:val="12"/>
          <w:color w:val="auto"/>
        </w:rPr>
        <w:t>I, Stephen P. Weisz, President and Chief Executive Officer of Marriott Vacations Worldwide Corporation (the “Company”) certify that:</w:t>
      </w:r>
    </w:p>
    <w:p>
      <w:pPr>
        <w:spacing w:after="0" w:line="78" w:lineRule="exact"/>
        <w:rPr>
          <w:sz w:val="20"/>
          <w:szCs w:val="20"/>
          <w:color w:val="auto"/>
        </w:rPr>
      </w:pPr>
    </w:p>
    <w:p>
      <w:pPr>
        <w:ind w:left="428" w:right="320" w:hanging="428"/>
        <w:spacing w:after="0" w:line="276" w:lineRule="auto"/>
        <w:tabs>
          <w:tab w:leader="none" w:pos="428" w:val="left"/>
        </w:tabs>
        <w:numPr>
          <w:ilvl w:val="0"/>
          <w:numId w:val="43"/>
        </w:numPr>
        <w:rPr>
          <w:rFonts w:ascii="Arial" w:cs="Arial" w:eastAsia="Arial" w:hAnsi="Arial"/>
          <w:sz w:val="12"/>
          <w:szCs w:val="12"/>
          <w:color w:val="auto"/>
        </w:rPr>
      </w:pPr>
      <w:r>
        <w:rPr>
          <w:rFonts w:ascii="Arial" w:cs="Arial" w:eastAsia="Arial" w:hAnsi="Arial"/>
          <w:sz w:val="12"/>
          <w:szCs w:val="12"/>
          <w:color w:val="auto"/>
        </w:rPr>
        <w:t>the Quarterly Report on Form 10-Q of the Company for the period ended June 30, 2021 (the “Quarterly Report”), fully complies with the requirements of section 13(a) or 15(d) of the Securities Exchange Act of 1934 (15 U.S.C. 78m or 78o(d)); and</w:t>
      </w:r>
    </w:p>
    <w:p>
      <w:pPr>
        <w:spacing w:after="0" w:line="42" w:lineRule="exact"/>
        <w:rPr>
          <w:rFonts w:ascii="Arial" w:cs="Arial" w:eastAsia="Arial" w:hAnsi="Arial"/>
          <w:sz w:val="12"/>
          <w:szCs w:val="12"/>
          <w:color w:val="auto"/>
        </w:rPr>
      </w:pPr>
    </w:p>
    <w:p>
      <w:pPr>
        <w:ind w:left="428" w:hanging="428"/>
        <w:spacing w:after="0"/>
        <w:tabs>
          <w:tab w:leader="none" w:pos="428" w:val="left"/>
        </w:tabs>
        <w:numPr>
          <w:ilvl w:val="0"/>
          <w:numId w:val="43"/>
        </w:numPr>
        <w:rPr>
          <w:rFonts w:ascii="Arial" w:cs="Arial" w:eastAsia="Arial" w:hAnsi="Arial"/>
          <w:sz w:val="12"/>
          <w:szCs w:val="12"/>
          <w:color w:val="auto"/>
        </w:rPr>
      </w:pPr>
      <w:r>
        <w:rPr>
          <w:rFonts w:ascii="Arial" w:cs="Arial" w:eastAsia="Arial" w:hAnsi="Arial"/>
          <w:sz w:val="12"/>
          <w:szCs w:val="12"/>
          <w:color w:val="auto"/>
        </w:rPr>
        <w:t>the information contained in the Quarterly Report fairly presents, in all material respects, the financial condition and results of operations of the Company.</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Dated: August 4, 2021</w:t>
      </w:r>
    </w:p>
    <w:p>
      <w:pPr>
        <w:spacing w:after="0" w:line="240" w:lineRule="exact"/>
        <w:rPr>
          <w:sz w:val="20"/>
          <w:szCs w:val="20"/>
          <w:color w:val="auto"/>
        </w:rPr>
      </w:pPr>
    </w:p>
    <w:p>
      <w:pPr>
        <w:ind w:left="5108"/>
        <w:spacing w:after="0"/>
        <w:rPr>
          <w:sz w:val="20"/>
          <w:szCs w:val="20"/>
          <w:color w:val="auto"/>
        </w:rPr>
      </w:pPr>
      <w:r>
        <w:rPr>
          <w:rFonts w:ascii="Arial" w:cs="Arial" w:eastAsia="Arial" w:hAnsi="Arial"/>
          <w:sz w:val="12"/>
          <w:szCs w:val="12"/>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3240405</wp:posOffset>
            </wp:positionH>
            <wp:positionV relativeFrom="paragraph">
              <wp:posOffset>9525</wp:posOffset>
            </wp:positionV>
            <wp:extent cx="2303145"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1">
                      <a:extLst>
                        <a:ext uri="{28A0092B-C50C-407E-A947-70E740481C1C}"/>
                      </a:extLst>
                    </a:blip>
                    <a:srcRect/>
                    <a:stretch>
                      <a:fillRect/>
                    </a:stretch>
                  </pic:blipFill>
                  <pic:spPr bwMode="auto">
                    <a:xfrm>
                      <a:off x="0" y="0"/>
                      <a:ext cx="2303145" cy="5715"/>
                    </a:xfrm>
                    <a:prstGeom prst="rect">
                      <a:avLst/>
                    </a:prstGeom>
                    <a:noFill/>
                  </pic:spPr>
                </pic:pic>
              </a:graphicData>
            </a:graphic>
          </wp:anchor>
        </w:drawing>
      </w:r>
    </w:p>
    <w:p>
      <w:pPr>
        <w:spacing w:after="0" w:line="22" w:lineRule="exact"/>
        <w:rPr>
          <w:sz w:val="20"/>
          <w:szCs w:val="20"/>
          <w:color w:val="auto"/>
        </w:rPr>
      </w:pPr>
    </w:p>
    <w:p>
      <w:pPr>
        <w:ind w:left="5108"/>
        <w:spacing w:after="0"/>
        <w:rPr>
          <w:sz w:val="20"/>
          <w:szCs w:val="20"/>
          <w:color w:val="auto"/>
        </w:rPr>
      </w:pPr>
      <w:r>
        <w:rPr>
          <w:rFonts w:ascii="Arial" w:cs="Arial" w:eastAsia="Arial" w:hAnsi="Arial"/>
          <w:sz w:val="12"/>
          <w:szCs w:val="12"/>
          <w:color w:val="auto"/>
        </w:rPr>
        <w:t>Stephen P. Weisz</w:t>
      </w:r>
    </w:p>
    <w:p>
      <w:pPr>
        <w:spacing w:after="0" w:line="42" w:lineRule="exact"/>
        <w:rPr>
          <w:sz w:val="20"/>
          <w:szCs w:val="20"/>
          <w:color w:val="auto"/>
        </w:rPr>
      </w:pPr>
    </w:p>
    <w:p>
      <w:pPr>
        <w:ind w:left="5108"/>
        <w:spacing w:after="0"/>
        <w:rPr>
          <w:sz w:val="20"/>
          <w:szCs w:val="20"/>
          <w:color w:val="auto"/>
        </w:rPr>
      </w:pPr>
      <w:r>
        <w:rPr>
          <w:rFonts w:ascii="Arial" w:cs="Arial" w:eastAsia="Arial" w:hAnsi="Arial"/>
          <w:sz w:val="12"/>
          <w:szCs w:val="12"/>
          <w:color w:val="auto"/>
        </w:rPr>
        <w:t>Chief Executive Officer</w:t>
      </w:r>
    </w:p>
    <w:p>
      <w:pPr>
        <w:spacing w:after="0" w:line="42" w:lineRule="exact"/>
        <w:rPr>
          <w:sz w:val="20"/>
          <w:szCs w:val="20"/>
          <w:color w:val="auto"/>
        </w:rPr>
      </w:pPr>
    </w:p>
    <w:p>
      <w:pPr>
        <w:ind w:left="5108"/>
        <w:spacing w:after="0"/>
        <w:rPr>
          <w:sz w:val="20"/>
          <w:szCs w:val="20"/>
          <w:color w:val="auto"/>
        </w:rPr>
      </w:pPr>
      <w:r>
        <w:rPr>
          <w:rFonts w:ascii="Arial" w:cs="Arial" w:eastAsia="Arial" w:hAnsi="Arial"/>
          <w:sz w:val="12"/>
          <w:szCs w:val="12"/>
          <w:color w:val="auto"/>
        </w:rPr>
        <w:t>(Principal Executive Officer)</w:t>
      </w:r>
    </w:p>
    <w:p>
      <w:pPr>
        <w:sectPr>
          <w:pgSz w:w="11900" w:h="16838" w:orient="portrait"/>
          <w:cols w:equalWidth="0" w:num="1">
            <w:col w:w="11308"/>
          </w:cols>
          <w:pgMar w:left="292" w:top="640" w:right="299" w:bottom="1440" w:gutter="0" w:footer="0" w:header="0"/>
        </w:sectPr>
      </w:pPr>
    </w:p>
    <w:bookmarkStart w:id="83" w:name="page84"/>
    <w:bookmarkEnd w:id="83"/>
    <w:p>
      <w:pPr>
        <w:jc w:val="right"/>
        <w:spacing w:after="0"/>
        <w:rPr>
          <w:sz w:val="20"/>
          <w:szCs w:val="20"/>
          <w:color w:val="auto"/>
        </w:rPr>
      </w:pPr>
      <w:r>
        <w:rPr>
          <w:rFonts w:ascii="Arial" w:cs="Arial" w:eastAsia="Arial" w:hAnsi="Arial"/>
          <w:sz w:val="12"/>
          <w:szCs w:val="12"/>
          <w:b w:val="1"/>
          <w:bCs w:val="1"/>
          <w:color w:val="auto"/>
        </w:rPr>
        <w:t>Exhibit 32.2</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Pursuant to Rule 13a-14(b) and Section 906 of the Sarbanes-Oxley Act of 2002</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(18 U.S.C. Sections 1350(a) and (b))</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2"/>
          <w:szCs w:val="12"/>
          <w:color w:val="auto"/>
        </w:rPr>
        <w:t>I, John E. Geller, Jr., Executive Vice President and Chief Financial Officer of Marriott Vacations Worldwide Corporation (the “Company”) certify that:</w:t>
      </w:r>
    </w:p>
    <w:p>
      <w:pPr>
        <w:spacing w:after="0" w:line="78" w:lineRule="exact"/>
        <w:rPr>
          <w:sz w:val="20"/>
          <w:szCs w:val="20"/>
          <w:color w:val="auto"/>
        </w:rPr>
      </w:pPr>
    </w:p>
    <w:p>
      <w:pPr>
        <w:ind w:left="428" w:right="320" w:hanging="428"/>
        <w:spacing w:after="0" w:line="276" w:lineRule="auto"/>
        <w:tabs>
          <w:tab w:leader="none" w:pos="428" w:val="left"/>
        </w:tabs>
        <w:numPr>
          <w:ilvl w:val="0"/>
          <w:numId w:val="44"/>
        </w:numPr>
        <w:rPr>
          <w:rFonts w:ascii="Arial" w:cs="Arial" w:eastAsia="Arial" w:hAnsi="Arial"/>
          <w:sz w:val="12"/>
          <w:szCs w:val="12"/>
          <w:color w:val="auto"/>
        </w:rPr>
      </w:pPr>
      <w:r>
        <w:rPr>
          <w:rFonts w:ascii="Arial" w:cs="Arial" w:eastAsia="Arial" w:hAnsi="Arial"/>
          <w:sz w:val="12"/>
          <w:szCs w:val="12"/>
          <w:color w:val="auto"/>
        </w:rPr>
        <w:t>the Quarterly Report on Form 10-Q of the Company for the period ended June 30, 2021 (the “Quarterly Report”), fully complies with the requirements of section 13(a) or 15(d) of the Securities Exchange Act of 1934 (15 U.S.C. 78m or 78o(d)); and</w:t>
      </w:r>
    </w:p>
    <w:p>
      <w:pPr>
        <w:spacing w:after="0" w:line="42" w:lineRule="exact"/>
        <w:rPr>
          <w:rFonts w:ascii="Arial" w:cs="Arial" w:eastAsia="Arial" w:hAnsi="Arial"/>
          <w:sz w:val="12"/>
          <w:szCs w:val="12"/>
          <w:color w:val="auto"/>
        </w:rPr>
      </w:pPr>
    </w:p>
    <w:p>
      <w:pPr>
        <w:ind w:left="428" w:hanging="428"/>
        <w:spacing w:after="0"/>
        <w:tabs>
          <w:tab w:leader="none" w:pos="428" w:val="left"/>
        </w:tabs>
        <w:numPr>
          <w:ilvl w:val="0"/>
          <w:numId w:val="44"/>
        </w:numPr>
        <w:rPr>
          <w:rFonts w:ascii="Arial" w:cs="Arial" w:eastAsia="Arial" w:hAnsi="Arial"/>
          <w:sz w:val="12"/>
          <w:szCs w:val="12"/>
          <w:color w:val="auto"/>
        </w:rPr>
      </w:pPr>
      <w:r>
        <w:rPr>
          <w:rFonts w:ascii="Arial" w:cs="Arial" w:eastAsia="Arial" w:hAnsi="Arial"/>
          <w:sz w:val="12"/>
          <w:szCs w:val="12"/>
          <w:color w:val="auto"/>
        </w:rPr>
        <w:t>the information contained in the Quarterly Report fairly presents, in all material respects, the financial condition and results of operations of the Company.</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Dated: August 4, 2021</w:t>
      </w:r>
    </w:p>
    <w:p>
      <w:pPr>
        <w:spacing w:after="0" w:line="294" w:lineRule="exact"/>
        <w:rPr>
          <w:sz w:val="20"/>
          <w:szCs w:val="20"/>
          <w:color w:val="auto"/>
        </w:rPr>
      </w:pPr>
    </w:p>
    <w:p>
      <w:pPr>
        <w:ind w:left="4908"/>
        <w:spacing w:after="0"/>
        <w:rPr>
          <w:sz w:val="20"/>
          <w:szCs w:val="20"/>
          <w:color w:val="auto"/>
        </w:rPr>
      </w:pPr>
      <w:r>
        <w:rPr>
          <w:rFonts w:ascii="Arial" w:cs="Arial" w:eastAsia="Arial" w:hAnsi="Arial"/>
          <w:sz w:val="12"/>
          <w:szCs w:val="12"/>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3114675</wp:posOffset>
            </wp:positionH>
            <wp:positionV relativeFrom="paragraph">
              <wp:posOffset>9525</wp:posOffset>
            </wp:positionV>
            <wp:extent cx="2400300"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2">
                      <a:extLst>
                        <a:ext uri="{28A0092B-C50C-407E-A947-70E740481C1C}"/>
                      </a:extLst>
                    </a:blip>
                    <a:srcRect/>
                    <a:stretch>
                      <a:fillRect/>
                    </a:stretch>
                  </pic:blipFill>
                  <pic:spPr bwMode="auto">
                    <a:xfrm>
                      <a:off x="0" y="0"/>
                      <a:ext cx="2400300" cy="5715"/>
                    </a:xfrm>
                    <a:prstGeom prst="rect">
                      <a:avLst/>
                    </a:prstGeom>
                    <a:noFill/>
                  </pic:spPr>
                </pic:pic>
              </a:graphicData>
            </a:graphic>
          </wp:anchor>
        </w:drawing>
      </w:r>
    </w:p>
    <w:p>
      <w:pPr>
        <w:spacing w:after="0" w:line="13" w:lineRule="exact"/>
        <w:rPr>
          <w:sz w:val="20"/>
          <w:szCs w:val="20"/>
          <w:color w:val="auto"/>
        </w:rPr>
      </w:pPr>
    </w:p>
    <w:p>
      <w:pPr>
        <w:ind w:left="4908"/>
        <w:spacing w:after="0"/>
        <w:rPr>
          <w:sz w:val="20"/>
          <w:szCs w:val="20"/>
          <w:color w:val="auto"/>
        </w:rPr>
      </w:pPr>
      <w:r>
        <w:rPr>
          <w:rFonts w:ascii="Arial" w:cs="Arial" w:eastAsia="Arial" w:hAnsi="Arial"/>
          <w:sz w:val="12"/>
          <w:szCs w:val="12"/>
          <w:color w:val="auto"/>
        </w:rPr>
        <w:t>John E. Geller, Jr.</w:t>
      </w:r>
    </w:p>
    <w:p>
      <w:pPr>
        <w:spacing w:after="0" w:line="33" w:lineRule="exact"/>
        <w:rPr>
          <w:sz w:val="20"/>
          <w:szCs w:val="20"/>
          <w:color w:val="auto"/>
        </w:rPr>
      </w:pPr>
    </w:p>
    <w:p>
      <w:pPr>
        <w:ind w:left="4908"/>
        <w:spacing w:after="0"/>
        <w:rPr>
          <w:sz w:val="20"/>
          <w:szCs w:val="20"/>
          <w:color w:val="auto"/>
        </w:rPr>
      </w:pPr>
      <w:r>
        <w:rPr>
          <w:rFonts w:ascii="Arial" w:cs="Arial" w:eastAsia="Arial" w:hAnsi="Arial"/>
          <w:sz w:val="12"/>
          <w:szCs w:val="12"/>
          <w:color w:val="auto"/>
        </w:rPr>
        <w:t>President and Chief Financial Officer</w:t>
      </w:r>
    </w:p>
    <w:p>
      <w:pPr>
        <w:spacing w:after="0" w:line="33" w:lineRule="exact"/>
        <w:rPr>
          <w:sz w:val="20"/>
          <w:szCs w:val="20"/>
          <w:color w:val="auto"/>
        </w:rPr>
      </w:pPr>
    </w:p>
    <w:p>
      <w:pPr>
        <w:ind w:left="4908"/>
        <w:spacing w:after="0"/>
        <w:rPr>
          <w:sz w:val="20"/>
          <w:szCs w:val="20"/>
          <w:color w:val="auto"/>
        </w:rPr>
      </w:pPr>
      <w:r>
        <w:rPr>
          <w:rFonts w:ascii="Arial" w:cs="Arial" w:eastAsia="Arial" w:hAnsi="Arial"/>
          <w:sz w:val="12"/>
          <w:szCs w:val="12"/>
          <w:color w:val="auto"/>
        </w:rPr>
        <w:t>(Principal Financial Officer)</w:t>
      </w:r>
    </w:p>
    <w:sectPr>
      <w:pgSz w:w="11900" w:h="16838" w:orient="portrait"/>
      <w:cols w:equalWidth="0" w:num="1">
        <w:col w:w="11308"/>
      </w:cols>
      <w:pgMar w:left="292" w:top="64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1)"/>
      <w:numFmt w:val="decimal"/>
      <w:start w:val="407"/>
    </w:lvl>
  </w:abstractNum>
  <w:abstractNum w:abstractNumId="3">
    <w:nsid w:val="75A2A8D4"/>
    <w:multiLevelType w:val="hybridMultilevel"/>
    <w:lvl w:ilvl="0">
      <w:lvlJc w:val="left"/>
      <w:lvlText w:val="%1."/>
      <w:numFmt w:val="decimal"/>
      <w:start w:val="1"/>
    </w:lvl>
  </w:abstractNum>
  <w:abstractNum w:abstractNumId="4">
    <w:nsid w:val="8EDBDAB"/>
    <w:multiLevelType w:val="hybridMultilevel"/>
    <w:lvl w:ilvl="0">
      <w:lvlJc w:val="left"/>
      <w:lvlText w:val="%1."/>
      <w:numFmt w:val="decimal"/>
      <w:start w:val="2"/>
    </w:lvl>
  </w:abstractNum>
  <w:abstractNum w:abstractNumId="5">
    <w:nsid w:val="79838CB2"/>
    <w:multiLevelType w:val="hybridMultilevel"/>
    <w:lvl w:ilvl="0">
      <w:lvlJc w:val="left"/>
      <w:lvlText w:val="%1."/>
      <w:numFmt w:val="decimal"/>
      <w:start w:val="3"/>
    </w:lvl>
  </w:abstractNum>
  <w:abstractNum w:abstractNumId="6">
    <w:nsid w:val="4353D0CD"/>
    <w:multiLevelType w:val="hybridMultilevel"/>
    <w:lvl w:ilvl="0">
      <w:lvlJc w:val="left"/>
      <w:lvlText w:val="(%1)"/>
      <w:numFmt w:val="decimal"/>
      <w:start w:val="1"/>
    </w:lvl>
  </w:abstractNum>
  <w:abstractNum w:abstractNumId="7">
    <w:nsid w:val="B03E0C6"/>
    <w:multiLevelType w:val="hybridMultilevel"/>
    <w:lvl w:ilvl="0">
      <w:lvlJc w:val="left"/>
      <w:lvlText w:val="(%1)"/>
      <w:numFmt w:val="decimal"/>
      <w:start w:val="2"/>
    </w:lvl>
  </w:abstractNum>
  <w:abstractNum w:abstractNumId="8">
    <w:nsid w:val="189A769B"/>
    <w:multiLevelType w:val="hybridMultilevel"/>
    <w:lvl w:ilvl="0">
      <w:lvlJc w:val="left"/>
      <w:lvlText w:val="%1."/>
      <w:numFmt w:val="decimal"/>
      <w:start w:val="4"/>
    </w:lvl>
  </w:abstractNum>
  <w:abstractNum w:abstractNumId="9">
    <w:nsid w:val="54E49EB4"/>
    <w:multiLevelType w:val="hybridMultilevel"/>
    <w:lvl w:ilvl="0">
      <w:lvlJc w:val="left"/>
      <w:lvlText w:val="%1."/>
      <w:numFmt w:val="decimal"/>
      <w:start w:val="5"/>
    </w:lvl>
  </w:abstractNum>
  <w:abstractNum w:abstractNumId="10">
    <w:nsid w:val="71F32454"/>
    <w:multiLevelType w:val="hybridMultilevel"/>
    <w:lvl w:ilvl="0">
      <w:lvlJc w:val="left"/>
      <w:lvlText w:val="%1."/>
      <w:numFmt w:val="decimal"/>
      <w:start w:val="6"/>
    </w:lvl>
  </w:abstractNum>
  <w:abstractNum w:abstractNumId="11">
    <w:nsid w:val="2CA88611"/>
    <w:multiLevelType w:val="hybridMultilevel"/>
    <w:lvl w:ilvl="0">
      <w:lvlJc w:val="left"/>
      <w:lvlText w:val="(%1)"/>
      <w:numFmt w:val="decimal"/>
      <w:start w:val="1"/>
    </w:lvl>
  </w:abstractNum>
  <w:abstractNum w:abstractNumId="12">
    <w:nsid w:val="836C40E"/>
    <w:multiLevelType w:val="hybridMultilevel"/>
    <w:lvl w:ilvl="0">
      <w:lvlJc w:val="left"/>
      <w:lvlText w:val="(%1)"/>
      <w:numFmt w:val="decimal"/>
      <w:start w:val="1"/>
    </w:lvl>
  </w:abstractNum>
  <w:abstractNum w:abstractNumId="13">
    <w:nsid w:val="2901D82"/>
    <w:multiLevelType w:val="hybridMultilevel"/>
    <w:lvl w:ilvl="0">
      <w:lvlJc w:val="left"/>
      <w:lvlText w:val="(%1)"/>
      <w:numFmt w:val="decimal"/>
      <w:start w:val="1"/>
    </w:lvl>
  </w:abstractNum>
  <w:abstractNum w:abstractNumId="14">
    <w:nsid w:val="3A95F874"/>
    <w:multiLevelType w:val="hybridMultilevel"/>
    <w:lvl w:ilvl="0">
      <w:lvlJc w:val="left"/>
      <w:lvlText w:val="%1."/>
      <w:numFmt w:val="decimal"/>
      <w:start w:val="7"/>
    </w:lvl>
  </w:abstractNum>
  <w:abstractNum w:abstractNumId="15">
    <w:nsid w:val="8138641"/>
    <w:multiLevelType w:val="hybridMultilevel"/>
    <w:lvl w:ilvl="0">
      <w:lvlJc w:val="left"/>
      <w:lvlText w:val="%1."/>
      <w:numFmt w:val="decimal"/>
      <w:start w:val="8"/>
    </w:lvl>
  </w:abstractNum>
  <w:abstractNum w:abstractNumId="16">
    <w:nsid w:val="1E7FF521"/>
    <w:multiLevelType w:val="hybridMultilevel"/>
    <w:lvl w:ilvl="0">
      <w:lvlJc w:val="left"/>
      <w:lvlText w:val="(%1)"/>
      <w:numFmt w:val="decimal"/>
      <w:start w:val="1"/>
    </w:lvl>
  </w:abstractNum>
  <w:abstractNum w:abstractNumId="17">
    <w:nsid w:val="7C3DBD3D"/>
    <w:multiLevelType w:val="hybridMultilevel"/>
    <w:lvl w:ilvl="0">
      <w:lvlJc w:val="left"/>
      <w:lvlText w:val="(%1)"/>
      <w:numFmt w:val="decimal"/>
      <w:start w:val="1"/>
    </w:lvl>
  </w:abstractNum>
  <w:abstractNum w:abstractNumId="18">
    <w:nsid w:val="737B8DDC"/>
    <w:multiLevelType w:val="hybridMultilevel"/>
    <w:lvl w:ilvl="0">
      <w:lvlJc w:val="left"/>
      <w:lvlText w:val="%1."/>
      <w:numFmt w:val="decimal"/>
      <w:start w:val="10"/>
    </w:lvl>
  </w:abstractNum>
  <w:abstractNum w:abstractNumId="19">
    <w:nsid w:val="6CEAF087"/>
    <w:multiLevelType w:val="hybridMultilevel"/>
    <w:lvl w:ilvl="0">
      <w:lvlJc w:val="left"/>
      <w:lvlText w:val="%1."/>
      <w:numFmt w:val="decimal"/>
      <w:start w:val="1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1)"/>
      <w:numFmt w:val="decimal"/>
      <w:start w:val="1"/>
    </w:lvl>
  </w:abstractNum>
  <w:abstractNum w:abstractNumId="22">
    <w:nsid w:val="3006C83E"/>
    <w:multiLevelType w:val="hybridMultilevel"/>
    <w:lvl w:ilvl="0">
      <w:lvlJc w:val="left"/>
      <w:lvlText w:val="%1."/>
      <w:numFmt w:val="decimal"/>
      <w:start w:val="13"/>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1."/>
      <w:numFmt w:val="decimal"/>
      <w:start w:val="14"/>
    </w:lvl>
  </w:abstractNum>
  <w:abstractNum w:abstractNumId="26">
    <w:nsid w:val="440BADFC"/>
    <w:multiLevelType w:val="hybridMultilevel"/>
    <w:lvl w:ilvl="0">
      <w:lvlJc w:val="left"/>
      <w:lvlText w:val="%1."/>
      <w:numFmt w:val="decimal"/>
      <w:start w:val="15"/>
    </w:lvl>
  </w:abstractNum>
  <w:abstractNum w:abstractNumId="27">
    <w:nsid w:val="5072367"/>
    <w:multiLevelType w:val="hybridMultilevel"/>
    <w:lvl w:ilvl="0">
      <w:lvlJc w:val="left"/>
      <w:lvlText w:val="%1."/>
      <w:numFmt w:val="decimal"/>
      <w:start w:val="16"/>
    </w:lvl>
  </w:abstractNum>
  <w:abstractNum w:abstractNumId="28">
    <w:nsid w:val="3804823E"/>
    <w:multiLevelType w:val="hybridMultilevel"/>
    <w:lvl w:ilvl="0">
      <w:lvlJc w:val="left"/>
      <w:lvlText w:val="%1."/>
      <w:numFmt w:val="decimal"/>
      <w:start w:val="17"/>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
      <w:numFmt w:val="bullet"/>
      <w:start w:val="1"/>
    </w:lvl>
    <w:lvl w:ilvl="1">
      <w:lvlJc w:val="left"/>
      <w:lvlText w:val="•"/>
      <w:numFmt w:val="bullet"/>
      <w:start w:val="1"/>
    </w:lvl>
  </w:abstractNum>
  <w:abstractNum w:abstractNumId="32">
    <w:nsid w:val="2463B9EA"/>
    <w:multiLevelType w:val="hybridMultilevel"/>
    <w:lvl w:ilvl="0">
      <w:lvlJc w:val="left"/>
      <w:lvlText w:val="(%1)"/>
      <w:numFmt w:val="decimal"/>
      <w:start w:val="1"/>
    </w:lvl>
  </w:abstractNum>
  <w:abstractNum w:abstractNumId="33">
    <w:nsid w:val="5E884ADC"/>
    <w:multiLevelType w:val="hybridMultilevel"/>
    <w:lvl w:ilvl="0">
      <w:lvlJc w:val="left"/>
      <w:lvlText w:val="(%1)"/>
      <w:numFmt w:val="decimal"/>
      <w:start w:val="1"/>
    </w:lvl>
  </w:abstractNum>
  <w:abstractNum w:abstractNumId="34">
    <w:nsid w:val="51EAD36B"/>
    <w:multiLevelType w:val="hybridMultilevel"/>
    <w:lvl w:ilvl="0">
      <w:lvlJc w:val="left"/>
      <w:lvlText w:val="(%1)"/>
      <w:numFmt w:val="decimal"/>
      <w:start w:val="1"/>
    </w:lvl>
  </w:abstractNum>
  <w:abstractNum w:abstractNumId="35">
    <w:nsid w:val="2D517796"/>
    <w:multiLevelType w:val="hybridMultilevel"/>
    <w:lvl w:ilvl="0">
      <w:lvlJc w:val="left"/>
      <w:lvlText w:val="(%1)"/>
      <w:numFmt w:val="decimal"/>
      <w:start w:val="1"/>
    </w:lvl>
  </w:abstractNum>
  <w:abstractNum w:abstractNumId="36">
    <w:nsid w:val="580BD78F"/>
    <w:multiLevelType w:val="hybridMultilevel"/>
    <w:lvl w:ilvl="0">
      <w:lvlJc w:val="left"/>
      <w:lvlText w:val="(%1)"/>
      <w:numFmt w:val="decimal"/>
      <w:start w:val="1"/>
    </w:lvl>
  </w:abstractNum>
  <w:abstractNum w:abstractNumId="37">
    <w:nsid w:val="153EA438"/>
    <w:multiLevelType w:val="hybridMultilevel"/>
    <w:lvl w:ilvl="0">
      <w:lvlJc w:val="left"/>
      <w:lvlText w:val="(%1)"/>
      <w:numFmt w:val="decimal"/>
      <w:start w:val="1"/>
    </w:lvl>
  </w:abstractNum>
  <w:abstractNum w:abstractNumId="38">
    <w:nsid w:val="3855585C"/>
    <w:multiLevelType w:val="hybridMultilevel"/>
    <w:lvl w:ilvl="0">
      <w:lvlJc w:val="left"/>
      <w:lvlText w:val="%1"/>
      <w:numFmt w:val="decimal"/>
      <w:start w:val="101"/>
    </w:lvl>
  </w:abstractNum>
  <w:abstractNum w:abstractNumId="39">
    <w:nsid w:val="70A64E2A"/>
    <w:multiLevelType w:val="hybridMultilevel"/>
    <w:lvl w:ilvl="0">
      <w:lvlJc w:val="left"/>
      <w:lvlText w:val="%1"/>
      <w:numFmt w:val="decimal"/>
      <w:start w:val="104"/>
    </w:lvl>
    <w:lvl w:ilvl="1">
      <w:lvlJc w:val="left"/>
      <w:lvlText w:val="*"/>
      <w:numFmt w:val="bullet"/>
      <w:start w:val="1"/>
    </w:lvl>
  </w:abstractNum>
  <w:abstractNum w:abstractNumId="40">
    <w:nsid w:val="6A2342EC"/>
    <w:multiLevelType w:val="hybridMultilevel"/>
    <w:lvl w:ilvl="0">
      <w:lvlJc w:val="left"/>
      <w:lvlText w:val="%1."/>
      <w:numFmt w:val="decimal"/>
      <w:start w:val="1"/>
    </w:lvl>
    <w:lvl w:ilvl="1">
      <w:lvlJc w:val="left"/>
      <w:lvlText w:val="(%2)"/>
      <w:numFmt w:val="lowerLetter"/>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20" Type="http://schemas.openxmlformats.org/officeDocument/2006/relationships/image" Target="media/image103.png"/><Relationship Id="rId121" Type="http://schemas.openxmlformats.org/officeDocument/2006/relationships/image" Target="media/image104.png"/><Relationship Id="rId122" Type="http://schemas.openxmlformats.org/officeDocument/2006/relationships/image" Target="media/image105.png"/><Relationship Id="rId123" Type="http://schemas.openxmlformats.org/officeDocument/2006/relationships/image" Target="media/image106.png"/><Relationship Id="rId124" Type="http://schemas.openxmlformats.org/officeDocument/2006/relationships/image" Target="media/image107.png"/><Relationship Id="rId125" Type="http://schemas.openxmlformats.org/officeDocument/2006/relationships/image" Target="media/image108.png"/><Relationship Id="rId127" Type="http://schemas.openxmlformats.org/officeDocument/2006/relationships/image" Target="media/image109.png"/><Relationship Id="rId137" Type="http://schemas.openxmlformats.org/officeDocument/2006/relationships/image" Target="media/image110.png"/><Relationship Id="rId138" Type="http://schemas.openxmlformats.org/officeDocument/2006/relationships/image" Target="media/image111.png"/><Relationship Id="rId139" Type="http://schemas.openxmlformats.org/officeDocument/2006/relationships/image" Target="media/image112.png"/><Relationship Id="rId140" Type="http://schemas.openxmlformats.org/officeDocument/2006/relationships/image" Target="media/image113.png"/><Relationship Id="rId141" Type="http://schemas.openxmlformats.org/officeDocument/2006/relationships/image" Target="media/image114.png"/><Relationship Id="rId146" Type="http://schemas.openxmlformats.org/officeDocument/2006/relationships/image" Target="media/image115.png"/><Relationship Id="rId147" Type="http://schemas.openxmlformats.org/officeDocument/2006/relationships/image" Target="media/image116.png"/><Relationship Id="rId148" Type="http://schemas.openxmlformats.org/officeDocument/2006/relationships/image" Target="media/image117.png"/><Relationship Id="rId149" Type="http://schemas.openxmlformats.org/officeDocument/2006/relationships/image" Target="media/image118.png"/><Relationship Id="rId150" Type="http://schemas.openxmlformats.org/officeDocument/2006/relationships/image" Target="media/image119.png"/><Relationship Id="rId151" Type="http://schemas.openxmlformats.org/officeDocument/2006/relationships/image" Target="media/image120.png"/><Relationship Id="rId152" Type="http://schemas.openxmlformats.org/officeDocument/2006/relationships/image" Target="media/image121.png"/><Relationship Id="rId110" Type="http://schemas.openxmlformats.org/officeDocument/2006/relationships/hyperlink" Target="https://www.sec.gov/Archives/edgar/data/0001524358/000152435821000007/projectchampagne-mergeragr.htm" TargetMode="External"/><Relationship Id="rId111" Type="http://schemas.openxmlformats.org/officeDocument/2006/relationships/hyperlink" Target="http://www.sec.gov/Archives/edgar/data/1524358/000119312511320045/d256766dex31.htm" TargetMode="External"/><Relationship Id="rId112" Type="http://schemas.openxmlformats.org/officeDocument/2006/relationships/hyperlink" Target="http://www.sec.gov/Archives/edgar/data/1524358/000119312511320045/d256766dex32.htm" TargetMode="External"/><Relationship Id="rId113" Type="http://schemas.openxmlformats.org/officeDocument/2006/relationships/hyperlink" Target="http://www.sec.gov/Archives/edgar/data/1524358/000119312511271851/d197736dex41.htm" TargetMode="External"/><Relationship Id="rId114" Type="http://schemas.openxmlformats.org/officeDocument/2006/relationships/hyperlink" Target="http://www.sec.gov/Archives/edgar/data/1524358/000152435817000036/q3201710-qexhibit41xindent.htm" TargetMode="External"/><Relationship Id="rId115" Type="http://schemas.openxmlformats.org/officeDocument/2006/relationships/hyperlink" Target="http://www.sec.gov/Archives/edgar/data/1524358/000152435817000036/q3201710-qexhibit41xindent.htm#s5A3ABC734649FE299B9DF361BE642613" TargetMode="External"/><Relationship Id="rId116" Type="http://schemas.openxmlformats.org/officeDocument/2006/relationships/hyperlink" Target="http://www.sec.gov/Archives/edgar/data/1524358/000119312518256374/d608569dex41.htm" TargetMode="External"/><Relationship Id="rId117" Type="http://schemas.openxmlformats.org/officeDocument/2006/relationships/hyperlink" Target="http://www.sec.gov/Archives/edgar/data/1524358/000119312518266807/d597652dex47.htm" TargetMode="External"/><Relationship Id="rId118" Type="http://schemas.openxmlformats.org/officeDocument/2006/relationships/hyperlink" Target="http://www.sec.gov/Archives/edgar/data/1524358/000152435820000011/a201910-kex46xsecondsu.htm" TargetMode="External"/><Relationship Id="rId119" Type="http://schemas.openxmlformats.org/officeDocument/2006/relationships/hyperlink" Target="http://www.sec.gov/Archives/edgar/data/1524358/000152435820000011/a201910-kex47thirdsupp.htm" TargetMode="External"/><Relationship Id="rId126" Type="http://schemas.openxmlformats.org/officeDocument/2006/relationships/hyperlink" Target="http://www.sec.gov/Archives/edgar/data/1524358/000119312518256374/d608569dex43.htm" TargetMode="External"/><Relationship Id="rId128" Type="http://schemas.openxmlformats.org/officeDocument/2006/relationships/hyperlink" Target="http://www.sec.gov/Archives/edgar/data/1524358/000119312518266807/d597652dex48.htm" TargetMode="External"/><Relationship Id="rId129" Type="http://schemas.openxmlformats.org/officeDocument/2006/relationships/hyperlink" Target="http://www.sec.gov/Archives/edgar/data/1524358/000119312519259964/d812229dex41.htm" TargetMode="External"/><Relationship Id="rId130" Type="http://schemas.openxmlformats.org/officeDocument/2006/relationships/hyperlink" Target="http://www.sec.gov/Archives/edgar/data/1524358/000152435820000011/a201910-kex412suppleme.htm" TargetMode="External"/><Relationship Id="rId131" Type="http://schemas.openxmlformats.org/officeDocument/2006/relationships/hyperlink" Target="http://www.sec.gov/Archives/edgar/data/1524358/000152435820000011/a201910-kex413xseconds.htm" TargetMode="External"/><Relationship Id="rId132" Type="http://schemas.openxmlformats.org/officeDocument/2006/relationships/hyperlink" Target="http://www.sec.gov/Archives/edgar/data/1524358/000119312519259964/d812229dex43.htm" TargetMode="External"/><Relationship Id="rId133" Type="http://schemas.openxmlformats.org/officeDocument/2006/relationships/hyperlink" Target="http://www.sec.gov/Archives/edgar/data/1524358/000119312520143993/d931016dex41.htm" TargetMode="External"/><Relationship Id="rId134" Type="http://schemas.openxmlformats.org/officeDocument/2006/relationships/hyperlink" Target="https://www.sec.gov/Archives/edgar/data/0001524358/000119312521027303/d41256dex41.htm" TargetMode="External"/><Relationship Id="rId135" Type="http://schemas.openxmlformats.org/officeDocument/2006/relationships/hyperlink" Target="https://www.sec.gov/Archives/edgar/data/0001524358/000119312521027303/d41256dex41.htm#exa" TargetMode="External"/><Relationship Id="rId136" Type="http://schemas.openxmlformats.org/officeDocument/2006/relationships/hyperlink" Target="https://www.sec.gov/Archives/edgar/data/0001524358/000119312521195243/d158882dex41.htm" TargetMode="External"/><Relationship Id="rId142" Type="http://schemas.openxmlformats.org/officeDocument/2006/relationships/hyperlink" Target="https://www.sec.gov/Archives/edgar/data/0001524358/000119312521195243/d158882dex41.htm#tx158882_515" TargetMode="External"/><Relationship Id="rId143" Type="http://schemas.openxmlformats.org/officeDocument/2006/relationships/hyperlink" Target="http://www.sec.gov/Archives/edgar/data/1524358/000152435820000011/a201910-kex416descript.htm" TargetMode="External"/><Relationship Id="rId144" Type="http://schemas.openxmlformats.org/officeDocument/2006/relationships/hyperlink" Target="http://www.sec.gov/Archives/edgar/data/1524358/000119312520143993/d931016dex43.htm" TargetMode="External"/><Relationship Id="rId145" Type="http://schemas.openxmlformats.org/officeDocument/2006/relationships/hyperlink" Target="https://www.sec.gov/Archives/edgar/data/0001524358/000152435820000044/a2020q3ex221xlistofth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2021-08-04T10:55:57Z</dcterms:created>
  <dcterms:modified xsi:type="dcterms:W3CDTF">2021-08-04T10:55:57Z</dcterms:modified>
</cp:coreProperties>
</file>