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996950</wp:posOffset>
            </wp:positionH>
            <wp:positionV relativeFrom="page">
              <wp:posOffset>929005</wp:posOffset>
            </wp:positionV>
            <wp:extent cx="5554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894715</wp:posOffset>
            </wp:positionV>
            <wp:extent cx="5554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5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Marriott Vacations Worldwide Corporation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_________________________</w:t>
      </w:r>
    </w:p>
    <w:p>
      <w:pPr>
        <w:sectPr>
          <w:pgSz w:w="11900" w:h="16838" w:orient="portrait"/>
          <w:cols w:equalWidth="0" w:num="1">
            <w:col w:w="11240"/>
          </w:cols>
          <w:pgMar w:left="320" w:top="1440" w:right="339" w:bottom="1440" w:gutter="0" w:footer="0" w:header="0"/>
        </w:sectPr>
      </w:pPr>
    </w:p>
    <w:p>
      <w:pPr>
        <w:spacing w:after="0" w:line="14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b w:val="1"/>
          <w:bCs w:val="1"/>
          <w:color w:val="auto"/>
        </w:rPr>
        <w:t>001-35219</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45-2598330</w:t>
      </w:r>
    </w:p>
    <w:p>
      <w:pPr>
        <w:spacing w:after="0" w:line="58" w:lineRule="exact"/>
        <w:rPr>
          <w:sz w:val="24"/>
          <w:szCs w:val="24"/>
          <w:color w:val="auto"/>
        </w:rPr>
      </w:pPr>
    </w:p>
    <w:p>
      <w:pPr>
        <w:sectPr>
          <w:pgSz w:w="11900" w:h="16838" w:orient="portrait"/>
          <w:cols w:equalWidth="0" w:num="3">
            <w:col w:w="4560" w:space="720"/>
            <w:col w:w="2060" w:space="720"/>
            <w:col w:w="3180"/>
          </w:cols>
          <w:pgMar w:left="320" w:top="1440"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55" w:lineRule="exact"/>
        <w:rPr>
          <w:sz w:val="24"/>
          <w:szCs w:val="24"/>
          <w:color w:val="auto"/>
        </w:rPr>
      </w:pPr>
    </w:p>
    <w:p>
      <w:pPr>
        <w:sectPr>
          <w:pgSz w:w="11900" w:h="16838" w:orient="portrait"/>
          <w:cols w:equalWidth="0" w:num="3">
            <w:col w:w="4540" w:space="720"/>
            <w:col w:w="2040" w:space="720"/>
            <w:col w:w="3220"/>
          </w:cols>
          <w:pgMar w:left="320" w:top="1440"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9" w:lineRule="exact"/>
        <w:rPr>
          <w:sz w:val="24"/>
          <w:szCs w:val="24"/>
          <w:color w:val="auto"/>
        </w:rPr>
      </w:pPr>
    </w:p>
    <w:p>
      <w:pPr>
        <w:sectPr>
          <w:pgSz w:w="11900" w:h="16838" w:orient="portrait"/>
          <w:cols w:equalWidth="0" w:num="3">
            <w:col w:w="4540" w:space="720"/>
            <w:col w:w="1940" w:space="720"/>
            <w:col w:w="3320"/>
          </w:cols>
          <w:pgMar w:left="320" w:top="1440" w:right="339" w:bottom="1440" w:gutter="0" w:footer="0" w:header="0"/>
          <w:type w:val="continuous"/>
        </w:sectPr>
      </w:pPr>
    </w:p>
    <w:p>
      <w:pPr>
        <w:spacing w:after="0" w:line="27" w:lineRule="exact"/>
        <w:rPr>
          <w:sz w:val="24"/>
          <w:szCs w:val="24"/>
          <w:color w:val="auto"/>
        </w:rPr>
      </w:pPr>
    </w:p>
    <w:p>
      <w:pPr>
        <w:jc w:val="center"/>
        <w:ind w:left="980"/>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7812 Palm Parkway</w:t>
      </w:r>
      <w:r>
        <w:rPr>
          <w:sz w:val="20"/>
          <w:szCs w:val="20"/>
          <w:color w:val="auto"/>
        </w:rPr>
        <w:tab/>
      </w:r>
      <w:r>
        <w:rPr>
          <w:rFonts w:ascii="Times New Roman" w:cs="Times New Roman" w:eastAsia="Times New Roman" w:hAnsi="Times New Roman"/>
          <w:sz w:val="17"/>
          <w:szCs w:val="17"/>
          <w:b w:val="1"/>
          <w:bCs w:val="1"/>
          <w:color w:val="auto"/>
        </w:rPr>
        <w:t>Orlando,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32836</w:t>
      </w:r>
    </w:p>
    <w:p>
      <w:pPr>
        <w:spacing w:after="0" w:line="69" w:lineRule="exact"/>
        <w:rPr>
          <w:sz w:val="24"/>
          <w:szCs w:val="24"/>
          <w:color w:val="auto"/>
        </w:rPr>
      </w:pPr>
    </w:p>
    <w:p>
      <w:pPr>
        <w:sectPr>
          <w:pgSz w:w="11900" w:h="16838" w:orient="portrait"/>
          <w:cols w:equalWidth="0" w:num="2">
            <w:col w:w="6880" w:space="720"/>
            <w:col w:w="3640"/>
          </w:cols>
          <w:pgMar w:left="320" w:top="1440" w:right="339" w:bottom="1440" w:gutter="0" w:footer="0" w:header="0"/>
          <w:type w:val="continuous"/>
        </w:sect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6780" w:space="720"/>
            <w:col w:w="37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(407) 206-6000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0" w:lineRule="exact"/>
        <w:rPr>
          <w:sz w:val="24"/>
          <w:szCs w:val="24"/>
          <w:color w:val="auto"/>
        </w:rPr>
      </w:pPr>
    </w:p>
    <w:tbl>
      <w:tblPr>
        <w:tblLayout w:type="fixed"/>
        <w:tblInd w:w="1430" w:type="dxa"/>
        <w:tblCellMar>
          <w:top w:w="0" w:type="dxa"/>
          <w:left w:w="0" w:type="dxa"/>
          <w:bottom w:w="0" w:type="dxa"/>
          <w:right w:w="0" w:type="dxa"/>
        </w:tblCellMar>
      </w:tblPr>
      <w:tr>
        <w:trPr>
          <w:trHeight w:val="210"/>
        </w:trPr>
        <w:tc>
          <w:tcPr>
            <w:tcW w:w="3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7"/>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 $0.01 Par Value</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VAC</w:t>
            </w:r>
          </w:p>
        </w:tc>
        <w:tc>
          <w:tcPr>
            <w:tcW w:w="3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New York Stock Exchange</w:t>
            </w:r>
          </w:p>
        </w:tc>
      </w:tr>
      <w:tr>
        <w:trPr>
          <w:trHeight w:val="29"/>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34290</wp:posOffset>
            </wp:positionV>
            <wp:extent cx="5966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0</wp:posOffset>
            </wp:positionV>
            <wp:extent cx="5966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May 5, 2026, Marriott Vacations Worldwide Corporation (the “Company”) issued a press release reporting financial results for the quarter ended March 31, 2026. A copy of the press release is attached as Exhibit 99.1 hereto and incorporated herein by reference.</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provided in General Instruction B.2 of Form 8-K, the information contained in Item 2.02 of this Current Report on Form 8-K shall not be deemed to be “filed” for purposes of Section 18 of the Exchange Act of 1934, as amended, nor shall any such information be deemed to be incorporated by reference in any filing under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5, 2026, the Company intends to post a new investor presentation to the Investor Relations – Events and Presentations section of the Company’s website, www.marriottvacationsworldwide.com. The Company’s investor presentation is expected to contain information that may be deemed material to investors. The Company uses its website to disseminate updates to its investor presentation and does not intend to file or furnish a Current Report on Form 8-K to alert investors each time the presentation is updated.</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routinely posts important information, including news releases, announcements and other statements about its business and results of operations, that may be deemed material to investors on the Investor Relations section of the Company’s website, www.marriottvacationsworldwide.com. The Company uses its website as a means of disclosing material, nonpublic information and for complying with the Company’s disclosure obligations under Regulation FD. Investors should monitor the Investor Relations section of the Company’s website in addition to following the Company’s press releases, filings with the SEC, public conference calls and webcasts.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furnished herewith:</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280" w:type="dxa"/>
            <w:vAlign w:val="bottom"/>
            <w:vMerge w:val="restart"/>
          </w:tcPr>
          <w:p>
            <w:pPr>
              <w:ind w:left="32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29"/>
        </w:trPr>
        <w:tc>
          <w:tcPr>
            <w:tcW w:w="11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60" w:type="dxa"/>
            <w:vAlign w:val="bottom"/>
            <w:gridSpan w:val="4"/>
            <w:vMerge w:val="continue"/>
          </w:tcPr>
          <w:p>
            <w:pPr>
              <w:spacing w:after="0"/>
              <w:rPr>
                <w:sz w:val="7"/>
                <w:szCs w:val="7"/>
                <w:color w:val="auto"/>
              </w:rPr>
            </w:pPr>
          </w:p>
        </w:tc>
        <w:tc>
          <w:tcPr>
            <w:tcW w:w="7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20" w:type="dxa"/>
            <w:vAlign w:val="bottom"/>
            <w:gridSpan w:val="3"/>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tcPr>
          <w:p>
            <w:pPr>
              <w:spacing w:after="0"/>
              <w:rPr>
                <w:sz w:val="17"/>
                <w:szCs w:val="17"/>
                <w:color w:val="auto"/>
              </w:rPr>
            </w:pPr>
          </w:p>
        </w:tc>
        <w:tc>
          <w:tcPr>
            <w:tcW w:w="7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reporting financial results for the quarter ended March 31, 2026</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3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(Registrant)</w:t>
            </w:r>
          </w:p>
        </w:tc>
      </w:tr>
      <w:tr>
        <w:trPr>
          <w:trHeight w:val="54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2026</w:t>
            </w:r>
          </w:p>
        </w:tc>
        <w:tc>
          <w:tcPr>
            <w:tcW w:w="1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P. Marino</w:t>
            </w:r>
          </w:p>
        </w:tc>
      </w:tr>
      <w:tr>
        <w:trPr>
          <w:trHeight w:val="250"/>
        </w:trPr>
        <w:tc>
          <w:tcPr>
            <w:tcW w:w="2220" w:type="dxa"/>
            <w:vAlign w:val="bottom"/>
          </w:tcPr>
          <w:p>
            <w:pPr>
              <w:spacing w:after="0"/>
              <w:rPr>
                <w:sz w:val="21"/>
                <w:szCs w:val="21"/>
                <w:color w:val="auto"/>
              </w:rPr>
            </w:pPr>
          </w:p>
        </w:tc>
        <w:tc>
          <w:tcPr>
            <w:tcW w:w="1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P. Marino</w:t>
            </w:r>
          </w:p>
        </w:tc>
      </w:tr>
      <w:tr>
        <w:trPr>
          <w:trHeight w:val="270"/>
        </w:trPr>
        <w:tc>
          <w:tcPr>
            <w:tcW w:w="2220" w:type="dxa"/>
            <w:vAlign w:val="bottom"/>
          </w:tcPr>
          <w:p>
            <w:pPr>
              <w:spacing w:after="0"/>
              <w:rPr>
                <w:sz w:val="23"/>
                <w:szCs w:val="23"/>
                <w:color w:val="auto"/>
              </w:rPr>
            </w:pPr>
          </w:p>
        </w:tc>
        <w:tc>
          <w:tcPr>
            <w:tcW w:w="1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13"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FFFFFF"/>
        </w:rPr>
        <w:t>DRAFT 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193040</wp:posOffset>
            </wp:positionV>
            <wp:extent cx="134556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5565" cy="428625"/>
                    </a:xfrm>
                    <a:prstGeom prst="rect">
                      <a:avLst/>
                    </a:prstGeom>
                    <a:noFill/>
                  </pic:spPr>
                </pic:pic>
              </a:graphicData>
            </a:graphic>
          </wp:anchor>
        </w:drawing>
      </w:r>
    </w:p>
    <w:p>
      <w:pPr>
        <w:spacing w:after="0" w:line="302" w:lineRule="exact"/>
        <w:rPr>
          <w:sz w:val="20"/>
          <w:szCs w:val="20"/>
          <w:color w:val="auto"/>
        </w:rPr>
      </w:pPr>
    </w:p>
    <w:tbl>
      <w:tblPr>
        <w:tblLayout w:type="fixed"/>
        <w:tblInd w:w="420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Neal Goldner</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Investor Relations</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3640" w:type="dxa"/>
            <w:vAlign w:val="bottom"/>
            <w:gridSpan w:val="3"/>
          </w:tcPr>
          <w:p>
            <w:pPr>
              <w:jc w:val="right"/>
              <w:spacing w:after="0"/>
              <w:rPr>
                <w:sz w:val="20"/>
                <w:szCs w:val="20"/>
                <w:color w:val="auto"/>
              </w:rPr>
            </w:pPr>
            <w:r>
              <w:rPr>
                <w:rFonts w:ascii="Arial" w:cs="Arial" w:eastAsia="Arial" w:hAnsi="Arial"/>
                <w:sz w:val="14"/>
                <w:szCs w:val="14"/>
                <w:color w:val="auto"/>
              </w:rPr>
              <w:t>407-206-6149</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bottom w:val="single" w:sz="8" w:color="0E32E1"/>
            </w:tcBorders>
          </w:tcPr>
          <w:p>
            <w:pPr>
              <w:jc w:val="right"/>
              <w:spacing w:after="0" w:line="158" w:lineRule="exact"/>
              <w:rPr>
                <w:sz w:val="20"/>
                <w:szCs w:val="20"/>
                <w:color w:val="auto"/>
              </w:rPr>
            </w:pPr>
            <w:r>
              <w:rPr>
                <w:rFonts w:ascii="Arial" w:cs="Arial" w:eastAsia="Arial" w:hAnsi="Arial"/>
                <w:sz w:val="14"/>
                <w:szCs w:val="14"/>
                <w:color w:val="0E32E1"/>
                <w:w w:val="99"/>
              </w:rPr>
              <w:t>IR@mvwc.com</w:t>
            </w:r>
          </w:p>
        </w:tc>
        <w:tc>
          <w:tcPr>
            <w:tcW w:w="0" w:type="dxa"/>
            <w:vAlign w:val="bottom"/>
          </w:tcPr>
          <w:p>
            <w:pPr>
              <w:spacing w:after="0"/>
              <w:rPr>
                <w:sz w:val="1"/>
                <w:szCs w:val="1"/>
                <w:color w:val="auto"/>
              </w:rPr>
            </w:pPr>
          </w:p>
        </w:tc>
      </w:tr>
      <w:tr>
        <w:trPr>
          <w:trHeight w:val="403"/>
        </w:trPr>
        <w:tc>
          <w:tcPr>
            <w:tcW w:w="3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Cameron Klaus</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3640" w:type="dxa"/>
            <w:vAlign w:val="bottom"/>
            <w:gridSpan w:val="3"/>
          </w:tcPr>
          <w:p>
            <w:pPr>
              <w:jc w:val="right"/>
              <w:spacing w:after="0"/>
              <w:rPr>
                <w:sz w:val="20"/>
                <w:szCs w:val="20"/>
                <w:color w:val="auto"/>
              </w:rPr>
            </w:pPr>
            <w:r>
              <w:rPr>
                <w:rFonts w:ascii="Arial" w:cs="Arial" w:eastAsia="Arial" w:hAnsi="Arial"/>
                <w:sz w:val="14"/>
                <w:szCs w:val="14"/>
                <w:color w:val="auto"/>
              </w:rPr>
              <w:t>Global Communications</w:t>
            </w:r>
          </w:p>
        </w:tc>
        <w:tc>
          <w:tcPr>
            <w:tcW w:w="0" w:type="dxa"/>
            <w:vAlign w:val="bottom"/>
          </w:tcPr>
          <w:p>
            <w:pPr>
              <w:spacing w:after="0"/>
              <w:rPr>
                <w:sz w:val="1"/>
                <w:szCs w:val="1"/>
                <w:color w:val="auto"/>
              </w:rPr>
            </w:pPr>
          </w:p>
        </w:tc>
      </w:tr>
      <w:tr>
        <w:trPr>
          <w:trHeight w:val="189"/>
        </w:trPr>
        <w:tc>
          <w:tcPr>
            <w:tcW w:w="3180" w:type="dxa"/>
            <w:vAlign w:val="bottom"/>
            <w:vMerge w:val="restart"/>
          </w:tcPr>
          <w:p>
            <w:pPr>
              <w:spacing w:after="0"/>
              <w:rPr>
                <w:sz w:val="20"/>
                <w:szCs w:val="20"/>
                <w:color w:val="auto"/>
              </w:rPr>
            </w:pPr>
            <w:r>
              <w:rPr>
                <w:rFonts w:ascii="Arial" w:cs="Arial" w:eastAsia="Arial" w:hAnsi="Arial"/>
                <w:sz w:val="22"/>
                <w:szCs w:val="22"/>
                <w:b w:val="1"/>
                <w:bCs w:val="1"/>
                <w:color w:val="FFFFFF"/>
              </w:rPr>
              <w:t>[DRAFT 9]</w:t>
            </w:r>
          </w:p>
        </w:tc>
        <w:tc>
          <w:tcPr>
            <w:tcW w:w="3640" w:type="dxa"/>
            <w:vAlign w:val="bottom"/>
            <w:gridSpan w:val="3"/>
          </w:tcPr>
          <w:p>
            <w:pPr>
              <w:jc w:val="right"/>
              <w:spacing w:after="0"/>
              <w:rPr>
                <w:sz w:val="20"/>
                <w:szCs w:val="20"/>
                <w:color w:val="auto"/>
              </w:rPr>
            </w:pPr>
            <w:r>
              <w:rPr>
                <w:rFonts w:ascii="Arial" w:cs="Arial" w:eastAsia="Arial" w:hAnsi="Arial"/>
                <w:sz w:val="14"/>
                <w:szCs w:val="14"/>
                <w:color w:val="auto"/>
              </w:rPr>
              <w:t>407-206-6300</w:t>
            </w:r>
          </w:p>
        </w:tc>
        <w:tc>
          <w:tcPr>
            <w:tcW w:w="0" w:type="dxa"/>
            <w:vAlign w:val="bottom"/>
          </w:tcPr>
          <w:p>
            <w:pPr>
              <w:spacing w:after="0"/>
              <w:rPr>
                <w:sz w:val="1"/>
                <w:szCs w:val="1"/>
                <w:color w:val="auto"/>
              </w:rPr>
            </w:pPr>
          </w:p>
        </w:tc>
      </w:tr>
      <w:tr>
        <w:trPr>
          <w:trHeight w:val="158"/>
        </w:trPr>
        <w:tc>
          <w:tcPr>
            <w:tcW w:w="318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1220" w:type="dxa"/>
            <w:vAlign w:val="bottom"/>
            <w:tcBorders>
              <w:bottom w:val="single" w:sz="8" w:color="0E32E1"/>
            </w:tcBorders>
            <w:gridSpan w:val="2"/>
          </w:tcPr>
          <w:p>
            <w:pPr>
              <w:jc w:val="right"/>
              <w:spacing w:after="0" w:line="158" w:lineRule="exact"/>
              <w:rPr>
                <w:sz w:val="20"/>
                <w:szCs w:val="20"/>
                <w:color w:val="auto"/>
              </w:rPr>
            </w:pPr>
            <w:r>
              <w:rPr>
                <w:rFonts w:ascii="Arial" w:cs="Arial" w:eastAsia="Arial" w:hAnsi="Arial"/>
                <w:sz w:val="14"/>
                <w:szCs w:val="14"/>
                <w:color w:val="0E32E1"/>
              </w:rPr>
              <w:t>media@mvwc.com</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Marriott Vacations Worldwide Reports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Quarter 2026 Financial Results</w:t>
      </w:r>
    </w:p>
    <w:p>
      <w:pPr>
        <w:spacing w:after="0" w:line="160"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color w:val="auto"/>
        </w:rPr>
        <w:t xml:space="preserve">ORLANDO, Fla. – May 5, 2026 </w:t>
      </w:r>
      <w:r>
        <w:rPr>
          <w:rFonts w:ascii="Arial" w:cs="Arial" w:eastAsia="Arial" w:hAnsi="Arial"/>
          <w:sz w:val="20"/>
          <w:szCs w:val="20"/>
          <w:color w:val="auto"/>
        </w:rPr>
        <w:t>– Marriott Vacations Worldwide Corporation (NYSE: VAC) (“MVW,” the “Company,” “we” or</w:t>
      </w:r>
      <w:r>
        <w:rPr>
          <w:rFonts w:ascii="Arial" w:cs="Arial" w:eastAsia="Arial" w:hAnsi="Arial"/>
          <w:sz w:val="20"/>
          <w:szCs w:val="20"/>
          <w:b w:val="1"/>
          <w:bCs w:val="1"/>
          <w:color w:val="auto"/>
        </w:rPr>
        <w:t xml:space="preserve"> </w:t>
      </w:r>
      <w:r>
        <w:rPr>
          <w:rFonts w:ascii="Arial" w:cs="Arial" w:eastAsia="Arial" w:hAnsi="Arial"/>
          <w:sz w:val="20"/>
          <w:szCs w:val="20"/>
          <w:color w:val="auto"/>
        </w:rPr>
        <w:t>“our”) reported financial results for the first quarter of 2026.</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First Quarter 2026 Highlights</w:t>
      </w:r>
    </w:p>
    <w:p>
      <w:pPr>
        <w:spacing w:after="0" w:line="108" w:lineRule="exact"/>
        <w:rPr>
          <w:sz w:val="20"/>
          <w:szCs w:val="20"/>
          <w:color w:val="auto"/>
        </w:rPr>
      </w:pPr>
    </w:p>
    <w:p>
      <w:pPr>
        <w:ind w:left="480" w:hanging="310"/>
        <w:spacing w:after="0"/>
        <w:tabs>
          <w:tab w:leader="none" w:pos="4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Contract sales were $411 million in the quarter, a 2% decline compared to the prior year.</w:t>
      </w:r>
    </w:p>
    <w:p>
      <w:pPr>
        <w:spacing w:after="0" w:line="121" w:lineRule="exact"/>
        <w:rPr>
          <w:rFonts w:ascii="Arial" w:cs="Arial" w:eastAsia="Arial" w:hAnsi="Arial"/>
          <w:sz w:val="20"/>
          <w:szCs w:val="20"/>
          <w:b w:val="1"/>
          <w:bCs w:val="1"/>
          <w:color w:val="auto"/>
        </w:rPr>
      </w:pPr>
    </w:p>
    <w:p>
      <w:pPr>
        <w:ind w:left="500" w:hanging="330"/>
        <w:spacing w:after="0" w:line="286"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Net income attributable to common stockholders was $22 million compared to $56 million in the prior year and diluted earnings per share was $0.64 compared to $1.46 in the prior year.</w:t>
      </w:r>
    </w:p>
    <w:p>
      <w:pPr>
        <w:spacing w:after="0" w:line="32" w:lineRule="exact"/>
        <w:rPr>
          <w:rFonts w:ascii="Arial" w:cs="Arial" w:eastAsia="Arial" w:hAnsi="Arial"/>
          <w:sz w:val="20"/>
          <w:szCs w:val="20"/>
          <w:b w:val="1"/>
          <w:bCs w:val="1"/>
          <w:color w:val="auto"/>
        </w:rPr>
      </w:pPr>
    </w:p>
    <w:p>
      <w:pPr>
        <w:ind w:left="500" w:hanging="330"/>
        <w:spacing w:after="0" w:line="286"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net income attributable to common stockholders decreased 34% to $43 million and adjusted diluted earnings per share decreased 25% to $1.24.</w:t>
      </w:r>
    </w:p>
    <w:p>
      <w:pPr>
        <w:spacing w:after="0" w:line="32" w:lineRule="exact"/>
        <w:rPr>
          <w:rFonts w:ascii="Arial" w:cs="Arial" w:eastAsia="Arial" w:hAnsi="Arial"/>
          <w:sz w:val="20"/>
          <w:szCs w:val="20"/>
          <w:b w:val="1"/>
          <w:bCs w:val="1"/>
          <w:color w:val="auto"/>
        </w:rPr>
      </w:pPr>
    </w:p>
    <w:p>
      <w:pPr>
        <w:ind w:left="480" w:hanging="310"/>
        <w:spacing w:after="0"/>
        <w:tabs>
          <w:tab w:leader="none" w:pos="4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EBITDA was $161 million compared to $192 million in the prior year.</w:t>
      </w:r>
    </w:p>
    <w:p>
      <w:pPr>
        <w:spacing w:after="0" w:line="121" w:lineRule="exact"/>
        <w:rPr>
          <w:rFonts w:ascii="Arial" w:cs="Arial" w:eastAsia="Arial" w:hAnsi="Arial"/>
          <w:sz w:val="20"/>
          <w:szCs w:val="20"/>
          <w:b w:val="1"/>
          <w:bCs w:val="1"/>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reiterates its full-year Adjusted EBITDA guidance.</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“Contract sales and Adjusted EBITDA were lower in the first quarter, consistent with how we expected the year to unfold, and we expect second quarter contract sales to increase 4% to 8% and Adjusted EBITDA to be $187 million to $202 million,” said Matt Avril, Chief Executive Officer. “As we indicated we would, we have taken steps to strengthen our foundation including:</w:t>
      </w:r>
    </w:p>
    <w:p>
      <w:pPr>
        <w:spacing w:after="0" w:line="3" w:lineRule="exact"/>
        <w:rPr>
          <w:sz w:val="20"/>
          <w:szCs w:val="20"/>
          <w:color w:val="auto"/>
        </w:rPr>
      </w:pPr>
    </w:p>
    <w:p>
      <w:pPr>
        <w:ind w:left="480" w:hanging="310"/>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making significant changes in our executive team and key leadership positions,</w:t>
      </w:r>
    </w:p>
    <w:p>
      <w:pPr>
        <w:spacing w:after="0" w:line="67" w:lineRule="exact"/>
        <w:rPr>
          <w:rFonts w:ascii="Arial" w:cs="Arial" w:eastAsia="Arial" w:hAnsi="Arial"/>
          <w:sz w:val="20"/>
          <w:szCs w:val="20"/>
          <w:b w:val="1"/>
          <w:bCs w:val="1"/>
          <w:color w:val="auto"/>
        </w:rPr>
      </w:pPr>
    </w:p>
    <w:p>
      <w:pPr>
        <w:ind w:left="480" w:hanging="310"/>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adding experienced leaders across our sales and marketing disciplines which are already driving improved results,</w:t>
      </w:r>
    </w:p>
    <w:p>
      <w:pPr>
        <w:spacing w:after="0" w:line="67" w:lineRule="exact"/>
        <w:rPr>
          <w:rFonts w:ascii="Arial" w:cs="Arial" w:eastAsia="Arial" w:hAnsi="Arial"/>
          <w:sz w:val="20"/>
          <w:szCs w:val="20"/>
          <w:b w:val="1"/>
          <w:bCs w:val="1"/>
          <w:color w:val="auto"/>
        </w:rPr>
      </w:pPr>
    </w:p>
    <w:p>
      <w:pPr>
        <w:ind w:left="480" w:hanging="310"/>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taking incremental cost and overhead actions which will benefit the balance of the year,</w:t>
      </w:r>
    </w:p>
    <w:p>
      <w:pPr>
        <w:spacing w:after="0" w:line="53" w:lineRule="exact"/>
        <w:rPr>
          <w:rFonts w:ascii="Arial" w:cs="Arial" w:eastAsia="Arial" w:hAnsi="Arial"/>
          <w:sz w:val="20"/>
          <w:szCs w:val="20"/>
          <w:b w:val="1"/>
          <w:bCs w:val="1"/>
          <w:color w:val="auto"/>
        </w:rPr>
      </w:pPr>
    </w:p>
    <w:p>
      <w:pPr>
        <w:ind w:left="500" w:hanging="330"/>
        <w:spacing w:after="0" w:line="289" w:lineRule="auto"/>
        <w:tabs>
          <w:tab w:leader="none" w:pos="488"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executing on our disposition strategy by listing assets for sale that are expected to deliver more than $125 million in gross proceeds this year, and we remain on track to generate $200 million to $250 million of gross proceeds by the end of 2027.</w:t>
      </w:r>
    </w:p>
    <w:p>
      <w:pPr>
        <w:spacing w:after="0"/>
        <w:rPr>
          <w:sz w:val="20"/>
          <w:szCs w:val="20"/>
          <w:color w:val="auto"/>
        </w:rPr>
      </w:pPr>
      <w:r>
        <w:rPr>
          <w:rFonts w:ascii="Arial" w:cs="Arial" w:eastAsia="Arial" w:hAnsi="Arial"/>
          <w:sz w:val="20"/>
          <w:szCs w:val="20"/>
          <w:color w:val="auto"/>
        </w:rPr>
        <w:t>These actions position our company for improved results in the second half of the year.”</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tables below “*” denotes non-GAAP financial measures. Please see “Non-GAAP Financial Measures” for additional information about our reasons for providing these alternative financial measures and limitations on their use. Please see “Non-GAAP Financial Measures” for additional information.</w:t>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Marriott Vacations Worldwide Reports First Quarter 2026 Financial Results / 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Vacation Ownership</w:t>
      </w:r>
    </w:p>
    <w:p>
      <w:pPr>
        <w:spacing w:after="0" w:line="96" w:lineRule="exact"/>
        <w:rPr>
          <w:sz w:val="20"/>
          <w:szCs w:val="20"/>
          <w:color w:val="auto"/>
        </w:rPr>
      </w:pPr>
    </w:p>
    <w:tbl>
      <w:tblPr>
        <w:tblLayout w:type="fixed"/>
        <w:tblInd w:w="109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4"/>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2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volume per guest (“VPG”) and tours)</w:t>
            </w:r>
          </w:p>
        </w:tc>
        <w:tc>
          <w:tcPr>
            <w:tcW w:w="15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b w:val="1"/>
                <w:bCs w:val="1"/>
                <w:color w:val="auto"/>
              </w:rPr>
              <w:t>March 31, 2026</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8"/>
                <w:szCs w:val="18"/>
                <w:b w:val="1"/>
                <w:bCs w:val="1"/>
                <w:color w:val="auto"/>
              </w:rPr>
              <w:t>March 31, 2025</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Borders>
              <w:bottom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Revenues excluding cost reimbursements</w:t>
            </w:r>
          </w:p>
        </w:tc>
        <w:tc>
          <w:tcPr>
            <w:tcW w:w="30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758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757</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8"/>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Contract sales</w:t>
            </w:r>
          </w:p>
        </w:tc>
        <w:tc>
          <w:tcPr>
            <w:tcW w:w="300" w:type="dxa"/>
            <w:vAlign w:val="bottom"/>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20"/>
                <w:szCs w:val="20"/>
                <w:color w:val="auto"/>
              </w:rPr>
              <w:t>411</w:t>
            </w:r>
          </w:p>
        </w:tc>
        <w:tc>
          <w:tcPr>
            <w:tcW w:w="12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420</w:t>
            </w:r>
          </w:p>
        </w:tc>
        <w:tc>
          <w:tcPr>
            <w:tcW w:w="1060" w:type="dxa"/>
            <w:vAlign w:val="bottom"/>
            <w:gridSpan w:val="2"/>
          </w:tcPr>
          <w:p>
            <w:pPr>
              <w:jc w:val="center"/>
              <w:ind w:left="21"/>
              <w:spacing w:after="0"/>
              <w:rPr>
                <w:sz w:val="20"/>
                <w:szCs w:val="20"/>
                <w:color w:val="auto"/>
              </w:rPr>
            </w:pPr>
            <w:r>
              <w:rPr>
                <w:rFonts w:ascii="Arial" w:cs="Arial" w:eastAsia="Arial" w:hAnsi="Arial"/>
                <w:sz w:val="20"/>
                <w:szCs w:val="20"/>
                <w:color w:val="auto"/>
                <w:w w:val="99"/>
              </w:rPr>
              <w:t>(2%)</w:t>
            </w: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VPG</w:t>
            </w:r>
          </w:p>
        </w:tc>
        <w:tc>
          <w:tcPr>
            <w:tcW w:w="30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4,016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3,979</w:t>
            </w:r>
          </w:p>
        </w:tc>
        <w:tc>
          <w:tcPr>
            <w:tcW w:w="1060" w:type="dxa"/>
            <w:vAlign w:val="bottom"/>
            <w:gridSpan w:val="2"/>
            <w:shd w:val="clear" w:color="auto" w:fill="CCEEFF"/>
          </w:tcPr>
          <w:p>
            <w:pPr>
              <w:jc w:val="center"/>
              <w:ind w:left="1"/>
              <w:spacing w:after="0"/>
              <w:rPr>
                <w:sz w:val="20"/>
                <w:szCs w:val="20"/>
                <w:color w:val="auto"/>
              </w:rPr>
            </w:pPr>
            <w:r>
              <w:rPr>
                <w:rFonts w:ascii="Arial" w:cs="Arial" w:eastAsia="Arial" w:hAnsi="Arial"/>
                <w:sz w:val="20"/>
                <w:szCs w:val="20"/>
                <w:color w:val="auto"/>
                <w:w w:val="96"/>
              </w:rPr>
              <w:t>1%</w:t>
            </w:r>
          </w:p>
        </w:tc>
        <w:tc>
          <w:tcPr>
            <w:tcW w:w="140" w:type="dxa"/>
            <w:vAlign w:val="bottom"/>
            <w:tcBorders>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Tours</w:t>
            </w:r>
          </w:p>
        </w:tc>
        <w:tc>
          <w:tcPr>
            <w:tcW w:w="300" w:type="dxa"/>
            <w:vAlign w:val="bottom"/>
          </w:tcPr>
          <w:p>
            <w:pPr>
              <w:spacing w:after="0"/>
              <w:rPr>
                <w:sz w:val="23"/>
                <w:szCs w:val="23"/>
                <w:color w:val="auto"/>
              </w:rPr>
            </w:pPr>
          </w:p>
        </w:tc>
        <w:tc>
          <w:tcPr>
            <w:tcW w:w="1220" w:type="dxa"/>
            <w:vAlign w:val="bottom"/>
          </w:tcPr>
          <w:p>
            <w:pPr>
              <w:jc w:val="right"/>
              <w:ind w:right="2"/>
              <w:spacing w:after="0"/>
              <w:rPr>
                <w:sz w:val="20"/>
                <w:szCs w:val="20"/>
                <w:color w:val="auto"/>
              </w:rPr>
            </w:pPr>
            <w:r>
              <w:rPr>
                <w:rFonts w:ascii="Arial" w:cs="Arial" w:eastAsia="Arial" w:hAnsi="Arial"/>
                <w:sz w:val="20"/>
                <w:szCs w:val="20"/>
                <w:color w:val="auto"/>
              </w:rPr>
              <w:t>95,250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97,998</w:t>
            </w:r>
          </w:p>
        </w:tc>
        <w:tc>
          <w:tcPr>
            <w:tcW w:w="1060" w:type="dxa"/>
            <w:vAlign w:val="bottom"/>
            <w:gridSpan w:val="2"/>
          </w:tcPr>
          <w:p>
            <w:pPr>
              <w:jc w:val="center"/>
              <w:ind w:left="21"/>
              <w:spacing w:after="0"/>
              <w:rPr>
                <w:sz w:val="20"/>
                <w:szCs w:val="20"/>
                <w:color w:val="auto"/>
              </w:rPr>
            </w:pPr>
            <w:r>
              <w:rPr>
                <w:rFonts w:ascii="Arial" w:cs="Arial" w:eastAsia="Arial" w:hAnsi="Arial"/>
                <w:sz w:val="20"/>
                <w:szCs w:val="20"/>
                <w:color w:val="auto"/>
                <w:w w:val="99"/>
              </w:rPr>
              <w:t>(3%)</w:t>
            </w: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4720" w:type="dxa"/>
            <w:vAlign w:val="bottom"/>
            <w:tcBorders>
              <w:left w:val="single" w:sz="8" w:color="auto"/>
            </w:tcBorders>
            <w:shd w:val="clear" w:color="auto" w:fill="CCEEFF"/>
          </w:tcPr>
          <w:p>
            <w:pPr>
              <w:ind w:left="40"/>
              <w:spacing w:after="0" w:line="191" w:lineRule="exact"/>
              <w:rPr>
                <w:sz w:val="20"/>
                <w:szCs w:val="20"/>
                <w:color w:val="auto"/>
              </w:rPr>
            </w:pPr>
            <w:r>
              <w:rPr>
                <w:rFonts w:ascii="Arial" w:cs="Arial" w:eastAsia="Arial" w:hAnsi="Arial"/>
                <w:sz w:val="20"/>
                <w:szCs w:val="20"/>
                <w:color w:val="auto"/>
              </w:rPr>
              <w:t>Segment financial results attributable to common</w:t>
            </w:r>
          </w:p>
        </w:tc>
        <w:tc>
          <w:tcPr>
            <w:tcW w:w="300" w:type="dxa"/>
            <w:vAlign w:val="bottom"/>
            <w:vMerge w:val="restart"/>
            <w:shd w:val="clear" w:color="auto" w:fill="CCEEFF"/>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vMerge w:val="restart"/>
            <w:shd w:val="clear" w:color="auto" w:fill="CCEEFF"/>
          </w:tcPr>
          <w:p>
            <w:pPr>
              <w:jc w:val="right"/>
              <w:ind w:right="2"/>
              <w:spacing w:after="0"/>
              <w:rPr>
                <w:sz w:val="20"/>
                <w:szCs w:val="20"/>
                <w:color w:val="auto"/>
              </w:rPr>
            </w:pPr>
            <w:r>
              <w:rPr>
                <w:rFonts w:ascii="Arial" w:cs="Arial" w:eastAsia="Arial" w:hAnsi="Arial"/>
                <w:sz w:val="20"/>
                <w:szCs w:val="20"/>
                <w:color w:val="auto"/>
              </w:rPr>
              <w:t>167</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198</w:t>
            </w:r>
          </w:p>
        </w:tc>
        <w:tc>
          <w:tcPr>
            <w:tcW w:w="106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20"/>
                <w:szCs w:val="20"/>
                <w:color w:val="auto"/>
              </w:rPr>
              <w:t>(16%)</w:t>
            </w:r>
          </w:p>
        </w:tc>
        <w:tc>
          <w:tcPr>
            <w:tcW w:w="1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720" w:type="dxa"/>
            <w:vAlign w:val="bottom"/>
            <w:tcBorders>
              <w:left w:val="single" w:sz="8" w:color="auto"/>
            </w:tcBorders>
            <w:vMerge w:val="restart"/>
            <w:shd w:val="clear" w:color="auto" w:fill="CCEEFF"/>
          </w:tcPr>
          <w:p>
            <w:pPr>
              <w:ind w:left="40"/>
              <w:spacing w:after="0"/>
              <w:rPr>
                <w:sz w:val="20"/>
                <w:szCs w:val="20"/>
                <w:color w:val="auto"/>
              </w:rPr>
            </w:pPr>
            <w:r>
              <w:rPr>
                <w:rFonts w:ascii="Arial" w:cs="Arial" w:eastAsia="Arial" w:hAnsi="Arial"/>
                <w:sz w:val="20"/>
                <w:szCs w:val="20"/>
                <w:color w:val="auto"/>
              </w:rPr>
              <w:t>stockholders</w:t>
            </w:r>
          </w:p>
        </w:tc>
        <w:tc>
          <w:tcPr>
            <w:tcW w:w="300" w:type="dxa"/>
            <w:vAlign w:val="bottom"/>
            <w:vMerge w:val="continue"/>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4720" w:type="dxa"/>
            <w:vAlign w:val="bottom"/>
            <w:tcBorders>
              <w:left w:val="single" w:sz="8" w:color="auto"/>
            </w:tcBorders>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Segment margin</w:t>
            </w:r>
          </w:p>
        </w:tc>
        <w:tc>
          <w:tcPr>
            <w:tcW w:w="300" w:type="dxa"/>
            <w:vAlign w:val="bottom"/>
          </w:tcPr>
          <w:p>
            <w:pPr>
              <w:spacing w:after="0"/>
              <w:rPr>
                <w:sz w:val="23"/>
                <w:szCs w:val="23"/>
                <w:color w:val="auto"/>
              </w:rPr>
            </w:pPr>
          </w:p>
        </w:tc>
        <w:tc>
          <w:tcPr>
            <w:tcW w:w="1220" w:type="dxa"/>
            <w:vAlign w:val="bottom"/>
          </w:tcPr>
          <w:p>
            <w:pPr>
              <w:jc w:val="right"/>
              <w:ind w:right="382"/>
              <w:spacing w:after="0"/>
              <w:rPr>
                <w:sz w:val="20"/>
                <w:szCs w:val="20"/>
                <w:color w:val="auto"/>
              </w:rPr>
            </w:pPr>
            <w:r>
              <w:rPr>
                <w:rFonts w:ascii="Arial" w:cs="Arial" w:eastAsia="Arial" w:hAnsi="Arial"/>
                <w:sz w:val="20"/>
                <w:szCs w:val="20"/>
                <w:color w:val="auto"/>
              </w:rPr>
              <w:t>22.0%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26.1%</w:t>
            </w:r>
          </w:p>
        </w:tc>
        <w:tc>
          <w:tcPr>
            <w:tcW w:w="120" w:type="dxa"/>
            <w:vAlign w:val="bottom"/>
          </w:tcPr>
          <w:p>
            <w:pPr>
              <w:spacing w:after="0"/>
              <w:rPr>
                <w:sz w:val="23"/>
                <w:szCs w:val="23"/>
                <w:color w:val="auto"/>
              </w:rPr>
            </w:pPr>
          </w:p>
        </w:tc>
        <w:tc>
          <w:tcPr>
            <w:tcW w:w="10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99"/>
              </w:rPr>
              <w:t>(410 bps)</w:t>
            </w:r>
          </w:p>
        </w:tc>
        <w:tc>
          <w:tcPr>
            <w:tcW w:w="0" w:type="dxa"/>
            <w:vAlign w:val="bottom"/>
          </w:tcPr>
          <w:p>
            <w:pPr>
              <w:spacing w:after="0"/>
              <w:rPr>
                <w:sz w:val="1"/>
                <w:szCs w:val="1"/>
                <w:color w:val="auto"/>
              </w:rPr>
            </w:pPr>
          </w:p>
        </w:tc>
      </w:tr>
      <w:tr>
        <w:trPr>
          <w:trHeight w:val="274"/>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Segment Adjusted EBITDA*</w:t>
            </w:r>
          </w:p>
        </w:tc>
        <w:tc>
          <w:tcPr>
            <w:tcW w:w="30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188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221</w:t>
            </w:r>
          </w:p>
        </w:tc>
        <w:tc>
          <w:tcPr>
            <w:tcW w:w="1060" w:type="dxa"/>
            <w:vAlign w:val="bottom"/>
            <w:gridSpan w:val="2"/>
            <w:shd w:val="clear" w:color="auto" w:fill="CCEEFF"/>
          </w:tcPr>
          <w:p>
            <w:pPr>
              <w:jc w:val="center"/>
              <w:ind w:left="21"/>
              <w:spacing w:after="0"/>
              <w:rPr>
                <w:sz w:val="20"/>
                <w:szCs w:val="20"/>
                <w:color w:val="auto"/>
              </w:rPr>
            </w:pPr>
            <w:r>
              <w:rPr>
                <w:rFonts w:ascii="Arial" w:cs="Arial" w:eastAsia="Arial" w:hAnsi="Arial"/>
                <w:sz w:val="20"/>
                <w:szCs w:val="20"/>
                <w:color w:val="auto"/>
              </w:rPr>
              <w:t>(15%)</w:t>
            </w:r>
          </w:p>
        </w:tc>
        <w:tc>
          <w:tcPr>
            <w:tcW w:w="140" w:type="dxa"/>
            <w:vAlign w:val="bottom"/>
            <w:tcBorders>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Segment Adjusted EBITDA margin*</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24.8%</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29.2%</w:t>
            </w: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99"/>
              </w:rPr>
              <w:t>(440 bps)</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1" w:lineRule="exact"/>
        <w:rPr>
          <w:sz w:val="20"/>
          <w:szCs w:val="20"/>
          <w:color w:val="auto"/>
        </w:rPr>
      </w:pPr>
      <w:r>
        <w:rPr>
          <w:rFonts w:ascii="Arial" w:cs="Arial" w:eastAsia="Arial" w:hAnsi="Arial"/>
          <w:sz w:val="20"/>
          <w:szCs w:val="20"/>
          <w:color w:val="auto"/>
        </w:rPr>
        <w:t>The decline in tours was largely attributable to the Company’s planned actions to prioritize higher profitability and cash flow in the Asia</w:t>
      </w:r>
      <w:r>
        <w:rPr>
          <w:rFonts w:ascii="MS PGothic" w:cs="MS PGothic" w:eastAsia="MS PGothic" w:hAnsi="MS PGothic"/>
          <w:sz w:val="20"/>
          <w:szCs w:val="20"/>
          <w:color w:val="auto"/>
        </w:rPr>
        <w:t>‑</w:t>
      </w:r>
      <w:r>
        <w:rPr>
          <w:rFonts w:ascii="Arial" w:cs="Arial" w:eastAsia="Arial" w:hAnsi="Arial"/>
          <w:sz w:val="20"/>
          <w:szCs w:val="20"/>
          <w:color w:val="auto"/>
        </w:rPr>
        <w:t>Pacific region, as well its decision to reduce tours to people with FICO scores below 640. Excluding Asia</w:t>
      </w:r>
      <w:r>
        <w:rPr>
          <w:rFonts w:ascii="MS PGothic" w:cs="MS PGothic" w:eastAsia="MS PGothic" w:hAnsi="MS PGothic"/>
          <w:sz w:val="20"/>
          <w:szCs w:val="20"/>
          <w:color w:val="auto"/>
        </w:rPr>
        <w:t>‑</w:t>
      </w:r>
      <w:r>
        <w:rPr>
          <w:rFonts w:ascii="Arial" w:cs="Arial" w:eastAsia="Arial" w:hAnsi="Arial"/>
          <w:sz w:val="20"/>
          <w:szCs w:val="20"/>
          <w:color w:val="auto"/>
        </w:rPr>
        <w:t>Pacific, tours decreased 1% year-over-year. VPG increased 1% year-over-year on a consolidated basis and was up nearly 50 basis points excluding Asia</w:t>
      </w:r>
      <w:r>
        <w:rPr>
          <w:rFonts w:ascii="MS PGothic" w:cs="MS PGothic" w:eastAsia="MS PGothic" w:hAnsi="MS PGothic"/>
          <w:sz w:val="20"/>
          <w:szCs w:val="20"/>
          <w:color w:val="auto"/>
        </w:rPr>
        <w:t>‑</w:t>
      </w:r>
      <w:r>
        <w:rPr>
          <w:rFonts w:ascii="Arial" w:cs="Arial" w:eastAsia="Arial" w:hAnsi="Arial"/>
          <w:sz w:val="20"/>
          <w:szCs w:val="20"/>
          <w:color w:val="auto"/>
        </w:rPr>
        <w:t>Pacific.</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Segment Adjusted EBITDA decreased and margin declined primarily due to lower contract sales, increased marketing and sales costs, higher product cost, and increased unsold maintenance fee expense.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Exchange &amp; Third-Party Management</w:t>
      </w:r>
    </w:p>
    <w:p>
      <w:pPr>
        <w:spacing w:after="0" w:line="96" w:lineRule="exact"/>
        <w:rPr>
          <w:sz w:val="20"/>
          <w:szCs w:val="20"/>
          <w:color w:val="auto"/>
        </w:rPr>
      </w:pPr>
    </w:p>
    <w:tbl>
      <w:tblPr>
        <w:tblLayout w:type="fixed"/>
        <w:tblInd w:w="109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bottom w:val="single" w:sz="8" w:color="auto"/>
            </w:tcBorders>
            <w:vMerge w:val="restart"/>
          </w:tcPr>
          <w:p>
            <w:pPr>
              <w:ind w:left="40"/>
              <w:spacing w:after="0"/>
              <w:rPr>
                <w:sz w:val="20"/>
                <w:szCs w:val="20"/>
                <w:color w:val="auto"/>
              </w:rPr>
            </w:pPr>
            <w:r>
              <w:rPr>
                <w:rFonts w:ascii="Arial" w:cs="Arial" w:eastAsia="Arial" w:hAnsi="Arial"/>
                <w:sz w:val="14"/>
                <w:szCs w:val="14"/>
                <w:i w:val="1"/>
                <w:iCs w:val="1"/>
                <w:color w:val="auto"/>
              </w:rPr>
              <w:t>(In millions, except total active Interval International members and</w:t>
            </w:r>
          </w:p>
        </w:tc>
        <w:tc>
          <w:tcPr>
            <w:tcW w:w="30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4"/>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720" w:type="dxa"/>
            <w:vAlign w:val="bottom"/>
            <w:tcBorders>
              <w:left w:val="single" w:sz="8" w:color="auto"/>
            </w:tcBorders>
            <w:vMerge w:val="continue"/>
          </w:tcPr>
          <w:p>
            <w:pPr>
              <w:spacing w:after="0"/>
              <w:rPr>
                <w:sz w:val="4"/>
                <w:szCs w:val="4"/>
                <w:color w:val="auto"/>
              </w:rPr>
            </w:pPr>
          </w:p>
        </w:tc>
        <w:tc>
          <w:tcPr>
            <w:tcW w:w="1520" w:type="dxa"/>
            <w:vAlign w:val="bottom"/>
            <w:gridSpan w:val="2"/>
            <w:vMerge w:val="restart"/>
          </w:tcPr>
          <w:p>
            <w:pPr>
              <w:jc w:val="right"/>
              <w:ind w:right="22"/>
              <w:spacing w:after="0"/>
              <w:rPr>
                <w:sz w:val="20"/>
                <w:szCs w:val="20"/>
                <w:color w:val="auto"/>
              </w:rPr>
            </w:pPr>
            <w:r>
              <w:rPr>
                <w:rFonts w:ascii="Arial" w:cs="Arial" w:eastAsia="Arial" w:hAnsi="Arial"/>
                <w:sz w:val="18"/>
                <w:szCs w:val="18"/>
                <w:b w:val="1"/>
                <w:bCs w:val="1"/>
                <w:color w:val="auto"/>
              </w:rPr>
              <w:t>March 31, 2026</w:t>
            </w:r>
          </w:p>
        </w:tc>
        <w:tc>
          <w:tcPr>
            <w:tcW w:w="120" w:type="dxa"/>
            <w:vAlign w:val="bottom"/>
            <w:vMerge w:val="restart"/>
          </w:tcPr>
          <w:p>
            <w:pPr>
              <w:spacing w:after="0"/>
              <w:rPr>
                <w:sz w:val="4"/>
                <w:szCs w:val="4"/>
                <w:color w:val="auto"/>
              </w:rPr>
            </w:pPr>
          </w:p>
        </w:tc>
        <w:tc>
          <w:tcPr>
            <w:tcW w:w="1540" w:type="dxa"/>
            <w:vAlign w:val="bottom"/>
            <w:gridSpan w:val="2"/>
            <w:vMerge w:val="restart"/>
          </w:tcPr>
          <w:p>
            <w:pPr>
              <w:jc w:val="right"/>
              <w:ind w:right="41"/>
              <w:spacing w:after="0"/>
              <w:rPr>
                <w:sz w:val="20"/>
                <w:szCs w:val="20"/>
                <w:color w:val="auto"/>
              </w:rPr>
            </w:pPr>
            <w:r>
              <w:rPr>
                <w:rFonts w:ascii="Arial" w:cs="Arial" w:eastAsia="Arial" w:hAnsi="Arial"/>
                <w:sz w:val="18"/>
                <w:szCs w:val="18"/>
                <w:b w:val="1"/>
                <w:bCs w:val="1"/>
                <w:color w:val="auto"/>
              </w:rPr>
              <w:t>March 31, 2025</w:t>
            </w:r>
          </w:p>
        </w:tc>
        <w:tc>
          <w:tcPr>
            <w:tcW w:w="120" w:type="dxa"/>
            <w:vAlign w:val="bottom"/>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72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i w:val="1"/>
                <w:iCs w:val="1"/>
                <w:color w:val="auto"/>
              </w:rPr>
              <w:t>average revenue per member)</w:t>
            </w: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Revenues excluding cost reimbursements</w:t>
            </w:r>
          </w:p>
        </w:tc>
        <w:tc>
          <w:tcPr>
            <w:tcW w:w="30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56</w:t>
            </w:r>
          </w:p>
        </w:tc>
        <w:tc>
          <w:tcPr>
            <w:tcW w:w="1060" w:type="dxa"/>
            <w:vAlign w:val="bottom"/>
            <w:gridSpan w:val="2"/>
            <w:shd w:val="clear" w:color="auto" w:fill="CCEEFF"/>
          </w:tcPr>
          <w:p>
            <w:pPr>
              <w:jc w:val="center"/>
              <w:ind w:left="21"/>
              <w:spacing w:after="0"/>
              <w:rPr>
                <w:sz w:val="20"/>
                <w:szCs w:val="20"/>
                <w:color w:val="auto"/>
              </w:rPr>
            </w:pPr>
            <w:r>
              <w:rPr>
                <w:rFonts w:ascii="Arial" w:cs="Arial" w:eastAsia="Arial" w:hAnsi="Arial"/>
                <w:sz w:val="20"/>
                <w:szCs w:val="20"/>
                <w:color w:val="auto"/>
                <w:w w:val="99"/>
              </w:rPr>
              <w:t>(6%)</w:t>
            </w:r>
          </w:p>
        </w:tc>
        <w:tc>
          <w:tcPr>
            <w:tcW w:w="14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Total active Interval International members (000's)</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Arial" w:cs="Arial" w:eastAsia="Arial" w:hAnsi="Arial"/>
                <w:sz w:val="20"/>
                <w:szCs w:val="20"/>
                <w:color w:val="auto"/>
              </w:rPr>
              <w:t>1,507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1,538</w:t>
            </w:r>
          </w:p>
        </w:tc>
        <w:tc>
          <w:tcPr>
            <w:tcW w:w="1060" w:type="dxa"/>
            <w:vAlign w:val="bottom"/>
            <w:gridSpan w:val="2"/>
          </w:tcPr>
          <w:p>
            <w:pPr>
              <w:jc w:val="center"/>
              <w:ind w:left="21"/>
              <w:spacing w:after="0"/>
              <w:rPr>
                <w:sz w:val="20"/>
                <w:szCs w:val="20"/>
                <w:color w:val="auto"/>
              </w:rPr>
            </w:pPr>
            <w:r>
              <w:rPr>
                <w:rFonts w:ascii="Arial" w:cs="Arial" w:eastAsia="Arial" w:hAnsi="Arial"/>
                <w:sz w:val="20"/>
                <w:szCs w:val="20"/>
                <w:color w:val="auto"/>
                <w:w w:val="99"/>
              </w:rPr>
              <w:t>(2%)</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Average revenue per Interval International member</w:t>
            </w:r>
          </w:p>
        </w:tc>
        <w:tc>
          <w:tcPr>
            <w:tcW w:w="30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39.13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39.94</w:t>
            </w:r>
          </w:p>
        </w:tc>
        <w:tc>
          <w:tcPr>
            <w:tcW w:w="1060" w:type="dxa"/>
            <w:vAlign w:val="bottom"/>
            <w:gridSpan w:val="2"/>
            <w:shd w:val="clear" w:color="auto" w:fill="CCEEFF"/>
          </w:tcPr>
          <w:p>
            <w:pPr>
              <w:jc w:val="center"/>
              <w:ind w:left="21"/>
              <w:spacing w:after="0"/>
              <w:rPr>
                <w:sz w:val="20"/>
                <w:szCs w:val="20"/>
                <w:color w:val="auto"/>
              </w:rPr>
            </w:pPr>
            <w:r>
              <w:rPr>
                <w:rFonts w:ascii="Arial" w:cs="Arial" w:eastAsia="Arial" w:hAnsi="Arial"/>
                <w:sz w:val="20"/>
                <w:szCs w:val="20"/>
                <w:color w:val="auto"/>
                <w:w w:val="99"/>
              </w:rPr>
              <w:t>(2%)</w:t>
            </w:r>
          </w:p>
        </w:tc>
        <w:tc>
          <w:tcPr>
            <w:tcW w:w="14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20" w:type="dxa"/>
            <w:vAlign w:val="bottom"/>
            <w:tcBorders>
              <w:left w:val="single" w:sz="8" w:color="auto"/>
            </w:tcBorders>
          </w:tcPr>
          <w:p>
            <w:pPr>
              <w:ind w:left="40"/>
              <w:spacing w:after="0" w:line="203" w:lineRule="exact"/>
              <w:rPr>
                <w:sz w:val="20"/>
                <w:szCs w:val="20"/>
                <w:color w:val="auto"/>
              </w:rPr>
            </w:pPr>
            <w:r>
              <w:rPr>
                <w:rFonts w:ascii="Arial" w:cs="Arial" w:eastAsia="Arial" w:hAnsi="Arial"/>
                <w:sz w:val="20"/>
                <w:szCs w:val="20"/>
                <w:color w:val="auto"/>
              </w:rPr>
              <w:t>Segment financial results attributable to common</w:t>
            </w:r>
          </w:p>
        </w:tc>
        <w:tc>
          <w:tcPr>
            <w:tcW w:w="300" w:type="dxa"/>
            <w:vAlign w:val="bottom"/>
            <w:vMerge w:val="restart"/>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vMerge w:val="restart"/>
          </w:tcPr>
          <w:p>
            <w:pPr>
              <w:jc w:val="right"/>
              <w:ind w:right="2"/>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17"/>
                <w:szCs w:val="17"/>
                <w:color w:val="auto"/>
              </w:rPr>
            </w:pPr>
          </w:p>
        </w:tc>
        <w:tc>
          <w:tcPr>
            <w:tcW w:w="320" w:type="dxa"/>
            <w:vAlign w:val="bottom"/>
            <w:vMerge w:val="restart"/>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vMerge w:val="restart"/>
          </w:tcPr>
          <w:p>
            <w:pPr>
              <w:jc w:val="right"/>
              <w:ind w:right="1"/>
              <w:spacing w:after="0"/>
              <w:rPr>
                <w:sz w:val="20"/>
                <w:szCs w:val="20"/>
                <w:color w:val="auto"/>
              </w:rPr>
            </w:pPr>
            <w:r>
              <w:rPr>
                <w:rFonts w:ascii="Arial" w:cs="Arial" w:eastAsia="Arial" w:hAnsi="Arial"/>
                <w:sz w:val="20"/>
                <w:szCs w:val="20"/>
                <w:color w:val="auto"/>
              </w:rPr>
              <w:t>18</w:t>
            </w:r>
          </w:p>
        </w:tc>
        <w:tc>
          <w:tcPr>
            <w:tcW w:w="1060" w:type="dxa"/>
            <w:vAlign w:val="bottom"/>
            <w:gridSpan w:val="2"/>
            <w:vMerge w:val="restart"/>
          </w:tcPr>
          <w:p>
            <w:pPr>
              <w:jc w:val="center"/>
              <w:ind w:left="1"/>
              <w:spacing w:after="0"/>
              <w:rPr>
                <w:sz w:val="20"/>
                <w:szCs w:val="20"/>
                <w:color w:val="auto"/>
              </w:rPr>
            </w:pPr>
            <w:r>
              <w:rPr>
                <w:rFonts w:ascii="Arial" w:cs="Arial" w:eastAsia="Arial" w:hAnsi="Arial"/>
                <w:sz w:val="20"/>
                <w:szCs w:val="20"/>
                <w:color w:val="auto"/>
                <w:w w:val="96"/>
              </w:rPr>
              <w:t>4%</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72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color w:val="auto"/>
              </w:rPr>
              <w:t>stockholders</w:t>
            </w:r>
          </w:p>
        </w:tc>
        <w:tc>
          <w:tcPr>
            <w:tcW w:w="3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720" w:type="dxa"/>
            <w:vAlign w:val="bottom"/>
            <w:tcBorders>
              <w:lef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47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Segment margin</w:t>
            </w:r>
          </w:p>
        </w:tc>
        <w:tc>
          <w:tcPr>
            <w:tcW w:w="3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20"/>
                <w:szCs w:val="20"/>
                <w:color w:val="auto"/>
              </w:rPr>
              <w:t>36.3%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20"/>
                <w:szCs w:val="20"/>
                <w:color w:val="auto"/>
              </w:rPr>
              <w:t>32.8%</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350 bps</w:t>
            </w:r>
          </w:p>
        </w:tc>
        <w:tc>
          <w:tcPr>
            <w:tcW w:w="0" w:type="dxa"/>
            <w:vAlign w:val="bottom"/>
          </w:tcPr>
          <w:p>
            <w:pPr>
              <w:spacing w:after="0"/>
              <w:rPr>
                <w:sz w:val="1"/>
                <w:szCs w:val="1"/>
                <w:color w:val="auto"/>
              </w:rPr>
            </w:pPr>
          </w:p>
        </w:tc>
      </w:tr>
      <w:tr>
        <w:trPr>
          <w:trHeight w:val="309"/>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Segment Adjusted EBITDA*</w:t>
            </w:r>
          </w:p>
        </w:tc>
        <w:tc>
          <w:tcPr>
            <w:tcW w:w="300" w:type="dxa"/>
            <w:vAlign w:val="bottom"/>
          </w:tcPr>
          <w:p>
            <w:pPr>
              <w:jc w:val="right"/>
              <w:ind w:right="83"/>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20"/>
                <w:szCs w:val="20"/>
                <w:color w:val="auto"/>
              </w:rPr>
              <w:t>24</w:t>
            </w:r>
          </w:p>
        </w:tc>
        <w:tc>
          <w:tcPr>
            <w:tcW w:w="120" w:type="dxa"/>
            <w:vAlign w:val="bottom"/>
          </w:tcPr>
          <w:p>
            <w:pPr>
              <w:spacing w:after="0"/>
              <w:rPr>
                <w:sz w:val="24"/>
                <w:szCs w:val="24"/>
                <w:color w:val="auto"/>
              </w:rPr>
            </w:pPr>
          </w:p>
        </w:tc>
        <w:tc>
          <w:tcPr>
            <w:tcW w:w="320" w:type="dxa"/>
            <w:vAlign w:val="bottom"/>
          </w:tcPr>
          <w:p>
            <w:pPr>
              <w:jc w:val="right"/>
              <w:ind w:right="83"/>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28</w:t>
            </w:r>
          </w:p>
        </w:tc>
        <w:tc>
          <w:tcPr>
            <w:tcW w:w="1060" w:type="dxa"/>
            <w:vAlign w:val="bottom"/>
            <w:gridSpan w:val="2"/>
          </w:tcPr>
          <w:p>
            <w:pPr>
              <w:jc w:val="center"/>
              <w:ind w:left="21"/>
              <w:spacing w:after="0"/>
              <w:rPr>
                <w:sz w:val="20"/>
                <w:szCs w:val="20"/>
                <w:color w:val="auto"/>
              </w:rPr>
            </w:pPr>
            <w:r>
              <w:rPr>
                <w:rFonts w:ascii="Arial" w:cs="Arial" w:eastAsia="Arial" w:hAnsi="Arial"/>
                <w:sz w:val="20"/>
                <w:szCs w:val="20"/>
                <w:color w:val="auto"/>
              </w:rPr>
              <w:t>(14%)</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7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Segment Adjusted EBITDA margin*</w:t>
            </w:r>
          </w:p>
        </w:tc>
        <w:tc>
          <w:tcPr>
            <w:tcW w:w="3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20"/>
                <w:szCs w:val="20"/>
                <w:color w:val="auto"/>
              </w:rPr>
              <w:t>44.9%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20"/>
                <w:szCs w:val="20"/>
                <w:color w:val="auto"/>
              </w:rPr>
              <w:t>49.0%</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20"/>
                <w:szCs w:val="20"/>
                <w:color w:val="auto"/>
                <w:w w:val="99"/>
              </w:rPr>
              <w:t>(410 bps)</w:t>
            </w:r>
          </w:p>
        </w:tc>
        <w:tc>
          <w:tcPr>
            <w:tcW w:w="0" w:type="dxa"/>
            <w:vAlign w:val="bottom"/>
          </w:tcPr>
          <w:p>
            <w:pPr>
              <w:spacing w:after="0"/>
              <w:rPr>
                <w:sz w:val="1"/>
                <w:szCs w:val="1"/>
                <w:color w:val="auto"/>
              </w:rPr>
            </w:pPr>
          </w:p>
        </w:tc>
      </w:tr>
      <w:tr>
        <w:trPr>
          <w:trHeight w:val="20"/>
        </w:trPr>
        <w:tc>
          <w:tcPr>
            <w:tcW w:w="47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300" w:hanging="194"/>
        <w:spacing w:after="0"/>
        <w:tabs>
          <w:tab w:leader="none" w:pos="130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members at the end of each period.</w:t>
      </w:r>
    </w:p>
    <w:p>
      <w:pPr>
        <w:spacing w:after="0" w:line="16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Revenues excluding cost reimbursements and Segment Adjusted EBITDA decreased year-over-year primarily due to lower revenue at Aqua-Aston.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and Other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General and administrative costs increased $3 million in the first quarter compared to the prior year primarily due to severance.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Dispositions Update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In the first quarter of 2026, the Company:</w:t>
      </w:r>
    </w:p>
    <w:p>
      <w:pPr>
        <w:spacing w:after="0" w:line="12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Closed the sale of the Westin Cancun hotel, generating $50 million of proceeds.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Listed additional non-core assets that are expected to generate more than $125 million in gross proceeds this year.</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Remains on-track to generate $200 million to $250 million in gross proceeds by the end of 2027 from non-core asset dispositions.</w:t>
      </w:r>
    </w:p>
    <w:p>
      <w:pPr>
        <w:sectPr>
          <w:pgSz w:w="11900" w:h="16838" w:orient="portrait"/>
          <w:cols w:equalWidth="0" w:num="1">
            <w:col w:w="11240"/>
          </w:cols>
          <w:pgMar w:left="320" w:top="54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Marriott Vacations Worldwide Reports First Quarter 2026 Financial Results / 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Balance Sheet and Liquidity</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ended the quarter with $854 million in liquidity, including $268 million of cash and cash equivalents and $478 million of available capacity under its revolving corporate credit facility. The Company had $3.3 billion of corporate debt and $2.3 billion of non-recourse debt related to its securitized vacation ownership notes receivable at the end of the first quarter.</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also had $910 million of inventory at the end of the quarter, including $230 million classified as a component of Property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2026 Outlook</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first quarter of 2026, the Company began including interest expense associated with its warehouse credit facility borrowings as a component of consumer financing interest expense. In the first quarter of 2026, interest expense on warehouse credit facility borrowings was $3 million.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 Company provides full year 2026 guidance as reflected in the chart below.</w:t>
      </w:r>
    </w:p>
    <w:p>
      <w:pPr>
        <w:spacing w:after="0" w:line="56"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Previous</w:t>
      </w:r>
    </w:p>
    <w:tbl>
      <w:tblPr>
        <w:tblLayout w:type="fixed"/>
        <w:tblInd w:w="1080" w:type="dxa"/>
        <w:tblCellMar>
          <w:top w:w="0" w:type="dxa"/>
          <w:left w:w="0" w:type="dxa"/>
          <w:bottom w:w="0" w:type="dxa"/>
          <w:right w:w="0" w:type="dxa"/>
        </w:tblCellMar>
      </w:tblPr>
      <w:tr>
        <w:trPr>
          <w:trHeight w:val="230"/>
        </w:trPr>
        <w:tc>
          <w:tcPr>
            <w:tcW w:w="4440" w:type="dxa"/>
            <w:vAlign w:val="bottom"/>
          </w:tcPr>
          <w:p>
            <w:pPr>
              <w:ind w:left="20"/>
              <w:spacing w:after="0"/>
              <w:rPr>
                <w:sz w:val="20"/>
                <w:szCs w:val="20"/>
                <w:color w:val="auto"/>
              </w:rPr>
            </w:pPr>
            <w:r>
              <w:rPr>
                <w:rFonts w:ascii="Arial" w:cs="Arial" w:eastAsia="Arial" w:hAnsi="Arial"/>
                <w:sz w:val="16"/>
                <w:szCs w:val="16"/>
                <w:i w:val="1"/>
                <w:iCs w:val="1"/>
                <w:color w:val="auto"/>
              </w:rPr>
              <w:t>(in millions, except per share amounts)</w:t>
            </w:r>
          </w:p>
        </w:tc>
        <w:tc>
          <w:tcPr>
            <w:tcW w:w="2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2026 Guidance</w:t>
            </w:r>
          </w:p>
        </w:tc>
        <w:tc>
          <w:tcPr>
            <w:tcW w:w="2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2026 Guidance</w:t>
            </w:r>
          </w:p>
        </w:tc>
      </w:tr>
      <w:tr>
        <w:trPr>
          <w:trHeight w:val="237"/>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$1,815</w:t>
            </w: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to</w:t>
            </w: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$1,885</w:t>
            </w:r>
          </w:p>
        </w:tc>
        <w:tc>
          <w:tcPr>
            <w:tcW w:w="1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$1,745</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$1,815</w:t>
            </w:r>
          </w:p>
        </w:tc>
      </w:tr>
      <w:tr>
        <w:trPr>
          <w:trHeight w:val="247"/>
        </w:trPr>
        <w:tc>
          <w:tcPr>
            <w:tcW w:w="44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$755</w:t>
            </w:r>
          </w:p>
        </w:tc>
        <w:tc>
          <w:tcPr>
            <w:tcW w:w="480" w:type="dxa"/>
            <w:vAlign w:val="bottom"/>
          </w:tcPr>
          <w:p>
            <w:pPr>
              <w:jc w:val="center"/>
              <w:spacing w:after="0"/>
              <w:rPr>
                <w:sz w:val="20"/>
                <w:szCs w:val="20"/>
                <w:color w:val="auto"/>
              </w:rPr>
            </w:pPr>
            <w:r>
              <w:rPr>
                <w:rFonts w:ascii="Arial" w:cs="Arial" w:eastAsia="Arial" w:hAnsi="Arial"/>
                <w:sz w:val="18"/>
                <w:szCs w:val="18"/>
                <w:color w:val="auto"/>
              </w:rPr>
              <w:t>to</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$755</w:t>
            </w: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$780</w:t>
            </w:r>
          </w:p>
        </w:tc>
      </w:tr>
    </w:tbl>
    <w:p>
      <w:pPr>
        <w:spacing w:after="0" w:line="4" w:lineRule="exact"/>
        <w:rPr>
          <w:sz w:val="20"/>
          <w:szCs w:val="20"/>
          <w:color w:val="auto"/>
        </w:rPr>
      </w:pPr>
    </w:p>
    <w:p>
      <w:pPr>
        <w:sectPr>
          <w:pgSz w:w="11900" w:h="16838" w:orient="portrait"/>
          <w:cols w:equalWidth="0" w:num="1">
            <w:col w:w="11240"/>
          </w:cols>
          <w:pgMar w:left="320" w:top="548" w:right="339" w:bottom="1440" w:gutter="0" w:footer="0" w:header="0"/>
        </w:sectPr>
      </w:pPr>
    </w:p>
    <w:p>
      <w:pPr>
        <w:ind w:left="1100" w:right="420"/>
        <w:spacing w:after="0"/>
        <w:rPr>
          <w:sz w:val="20"/>
          <w:szCs w:val="20"/>
          <w:color w:val="auto"/>
        </w:rPr>
      </w:pPr>
      <w:r>
        <w:rPr>
          <w:rFonts w:ascii="Arial" w:cs="Arial" w:eastAsia="Arial" w:hAnsi="Arial"/>
          <w:sz w:val="18"/>
          <w:szCs w:val="18"/>
          <w:color w:val="auto"/>
        </w:rPr>
        <w:t>Adjusted net income attributable to common stockholders*</w:t>
      </w:r>
    </w:p>
    <w:p>
      <w:pPr>
        <w:spacing w:after="0" w:line="18" w:lineRule="exact"/>
        <w:rPr>
          <w:sz w:val="20"/>
          <w:szCs w:val="20"/>
          <w:color w:val="auto"/>
        </w:rPr>
      </w:pPr>
    </w:p>
    <w:p>
      <w:pPr>
        <w:ind w:left="1100" w:right="920"/>
        <w:spacing w:after="0" w:line="334" w:lineRule="auto"/>
        <w:rPr>
          <w:sz w:val="20"/>
          <w:szCs w:val="20"/>
          <w:color w:val="auto"/>
        </w:rPr>
      </w:pPr>
      <w:r>
        <w:rPr>
          <w:rFonts w:ascii="Arial" w:cs="Arial" w:eastAsia="Arial" w:hAnsi="Arial"/>
          <w:sz w:val="18"/>
          <w:szCs w:val="18"/>
          <w:color w:val="auto"/>
        </w:rPr>
        <w:t>Adjusted earnings per share - diluted* Adjusted free cash flow*</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$255</w:t>
            </w:r>
          </w:p>
        </w:tc>
        <w:tc>
          <w:tcPr>
            <w:tcW w:w="520" w:type="dxa"/>
            <w:vAlign w:val="bottom"/>
          </w:tcPr>
          <w:p>
            <w:pPr>
              <w:ind w:left="180"/>
              <w:spacing w:after="0"/>
              <w:rPr>
                <w:sz w:val="20"/>
                <w:szCs w:val="20"/>
                <w:color w:val="auto"/>
              </w:rPr>
            </w:pPr>
            <w:r>
              <w:rPr>
                <w:rFonts w:ascii="Arial" w:cs="Arial" w:eastAsia="Arial" w:hAnsi="Arial"/>
                <w:sz w:val="18"/>
                <w:szCs w:val="18"/>
                <w:color w:val="auto"/>
              </w:rPr>
              <w:t>to</w:t>
            </w: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9"/>
              </w:rPr>
              <w:t>$285</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9"/>
              </w:rPr>
              <w:t>$255</w:t>
            </w:r>
          </w:p>
        </w:tc>
        <w:tc>
          <w:tcPr>
            <w:tcW w:w="520" w:type="dxa"/>
            <w:vAlign w:val="bottom"/>
          </w:tcPr>
          <w:p>
            <w:pPr>
              <w:ind w:left="180"/>
              <w:spacing w:after="0"/>
              <w:rPr>
                <w:sz w:val="20"/>
                <w:szCs w:val="20"/>
                <w:color w:val="auto"/>
              </w:rPr>
            </w:pPr>
            <w:r>
              <w:rPr>
                <w:rFonts w:ascii="Arial" w:cs="Arial" w:eastAsia="Arial" w:hAnsi="Arial"/>
                <w:sz w:val="18"/>
                <w:szCs w:val="18"/>
                <w:color w:val="auto"/>
              </w:rPr>
              <w:t>to</w:t>
            </w:r>
          </w:p>
        </w:tc>
        <w:tc>
          <w:tcPr>
            <w:tcW w:w="620" w:type="dxa"/>
            <w:vAlign w:val="bottom"/>
          </w:tcPr>
          <w:p>
            <w:pPr>
              <w:jc w:val="center"/>
              <w:ind w:left="90"/>
              <w:spacing w:after="0"/>
              <w:rPr>
                <w:sz w:val="20"/>
                <w:szCs w:val="20"/>
                <w:color w:val="auto"/>
              </w:rPr>
            </w:pPr>
            <w:r>
              <w:rPr>
                <w:rFonts w:ascii="Arial" w:cs="Arial" w:eastAsia="Arial" w:hAnsi="Arial"/>
                <w:sz w:val="18"/>
                <w:szCs w:val="18"/>
                <w:color w:val="auto"/>
                <w:w w:val="99"/>
              </w:rPr>
              <w:t>$285</w:t>
            </w:r>
          </w:p>
        </w:tc>
      </w:tr>
      <w:tr>
        <w:trPr>
          <w:trHeight w:val="338"/>
        </w:trPr>
        <w:tc>
          <w:tcPr>
            <w:tcW w:w="640" w:type="dxa"/>
            <w:vAlign w:val="bottom"/>
          </w:tcPr>
          <w:p>
            <w:pPr>
              <w:jc w:val="center"/>
              <w:ind w:right="90"/>
              <w:spacing w:after="0"/>
              <w:rPr>
                <w:sz w:val="20"/>
                <w:szCs w:val="20"/>
                <w:color w:val="auto"/>
              </w:rPr>
            </w:pPr>
            <w:r>
              <w:rPr>
                <w:rFonts w:ascii="Arial" w:cs="Arial" w:eastAsia="Arial" w:hAnsi="Arial"/>
                <w:sz w:val="18"/>
                <w:szCs w:val="18"/>
                <w:color w:val="auto"/>
              </w:rPr>
              <w:t>$7.05</w:t>
            </w:r>
          </w:p>
        </w:tc>
        <w:tc>
          <w:tcPr>
            <w:tcW w:w="520" w:type="dxa"/>
            <w:vAlign w:val="bottom"/>
          </w:tcPr>
          <w:p>
            <w:pPr>
              <w:ind w:left="180"/>
              <w:spacing w:after="0"/>
              <w:rPr>
                <w:sz w:val="20"/>
                <w:szCs w:val="20"/>
                <w:color w:val="auto"/>
              </w:rPr>
            </w:pPr>
            <w:r>
              <w:rPr>
                <w:rFonts w:ascii="Arial" w:cs="Arial" w:eastAsia="Arial" w:hAnsi="Arial"/>
                <w:sz w:val="18"/>
                <w:szCs w:val="18"/>
                <w:color w:val="auto"/>
              </w:rPr>
              <w:t>to</w:t>
            </w:r>
          </w:p>
        </w:tc>
        <w:tc>
          <w:tcPr>
            <w:tcW w:w="920" w:type="dxa"/>
            <w:vAlign w:val="bottom"/>
          </w:tcPr>
          <w:p>
            <w:pPr>
              <w:jc w:val="center"/>
              <w:ind w:right="10"/>
              <w:spacing w:after="0"/>
              <w:rPr>
                <w:sz w:val="20"/>
                <w:szCs w:val="20"/>
                <w:color w:val="auto"/>
              </w:rPr>
            </w:pPr>
            <w:r>
              <w:rPr>
                <w:rFonts w:ascii="Arial" w:cs="Arial" w:eastAsia="Arial" w:hAnsi="Arial"/>
                <w:sz w:val="18"/>
                <w:szCs w:val="18"/>
                <w:color w:val="auto"/>
              </w:rPr>
              <w:t>$7.80</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$7.05</w:t>
            </w:r>
          </w:p>
        </w:tc>
        <w:tc>
          <w:tcPr>
            <w:tcW w:w="520" w:type="dxa"/>
            <w:vAlign w:val="bottom"/>
          </w:tcPr>
          <w:p>
            <w:pPr>
              <w:ind w:left="180"/>
              <w:spacing w:after="0"/>
              <w:rPr>
                <w:sz w:val="20"/>
                <w:szCs w:val="20"/>
                <w:color w:val="auto"/>
              </w:rPr>
            </w:pPr>
            <w:r>
              <w:rPr>
                <w:rFonts w:ascii="Arial" w:cs="Arial" w:eastAsia="Arial" w:hAnsi="Arial"/>
                <w:sz w:val="18"/>
                <w:szCs w:val="18"/>
                <w:color w:val="auto"/>
              </w:rPr>
              <w:t>to</w:t>
            </w:r>
          </w:p>
        </w:tc>
        <w:tc>
          <w:tcPr>
            <w:tcW w:w="620" w:type="dxa"/>
            <w:vAlign w:val="bottom"/>
          </w:tcPr>
          <w:p>
            <w:pPr>
              <w:jc w:val="center"/>
              <w:ind w:left="90"/>
              <w:spacing w:after="0"/>
              <w:rPr>
                <w:sz w:val="20"/>
                <w:szCs w:val="20"/>
                <w:color w:val="auto"/>
              </w:rPr>
            </w:pPr>
            <w:r>
              <w:rPr>
                <w:rFonts w:ascii="Arial" w:cs="Arial" w:eastAsia="Arial" w:hAnsi="Arial"/>
                <w:sz w:val="18"/>
                <w:szCs w:val="18"/>
                <w:color w:val="auto"/>
                <w:w w:val="97"/>
              </w:rPr>
              <w:t>$7.80</w:t>
            </w:r>
          </w:p>
        </w:tc>
      </w:tr>
      <w:tr>
        <w:trPr>
          <w:trHeight w:val="25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$375</w:t>
            </w:r>
          </w:p>
        </w:tc>
        <w:tc>
          <w:tcPr>
            <w:tcW w:w="520" w:type="dxa"/>
            <w:vAlign w:val="bottom"/>
          </w:tcPr>
          <w:p>
            <w:pPr>
              <w:ind w:left="180"/>
              <w:spacing w:after="0"/>
              <w:rPr>
                <w:sz w:val="20"/>
                <w:szCs w:val="20"/>
                <w:color w:val="auto"/>
              </w:rPr>
            </w:pPr>
            <w:r>
              <w:rPr>
                <w:rFonts w:ascii="Arial" w:cs="Arial" w:eastAsia="Arial" w:hAnsi="Arial"/>
                <w:sz w:val="18"/>
                <w:szCs w:val="18"/>
                <w:color w:val="auto"/>
              </w:rPr>
              <w:t>to</w:t>
            </w: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9"/>
              </w:rPr>
              <w:t>$425</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9"/>
              </w:rPr>
              <w:t>$375</w:t>
            </w:r>
          </w:p>
        </w:tc>
        <w:tc>
          <w:tcPr>
            <w:tcW w:w="520" w:type="dxa"/>
            <w:vAlign w:val="bottom"/>
          </w:tcPr>
          <w:p>
            <w:pPr>
              <w:ind w:left="180"/>
              <w:spacing w:after="0"/>
              <w:rPr>
                <w:sz w:val="20"/>
                <w:szCs w:val="20"/>
                <w:color w:val="auto"/>
              </w:rPr>
            </w:pPr>
            <w:r>
              <w:rPr>
                <w:rFonts w:ascii="Arial" w:cs="Arial" w:eastAsia="Arial" w:hAnsi="Arial"/>
                <w:sz w:val="18"/>
                <w:szCs w:val="18"/>
                <w:color w:val="auto"/>
              </w:rPr>
              <w:t>to</w:t>
            </w:r>
          </w:p>
        </w:tc>
        <w:tc>
          <w:tcPr>
            <w:tcW w:w="620" w:type="dxa"/>
            <w:vAlign w:val="bottom"/>
          </w:tcPr>
          <w:p>
            <w:pPr>
              <w:jc w:val="center"/>
              <w:ind w:left="90"/>
              <w:spacing w:after="0"/>
              <w:rPr>
                <w:sz w:val="20"/>
                <w:szCs w:val="20"/>
                <w:color w:val="auto"/>
              </w:rPr>
            </w:pPr>
            <w:r>
              <w:rPr>
                <w:rFonts w:ascii="Arial" w:cs="Arial" w:eastAsia="Arial" w:hAnsi="Arial"/>
                <w:sz w:val="18"/>
                <w:szCs w:val="18"/>
                <w:color w:val="auto"/>
                <w:w w:val="99"/>
              </w:rPr>
              <w:t>$425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-584835</wp:posOffset>
            </wp:positionV>
            <wp:extent cx="57607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26543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-156210</wp:posOffset>
            </wp:positionV>
            <wp:extent cx="57607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5040" w:space="720"/>
            <w:col w:w="5480"/>
          </w:cols>
          <w:pgMar w:left="320" w:top="548" w:right="339" w:bottom="1440" w:gutter="0" w:footer="0" w:header="0"/>
          <w:type w:val="continuous"/>
        </w:sectPr>
      </w:pPr>
    </w:p>
    <w:p>
      <w:pPr>
        <w:jc w:val="both"/>
        <w:spacing w:after="0" w:line="254" w:lineRule="auto"/>
        <w:rPr>
          <w:sz w:val="20"/>
          <w:szCs w:val="20"/>
          <w:color w:val="auto"/>
        </w:rPr>
      </w:pPr>
      <w:r>
        <w:rPr>
          <w:rFonts w:ascii="Arial" w:cs="Arial" w:eastAsia="Arial" w:hAnsi="Arial"/>
          <w:sz w:val="20"/>
          <w:szCs w:val="20"/>
          <w:color w:val="auto"/>
        </w:rPr>
        <w:t>The guidance provided above excludes impacts from certain asset sales, foreign currency changes, restructuring costs, litigation charges, modernization costs, transaction and integration costs, and impairments, each of which the Company cannot forecast with sufficient accuracy to factor them into the guidance provided above and without unreasonable efforts, and which may be significant. As a result, the full year 2026 outlook is presented only on a non-GAAP basis and is not reconciled to the most comparable GAAP measures. Where one or more of the currently unavailable items is applicable, some items could be material, individually or in the aggregate, to GAAP reported results.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The Company’s 2026 guidance is based on the following supplemental estimates:</w:t>
      </w:r>
    </w:p>
    <w:p>
      <w:pPr>
        <w:sectPr>
          <w:pgSz w:w="11900" w:h="16838" w:orient="portrait"/>
          <w:cols w:equalWidth="0" w:num="1">
            <w:col w:w="11240"/>
          </w:cols>
          <w:pgMar w:left="320" w:top="548" w:right="339" w:bottom="1440" w:gutter="0" w:footer="0" w:header="0"/>
          <w:type w:val="continuous"/>
        </w:sectPr>
      </w:pP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 in millions)</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Depreciation and amortization</w:t>
      </w:r>
    </w:p>
    <w:p>
      <w:pPr>
        <w:spacing w:after="0" w:line="50" w:lineRule="exact"/>
        <w:rPr>
          <w:sz w:val="20"/>
          <w:szCs w:val="20"/>
          <w:color w:val="auto"/>
        </w:rPr>
      </w:pPr>
    </w:p>
    <w:p>
      <w:pPr>
        <w:ind w:left="1280"/>
        <w:spacing w:after="0" w:line="287" w:lineRule="auto"/>
        <w:rPr>
          <w:sz w:val="20"/>
          <w:szCs w:val="20"/>
          <w:color w:val="auto"/>
        </w:rPr>
      </w:pPr>
      <w:r>
        <w:rPr>
          <w:rFonts w:ascii="Arial" w:cs="Arial" w:eastAsia="Arial" w:hAnsi="Arial"/>
          <w:sz w:val="18"/>
          <w:szCs w:val="18"/>
          <w:color w:val="auto"/>
        </w:rPr>
        <w:t>Tax rate used to calculate adjusted net income attributable to common stockholders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99"/>
              </w:rPr>
              <w:t>2026 Guidance</w:t>
            </w:r>
          </w:p>
        </w:tc>
        <w:tc>
          <w:tcPr>
            <w:tcW w:w="6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Previous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60" w:type="dxa"/>
            <w:vAlign w:val="bottom"/>
            <w:gridSpan w:val="4"/>
            <w:vMerge w:val="continue"/>
          </w:tcPr>
          <w:p>
            <w:pPr>
              <w:spacing w:after="0"/>
              <w:rPr>
                <w:sz w:val="21"/>
                <w:szCs w:val="21"/>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rPr>
              <w:t>2026 Guidance</w:t>
            </w:r>
          </w:p>
        </w:tc>
        <w:tc>
          <w:tcPr>
            <w:tcW w:w="0" w:type="dxa"/>
            <w:vAlign w:val="bottom"/>
          </w:tcPr>
          <w:p>
            <w:pPr>
              <w:spacing w:after="0"/>
              <w:rPr>
                <w:sz w:val="1"/>
                <w:szCs w:val="1"/>
                <w:color w:val="auto"/>
              </w:rPr>
            </w:pPr>
          </w:p>
        </w:tc>
      </w:tr>
      <w:tr>
        <w:trPr>
          <w:trHeight w:val="232"/>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$184</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to</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68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99"/>
              </w:rPr>
              <w:t>$184</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to</w:t>
            </w:r>
          </w:p>
        </w:tc>
        <w:tc>
          <w:tcPr>
            <w:tcW w:w="7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51"/>
        </w:trPr>
        <w:tc>
          <w:tcPr>
            <w:tcW w:w="840" w:type="dxa"/>
            <w:vAlign w:val="bottom"/>
          </w:tcPr>
          <w:p>
            <w:pPr>
              <w:jc w:val="center"/>
              <w:spacing w:after="0"/>
              <w:rPr>
                <w:sz w:val="20"/>
                <w:szCs w:val="20"/>
                <w:color w:val="auto"/>
              </w:rPr>
            </w:pPr>
            <w:r>
              <w:rPr>
                <w:rFonts w:ascii="Arial" w:cs="Arial" w:eastAsia="Arial" w:hAnsi="Arial"/>
                <w:sz w:val="18"/>
                <w:szCs w:val="18"/>
                <w:color w:val="auto"/>
                <w:w w:val="99"/>
              </w:rPr>
              <w:t>$150</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840" w:type="dxa"/>
            <w:vAlign w:val="bottom"/>
          </w:tcPr>
          <w:p>
            <w:pPr>
              <w:jc w:val="center"/>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1"/>
                <w:szCs w:val="21"/>
                <w:color w:val="auto"/>
              </w:rPr>
            </w:pPr>
          </w:p>
        </w:tc>
        <w:tc>
          <w:tcPr>
            <w:tcW w:w="680" w:type="dxa"/>
            <w:vAlign w:val="bottom"/>
          </w:tcPr>
          <w:p>
            <w:pPr>
              <w:jc w:val="center"/>
              <w:ind w:left="110"/>
              <w:spacing w:after="0"/>
              <w:rPr>
                <w:sz w:val="20"/>
                <w:szCs w:val="20"/>
                <w:color w:val="auto"/>
              </w:rPr>
            </w:pPr>
            <w:r>
              <w:rPr>
                <w:rFonts w:ascii="Arial" w:cs="Arial" w:eastAsia="Arial" w:hAnsi="Arial"/>
                <w:sz w:val="18"/>
                <w:szCs w:val="18"/>
                <w:color w:val="auto"/>
                <w:w w:val="99"/>
              </w:rPr>
              <w:t>$150</w:t>
            </w:r>
          </w:p>
        </w:tc>
        <w:tc>
          <w:tcPr>
            <w:tcW w:w="840" w:type="dxa"/>
            <w:vAlign w:val="bottom"/>
          </w:tcPr>
          <w:p>
            <w:pPr>
              <w:jc w:val="center"/>
              <w:spacing w:after="0"/>
              <w:rPr>
                <w:sz w:val="20"/>
                <w:szCs w:val="20"/>
                <w:color w:val="auto"/>
              </w:rPr>
            </w:pPr>
            <w:r>
              <w:rPr>
                <w:rFonts w:ascii="Arial" w:cs="Arial" w:eastAsia="Arial" w:hAnsi="Arial"/>
                <w:sz w:val="18"/>
                <w:szCs w:val="18"/>
                <w:color w:val="auto"/>
              </w:rPr>
              <w:t>to</w:t>
            </w: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365"/>
        </w:trPr>
        <w:tc>
          <w:tcPr>
            <w:tcW w:w="84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840" w:type="dxa"/>
            <w:vAlign w:val="bottom"/>
          </w:tcPr>
          <w:p>
            <w:pPr>
              <w:jc w:val="center"/>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680" w:type="dxa"/>
            <w:vAlign w:val="bottom"/>
          </w:tcPr>
          <w:p>
            <w:pPr>
              <w:jc w:val="center"/>
              <w:ind w:left="110"/>
              <w:spacing w:after="0"/>
              <w:rPr>
                <w:sz w:val="20"/>
                <w:szCs w:val="20"/>
                <w:color w:val="auto"/>
              </w:rPr>
            </w:pPr>
            <w:r>
              <w:rPr>
                <w:rFonts w:ascii="Arial" w:cs="Arial" w:eastAsia="Arial" w:hAnsi="Arial"/>
                <w:sz w:val="18"/>
                <w:szCs w:val="18"/>
                <w:color w:val="auto"/>
                <w:w w:val="99"/>
              </w:rPr>
              <w:t>31%</w:t>
            </w:r>
          </w:p>
        </w:tc>
        <w:tc>
          <w:tcPr>
            <w:tcW w:w="840" w:type="dxa"/>
            <w:vAlign w:val="bottom"/>
          </w:tcPr>
          <w:p>
            <w:pPr>
              <w:jc w:val="center"/>
              <w:spacing w:after="0"/>
              <w:rPr>
                <w:sz w:val="20"/>
                <w:szCs w:val="20"/>
                <w:color w:val="auto"/>
              </w:rPr>
            </w:pPr>
            <w:r>
              <w:rPr>
                <w:rFonts w:ascii="Arial" w:cs="Arial" w:eastAsia="Arial" w:hAnsi="Arial"/>
                <w:sz w:val="18"/>
                <w:szCs w:val="18"/>
                <w:color w:val="auto"/>
              </w:rPr>
              <w:t>to</w:t>
            </w: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-550545</wp:posOffset>
            </wp:positionV>
            <wp:extent cx="554609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090" cy="16256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-224790</wp:posOffset>
            </wp:positionV>
            <wp:extent cx="554609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30861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4980" w:space="440"/>
            <w:col w:w="5820"/>
          </w:cols>
          <w:pgMar w:left="320" w:top="54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Non-GAAP financial measures are reconciled and adjustments are shown and described in further detail in the Financial Schedules that follow. Please see “Non-GAAP Financial Measures” for additional information about our reasons for providing these alternative financial measures and limitations on their use. In addition to the foregoing non-GAAP financial measures, we present certain key metrics as performance measures which are further described in our most recent Annual Report on Form 10-K, and which may be updated in our periodic filings with the 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 Conference Call</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The Company will hold a conference call on May 5, 2026 at 8:30 a.m. ET to discuss these financial results and provide an update on business conditions. Participants may access the call by dialing (877) 407-8289 or (201) 689-8341 for international callers. A live webcast of the call will also be available in the Investor Relations section of the Company's website at </w:t>
      </w:r>
      <w:r>
        <w:rPr>
          <w:rFonts w:ascii="Arial" w:cs="Arial" w:eastAsia="Arial" w:hAnsi="Arial"/>
          <w:sz w:val="20"/>
          <w:szCs w:val="20"/>
          <w:u w:val="single" w:color="auto"/>
          <w:color w:val="auto"/>
        </w:rPr>
        <w:t>ir.mvwc.com</w:t>
      </w:r>
      <w:r>
        <w:rPr>
          <w:rFonts w:ascii="Arial" w:cs="Arial" w:eastAsia="Arial" w:hAnsi="Arial"/>
          <w:sz w:val="20"/>
          <w:szCs w:val="20"/>
          <w:color w:val="auto"/>
        </w:rPr>
        <w:t>. An audio replay of the conference call will be available for 30 days on the Company’s website.</w:t>
      </w:r>
    </w:p>
    <w:p>
      <w:pPr>
        <w:sectPr>
          <w:pgSz w:w="11900" w:h="16838" w:orient="portrait"/>
          <w:cols w:equalWidth="0" w:num="1">
            <w:col w:w="11240"/>
          </w:cols>
          <w:pgMar w:left="320" w:top="54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Marriott Vacations Worldwide Reports First Quarter 2026 Financial Results / 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Marriott Vacations Worldwide Corporation</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Marriott Vacations Worldwide Corporation is a leading global vacation company that offers vacation ownership, exchange, rental and resort and property management, along with related businesses, products, and services. The Company has 120 vacation ownership resorts and approximately 700,000 owner families in a diverse portfolio that includes some of the most iconic vacation ownership brands. The Company also operates an exchange network and membership programs comprised of more than 3,200 affiliated resorts in over 90 countries and territories, and provides management services to other resorts and lodging properties. As a leader and innovator in the vacation industry, the Company upholds the highest standards of excellence in serving its customers, investors and associates while maintaining exclusive, long-term relationships with Marriott International, Inc. and an affiliate of Hyatt Hotels Corporation for the development, sales and marketing of vacation ownership products and services. For more information, please visit www.marriottvacationsworldwide.com.</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routinely posts important information, including news releases, announcements and other statements about its business and results of operations, that may be deemed material to investors on the Investor Relations section of the Company’s website, www.marriottvacationsworldwide.com. The Company uses its website as a means of disclosing material, nonpublic information and for complying with the Company’s disclosure obligations under Regulation FD. Investors should monitor the Investor Relations section of the Company’s website in addition to following the Company’s press releases, filings with the SEC, public conference calls and webcasts.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press release and accompanying schedules contain “forward-looking statements” within the meaning of federal securities laws, including statements about opportunities for growth, enhanced operational efficiencies and cost savings, expected asset sales, expected Adjusted EBITDA and increase in contract sales for the second quarter, and full year 2026 outlook for contract sales, results of operations and cash flow.</w:t>
      </w:r>
    </w:p>
    <w:p>
      <w:pPr>
        <w:spacing w:after="0" w:line="7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The Company cautions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 future health crises and related governmental responses and their potential adverse effects; variations in demand for vacation ownership and exchange products and services; failure of vendors and other third parties to timely comply with their contractual obligations; worker absenteeism; price inflation; difficulties associated with implementing new or maintaining existing technologies; the ability to use artificial intelligence (“AI”) technologies successfully and potential business, compliance, or reputational risks associated with the use of AI technologies; changes in privacy laws; the impact of a future banking crisis; impacts from natural or man-made disasters and wildfires, including the Maui and Los Angeles area wildfires; delinquency and default rates; global supply chain disruptions; volatility in the international and national economy and credit markets, the impacts of ongoing global conflicts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in our most recent Annual Report on Form 10-K, and which may be updated in our future periodic filings with the U.S. Securities and Exchange Commission.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forward-looking statements in this press release are made as of the date of this press release and the Company undertakes no obligation to publicly update or revise any forward-looking statement, whether as a result of new information, future events, or otherwise, except as required by law. There</w:t>
      </w:r>
    </w:p>
    <w:p>
      <w:pPr>
        <w:sectPr>
          <w:pgSz w:w="11900" w:h="16838" w:orient="portrait"/>
          <w:cols w:equalWidth="0" w:num="1">
            <w:col w:w="11240"/>
          </w:cols>
          <w:pgMar w:left="320" w:top="54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Marriott Vacations Worldwide Reports First Quarter 2026 Financial Results / 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Schedules Follow</w:t>
      </w:r>
    </w:p>
    <w:p>
      <w:pPr>
        <w:sectPr>
          <w:pgSz w:w="11900" w:h="16838" w:orient="portrait"/>
          <w:cols w:equalWidth="0" w:num="1">
            <w:col w:w="11240"/>
          </w:cols>
          <w:pgMar w:left="320" w:top="548" w:right="339" w:bottom="1440" w:gutter="0" w:footer="0" w:header="0"/>
        </w:sectPr>
      </w:pPr>
    </w:p>
    <w:bookmarkStart w:id="7" w:name="page8"/>
    <w:bookmarkEnd w:id="7"/>
    <w:p>
      <w:pPr>
        <w:ind w:left="1960"/>
        <w:spacing w:after="0"/>
        <w:rPr>
          <w:sz w:val="20"/>
          <w:szCs w:val="20"/>
          <w:color w:val="auto"/>
        </w:rPr>
      </w:pPr>
      <w:r>
        <w:rPr>
          <w:rFonts w:ascii="Arial" w:cs="Arial" w:eastAsia="Arial" w:hAnsi="Arial"/>
          <w:sz w:val="20"/>
          <w:szCs w:val="20"/>
          <w:b w:val="1"/>
          <w:bCs w:val="1"/>
          <w:color w:val="auto"/>
        </w:rPr>
        <w:t>MARRIOTT VACATIONS WORLDWIDE CORPORATION</w:t>
      </w:r>
    </w:p>
    <w:p>
      <w:pPr>
        <w:spacing w:after="0" w:line="33"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FINANCIAL SCHEDULES</w:t>
      </w:r>
    </w:p>
    <w:p>
      <w:pPr>
        <w:jc w:val="center"/>
        <w:ind w:right="19"/>
        <w:spacing w:after="0"/>
        <w:rPr>
          <w:sz w:val="20"/>
          <w:szCs w:val="20"/>
          <w:color w:val="auto"/>
        </w:rPr>
      </w:pPr>
      <w:r>
        <w:rPr>
          <w:rFonts w:ascii="Arial" w:cs="Arial" w:eastAsia="Arial" w:hAnsi="Arial"/>
          <w:sz w:val="20"/>
          <w:szCs w:val="20"/>
          <w:b w:val="1"/>
          <w:bCs w:val="1"/>
          <w:color w:val="auto"/>
        </w:rPr>
        <w:t>QUARTER 1, 2026</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388"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Summary Financial Information and Adjusted EBITDA by Segment</w:t>
            </w: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center"/>
              <w:ind w:right="460"/>
              <w:spacing w:after="0"/>
              <w:rPr>
                <w:sz w:val="20"/>
                <w:szCs w:val="20"/>
                <w:color w:val="auto"/>
              </w:rPr>
            </w:pPr>
            <w:r>
              <w:rPr>
                <w:rFonts w:ascii="Arial" w:cs="Arial" w:eastAsia="Arial" w:hAnsi="Arial"/>
                <w:sz w:val="20"/>
                <w:szCs w:val="20"/>
                <w:color w:val="auto"/>
                <w:w w:val="96"/>
              </w:rPr>
              <w:t>A-</w:t>
            </w:r>
            <w:r>
              <w:rPr>
                <w:rFonts w:ascii="Arial" w:cs="Arial" w:eastAsia="Arial" w:hAnsi="Arial"/>
                <w:sz w:val="20"/>
                <w:szCs w:val="20"/>
                <w:color w:val="0000FF"/>
                <w:w w:val="96"/>
              </w:rPr>
              <w:t>1</w:t>
            </w:r>
          </w:p>
        </w:tc>
        <w:tc>
          <w:tcPr>
            <w:tcW w:w="0" w:type="dxa"/>
            <w:vAlign w:val="bottom"/>
          </w:tcPr>
          <w:p>
            <w:pPr>
              <w:spacing w:after="0"/>
              <w:rPr>
                <w:sz w:val="1"/>
                <w:szCs w:val="1"/>
                <w:color w:val="auto"/>
              </w:rPr>
            </w:pPr>
          </w:p>
        </w:tc>
      </w:tr>
      <w:tr>
        <w:trPr>
          <w:trHeight w:val="88"/>
        </w:trPr>
        <w:tc>
          <w:tcPr>
            <w:tcW w:w="65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Arial" w:cs="Arial" w:eastAsia="Arial" w:hAnsi="Arial"/>
                <w:sz w:val="20"/>
                <w:szCs w:val="20"/>
                <w:color w:val="auto"/>
              </w:rPr>
              <w:t>Interim Consolidated Statements of Income</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7"/>
          </w:tcPr>
          <w:p>
            <w:pPr>
              <w:jc w:val="center"/>
              <w:ind w:right="460"/>
              <w:spacing w:after="0"/>
              <w:rPr>
                <w:sz w:val="20"/>
                <w:szCs w:val="20"/>
                <w:color w:val="auto"/>
              </w:rPr>
            </w:pPr>
            <w:r>
              <w:rPr>
                <w:rFonts w:ascii="Arial" w:cs="Arial" w:eastAsia="Arial" w:hAnsi="Arial"/>
                <w:sz w:val="20"/>
                <w:szCs w:val="20"/>
                <w:color w:val="auto"/>
                <w:w w:val="96"/>
              </w:rPr>
              <w:t>A-</w:t>
            </w:r>
            <w:r>
              <w:rPr>
                <w:rFonts w:ascii="Arial" w:cs="Arial" w:eastAsia="Arial" w:hAnsi="Arial"/>
                <w:sz w:val="20"/>
                <w:szCs w:val="20"/>
                <w:color w:val="0000FF"/>
                <w:w w:val="96"/>
              </w:rPr>
              <w:t>2</w:t>
            </w:r>
          </w:p>
        </w:tc>
        <w:tc>
          <w:tcPr>
            <w:tcW w:w="0" w:type="dxa"/>
            <w:vAlign w:val="bottom"/>
          </w:tcPr>
          <w:p>
            <w:pPr>
              <w:spacing w:after="0"/>
              <w:rPr>
                <w:sz w:val="1"/>
                <w:szCs w:val="1"/>
                <w:color w:val="auto"/>
              </w:rPr>
            </w:pPr>
          </w:p>
        </w:tc>
      </w:tr>
      <w:tr>
        <w:trPr>
          <w:trHeight w:val="88"/>
        </w:trPr>
        <w:tc>
          <w:tcPr>
            <w:tcW w:w="6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Adjusted Net Income Attributable to Common Stockholders</w:t>
            </w: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7"/>
            <w:vMerge w:val="restart"/>
            <w:shd w:val="clear" w:color="auto" w:fill="CCEEFF"/>
          </w:tcPr>
          <w:p>
            <w:pPr>
              <w:jc w:val="center"/>
              <w:ind w:right="460"/>
              <w:spacing w:after="0"/>
              <w:rPr>
                <w:sz w:val="20"/>
                <w:szCs w:val="20"/>
                <w:color w:val="auto"/>
              </w:rPr>
            </w:pPr>
            <w:r>
              <w:rPr>
                <w:rFonts w:ascii="Arial" w:cs="Arial" w:eastAsia="Arial" w:hAnsi="Arial"/>
                <w:sz w:val="20"/>
                <w:szCs w:val="20"/>
                <w:color w:val="auto"/>
                <w:w w:val="96"/>
              </w:rPr>
              <w:t>A-</w:t>
            </w:r>
            <w:r>
              <w:rPr>
                <w:rFonts w:ascii="Arial" w:cs="Arial" w:eastAsia="Arial" w:hAnsi="Arial"/>
                <w:sz w:val="20"/>
                <w:szCs w:val="20"/>
                <w:color w:val="0000FF"/>
                <w:w w:val="96"/>
              </w:rPr>
              <w:t>3</w:t>
            </w:r>
          </w:p>
        </w:tc>
        <w:tc>
          <w:tcPr>
            <w:tcW w:w="0" w:type="dxa"/>
            <w:vAlign w:val="bottom"/>
          </w:tcPr>
          <w:p>
            <w:pPr>
              <w:spacing w:after="0"/>
              <w:rPr>
                <w:sz w:val="1"/>
                <w:szCs w:val="1"/>
                <w:color w:val="auto"/>
              </w:rPr>
            </w:pPr>
          </w:p>
        </w:tc>
      </w:tr>
      <w:tr>
        <w:trPr>
          <w:trHeight w:val="103"/>
        </w:trPr>
        <w:tc>
          <w:tcPr>
            <w:tcW w:w="6520" w:type="dxa"/>
            <w:vAlign w:val="bottom"/>
            <w:vMerge w:val="restart"/>
            <w:shd w:val="clear" w:color="auto" w:fill="CCEEFF"/>
          </w:tcPr>
          <w:p>
            <w:pPr>
              <w:spacing w:after="0"/>
              <w:rPr>
                <w:sz w:val="20"/>
                <w:szCs w:val="20"/>
                <w:color w:val="auto"/>
              </w:rPr>
            </w:pPr>
            <w:r>
              <w:rPr>
                <w:rFonts w:ascii="Arial" w:cs="Arial" w:eastAsia="Arial" w:hAnsi="Arial"/>
                <w:sz w:val="20"/>
                <w:szCs w:val="20"/>
                <w:color w:val="auto"/>
              </w:rPr>
              <w:t>Adjusted Earnings Per Share - Diluted</w:t>
            </w: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7"/>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5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Arial" w:cs="Arial" w:eastAsia="Arial" w:hAnsi="Arial"/>
                <w:sz w:val="20"/>
                <w:szCs w:val="20"/>
                <w:color w:val="auto"/>
              </w:rPr>
              <w:t>Adjusted EBITDA</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7"/>
          </w:tcPr>
          <w:p>
            <w:pPr>
              <w:jc w:val="center"/>
              <w:ind w:right="460"/>
              <w:spacing w:after="0"/>
              <w:rPr>
                <w:sz w:val="20"/>
                <w:szCs w:val="20"/>
                <w:color w:val="auto"/>
              </w:rPr>
            </w:pPr>
            <w:r>
              <w:rPr>
                <w:rFonts w:ascii="Arial" w:cs="Arial" w:eastAsia="Arial" w:hAnsi="Arial"/>
                <w:sz w:val="20"/>
                <w:szCs w:val="20"/>
                <w:color w:val="auto"/>
                <w:w w:val="96"/>
              </w:rPr>
              <w:t>A-</w:t>
            </w:r>
            <w:r>
              <w:rPr>
                <w:rFonts w:ascii="Arial" w:cs="Arial" w:eastAsia="Arial" w:hAnsi="Arial"/>
                <w:sz w:val="20"/>
                <w:szCs w:val="20"/>
                <w:color w:val="0000FF"/>
                <w:w w:val="96"/>
              </w:rPr>
              <w:t>4</w:t>
            </w:r>
          </w:p>
        </w:tc>
        <w:tc>
          <w:tcPr>
            <w:tcW w:w="0" w:type="dxa"/>
            <w:vAlign w:val="bottom"/>
          </w:tcPr>
          <w:p>
            <w:pPr>
              <w:spacing w:after="0"/>
              <w:rPr>
                <w:sz w:val="1"/>
                <w:szCs w:val="1"/>
                <w:color w:val="auto"/>
              </w:rPr>
            </w:pPr>
          </w:p>
        </w:tc>
      </w:tr>
      <w:tr>
        <w:trPr>
          <w:trHeight w:val="88"/>
        </w:trPr>
        <w:tc>
          <w:tcPr>
            <w:tcW w:w="6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Segment Adjusted EBITDA</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180"/>
              <w:spacing w:after="0" w:line="224" w:lineRule="exact"/>
              <w:rPr>
                <w:sz w:val="20"/>
                <w:szCs w:val="20"/>
                <w:color w:val="auto"/>
              </w:rPr>
            </w:pPr>
            <w:r>
              <w:rPr>
                <w:rFonts w:ascii="Arial" w:cs="Arial" w:eastAsia="Arial" w:hAnsi="Arial"/>
                <w:sz w:val="20"/>
                <w:szCs w:val="20"/>
                <w:color w:val="auto"/>
              </w:rPr>
              <w:t>Vacation Ownership</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7"/>
            <w:shd w:val="clear" w:color="auto" w:fill="CCEEFF"/>
          </w:tcPr>
          <w:p>
            <w:pPr>
              <w:jc w:val="center"/>
              <w:ind w:right="460"/>
              <w:spacing w:after="0" w:line="224" w:lineRule="exact"/>
              <w:rPr>
                <w:sz w:val="20"/>
                <w:szCs w:val="20"/>
                <w:color w:val="auto"/>
              </w:rPr>
            </w:pPr>
            <w:r>
              <w:rPr>
                <w:rFonts w:ascii="Arial" w:cs="Arial" w:eastAsia="Arial" w:hAnsi="Arial"/>
                <w:sz w:val="20"/>
                <w:szCs w:val="20"/>
                <w:color w:val="auto"/>
                <w:w w:val="96"/>
              </w:rPr>
              <w:t>A-</w:t>
            </w:r>
            <w:r>
              <w:rPr>
                <w:rFonts w:ascii="Arial" w:cs="Arial" w:eastAsia="Arial" w:hAnsi="Arial"/>
                <w:sz w:val="20"/>
                <w:szCs w:val="20"/>
                <w:color w:val="0000FF"/>
                <w:w w:val="96"/>
              </w:rPr>
              <w:t>5</w:t>
            </w:r>
          </w:p>
        </w:tc>
        <w:tc>
          <w:tcPr>
            <w:tcW w:w="0" w:type="dxa"/>
            <w:vAlign w:val="bottom"/>
          </w:tcPr>
          <w:p>
            <w:pPr>
              <w:spacing w:after="0"/>
              <w:rPr>
                <w:sz w:val="1"/>
                <w:szCs w:val="1"/>
                <w:color w:val="auto"/>
              </w:rPr>
            </w:pPr>
          </w:p>
        </w:tc>
      </w:tr>
      <w:tr>
        <w:trPr>
          <w:trHeight w:val="298"/>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Exchange &amp; Third-Party Management</w:t>
            </w:r>
          </w:p>
        </w:tc>
        <w:tc>
          <w:tcPr>
            <w:tcW w:w="86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0000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Contract Sales to Development Profit</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7"/>
          </w:tcPr>
          <w:p>
            <w:pPr>
              <w:jc w:val="center"/>
              <w:ind w:right="460"/>
              <w:spacing w:after="0"/>
              <w:rPr>
                <w:sz w:val="20"/>
                <w:szCs w:val="20"/>
                <w:color w:val="auto"/>
              </w:rPr>
            </w:pPr>
            <w:r>
              <w:rPr>
                <w:rFonts w:ascii="Arial" w:cs="Arial" w:eastAsia="Arial" w:hAnsi="Arial"/>
                <w:sz w:val="20"/>
                <w:szCs w:val="20"/>
                <w:color w:val="auto"/>
                <w:w w:val="96"/>
              </w:rPr>
              <w:t>A-</w:t>
            </w:r>
            <w:r>
              <w:rPr>
                <w:rFonts w:ascii="Arial" w:cs="Arial" w:eastAsia="Arial" w:hAnsi="Arial"/>
                <w:sz w:val="20"/>
                <w:szCs w:val="20"/>
                <w:color w:val="0000FF"/>
                <w:w w:val="96"/>
              </w:rPr>
              <w:t>6</w:t>
            </w:r>
          </w:p>
        </w:tc>
        <w:tc>
          <w:tcPr>
            <w:tcW w:w="0" w:type="dxa"/>
            <w:vAlign w:val="bottom"/>
          </w:tcPr>
          <w:p>
            <w:pPr>
              <w:spacing w:after="0"/>
              <w:rPr>
                <w:sz w:val="1"/>
                <w:szCs w:val="1"/>
                <w:color w:val="auto"/>
              </w:rPr>
            </w:pPr>
          </w:p>
        </w:tc>
      </w:tr>
      <w:tr>
        <w:trPr>
          <w:trHeight w:val="88"/>
        </w:trPr>
        <w:tc>
          <w:tcPr>
            <w:tcW w:w="6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Supplemental Information</w:t>
            </w:r>
          </w:p>
        </w:tc>
        <w:tc>
          <w:tcPr>
            <w:tcW w:w="2060" w:type="dxa"/>
            <w:vAlign w:val="bottom"/>
            <w:gridSpan w:val="9"/>
            <w:shd w:val="clear" w:color="auto" w:fill="CCEEFF"/>
          </w:tcPr>
          <w:p>
            <w:pPr>
              <w:jc w:val="center"/>
              <w:ind w:left="421"/>
              <w:spacing w:after="0"/>
              <w:rPr>
                <w:sz w:val="20"/>
                <w:szCs w:val="20"/>
                <w:color w:val="auto"/>
              </w:rPr>
            </w:pPr>
            <w:r>
              <w:rPr>
                <w:rFonts w:ascii="Arial" w:cs="Arial" w:eastAsia="Arial" w:hAnsi="Arial"/>
                <w:sz w:val="20"/>
                <w:szCs w:val="20"/>
                <w:color w:val="auto"/>
              </w:rPr>
              <w:t>A-</w:t>
            </w:r>
            <w:r>
              <w:rPr>
                <w:rFonts w:ascii="Arial" w:cs="Arial" w:eastAsia="Arial" w:hAnsi="Arial"/>
                <w:sz w:val="20"/>
                <w:szCs w:val="20"/>
                <w:color w:val="0000FF"/>
              </w:rPr>
              <w:t>7</w:t>
            </w:r>
            <w:r>
              <w:rPr>
                <w:rFonts w:ascii="Arial" w:cs="Arial" w:eastAsia="Arial" w:hAnsi="Arial"/>
                <w:sz w:val="20"/>
                <w:szCs w:val="20"/>
                <w:color w:val="auto"/>
              </w:rPr>
              <w:t xml:space="preserve">  to  A-</w:t>
            </w:r>
            <w:r>
              <w:rPr>
                <w:rFonts w:ascii="Arial" w:cs="Arial" w:eastAsia="Arial" w:hAnsi="Arial"/>
                <w:sz w:val="20"/>
                <w:szCs w:val="20"/>
                <w:color w:val="0000FF"/>
              </w:rPr>
              <w:t>8</w:t>
            </w:r>
          </w:p>
        </w:tc>
        <w:tc>
          <w:tcPr>
            <w:tcW w:w="0" w:type="dxa"/>
            <w:vAlign w:val="bottom"/>
          </w:tcPr>
          <w:p>
            <w:pPr>
              <w:spacing w:after="0"/>
              <w:rPr>
                <w:sz w:val="1"/>
                <w:szCs w:val="1"/>
                <w:color w:val="auto"/>
              </w:rPr>
            </w:pPr>
          </w:p>
        </w:tc>
      </w:tr>
      <w:tr>
        <w:trPr>
          <w:trHeight w:val="88"/>
        </w:trPr>
        <w:tc>
          <w:tcPr>
            <w:tcW w:w="65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Arial" w:cs="Arial" w:eastAsia="Arial" w:hAnsi="Arial"/>
                <w:sz w:val="20"/>
                <w:szCs w:val="20"/>
                <w:color w:val="auto"/>
              </w:rPr>
              <w:t>Interim Consolidated Balance Sheets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7"/>
          </w:tcPr>
          <w:p>
            <w:pPr>
              <w:jc w:val="center"/>
              <w:ind w:right="460"/>
              <w:spacing w:after="0"/>
              <w:rPr>
                <w:sz w:val="20"/>
                <w:szCs w:val="20"/>
                <w:color w:val="auto"/>
              </w:rPr>
            </w:pPr>
            <w:r>
              <w:rPr>
                <w:rFonts w:ascii="Arial" w:cs="Arial" w:eastAsia="Arial" w:hAnsi="Arial"/>
                <w:sz w:val="20"/>
                <w:szCs w:val="20"/>
                <w:color w:val="auto"/>
                <w:w w:val="96"/>
              </w:rPr>
              <w:t>A-</w:t>
            </w:r>
            <w:r>
              <w:rPr>
                <w:rFonts w:ascii="Arial" w:cs="Arial" w:eastAsia="Arial" w:hAnsi="Arial"/>
                <w:sz w:val="20"/>
                <w:szCs w:val="20"/>
                <w:color w:val="0000FF"/>
                <w:w w:val="96"/>
              </w:rPr>
              <w:t>9</w:t>
            </w:r>
          </w:p>
        </w:tc>
        <w:tc>
          <w:tcPr>
            <w:tcW w:w="0" w:type="dxa"/>
            <w:vAlign w:val="bottom"/>
          </w:tcPr>
          <w:p>
            <w:pPr>
              <w:spacing w:after="0"/>
              <w:rPr>
                <w:sz w:val="1"/>
                <w:szCs w:val="1"/>
                <w:color w:val="auto"/>
              </w:rPr>
            </w:pPr>
          </w:p>
        </w:tc>
      </w:tr>
      <w:tr>
        <w:trPr>
          <w:trHeight w:val="88"/>
        </w:trPr>
        <w:tc>
          <w:tcPr>
            <w:tcW w:w="6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Interim Consolidated Statements of Cash Flows</w:t>
            </w: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center"/>
              <w:ind w:right="460"/>
              <w:spacing w:after="0"/>
              <w:rPr>
                <w:sz w:val="20"/>
                <w:szCs w:val="20"/>
                <w:color w:val="auto"/>
              </w:rPr>
            </w:pPr>
            <w:r>
              <w:rPr>
                <w:rFonts w:ascii="Arial" w:cs="Arial" w:eastAsia="Arial" w:hAnsi="Arial"/>
                <w:sz w:val="20"/>
                <w:szCs w:val="20"/>
                <w:color w:val="auto"/>
                <w:w w:val="99"/>
              </w:rPr>
              <w:t>A-</w:t>
            </w:r>
            <w:r>
              <w:rPr>
                <w:rFonts w:ascii="Arial" w:cs="Arial" w:eastAsia="Arial" w:hAnsi="Arial"/>
                <w:sz w:val="20"/>
                <w:szCs w:val="20"/>
                <w:color w:val="0000FF"/>
                <w:w w:val="99"/>
              </w:rPr>
              <w:t>10</w:t>
            </w:r>
          </w:p>
        </w:tc>
        <w:tc>
          <w:tcPr>
            <w:tcW w:w="0" w:type="dxa"/>
            <w:vAlign w:val="bottom"/>
          </w:tcPr>
          <w:p>
            <w:pPr>
              <w:spacing w:after="0"/>
              <w:rPr>
                <w:sz w:val="1"/>
                <w:szCs w:val="1"/>
                <w:color w:val="auto"/>
              </w:rPr>
            </w:pPr>
          </w:p>
        </w:tc>
      </w:tr>
      <w:tr>
        <w:trPr>
          <w:trHeight w:val="88"/>
        </w:trPr>
        <w:tc>
          <w:tcPr>
            <w:tcW w:w="65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Free Cash Flow and Adjusted Free Cash Flow</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7"/>
          </w:tcPr>
          <w:p>
            <w:pPr>
              <w:jc w:val="center"/>
              <w:ind w:right="460"/>
              <w:spacing w:after="0"/>
              <w:rPr>
                <w:sz w:val="20"/>
                <w:szCs w:val="20"/>
                <w:color w:val="auto"/>
              </w:rPr>
            </w:pPr>
            <w:r>
              <w:rPr>
                <w:rFonts w:ascii="Arial" w:cs="Arial" w:eastAsia="Arial" w:hAnsi="Arial"/>
                <w:sz w:val="20"/>
                <w:szCs w:val="20"/>
                <w:color w:val="auto"/>
                <w:w w:val="99"/>
              </w:rPr>
              <w:t>A-</w:t>
            </w:r>
            <w:r>
              <w:rPr>
                <w:rFonts w:ascii="Arial" w:cs="Arial" w:eastAsia="Arial" w:hAnsi="Arial"/>
                <w:sz w:val="20"/>
                <w:szCs w:val="20"/>
                <w:color w:val="0000FF"/>
                <w:w w:val="99"/>
              </w:rPr>
              <w:t>12</w:t>
            </w:r>
          </w:p>
        </w:tc>
        <w:tc>
          <w:tcPr>
            <w:tcW w:w="0" w:type="dxa"/>
            <w:vAlign w:val="bottom"/>
          </w:tcPr>
          <w:p>
            <w:pPr>
              <w:spacing w:after="0"/>
              <w:rPr>
                <w:sz w:val="1"/>
                <w:szCs w:val="1"/>
                <w:color w:val="auto"/>
              </w:rPr>
            </w:pPr>
          </w:p>
        </w:tc>
      </w:tr>
      <w:tr>
        <w:trPr>
          <w:trHeight w:val="88"/>
        </w:trPr>
        <w:tc>
          <w:tcPr>
            <w:tcW w:w="6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2026 Outlook - Adjusted Free Cash Flow</w:t>
            </w: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center"/>
              <w:ind w:right="460"/>
              <w:spacing w:after="0"/>
              <w:rPr>
                <w:sz w:val="20"/>
                <w:szCs w:val="20"/>
                <w:color w:val="auto"/>
              </w:rPr>
            </w:pPr>
            <w:r>
              <w:rPr>
                <w:rFonts w:ascii="Arial" w:cs="Arial" w:eastAsia="Arial" w:hAnsi="Arial"/>
                <w:sz w:val="20"/>
                <w:szCs w:val="20"/>
                <w:color w:val="auto"/>
                <w:w w:val="99"/>
              </w:rPr>
              <w:t>A-</w:t>
            </w:r>
            <w:r>
              <w:rPr>
                <w:rFonts w:ascii="Arial" w:cs="Arial" w:eastAsia="Arial" w:hAnsi="Arial"/>
                <w:sz w:val="20"/>
                <w:szCs w:val="20"/>
                <w:color w:val="0000FF"/>
                <w:w w:val="99"/>
              </w:rPr>
              <w:t>13</w:t>
            </w:r>
          </w:p>
        </w:tc>
        <w:tc>
          <w:tcPr>
            <w:tcW w:w="0" w:type="dxa"/>
            <w:vAlign w:val="bottom"/>
          </w:tcPr>
          <w:p>
            <w:pPr>
              <w:spacing w:after="0"/>
              <w:rPr>
                <w:sz w:val="1"/>
                <w:szCs w:val="1"/>
                <w:color w:val="auto"/>
              </w:rPr>
            </w:pPr>
          </w:p>
        </w:tc>
      </w:tr>
      <w:tr>
        <w:trPr>
          <w:trHeight w:val="88"/>
        </w:trPr>
        <w:tc>
          <w:tcPr>
            <w:tcW w:w="65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Quarterly Operating Metrics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7"/>
          </w:tcPr>
          <w:p>
            <w:pPr>
              <w:jc w:val="center"/>
              <w:ind w:right="460"/>
              <w:spacing w:after="0"/>
              <w:rPr>
                <w:sz w:val="20"/>
                <w:szCs w:val="20"/>
                <w:color w:val="auto"/>
              </w:rPr>
            </w:pPr>
            <w:r>
              <w:rPr>
                <w:rFonts w:ascii="Arial" w:cs="Arial" w:eastAsia="Arial" w:hAnsi="Arial"/>
                <w:sz w:val="20"/>
                <w:szCs w:val="20"/>
                <w:color w:val="auto"/>
                <w:w w:val="99"/>
              </w:rPr>
              <w:t>A-</w:t>
            </w:r>
            <w:r>
              <w:rPr>
                <w:rFonts w:ascii="Arial" w:cs="Arial" w:eastAsia="Arial" w:hAnsi="Arial"/>
                <w:sz w:val="20"/>
                <w:szCs w:val="20"/>
                <w:color w:val="0000FF"/>
                <w:w w:val="99"/>
              </w:rPr>
              <w:t>14</w:t>
            </w:r>
          </w:p>
        </w:tc>
        <w:tc>
          <w:tcPr>
            <w:tcW w:w="0" w:type="dxa"/>
            <w:vAlign w:val="bottom"/>
          </w:tcPr>
          <w:p>
            <w:pPr>
              <w:spacing w:after="0"/>
              <w:rPr>
                <w:sz w:val="1"/>
                <w:szCs w:val="1"/>
                <w:color w:val="auto"/>
              </w:rPr>
            </w:pPr>
          </w:p>
        </w:tc>
      </w:tr>
      <w:tr>
        <w:trPr>
          <w:trHeight w:val="88"/>
        </w:trPr>
        <w:tc>
          <w:tcPr>
            <w:tcW w:w="6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Non-GAAP Financial Measures</w:t>
            </w: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center"/>
              <w:ind w:right="460"/>
              <w:spacing w:after="0"/>
              <w:rPr>
                <w:sz w:val="20"/>
                <w:szCs w:val="20"/>
                <w:color w:val="auto"/>
              </w:rPr>
            </w:pPr>
            <w:r>
              <w:rPr>
                <w:rFonts w:ascii="Arial" w:cs="Arial" w:eastAsia="Arial" w:hAnsi="Arial"/>
                <w:sz w:val="20"/>
                <w:szCs w:val="20"/>
                <w:color w:val="auto"/>
                <w:w w:val="99"/>
              </w:rPr>
              <w:t>A-</w:t>
            </w:r>
            <w:r>
              <w:rPr>
                <w:rFonts w:ascii="Arial" w:cs="Arial" w:eastAsia="Arial" w:hAnsi="Arial"/>
                <w:sz w:val="20"/>
                <w:szCs w:val="20"/>
                <w:color w:val="0000FF"/>
                <w:w w:val="99"/>
              </w:rPr>
              <w:t>15</w:t>
            </w:r>
          </w:p>
        </w:tc>
        <w:tc>
          <w:tcPr>
            <w:tcW w:w="0" w:type="dxa"/>
            <w:vAlign w:val="bottom"/>
          </w:tcPr>
          <w:p>
            <w:pPr>
              <w:spacing w:after="0"/>
              <w:rPr>
                <w:sz w:val="1"/>
                <w:szCs w:val="1"/>
                <w:color w:val="auto"/>
              </w:rPr>
            </w:pPr>
          </w:p>
        </w:tc>
      </w:tr>
      <w:tr>
        <w:trPr>
          <w:trHeight w:val="88"/>
        </w:trPr>
        <w:tc>
          <w:tcPr>
            <w:tcW w:w="65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8" w:right="1440" w:bottom="1440" w:gutter="0" w:footer="0" w:header="0"/>
        </w:sectPr>
      </w:pPr>
    </w:p>
    <w:bookmarkStart w:id="8" w:name="page9"/>
    <w:bookmarkEnd w:id="8"/>
    <w:p>
      <w:pPr>
        <w:jc w:val="center"/>
        <w:ind w:right="-473"/>
        <w:spacing w:after="0"/>
        <w:rPr>
          <w:sz w:val="20"/>
          <w:szCs w:val="20"/>
          <w:color w:val="auto"/>
        </w:rPr>
      </w:pPr>
      <w:r>
        <w:rPr>
          <w:rFonts w:ascii="Arial" w:cs="Arial" w:eastAsia="Arial" w:hAnsi="Arial"/>
          <w:sz w:val="18"/>
          <w:szCs w:val="18"/>
          <w:b w:val="1"/>
          <w:bCs w:val="1"/>
          <w:color w:val="auto"/>
        </w:rPr>
        <w:t>A-1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73"/>
        <w:spacing w:after="0"/>
        <w:rPr>
          <w:sz w:val="20"/>
          <w:szCs w:val="20"/>
          <w:color w:val="auto"/>
        </w:rPr>
      </w:pPr>
      <w:r>
        <w:rPr>
          <w:rFonts w:ascii="Arial" w:cs="Arial" w:eastAsia="Arial" w:hAnsi="Arial"/>
          <w:sz w:val="20"/>
          <w:szCs w:val="20"/>
          <w:b w:val="1"/>
          <w:bCs w:val="1"/>
          <w:color w:val="auto"/>
        </w:rPr>
        <w:t>MARRIOTT VACATIONS WORLDWIDE CORPORATION</w:t>
      </w:r>
    </w:p>
    <w:p>
      <w:pPr>
        <w:spacing w:after="0" w:line="121" w:lineRule="exact"/>
        <w:rPr>
          <w:sz w:val="20"/>
          <w:szCs w:val="20"/>
          <w:color w:val="auto"/>
        </w:rPr>
      </w:pPr>
    </w:p>
    <w:p>
      <w:pPr>
        <w:jc w:val="center"/>
        <w:ind w:right="-473"/>
        <w:spacing w:after="0"/>
        <w:rPr>
          <w:sz w:val="20"/>
          <w:szCs w:val="20"/>
          <w:color w:val="auto"/>
        </w:rPr>
      </w:pPr>
      <w:r>
        <w:rPr>
          <w:rFonts w:ascii="Arial" w:cs="Arial" w:eastAsia="Arial" w:hAnsi="Arial"/>
          <w:sz w:val="20"/>
          <w:szCs w:val="20"/>
          <w:b w:val="1"/>
          <w:bCs w:val="1"/>
          <w:color w:val="auto"/>
        </w:rPr>
        <w:t>SUMMARY FINANCIAL INFORMATION</w:t>
      </w:r>
    </w:p>
    <w:p>
      <w:pPr>
        <w:spacing w:after="0" w:line="22"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1034"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Arial" w:cs="Arial" w:eastAsia="Arial" w:hAnsi="Arial"/>
                <w:sz w:val="16"/>
                <w:szCs w:val="16"/>
                <w:b w:val="1"/>
                <w:bCs w:val="1"/>
                <w:color w:val="auto"/>
              </w:rPr>
              <w:t>March 31, 2025</w:t>
            </w:r>
          </w:p>
        </w:tc>
        <w:tc>
          <w:tcPr>
            <w:tcW w:w="12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6"/>
                <w:szCs w:val="16"/>
                <w:b w:val="1"/>
                <w:bCs w:val="1"/>
                <w:color w:val="auto"/>
              </w:rPr>
              <w:t>Change %</w:t>
            </w:r>
          </w:p>
        </w:tc>
      </w:tr>
      <w:tr>
        <w:trPr>
          <w:trHeight w:val="237"/>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12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r>
      <w:tr>
        <w:trPr>
          <w:trHeight w:val="252"/>
        </w:trPr>
        <w:tc>
          <w:tcPr>
            <w:tcW w:w="5120" w:type="dxa"/>
            <w:vAlign w:val="bottom"/>
          </w:tcPr>
          <w:p>
            <w:pPr>
              <w:ind w:left="12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61"/>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Revenues excluding cost reimbursements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2"/>
        </w:trPr>
        <w:tc>
          <w:tcPr>
            <w:tcW w:w="5120" w:type="dxa"/>
            <w:vAlign w:val="bottom"/>
          </w:tcPr>
          <w:p>
            <w:pPr>
              <w:ind w:left="140"/>
              <w:spacing w:after="0"/>
              <w:rPr>
                <w:sz w:val="20"/>
                <w:szCs w:val="20"/>
                <w:color w:val="auto"/>
              </w:rPr>
            </w:pPr>
            <w:r>
              <w:rPr>
                <w:rFonts w:ascii="Arial" w:cs="Arial" w:eastAsia="Arial" w:hAnsi="Arial"/>
                <w:sz w:val="18"/>
                <w:szCs w:val="18"/>
                <w:color w:val="auto"/>
              </w:rPr>
              <w:t>Income before income taxes and noncontrolling interests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(56%)</w:t>
            </w:r>
          </w:p>
        </w:tc>
      </w:tr>
      <w:tr>
        <w:trPr>
          <w:trHeight w:val="261"/>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(61%)</w:t>
            </w:r>
          </w:p>
        </w:tc>
      </w:tr>
      <w:tr>
        <w:trPr>
          <w:trHeight w:val="252"/>
        </w:trPr>
        <w:tc>
          <w:tcPr>
            <w:tcW w:w="5120" w:type="dxa"/>
            <w:vAlign w:val="bottom"/>
          </w:tcPr>
          <w:p>
            <w:pPr>
              <w:ind w:left="120"/>
              <w:spacing w:after="0"/>
              <w:rPr>
                <w:sz w:val="20"/>
                <w:szCs w:val="20"/>
                <w:color w:val="auto"/>
              </w:rPr>
            </w:pPr>
            <w:r>
              <w:rPr>
                <w:rFonts w:ascii="Arial" w:cs="Arial" w:eastAsia="Arial" w:hAnsi="Arial"/>
                <w:sz w:val="18"/>
                <w:szCs w:val="18"/>
                <w:color w:val="auto"/>
              </w:rPr>
              <w:t>Diluted shares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(17%)</w:t>
            </w:r>
          </w:p>
        </w:tc>
      </w:tr>
      <w:tr>
        <w:trPr>
          <w:trHeight w:val="261"/>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(56%)</w:t>
            </w:r>
          </w:p>
        </w:tc>
      </w:tr>
      <w:tr>
        <w:trPr>
          <w:trHeight w:val="270"/>
        </w:trPr>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Measures*</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2"/>
        </w:trPr>
        <w:tc>
          <w:tcPr>
            <w:tcW w:w="5120" w:type="dxa"/>
            <w:vAlign w:val="bottom"/>
          </w:tcPr>
          <w:p>
            <w:pPr>
              <w:ind w:left="140"/>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(16%)</w:t>
            </w:r>
          </w:p>
        </w:tc>
      </w:tr>
      <w:tr>
        <w:trPr>
          <w:trHeight w:val="261"/>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Adjusted 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(32%)</w:t>
            </w:r>
          </w:p>
        </w:tc>
      </w:tr>
      <w:tr>
        <w:trPr>
          <w:trHeight w:val="252"/>
        </w:trPr>
        <w:tc>
          <w:tcPr>
            <w:tcW w:w="5120" w:type="dxa"/>
            <w:vAlign w:val="bottom"/>
          </w:tcPr>
          <w:p>
            <w:pPr>
              <w:ind w:left="120"/>
              <w:spacing w:after="0"/>
              <w:rPr>
                <w:sz w:val="20"/>
                <w:szCs w:val="20"/>
                <w:color w:val="auto"/>
              </w:rPr>
            </w:pPr>
            <w:r>
              <w:rPr>
                <w:rFonts w:ascii="Arial" w:cs="Arial" w:eastAsia="Arial" w:hAnsi="Arial"/>
                <w:sz w:val="18"/>
                <w:szCs w:val="18"/>
                <w:color w:val="auto"/>
              </w:rPr>
              <w:t>Adjusted net income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(34%)</w:t>
            </w:r>
          </w:p>
        </w:tc>
      </w:tr>
      <w:tr>
        <w:trPr>
          <w:trHeight w:val="261"/>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Adjusted earnings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(25%)</w:t>
            </w:r>
          </w:p>
        </w:tc>
      </w:tr>
    </w:tbl>
    <w:p>
      <w:pPr>
        <w:spacing w:after="0" w:line="386" w:lineRule="exact"/>
        <w:rPr>
          <w:sz w:val="20"/>
          <w:szCs w:val="20"/>
          <w:color w:val="auto"/>
        </w:rPr>
      </w:pPr>
    </w:p>
    <w:p>
      <w:pPr>
        <w:ind w:left="-6" w:firstLine="6"/>
        <w:spacing w:after="0"/>
        <w:tabs>
          <w:tab w:leader="none" w:pos="114"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Denotes non-GAAP financial measures. Please see “Non-GAAP Financial Measures” for additional information about our reasons for providing these alternative financial measures and limitations on their use.</w:t>
      </w:r>
    </w:p>
    <w:p>
      <w:pPr>
        <w:sectPr>
          <w:pgSz w:w="11900" w:h="16838" w:orient="portrait"/>
          <w:cols w:equalWidth="0" w:num="1">
            <w:col w:w="10694"/>
          </w:cols>
          <w:pgMar w:left="366" w:top="121" w:right="8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8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6"/>
        </w:trPr>
        <w:tc>
          <w:tcPr>
            <w:tcW w:w="5980" w:type="dxa"/>
            <w:vAlign w:val="bottom"/>
          </w:tcPr>
          <w:p>
            <w:pPr>
              <w:ind w:left="220"/>
              <w:spacing w:after="0" w:line="256" w:lineRule="exact"/>
              <w:rPr>
                <w:sz w:val="20"/>
                <w:szCs w:val="20"/>
                <w:color w:val="auto"/>
              </w:rPr>
            </w:pPr>
            <w:r>
              <w:rPr>
                <w:rFonts w:ascii="Arial" w:cs="Arial" w:eastAsia="Arial" w:hAnsi="Arial"/>
                <w:sz w:val="18"/>
                <w:szCs w:val="18"/>
                <w:color w:val="auto"/>
              </w:rPr>
              <w:t>Modernization</w:t>
            </w:r>
            <w:r>
              <w:rPr>
                <w:rFonts w:ascii="Arial" w:cs="Arial" w:eastAsia="Arial" w:hAnsi="Arial"/>
                <w:sz w:val="23"/>
                <w:szCs w:val="23"/>
                <w:color w:val="auto"/>
                <w:vertAlign w:val="superscript"/>
              </w:rPr>
              <w:t>†</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line="256" w:lineRule="exact"/>
              <w:rPr>
                <w:sz w:val="20"/>
                <w:szCs w:val="20"/>
                <w:color w:val="auto"/>
              </w:rPr>
            </w:pPr>
            <w:r>
              <w:rPr>
                <w:rFonts w:ascii="Arial" w:cs="Arial" w:eastAsia="Arial" w:hAnsi="Arial"/>
                <w:sz w:val="18"/>
                <w:szCs w:val="18"/>
                <w:color w:val="auto"/>
              </w:rPr>
              <w:t>Impairment</w:t>
            </w:r>
            <w:r>
              <w:rPr>
                <w:rFonts w:ascii="Arial" w:cs="Arial" w:eastAsia="Arial" w:hAnsi="Arial"/>
                <w:sz w:val="23"/>
                <w:szCs w:val="23"/>
                <w:color w:val="auto"/>
                <w:vertAlign w:val="superscript"/>
              </w:rPr>
              <w:t>†</w:t>
            </w:r>
          </w:p>
        </w:tc>
        <w:tc>
          <w:tcPr>
            <w:tcW w:w="16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9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INCOME BEFORE INCOME TAXES AND NONCONTROLLING</w:t>
            </w:r>
          </w:p>
        </w:tc>
        <w:tc>
          <w:tcPr>
            <w:tcW w:w="160" w:type="dxa"/>
            <w:vAlign w:val="bottom"/>
          </w:tcPr>
          <w:p>
            <w:pPr>
              <w:spacing w:after="0"/>
              <w:rPr>
                <w:sz w:val="14"/>
                <w:szCs w:val="14"/>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INTERESTS</w:t>
            </w: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ATTRIBUTABLE TO COMMON STOCKHOLDERS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Basic shares</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8"/>
                <w:szCs w:val="18"/>
                <w:color w:val="auto"/>
              </w:rPr>
              <w:t>Diluted shares</w:t>
            </w:r>
          </w:p>
        </w:tc>
        <w:tc>
          <w:tcPr>
            <w:tcW w:w="1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right="460" w:firstLine="6"/>
        <w:spacing w:after="0" w:line="210" w:lineRule="auto"/>
        <w:tabs>
          <w:tab w:leader="none" w:pos="135"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Prior year amounts have been reclassified to conform with our current year presentation. Please see “Non-GAAP Financial Measures” for additional information.</w:t>
      </w:r>
    </w:p>
    <w:p>
      <w:pPr>
        <w:sectPr>
          <w:pgSz w:w="11900" w:h="16838" w:orient="portrait"/>
          <w:cols w:equalWidth="0" w:num="1">
            <w:col w:w="9080"/>
          </w:cols>
          <w:pgMar w:left="1400" w:top="121" w:right="14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ADJUSTED NET INCOME ATTRIBUTABLE TO COMMON STOCKHOLDERS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ADJUSTED EARNINGS PER SHARE - DILUTED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6"/>
                <w:szCs w:val="16"/>
                <w:b w:val="1"/>
                <w:bCs w:val="1"/>
                <w:color w:val="auto"/>
              </w:rPr>
              <w:t>March 31, 2025</w:t>
            </w:r>
          </w:p>
        </w:tc>
      </w:tr>
      <w:tr>
        <w:trPr>
          <w:trHeight w:val="23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57"/>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attributable to common stockholders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8"/>
        </w:trPr>
        <w:tc>
          <w:tcPr>
            <w:tcW w:w="566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5"/>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disposition of hotel, land, and other</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566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 proceeds</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5660" w:type="dxa"/>
            <w:vAlign w:val="bottom"/>
          </w:tcPr>
          <w:p>
            <w:pPr>
              <w:ind w:left="240"/>
              <w:spacing w:after="0"/>
              <w:rPr>
                <w:sz w:val="20"/>
                <w:szCs w:val="20"/>
                <w:color w:val="auto"/>
              </w:rPr>
            </w:pPr>
            <w:r>
              <w:rPr>
                <w:rFonts w:ascii="Arial" w:cs="Arial" w:eastAsia="Arial" w:hAnsi="Arial"/>
                <w:sz w:val="18"/>
                <w:szCs w:val="18"/>
                <w:color w:val="auto"/>
              </w:rPr>
              <w:t>Change in indemnification asset</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estimates relating to pre-acquisition contingencies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and other income, net</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Litigation charges</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56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Modernization</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5660" w:type="dxa"/>
            <w:vAlign w:val="bottom"/>
          </w:tcPr>
          <w:p>
            <w:pPr>
              <w:ind w:left="20"/>
              <w:spacing w:after="0" w:line="256"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56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Impairment</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income*</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56"/>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60"/>
        </w:trPr>
        <w:tc>
          <w:tcPr>
            <w:tcW w:w="5660" w:type="dxa"/>
            <w:vAlign w:val="bottom"/>
          </w:tcPr>
          <w:p>
            <w:pPr>
              <w:ind w:left="20"/>
              <w:spacing w:after="0"/>
              <w:rPr>
                <w:sz w:val="20"/>
                <w:szCs w:val="20"/>
                <w:color w:val="auto"/>
              </w:rPr>
            </w:pPr>
            <w:r>
              <w:rPr>
                <w:rFonts w:ascii="Arial" w:cs="Arial" w:eastAsia="Arial" w:hAnsi="Arial"/>
                <w:sz w:val="18"/>
                <w:szCs w:val="18"/>
                <w:color w:val="auto"/>
              </w:rPr>
              <w:t>Adjusted earnings per share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1.66</w:t>
            </w:r>
          </w:p>
        </w:tc>
      </w:tr>
    </w:tbl>
    <w:p>
      <w:pPr>
        <w:spacing w:after="0" w:line="274" w:lineRule="exact"/>
        <w:rPr>
          <w:sz w:val="20"/>
          <w:szCs w:val="20"/>
          <w:color w:val="auto"/>
        </w:rPr>
      </w:pPr>
    </w:p>
    <w:p>
      <w:pPr>
        <w:ind w:left="140" w:right="279" w:firstLine="8"/>
        <w:spacing w:after="0" w:line="287"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non-GAAP financial measures. Please see “Non-GAAP Financial Measures” for additional information about our reasons for providing these alternative financial measures and limitations on their use.</w:t>
      </w:r>
    </w:p>
    <w:p>
      <w:pPr>
        <w:spacing w:after="0" w:line="193" w:lineRule="exact"/>
        <w:rPr>
          <w:sz w:val="20"/>
          <w:szCs w:val="20"/>
          <w:color w:val="auto"/>
        </w:rPr>
      </w:pPr>
    </w:p>
    <w:p>
      <w:pPr>
        <w:ind w:left="140" w:right="279" w:firstLine="8"/>
        <w:spacing w:after="0" w:line="231" w:lineRule="auto"/>
        <w:tabs>
          <w:tab w:leader="none" w:pos="255"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Prior year amounts have been reclassified to conform with our current year presentation. Please see “Non-GAAP Financial Measures” for additional information.</w:t>
      </w:r>
    </w:p>
    <w:p>
      <w:pPr>
        <w:sectPr>
          <w:pgSz w:w="11900" w:h="16838" w:orient="portrait"/>
          <w:cols w:equalWidth="0" w:num="1">
            <w:col w:w="9019"/>
          </w:cols>
          <w:pgMar w:left="1440" w:top="122"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6"/>
                <w:szCs w:val="16"/>
                <w:b w:val="1"/>
                <w:bCs w:val="1"/>
                <w:color w:val="auto"/>
              </w:rPr>
              <w:t>March 31, 2025</w:t>
            </w:r>
          </w:p>
        </w:tc>
      </w:tr>
      <w:tr>
        <w:trPr>
          <w:trHeight w:val="23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cloud computing software implementation costs</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items: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7"/>
        </w:trPr>
        <w:tc>
          <w:tcPr>
            <w:tcW w:w="5660" w:type="dxa"/>
            <w:vAlign w:val="bottom"/>
          </w:tcPr>
          <w:p>
            <w:pPr>
              <w:ind w:left="240"/>
              <w:spacing w:after="0"/>
              <w:rPr>
                <w:sz w:val="20"/>
                <w:szCs w:val="20"/>
                <w:color w:val="auto"/>
              </w:rPr>
            </w:pPr>
            <w:r>
              <w:rPr>
                <w:rFonts w:ascii="Arial" w:cs="Arial" w:eastAsia="Arial" w:hAnsi="Arial"/>
                <w:sz w:val="18"/>
                <w:szCs w:val="18"/>
                <w:color w:val="auto"/>
              </w:rPr>
              <w:t>Gain on disposition of hotel, land, and other</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6"/>
        </w:trPr>
        <w:tc>
          <w:tcPr>
            <w:tcW w:w="5660" w:type="dxa"/>
            <w:vAlign w:val="bottom"/>
          </w:tcPr>
          <w:p>
            <w:pPr>
              <w:ind w:left="240"/>
              <w:spacing w:after="0"/>
              <w:rPr>
                <w:sz w:val="20"/>
                <w:szCs w:val="20"/>
                <w:color w:val="auto"/>
              </w:rPr>
            </w:pPr>
            <w:r>
              <w:rPr>
                <w:rFonts w:ascii="Arial" w:cs="Arial" w:eastAsia="Arial" w:hAnsi="Arial"/>
                <w:sz w:val="18"/>
                <w:szCs w:val="18"/>
                <w:color w:val="auto"/>
              </w:rPr>
              <w:t>Insurance proceeds</w:t>
            </w:r>
          </w:p>
        </w:tc>
        <w:tc>
          <w:tcPr>
            <w:tcW w:w="1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indemnification asset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660" w:type="dxa"/>
            <w:vAlign w:val="bottom"/>
          </w:tcPr>
          <w:p>
            <w:pPr>
              <w:ind w:left="240"/>
              <w:spacing w:after="0"/>
              <w:rPr>
                <w:sz w:val="20"/>
                <w:szCs w:val="20"/>
                <w:color w:val="auto"/>
              </w:rPr>
            </w:pPr>
            <w:r>
              <w:rPr>
                <w:rFonts w:ascii="Arial" w:cs="Arial" w:eastAsia="Arial" w:hAnsi="Arial"/>
                <w:sz w:val="18"/>
                <w:szCs w:val="18"/>
                <w:color w:val="auto"/>
              </w:rPr>
              <w:t>Change in estimates relating to pre-acquisition contingencies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5660" w:type="dxa"/>
            <w:vAlign w:val="bottom"/>
          </w:tcPr>
          <w:p>
            <w:pPr>
              <w:ind w:left="140"/>
              <w:spacing w:after="0"/>
              <w:rPr>
                <w:sz w:val="20"/>
                <w:szCs w:val="20"/>
                <w:color w:val="auto"/>
              </w:rPr>
            </w:pPr>
            <w:r>
              <w:rPr>
                <w:rFonts w:ascii="Arial" w:cs="Arial" w:eastAsia="Arial" w:hAnsi="Arial"/>
                <w:sz w:val="18"/>
                <w:szCs w:val="18"/>
                <w:color w:val="auto"/>
              </w:rPr>
              <w:t>Gains and other income,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charges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5660" w:type="dxa"/>
            <w:vAlign w:val="bottom"/>
          </w:tcPr>
          <w:p>
            <w:pPr>
              <w:ind w:left="120"/>
              <w:spacing w:after="0" w:line="256" w:lineRule="exact"/>
              <w:rPr>
                <w:sz w:val="20"/>
                <w:szCs w:val="20"/>
                <w:color w:val="auto"/>
              </w:rPr>
            </w:pPr>
            <w:r>
              <w:rPr>
                <w:rFonts w:ascii="Arial" w:cs="Arial" w:eastAsia="Arial" w:hAnsi="Arial"/>
                <w:sz w:val="18"/>
                <w:szCs w:val="18"/>
                <w:color w:val="auto"/>
              </w:rPr>
              <w:t>Modernization</w:t>
            </w:r>
            <w:r>
              <w:rPr>
                <w:rFonts w:ascii="Arial" w:cs="Arial" w:eastAsia="Arial" w:hAnsi="Arial"/>
                <w:sz w:val="23"/>
                <w:szCs w:val="23"/>
                <w:color w:val="auto"/>
                <w:vertAlign w:val="superscript"/>
              </w:rPr>
              <w:t>†</w:t>
            </w:r>
          </w:p>
        </w:tc>
        <w:tc>
          <w:tcPr>
            <w:tcW w:w="1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56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5660" w:type="dxa"/>
            <w:vAlign w:val="bottom"/>
          </w:tcPr>
          <w:p>
            <w:pPr>
              <w:ind w:left="120"/>
              <w:spacing w:after="0" w:line="256" w:lineRule="exact"/>
              <w:rPr>
                <w:sz w:val="20"/>
                <w:szCs w:val="20"/>
                <w:color w:val="auto"/>
              </w:rPr>
            </w:pPr>
            <w:r>
              <w:rPr>
                <w:rFonts w:ascii="Arial" w:cs="Arial" w:eastAsia="Arial" w:hAnsi="Arial"/>
                <w:sz w:val="18"/>
                <w:szCs w:val="18"/>
                <w:color w:val="auto"/>
              </w:rPr>
              <w:t>Impairment</w:t>
            </w:r>
            <w:r>
              <w:rPr>
                <w:rFonts w:ascii="Arial" w:cs="Arial" w:eastAsia="Arial" w:hAnsi="Arial"/>
                <w:sz w:val="23"/>
                <w:szCs w:val="23"/>
                <w:color w:val="auto"/>
                <w:vertAlign w:val="superscript"/>
              </w:rPr>
              <w:t>†</w:t>
            </w:r>
          </w:p>
        </w:tc>
        <w:tc>
          <w:tcPr>
            <w:tcW w:w="1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23.2%</w:t>
            </w:r>
          </w:p>
        </w:tc>
      </w:tr>
    </w:tbl>
    <w:p>
      <w:pPr>
        <w:spacing w:after="0" w:line="265" w:lineRule="exact"/>
        <w:rPr>
          <w:sz w:val="20"/>
          <w:szCs w:val="20"/>
          <w:color w:val="auto"/>
        </w:rPr>
      </w:pPr>
    </w:p>
    <w:p>
      <w:pPr>
        <w:ind w:left="140" w:right="279" w:firstLine="8"/>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Denotes non-GAAP financial measures. Please see “Non-GAAP Financial Measures” for additional information about our reasons for providing these alternative financial measures and limitations on their use.</w:t>
      </w:r>
    </w:p>
    <w:p>
      <w:pPr>
        <w:spacing w:after="0" w:line="221" w:lineRule="exact"/>
        <w:rPr>
          <w:sz w:val="20"/>
          <w:szCs w:val="20"/>
          <w:color w:val="auto"/>
        </w:rPr>
      </w:pPr>
    </w:p>
    <w:p>
      <w:pPr>
        <w:ind w:left="140" w:right="279" w:firstLine="8"/>
        <w:spacing w:after="0" w:line="210" w:lineRule="auto"/>
        <w:tabs>
          <w:tab w:leader="none" w:pos="25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Prior year amounts have been reclassified to conform with our current year presentation. Please see “Non-GAAP Financial Measures” for additional information.</w:t>
      </w:r>
    </w:p>
    <w:p>
      <w:pPr>
        <w:sectPr>
          <w:pgSz w:w="11900" w:h="16838" w:orient="portrait"/>
          <w:cols w:equalWidth="0" w:num="1">
            <w:col w:w="9019"/>
          </w:cols>
          <w:pgMar w:left="1440" w:top="122"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VACATION OWNERSHIP SEGMENT ADJUSTED EBITDA</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37"/>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2"/>
        </w:trPr>
        <w:tc>
          <w:tcPr>
            <w:tcW w:w="5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2"/>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cloud computing software implementation costs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items: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660" w:type="dxa"/>
            <w:vAlign w:val="bottom"/>
          </w:tcPr>
          <w:p>
            <w:pPr>
              <w:ind w:left="240"/>
              <w:spacing w:after="0"/>
              <w:rPr>
                <w:sz w:val="20"/>
                <w:szCs w:val="20"/>
                <w:color w:val="auto"/>
              </w:rPr>
            </w:pPr>
            <w:r>
              <w:rPr>
                <w:rFonts w:ascii="Arial" w:cs="Arial" w:eastAsia="Arial" w:hAnsi="Arial"/>
                <w:sz w:val="18"/>
                <w:szCs w:val="18"/>
                <w:color w:val="auto"/>
              </w:rPr>
              <w:t>Gain on disposition of hotel, land, and other</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 proceeds</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estimates relating to pre-acquisition contingencies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1"/>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and other income, net</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Litigation charges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2"/>
              <w:spacing w:after="0"/>
              <w:rPr>
                <w:sz w:val="20"/>
                <w:szCs w:val="20"/>
                <w:color w:val="auto"/>
              </w:rPr>
            </w:pPr>
            <w:r>
              <w:rPr>
                <w:rFonts w:ascii="Arial" w:cs="Arial" w:eastAsia="Arial" w:hAnsi="Arial"/>
                <w:sz w:val="18"/>
                <w:szCs w:val="18"/>
                <w:color w:val="auto"/>
                <w:w w:val="97"/>
              </w:rPr>
              <w:t>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529"/>
        </w:trPr>
        <w:tc>
          <w:tcPr>
            <w:tcW w:w="8760" w:type="dxa"/>
            <w:vAlign w:val="bottom"/>
            <w:gridSpan w:val="6"/>
          </w:tcPr>
          <w:p>
            <w:pPr>
              <w:ind w:left="1140"/>
              <w:spacing w:after="0"/>
              <w:rPr>
                <w:sz w:val="20"/>
                <w:szCs w:val="20"/>
                <w:color w:val="auto"/>
              </w:rPr>
            </w:pPr>
            <w:r>
              <w:rPr>
                <w:rFonts w:ascii="Arial" w:cs="Arial" w:eastAsia="Arial" w:hAnsi="Arial"/>
                <w:sz w:val="18"/>
                <w:szCs w:val="18"/>
                <w:b w:val="1"/>
                <w:bCs w:val="1"/>
                <w:color w:val="auto"/>
              </w:rPr>
              <w:t>EXCHANGE &amp; THIRD-PARTY MANAGEMENT SEGMENT ADJUSTED EBITDA</w:t>
            </w:r>
          </w:p>
        </w:tc>
        <w:tc>
          <w:tcPr>
            <w:tcW w:w="0" w:type="dxa"/>
            <w:vAlign w:val="bottom"/>
          </w:tcPr>
          <w:p>
            <w:pPr>
              <w:spacing w:after="0"/>
              <w:rPr>
                <w:sz w:val="1"/>
                <w:szCs w:val="1"/>
                <w:color w:val="auto"/>
              </w:rPr>
            </w:pPr>
          </w:p>
        </w:tc>
      </w:tr>
      <w:tr>
        <w:trPr>
          <w:trHeight w:val="285"/>
        </w:trPr>
        <w:tc>
          <w:tcPr>
            <w:tcW w:w="5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3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2"/>
        </w:trPr>
        <w:tc>
          <w:tcPr>
            <w:tcW w:w="5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2"/>
        </w:trPr>
        <w:tc>
          <w:tcPr>
            <w:tcW w:w="566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120"/>
              <w:spacing w:after="0" w:line="262" w:lineRule="exact"/>
              <w:rPr>
                <w:sz w:val="20"/>
                <w:szCs w:val="20"/>
                <w:color w:val="auto"/>
              </w:rPr>
            </w:pPr>
            <w:r>
              <w:rPr>
                <w:rFonts w:ascii="Arial" w:cs="Arial" w:eastAsia="Arial" w:hAnsi="Arial"/>
                <w:sz w:val="18"/>
                <w:szCs w:val="18"/>
                <w:color w:val="auto"/>
              </w:rPr>
              <w:t>Impairment</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2"/>
              <w:spacing w:after="0"/>
              <w:rPr>
                <w:sz w:val="20"/>
                <w:szCs w:val="20"/>
                <w:color w:val="auto"/>
              </w:rPr>
            </w:pPr>
            <w:r>
              <w:rPr>
                <w:rFonts w:ascii="Arial" w:cs="Arial" w:eastAsia="Arial" w:hAnsi="Arial"/>
                <w:sz w:val="18"/>
                <w:szCs w:val="18"/>
                <w:color w:val="auto"/>
                <w:w w:val="97"/>
              </w:rPr>
              <w:t>44.9%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40" w:right="279" w:firstLine="8"/>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non-GAAP financial measures. Please see “Non-GAAP Financial Measures” for additional information about our reasons for providing these alternative financial measures and limitations on their use.</w:t>
      </w:r>
    </w:p>
    <w:p>
      <w:pPr>
        <w:spacing w:after="0" w:line="153" w:lineRule="exact"/>
        <w:rPr>
          <w:sz w:val="20"/>
          <w:szCs w:val="20"/>
          <w:color w:val="auto"/>
        </w:rPr>
      </w:pPr>
    </w:p>
    <w:p>
      <w:pPr>
        <w:ind w:left="140" w:right="279" w:firstLine="8"/>
        <w:spacing w:after="0" w:line="210" w:lineRule="auto"/>
        <w:tabs>
          <w:tab w:leader="none" w:pos="255"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Prior year amounts have been reclassified to conform with our current year presentation. Please see “Non-GAAP Financial Measures” for additional information.</w:t>
      </w:r>
    </w:p>
    <w:p>
      <w:pPr>
        <w:sectPr>
          <w:pgSz w:w="11900" w:h="16838" w:orient="portrait"/>
          <w:cols w:equalWidth="0" w:num="1">
            <w:col w:w="9019"/>
          </w:cols>
          <w:pgMar w:left="1440" w:top="122"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 SALES TO DEVELOPMENT PROFIT</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6"/>
                <w:szCs w:val="16"/>
                <w:b w:val="1"/>
                <w:bCs w:val="1"/>
                <w:color w:val="auto"/>
              </w:rPr>
              <w:t>March 31, 2025</w:t>
            </w:r>
          </w:p>
        </w:tc>
      </w:tr>
      <w:tr>
        <w:trPr>
          <w:trHeight w:val="23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r>
      <w:tr>
        <w:trPr>
          <w:trHeight w:val="257"/>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resales contract sales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sales, net of resales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r>
    </w:tbl>
    <w:p>
      <w:pPr>
        <w:spacing w:after="0" w:line="22" w:lineRule="exact"/>
        <w:rPr>
          <w:sz w:val="20"/>
          <w:szCs w:val="20"/>
          <w:color w:val="auto"/>
        </w:rPr>
      </w:pPr>
    </w:p>
    <w:p>
      <w:pPr>
        <w:sectPr>
          <w:pgSz w:w="11900" w:h="16838" w:orient="portrait"/>
          <w:cols w:equalWidth="0" w:num="1">
            <w:col w:w="9019"/>
          </w:cols>
          <w:pgMar w:left="1440" w:top="122" w:right="1440" w:bottom="1440" w:gutter="0" w:footer="0" w:header="0"/>
        </w:sectPr>
      </w:pPr>
    </w:p>
    <w:p>
      <w:pPr>
        <w:ind w:left="140"/>
        <w:spacing w:after="0"/>
        <w:rPr>
          <w:sz w:val="20"/>
          <w:szCs w:val="20"/>
          <w:color w:val="auto"/>
        </w:rPr>
      </w:pPr>
      <w:r>
        <w:rPr>
          <w:rFonts w:ascii="Arial" w:cs="Arial" w:eastAsia="Arial" w:hAnsi="Arial"/>
          <w:sz w:val="18"/>
          <w:szCs w:val="18"/>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wp:posOffset>
            </wp:positionV>
            <wp:extent cx="55549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16256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Settlement revenue</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Resales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wp:posOffset>
            </wp:positionV>
            <wp:extent cx="55549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Revenue recognition adjustments: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wp:posOffset>
            </wp:positionV>
            <wp:extent cx="55549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reserve</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-7620</wp:posOffset>
            </wp:positionV>
            <wp:extent cx="55549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Sale of vacation ownership products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Less: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Cost of vacation ownership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-120015</wp:posOffset>
            </wp:positionV>
            <wp:extent cx="55549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Marketing and sales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Development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-127635</wp:posOffset>
            </wp:positionV>
            <wp:extent cx="55549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4980" cy="171450"/>
                    </a:xfrm>
                    <a:prstGeom prst="rect">
                      <a:avLst/>
                    </a:prstGeom>
                    <a:noFill/>
                  </pic:spPr>
                </pic:pic>
              </a:graphicData>
            </a:graphic>
          </wp:anchor>
        </w:drawing>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Development Profit Margin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239"/>
        </w:trPr>
        <w:tc>
          <w:tcPr>
            <w:tcW w:w="980" w:type="dxa"/>
            <w:vAlign w:val="bottom"/>
          </w:tcPr>
          <w:p>
            <w:pPr>
              <w:jc w:val="right"/>
              <w:ind w:right="690"/>
              <w:spacing w:after="0"/>
              <w:rPr>
                <w:sz w:val="20"/>
                <w:szCs w:val="20"/>
                <w:color w:val="auto"/>
              </w:rPr>
            </w:pPr>
            <w:r>
              <w:rPr>
                <w:rFonts w:ascii="Arial" w:cs="Arial" w:eastAsia="Arial" w:hAnsi="Arial"/>
                <w:sz w:val="18"/>
                <w:szCs w:val="18"/>
                <w:color w:val="auto"/>
                <w:w w:val="89"/>
              </w:rPr>
              <w:t>10</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6"/>
        </w:trPr>
        <w:tc>
          <w:tcPr>
            <w:tcW w:w="980" w:type="dxa"/>
            <w:vAlign w:val="bottom"/>
          </w:tcPr>
          <w:p>
            <w:pPr>
              <w:jc w:val="right"/>
              <w:ind w:right="69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513"/>
        </w:trPr>
        <w:tc>
          <w:tcPr>
            <w:tcW w:w="98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8" w:lineRule="exact"/>
        <w:rPr>
          <w:sz w:val="20"/>
          <w:szCs w:val="20"/>
          <w:color w:val="auto"/>
        </w:rPr>
      </w:pPr>
    </w:p>
    <w:p>
      <w:pPr>
        <w:ind w:left="2720" w:hanging="1609"/>
        <w:spacing w:after="0"/>
        <w:tabs>
          <w:tab w:leader="none" w:pos="2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(50)</w:t>
      </w:r>
    </w:p>
    <w:p>
      <w:pPr>
        <w:spacing w:after="0" w:line="61" w:lineRule="exact"/>
        <w:rPr>
          <w:sz w:val="20"/>
          <w:szCs w:val="20"/>
          <w:color w:val="auto"/>
        </w:rPr>
      </w:pPr>
    </w:p>
    <w:p>
      <w:pPr>
        <w:ind w:left="2720" w:hanging="1609"/>
        <w:spacing w:after="0"/>
        <w:tabs>
          <w:tab w:leader="none" w:pos="2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(24)</w:t>
      </w:r>
    </w:p>
    <w:p>
      <w:pPr>
        <w:spacing w:after="0" w:line="61" w:lineRule="exact"/>
        <w:rPr>
          <w:sz w:val="20"/>
          <w:szCs w:val="20"/>
          <w:color w:val="auto"/>
        </w:rPr>
      </w:pPr>
    </w:p>
    <w:p>
      <w:pPr>
        <w:ind w:left="2680" w:hanging="1599"/>
        <w:spacing w:after="0"/>
        <w:tabs>
          <w:tab w:leader="none" w:pos="2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355</w:t>
      </w:r>
    </w:p>
    <w:p>
      <w:pPr>
        <w:spacing w:after="0" w:line="306" w:lineRule="exact"/>
        <w:rPr>
          <w:rFonts w:ascii="Arial" w:cs="Arial" w:eastAsia="Arial" w:hAnsi="Arial"/>
          <w:sz w:val="18"/>
          <w:szCs w:val="18"/>
          <w:color w:val="auto"/>
        </w:rPr>
      </w:pPr>
    </w:p>
    <w:p>
      <w:pPr>
        <w:ind w:left="2720" w:hanging="1609"/>
        <w:spacing w:after="0"/>
        <w:tabs>
          <w:tab w:leader="none" w:pos="27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(42)</w:t>
      </w:r>
    </w:p>
    <w:p>
      <w:pPr>
        <w:spacing w:after="0" w:line="61" w:lineRule="exact"/>
        <w:rPr>
          <w:sz w:val="20"/>
          <w:szCs w:val="20"/>
          <w:color w:val="auto"/>
        </w:rPr>
      </w:pPr>
    </w:p>
    <w:p>
      <w:pPr>
        <w:ind w:left="2620" w:hanging="1609"/>
        <w:spacing w:after="0"/>
        <w:tabs>
          <w:tab w:leader="none" w:pos="2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(234)</w:t>
      </w:r>
    </w:p>
    <w:p>
      <w:pPr>
        <w:spacing w:after="0" w:line="48" w:lineRule="exact"/>
        <w:rPr>
          <w:sz w:val="20"/>
          <w:szCs w:val="20"/>
          <w:color w:val="auto"/>
        </w:rPr>
      </w:pPr>
    </w:p>
    <w:p>
      <w:pPr>
        <w:spacing w:after="0"/>
        <w:tabs>
          <w:tab w:leader="none" w:pos="1160" w:val="left"/>
          <w:tab w:leader="none" w:pos="1600" w:val="left"/>
          <w:tab w:leader="none" w:pos="2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w:t>
        <w:tab/>
        <w:t>$</w:t>
      </w:r>
      <w:r>
        <w:rPr>
          <w:sz w:val="20"/>
          <w:szCs w:val="20"/>
          <w:color w:val="auto"/>
        </w:rPr>
        <w:tab/>
      </w: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963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3420" cy="8890"/>
                    </a:xfrm>
                    <a:prstGeom prst="rect">
                      <a:avLst/>
                    </a:prstGeom>
                    <a:noFill/>
                  </pic:spPr>
                </pic:pic>
              </a:graphicData>
            </a:graphic>
          </wp:anchor>
        </w:drawing>
      </w:r>
    </w:p>
    <w:p>
      <w:pPr>
        <w:spacing w:after="0" w:line="59" w:lineRule="exact"/>
        <w:rPr>
          <w:sz w:val="20"/>
          <w:szCs w:val="20"/>
          <w:color w:val="auto"/>
        </w:rPr>
      </w:pPr>
    </w:p>
    <w:p>
      <w:pPr>
        <w:ind w:left="480"/>
        <w:spacing w:after="0"/>
        <w:tabs>
          <w:tab w:leader="none" w:pos="2060" w:val="left"/>
        </w:tabs>
        <w:rPr>
          <w:sz w:val="20"/>
          <w:szCs w:val="20"/>
          <w:color w:val="auto"/>
        </w:rPr>
      </w:pPr>
      <w:r>
        <w:rPr>
          <w:rFonts w:ascii="Arial" w:cs="Arial" w:eastAsia="Arial" w:hAnsi="Arial"/>
          <w:sz w:val="18"/>
          <w:szCs w:val="18"/>
          <w:i w:val="1"/>
          <w:iCs w:val="1"/>
          <w:color w:val="auto"/>
        </w:rPr>
        <w:t>16.1%</w:t>
      </w:r>
      <w:r>
        <w:rPr>
          <w:sz w:val="20"/>
          <w:szCs w:val="20"/>
          <w:color w:val="auto"/>
        </w:rPr>
        <w:tab/>
      </w:r>
      <w:r>
        <w:rPr>
          <w:rFonts w:ascii="Arial" w:cs="Arial" w:eastAsia="Arial" w:hAnsi="Arial"/>
          <w:sz w:val="18"/>
          <w:szCs w:val="18"/>
          <w:i w:val="1"/>
          <w:iCs w:val="1"/>
          <w:color w:val="auto"/>
        </w:rPr>
        <w:t>22.2%</w:t>
      </w:r>
    </w:p>
    <w:p>
      <w:pPr>
        <w:spacing w:after="0" w:line="200" w:lineRule="exact"/>
        <w:rPr>
          <w:sz w:val="20"/>
          <w:szCs w:val="20"/>
          <w:color w:val="auto"/>
        </w:rPr>
      </w:pPr>
    </w:p>
    <w:p>
      <w:pPr>
        <w:sectPr>
          <w:pgSz w:w="11900" w:h="16838" w:orient="portrait"/>
          <w:cols w:equalWidth="0" w:num="2">
            <w:col w:w="5080" w:space="720"/>
            <w:col w:w="3219"/>
          </w:cols>
          <w:pgMar w:left="1440" w:top="122" w:right="1440" w:bottom="1440" w:gutter="0" w:footer="0" w:header="0"/>
          <w:type w:val="continuous"/>
        </w:sectPr>
      </w:pPr>
    </w:p>
    <w:p>
      <w:pPr>
        <w:spacing w:after="0" w:line="101" w:lineRule="exact"/>
        <w:rPr>
          <w:sz w:val="20"/>
          <w:szCs w:val="20"/>
          <w:color w:val="auto"/>
        </w:rPr>
      </w:pPr>
    </w:p>
    <w:p>
      <w:pPr>
        <w:ind w:left="140" w:right="299" w:firstLine="8"/>
        <w:spacing w:after="0" w:line="225" w:lineRule="auto"/>
        <w:tabs>
          <w:tab w:leader="none" w:pos="323"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Adjustment for sales incentives that will not be recognized as Sale of vacation ownership products revenue and other adjustments to Sale of vacation ownership products revenue.</w:t>
      </w:r>
    </w:p>
    <w:p>
      <w:pPr>
        <w:sectPr>
          <w:pgSz w:w="11900" w:h="16838" w:orient="portrait"/>
          <w:cols w:equalWidth="0" w:num="1">
            <w:col w:w="9019"/>
          </w:cols>
          <w:pgMar w:left="1440" w:top="122"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A-7</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and 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2025</w:t>
            </w: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DEVELOPMENT PROFIT</w:t>
            </w: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340"/>
              <w:spacing w:after="0"/>
              <w:rPr>
                <w:sz w:val="20"/>
                <w:szCs w:val="20"/>
                <w:color w:val="auto"/>
              </w:rPr>
            </w:pPr>
            <w:r>
              <w:rPr>
                <w:rFonts w:ascii="Arial" w:cs="Arial" w:eastAsia="Arial" w:hAnsi="Arial"/>
                <w:sz w:val="16"/>
                <w:szCs w:val="16"/>
                <w:color w:val="auto"/>
              </w:rPr>
              <w:t>Sale of vacation ownership products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vacation ownership products expense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Marketing and sales expense</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Development Profit</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(30%)</w:t>
            </w:r>
          </w:p>
        </w:tc>
        <w:tc>
          <w:tcPr>
            <w:tcW w:w="0" w:type="dxa"/>
            <w:vAlign w:val="bottom"/>
          </w:tcPr>
          <w:p>
            <w:pPr>
              <w:spacing w:after="0"/>
              <w:rPr>
                <w:sz w:val="1"/>
                <w:szCs w:val="1"/>
                <w:color w:val="auto"/>
              </w:rPr>
            </w:pPr>
          </w:p>
        </w:tc>
      </w:tr>
      <w:tr>
        <w:trPr>
          <w:trHeight w:val="207"/>
        </w:trPr>
        <w:tc>
          <w:tcPr>
            <w:tcW w:w="4000" w:type="dxa"/>
            <w:vAlign w:val="bottom"/>
          </w:tcPr>
          <w:p>
            <w:pPr>
              <w:ind w:left="660"/>
              <w:spacing w:after="0"/>
              <w:rPr>
                <w:sz w:val="20"/>
                <w:szCs w:val="20"/>
                <w:color w:val="auto"/>
              </w:rPr>
            </w:pPr>
            <w:r>
              <w:rPr>
                <w:rFonts w:ascii="Arial" w:cs="Arial" w:eastAsia="Arial" w:hAnsi="Arial"/>
                <w:sz w:val="16"/>
                <w:szCs w:val="16"/>
                <w:i w:val="1"/>
                <w:iCs w:val="1"/>
                <w:color w:val="auto"/>
              </w:rPr>
              <w:t>Development Profit Margin</w:t>
            </w:r>
          </w:p>
        </w:tc>
        <w:tc>
          <w:tcPr>
            <w:tcW w:w="200" w:type="dxa"/>
            <w:vAlign w:val="bottom"/>
          </w:tcPr>
          <w:p>
            <w:pPr>
              <w:spacing w:after="0"/>
              <w:rPr>
                <w:sz w:val="18"/>
                <w:szCs w:val="18"/>
                <w:color w:val="auto"/>
              </w:rPr>
            </w:pPr>
          </w:p>
        </w:tc>
        <w:tc>
          <w:tcPr>
            <w:tcW w:w="1520" w:type="dxa"/>
            <w:vAlign w:val="bottom"/>
          </w:tcPr>
          <w:p>
            <w:pPr>
              <w:jc w:val="right"/>
              <w:ind w:right="539"/>
              <w:spacing w:after="0"/>
              <w:rPr>
                <w:sz w:val="20"/>
                <w:szCs w:val="20"/>
                <w:color w:val="auto"/>
              </w:rPr>
            </w:pPr>
            <w:r>
              <w:rPr>
                <w:rFonts w:ascii="Arial" w:cs="Arial" w:eastAsia="Arial" w:hAnsi="Arial"/>
                <w:sz w:val="16"/>
                <w:szCs w:val="16"/>
                <w:i w:val="1"/>
                <w:iCs w:val="1"/>
                <w:color w:val="auto"/>
              </w:rPr>
              <w:t>16.1%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i w:val="1"/>
                <w:iCs w:val="1"/>
                <w:color w:val="auto"/>
              </w:rPr>
              <w:t>22.2%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i w:val="1"/>
                <w:iCs w:val="1"/>
                <w:color w:val="auto"/>
              </w:rPr>
              <w:t>(610 bps)</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MANAGEMENT AND EXCHANGE PROFIT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40"/>
              <w:spacing w:after="0"/>
              <w:rPr>
                <w:sz w:val="20"/>
                <w:szCs w:val="20"/>
                <w:color w:val="auto"/>
              </w:rPr>
            </w:pPr>
            <w:r>
              <w:rPr>
                <w:rFonts w:ascii="Arial" w:cs="Arial" w:eastAsia="Arial" w:hAnsi="Arial"/>
                <w:sz w:val="16"/>
                <w:szCs w:val="16"/>
                <w:color w:val="auto"/>
              </w:rPr>
              <w:t>Vacation Ownership Segment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Exchange &amp; Third-Party Management Segment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Corporate and 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Management and Exchange Revenue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4000" w:type="dxa"/>
            <w:vAlign w:val="bottom"/>
          </w:tcPr>
          <w:p>
            <w:pPr>
              <w:ind w:left="240"/>
              <w:spacing w:after="0"/>
              <w:rPr>
                <w:sz w:val="20"/>
                <w:szCs w:val="20"/>
                <w:color w:val="auto"/>
              </w:rPr>
            </w:pPr>
            <w:r>
              <w:rPr>
                <w:rFonts w:ascii="Arial" w:cs="Arial" w:eastAsia="Arial" w:hAnsi="Arial"/>
                <w:sz w:val="16"/>
                <w:szCs w:val="16"/>
                <w:color w:val="auto"/>
              </w:rPr>
              <w:t>Vacation Ownership Segment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Exchange &amp; Third-Party Management Segment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Corporate and 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Management and Exchange Expense</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Management and Exchange Profit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660"/>
              <w:spacing w:after="0"/>
              <w:rPr>
                <w:sz w:val="20"/>
                <w:szCs w:val="20"/>
                <w:color w:val="auto"/>
              </w:rPr>
            </w:pPr>
            <w:r>
              <w:rPr>
                <w:rFonts w:ascii="Arial" w:cs="Arial" w:eastAsia="Arial" w:hAnsi="Arial"/>
                <w:sz w:val="16"/>
                <w:szCs w:val="16"/>
                <w:i w:val="1"/>
                <w:iCs w:val="1"/>
                <w:color w:val="auto"/>
              </w:rPr>
              <w:t>Management and Exchange Profit Margin</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9"/>
              <w:spacing w:after="0"/>
              <w:rPr>
                <w:sz w:val="20"/>
                <w:szCs w:val="20"/>
                <w:color w:val="auto"/>
              </w:rPr>
            </w:pPr>
            <w:r>
              <w:rPr>
                <w:rFonts w:ascii="Arial" w:cs="Arial" w:eastAsia="Arial" w:hAnsi="Arial"/>
                <w:sz w:val="16"/>
                <w:szCs w:val="16"/>
                <w:i w:val="1"/>
                <w:iCs w:val="1"/>
                <w:color w:val="auto"/>
              </w:rPr>
              <w:t>44.6%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99"/>
              <w:spacing w:after="0"/>
              <w:rPr>
                <w:sz w:val="20"/>
                <w:szCs w:val="20"/>
                <w:color w:val="auto"/>
              </w:rPr>
            </w:pPr>
            <w:r>
              <w:rPr>
                <w:rFonts w:ascii="Arial" w:cs="Arial" w:eastAsia="Arial" w:hAnsi="Arial"/>
                <w:sz w:val="16"/>
                <w:szCs w:val="16"/>
                <w:i w:val="1"/>
                <w:iCs w:val="1"/>
                <w:color w:val="auto"/>
              </w:rPr>
              <w:t>45.7%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97"/>
              </w:rPr>
              <w:t>(110 bps)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RENTAL PROFIT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40"/>
              <w:spacing w:after="0"/>
              <w:rPr>
                <w:sz w:val="20"/>
                <w:szCs w:val="20"/>
                <w:color w:val="auto"/>
              </w:rPr>
            </w:pPr>
            <w:r>
              <w:rPr>
                <w:rFonts w:ascii="Arial" w:cs="Arial" w:eastAsia="Arial" w:hAnsi="Arial"/>
                <w:sz w:val="16"/>
                <w:szCs w:val="16"/>
                <w:color w:val="auto"/>
              </w:rPr>
              <w:t>Vacation Ownership Segment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Exchange &amp; Third-Party Management Segment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0" w:type="dxa"/>
            <w:vAlign w:val="bottom"/>
          </w:tcPr>
          <w:p>
            <w:pPr>
              <w:spacing w:after="0"/>
              <w:rPr>
                <w:sz w:val="1"/>
                <w:szCs w:val="1"/>
                <w:color w:val="auto"/>
              </w:rPr>
            </w:pPr>
          </w:p>
        </w:tc>
      </w:tr>
      <w:tr>
        <w:trPr>
          <w:trHeight w:val="216"/>
        </w:trPr>
        <w:tc>
          <w:tcPr>
            <w:tcW w:w="4000" w:type="dxa"/>
            <w:vAlign w:val="bottom"/>
          </w:tcPr>
          <w:p>
            <w:pPr>
              <w:ind w:left="240"/>
              <w:spacing w:after="0" w:line="216" w:lineRule="exact"/>
              <w:rPr>
                <w:sz w:val="20"/>
                <w:szCs w:val="20"/>
                <w:color w:val="auto"/>
              </w:rPr>
            </w:pPr>
            <w:r>
              <w:rPr>
                <w:rFonts w:ascii="Arial" w:cs="Arial" w:eastAsia="Arial" w:hAnsi="Arial"/>
                <w:sz w:val="16"/>
                <w:szCs w:val="16"/>
                <w:color w:val="auto"/>
              </w:rPr>
              <w:t>Corporate and Other</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Rental Revenue</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15"/>
        </w:trPr>
        <w:tc>
          <w:tcPr>
            <w:tcW w:w="4000" w:type="dxa"/>
            <w:vAlign w:val="bottom"/>
          </w:tcPr>
          <w:p>
            <w:pPr>
              <w:ind w:left="240"/>
              <w:spacing w:after="0"/>
              <w:rPr>
                <w:sz w:val="20"/>
                <w:szCs w:val="20"/>
                <w:color w:val="auto"/>
              </w:rPr>
            </w:pPr>
            <w:r>
              <w:rPr>
                <w:rFonts w:ascii="Arial" w:cs="Arial" w:eastAsia="Arial" w:hAnsi="Arial"/>
                <w:sz w:val="16"/>
                <w:szCs w:val="16"/>
                <w:color w:val="auto"/>
              </w:rPr>
              <w:t>Vacation Ownership Segment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Exchange &amp; Third-Party Management Segment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Corporate and 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Rental Expense</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Rental Profit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660"/>
              <w:spacing w:after="0"/>
              <w:rPr>
                <w:sz w:val="20"/>
                <w:szCs w:val="20"/>
                <w:color w:val="auto"/>
              </w:rPr>
            </w:pPr>
            <w:r>
              <w:rPr>
                <w:rFonts w:ascii="Arial" w:cs="Arial" w:eastAsia="Arial" w:hAnsi="Arial"/>
                <w:sz w:val="16"/>
                <w:szCs w:val="16"/>
                <w:i w:val="1"/>
                <w:iCs w:val="1"/>
                <w:color w:val="auto"/>
              </w:rPr>
              <w:t>Rental Profit Margin</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9"/>
              <w:spacing w:after="0"/>
              <w:rPr>
                <w:sz w:val="20"/>
                <w:szCs w:val="20"/>
                <w:color w:val="auto"/>
              </w:rPr>
            </w:pPr>
            <w:r>
              <w:rPr>
                <w:rFonts w:ascii="Arial" w:cs="Arial" w:eastAsia="Arial" w:hAnsi="Arial"/>
                <w:sz w:val="16"/>
                <w:szCs w:val="16"/>
                <w:i w:val="1"/>
                <w:iCs w:val="1"/>
                <w:color w:val="auto"/>
              </w:rPr>
              <w:t>20.1%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99"/>
              <w:spacing w:after="0"/>
              <w:rPr>
                <w:sz w:val="20"/>
                <w:szCs w:val="20"/>
                <w:color w:val="auto"/>
              </w:rPr>
            </w:pPr>
            <w:r>
              <w:rPr>
                <w:rFonts w:ascii="Arial" w:cs="Arial" w:eastAsia="Arial" w:hAnsi="Arial"/>
                <w:sz w:val="16"/>
                <w:szCs w:val="16"/>
                <w:i w:val="1"/>
                <w:iCs w:val="1"/>
                <w:color w:val="auto"/>
              </w:rPr>
              <w:t>27.0%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rPr>
              <w:t>(690 bps)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PROFIT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340"/>
              <w:spacing w:after="0"/>
              <w:rPr>
                <w:sz w:val="20"/>
                <w:szCs w:val="20"/>
                <w:color w:val="auto"/>
              </w:rPr>
            </w:pPr>
            <w:r>
              <w:rPr>
                <w:rFonts w:ascii="Arial" w:cs="Arial" w:eastAsia="Arial" w:hAnsi="Arial"/>
                <w:sz w:val="16"/>
                <w:szCs w:val="16"/>
                <w:color w:val="auto"/>
              </w:rPr>
              <w:t>Financing Revenue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Financing Expense</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Financing Profit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660"/>
              <w:spacing w:after="0"/>
              <w:rPr>
                <w:sz w:val="20"/>
                <w:szCs w:val="20"/>
                <w:color w:val="auto"/>
              </w:rPr>
            </w:pPr>
            <w:r>
              <w:rPr>
                <w:rFonts w:ascii="Arial" w:cs="Arial" w:eastAsia="Arial" w:hAnsi="Arial"/>
                <w:sz w:val="16"/>
                <w:szCs w:val="16"/>
                <w:i w:val="1"/>
                <w:iCs w:val="1"/>
                <w:color w:val="auto"/>
              </w:rPr>
              <w:t>Financing Profit Margin</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9"/>
              <w:spacing w:after="0"/>
              <w:rPr>
                <w:sz w:val="20"/>
                <w:szCs w:val="20"/>
                <w:color w:val="auto"/>
              </w:rPr>
            </w:pPr>
            <w:r>
              <w:rPr>
                <w:rFonts w:ascii="Arial" w:cs="Arial" w:eastAsia="Arial" w:hAnsi="Arial"/>
                <w:sz w:val="16"/>
                <w:szCs w:val="16"/>
                <w:i w:val="1"/>
                <w:iCs w:val="1"/>
                <w:color w:val="auto"/>
              </w:rPr>
              <w:t>55.8%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99"/>
              <w:spacing w:after="0"/>
              <w:rPr>
                <w:sz w:val="20"/>
                <w:szCs w:val="20"/>
                <w:color w:val="auto"/>
              </w:rPr>
            </w:pPr>
            <w:r>
              <w:rPr>
                <w:rFonts w:ascii="Arial" w:cs="Arial" w:eastAsia="Arial" w:hAnsi="Arial"/>
                <w:sz w:val="16"/>
                <w:szCs w:val="16"/>
                <w:i w:val="1"/>
                <w:iCs w:val="1"/>
                <w:color w:val="auto"/>
              </w:rPr>
              <w:t>59.3%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rPr>
              <w:t>(350 bps)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Royalty fee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3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Adjusted EBITDA Margin</w:t>
            </w:r>
          </w:p>
        </w:tc>
        <w:tc>
          <w:tcPr>
            <w:tcW w:w="200" w:type="dxa"/>
            <w:vAlign w:val="bottom"/>
          </w:tcPr>
          <w:p>
            <w:pPr>
              <w:spacing w:after="0"/>
              <w:rPr>
                <w:sz w:val="18"/>
                <w:szCs w:val="18"/>
                <w:color w:val="auto"/>
              </w:rPr>
            </w:pPr>
          </w:p>
        </w:tc>
        <w:tc>
          <w:tcPr>
            <w:tcW w:w="1520" w:type="dxa"/>
            <w:vAlign w:val="bottom"/>
          </w:tcPr>
          <w:p>
            <w:pPr>
              <w:jc w:val="right"/>
              <w:ind w:right="539"/>
              <w:spacing w:after="0"/>
              <w:rPr>
                <w:sz w:val="20"/>
                <w:szCs w:val="20"/>
                <w:color w:val="auto"/>
              </w:rPr>
            </w:pPr>
            <w:r>
              <w:rPr>
                <w:rFonts w:ascii="Arial" w:cs="Arial" w:eastAsia="Arial" w:hAnsi="Arial"/>
                <w:sz w:val="16"/>
                <w:szCs w:val="16"/>
                <w:i w:val="1"/>
                <w:iCs w:val="1"/>
                <w:color w:val="auto"/>
              </w:rPr>
              <w:t>19.5%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i w:val="1"/>
                <w:iCs w:val="1"/>
                <w:color w:val="auto"/>
              </w:rPr>
              <w:t>23.2%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i w:val="1"/>
                <w:iCs w:val="1"/>
                <w:color w:val="auto"/>
              </w:rPr>
              <w:t>(370 bps)</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firstLine="6"/>
        <w:spacing w:after="0" w:line="264" w:lineRule="auto"/>
        <w:tabs>
          <w:tab w:leader="none" w:pos="126"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Denotes non-GAAP financial measures. Please see “Non-GAAP Financial Measures” for additional information about our reasons for providing these alternative financial measures and limitations on their use.</w:t>
      </w:r>
    </w:p>
    <w:p>
      <w:pPr>
        <w:spacing w:after="0" w:line="37" w:lineRule="exact"/>
        <w:rPr>
          <w:sz w:val="20"/>
          <w:szCs w:val="20"/>
          <w:color w:val="auto"/>
        </w:rPr>
      </w:pPr>
    </w:p>
    <w:p>
      <w:pPr>
        <w:jc w:val="both"/>
        <w:ind w:firstLine="6"/>
        <w:spacing w:after="0" w:line="216" w:lineRule="auto"/>
        <w:tabs>
          <w:tab w:leader="none" w:pos="173"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Amounts included in Corporate and other represent the impact of the consolidation of certain owners’ associations under the Financial Accounting Standards Board Accounting Standard Codification Topic 810, “</w:t>
      </w:r>
      <w:r>
        <w:rPr>
          <w:rFonts w:ascii="Arial" w:cs="Arial" w:eastAsia="Arial" w:hAnsi="Arial"/>
          <w:sz w:val="14"/>
          <w:szCs w:val="14"/>
          <w:i w:val="1"/>
          <w:iCs w:val="1"/>
          <w:color w:val="auto"/>
        </w:rPr>
        <w:t>Consolidation</w:t>
      </w:r>
      <w:r>
        <w:rPr>
          <w:rFonts w:ascii="Arial" w:cs="Arial" w:eastAsia="Arial" w:hAnsi="Arial"/>
          <w:sz w:val="14"/>
          <w:szCs w:val="14"/>
          <w:color w:val="auto"/>
        </w:rPr>
        <w:t>,” and represents the portion attributable to individual or third-party vacation ownership interest owners.</w:t>
      </w:r>
    </w:p>
    <w:p>
      <w:pPr>
        <w:spacing w:after="0" w:line="67" w:lineRule="exact"/>
        <w:rPr>
          <w:rFonts w:ascii="Arial" w:cs="Arial" w:eastAsia="Arial" w:hAnsi="Arial"/>
          <w:sz w:val="19"/>
          <w:szCs w:val="19"/>
          <w:color w:val="auto"/>
          <w:vertAlign w:val="superscript"/>
        </w:rPr>
      </w:pPr>
    </w:p>
    <w:p>
      <w:pPr>
        <w:ind w:firstLine="6"/>
        <w:spacing w:after="0" w:line="214" w:lineRule="auto"/>
        <w:tabs>
          <w:tab w:leader="none" w:pos="174"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share-based compensation, amortization of cloud computing software implementation costs, net income or loss attributable to noncontrolling interests, and other.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ectPr>
          <w:pgSz w:w="11900" w:h="16838" w:orient="portrait"/>
          <w:cols w:equalWidth="0" w:num="1">
            <w:col w:w="9040"/>
          </w:cols>
          <w:pgMar w:left="1420" w:top="122" w:right="1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A-8</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SUPPLEMENTAL INFORMATION - MANAGEMENT AND EXCHANGE REVENUE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gridSpan w:val="4"/>
          </w:tcPr>
          <w:p>
            <w:pPr>
              <w:ind w:left="3560"/>
              <w:spacing w:after="0"/>
              <w:rPr>
                <w:sz w:val="20"/>
                <w:szCs w:val="20"/>
                <w:color w:val="auto"/>
              </w:rPr>
            </w:pPr>
            <w:r>
              <w:rPr>
                <w:rFonts w:ascii="Arial" w:cs="Arial" w:eastAsia="Arial" w:hAnsi="Arial"/>
                <w:sz w:val="16"/>
                <w:szCs w:val="16"/>
                <w:color w:val="auto"/>
              </w:rPr>
              <w:t>(In millions and Unaudited)</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March 31, 2025</w:t>
            </w: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ANCILLARY REVENUE</w:t>
            </w:r>
          </w:p>
        </w:tc>
        <w:tc>
          <w:tcPr>
            <w:tcW w:w="1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60" w:type="dxa"/>
            <w:vAlign w:val="bottom"/>
          </w:tcPr>
          <w:p>
            <w:pPr>
              <w:ind w:left="220"/>
              <w:spacing w:after="0"/>
              <w:rPr>
                <w:sz w:val="20"/>
                <w:szCs w:val="20"/>
                <w:color w:val="auto"/>
              </w:rPr>
            </w:pPr>
            <w:r>
              <w:rPr>
                <w:rFonts w:ascii="Arial" w:cs="Arial" w:eastAsia="Arial" w:hAnsi="Arial"/>
                <w:sz w:val="18"/>
                <w:szCs w:val="18"/>
                <w:color w:val="auto"/>
              </w:rPr>
              <w:t>Vacation Ownership Segment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&amp; Third-Party Management Segment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57"/>
        </w:trPr>
        <w:tc>
          <w:tcPr>
            <w:tcW w:w="4260" w:type="dxa"/>
            <w:vAlign w:val="bottom"/>
          </w:tcPr>
          <w:p>
            <w:pPr>
              <w:ind w:left="220"/>
              <w:spacing w:after="0" w:line="256"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3"/>
                <w:szCs w:val="23"/>
                <w:color w:val="auto"/>
                <w:vertAlign w:val="superscript"/>
              </w:rPr>
              <w:t>(1)</w:t>
            </w:r>
          </w:p>
        </w:tc>
        <w:tc>
          <w:tcPr>
            <w:tcW w:w="16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Ancillary Revenue</w:t>
            </w:r>
          </w:p>
        </w:tc>
        <w:tc>
          <w:tcPr>
            <w:tcW w:w="1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MANAGEMENT FEE REVENUE</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60" w:type="dxa"/>
            <w:vAlign w:val="bottom"/>
          </w:tcPr>
          <w:p>
            <w:pPr>
              <w:ind w:left="220"/>
              <w:spacing w:after="0"/>
              <w:rPr>
                <w:sz w:val="20"/>
                <w:szCs w:val="20"/>
                <w:color w:val="auto"/>
              </w:rPr>
            </w:pPr>
            <w:r>
              <w:rPr>
                <w:rFonts w:ascii="Arial" w:cs="Arial" w:eastAsia="Arial" w:hAnsi="Arial"/>
                <w:sz w:val="18"/>
                <w:szCs w:val="18"/>
                <w:color w:val="auto"/>
              </w:rPr>
              <w:t>Vacation Ownership Segment</w:t>
            </w:r>
          </w:p>
        </w:tc>
        <w:tc>
          <w:tcPr>
            <w:tcW w:w="1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&amp; Third-Party Management Segment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57"/>
        </w:trPr>
        <w:tc>
          <w:tcPr>
            <w:tcW w:w="4260" w:type="dxa"/>
            <w:vAlign w:val="bottom"/>
            <w:tcBorders>
              <w:bottom w:val="single" w:sz="8" w:color="CCEEFF"/>
            </w:tcBorders>
          </w:tcPr>
          <w:p>
            <w:pPr>
              <w:ind w:left="220"/>
              <w:spacing w:after="0" w:line="256"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Management Fee Revenue</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EXCHANGE AND OTHER SERVICES REVENUE</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tcPr>
          <w:p>
            <w:pPr>
              <w:ind w:left="220"/>
              <w:spacing w:after="0"/>
              <w:rPr>
                <w:sz w:val="20"/>
                <w:szCs w:val="20"/>
                <w:color w:val="auto"/>
              </w:rPr>
            </w:pPr>
            <w:r>
              <w:rPr>
                <w:rFonts w:ascii="Arial" w:cs="Arial" w:eastAsia="Arial" w:hAnsi="Arial"/>
                <w:sz w:val="18"/>
                <w:szCs w:val="18"/>
                <w:color w:val="auto"/>
              </w:rPr>
              <w:t>Vacation Ownership Segment</w:t>
            </w:r>
          </w:p>
        </w:tc>
        <w:tc>
          <w:tcPr>
            <w:tcW w:w="1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&amp; Third-Party Management Segment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57"/>
        </w:trPr>
        <w:tc>
          <w:tcPr>
            <w:tcW w:w="4260" w:type="dxa"/>
            <w:vAlign w:val="bottom"/>
            <w:tcBorders>
              <w:bottom w:val="single" w:sz="8" w:color="CCEEFF"/>
            </w:tcBorders>
          </w:tcPr>
          <w:p>
            <w:pPr>
              <w:ind w:left="220"/>
              <w:spacing w:after="0" w:line="256"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Exchange and Other Services Revenue</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426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b w:val="1"/>
                <w:bCs w:val="1"/>
                <w:color w:val="auto"/>
              </w:rPr>
              <w:t>TOTAL MANAGEMENT AND EXCHANGE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firstLine="6"/>
        <w:spacing w:after="0"/>
        <w:tabs>
          <w:tab w:leader="none" w:pos="247"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Amounts included in Corporate and other represent the impact of the consolidation of certain owners’ associations under the Financial Accounting Standards Board Accounting Standard Codification Topic 810, “</w:t>
      </w:r>
      <w:r>
        <w:rPr>
          <w:rFonts w:ascii="Arial" w:cs="Arial" w:eastAsia="Arial" w:hAnsi="Arial"/>
          <w:sz w:val="18"/>
          <w:szCs w:val="18"/>
          <w:i w:val="1"/>
          <w:iCs w:val="1"/>
          <w:color w:val="auto"/>
        </w:rPr>
        <w:t>Consolidation</w:t>
      </w:r>
      <w:r>
        <w:rPr>
          <w:rFonts w:ascii="Arial" w:cs="Arial" w:eastAsia="Arial" w:hAnsi="Arial"/>
          <w:sz w:val="18"/>
          <w:szCs w:val="18"/>
          <w:color w:val="auto"/>
        </w:rPr>
        <w:t>,” and represents the portion attributable to individual or third-party vacation ownership interest owners.</w:t>
      </w:r>
    </w:p>
    <w:p>
      <w:pPr>
        <w:sectPr>
          <w:pgSz w:w="11900" w:h="16838" w:orient="portrait"/>
          <w:cols w:equalWidth="0" w:num="1">
            <w:col w:w="9060"/>
          </w:cols>
          <w:pgMar w:left="1420" w:top="122" w:right="14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A-9</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share and per share data)</w:t>
      </w:r>
    </w:p>
    <w:p>
      <w:pPr>
        <w:spacing w:after="0" w:line="131" w:lineRule="exact"/>
        <w:rPr>
          <w:sz w:val="20"/>
          <w:szCs w:val="20"/>
          <w:color w:val="auto"/>
        </w:rPr>
      </w:pPr>
    </w:p>
    <w:p>
      <w:pPr>
        <w:ind w:left="5980"/>
        <w:spacing w:after="0"/>
        <w:rPr>
          <w:sz w:val="20"/>
          <w:szCs w:val="20"/>
          <w:color w:val="auto"/>
        </w:rPr>
      </w:pPr>
      <w:r>
        <w:rPr>
          <w:rFonts w:ascii="Arial" w:cs="Arial" w:eastAsia="Arial" w:hAnsi="Arial"/>
          <w:sz w:val="16"/>
          <w:szCs w:val="16"/>
          <w:b w:val="1"/>
          <w:bCs w:val="1"/>
          <w:color w:val="auto"/>
        </w:rPr>
        <w:t>Unaudited</w:t>
      </w:r>
    </w:p>
    <w:p>
      <w:pPr>
        <w:spacing w:after="0" w:line="39" w:lineRule="exact"/>
        <w:rPr>
          <w:sz w:val="20"/>
          <w:szCs w:val="20"/>
          <w:color w:val="auto"/>
        </w:rPr>
      </w:pPr>
    </w:p>
    <w:p>
      <w:pPr>
        <w:jc w:val="right"/>
        <w:ind w:right="159"/>
        <w:spacing w:after="0"/>
        <w:tabs>
          <w:tab w:leader="none" w:pos="1440" w:val="left"/>
        </w:tabs>
        <w:rPr>
          <w:sz w:val="20"/>
          <w:szCs w:val="20"/>
          <w:color w:val="auto"/>
        </w:rPr>
      </w:pPr>
      <w:r>
        <w:rPr>
          <w:rFonts w:ascii="Arial" w:cs="Arial" w:eastAsia="Arial" w:hAnsi="Arial"/>
          <w:sz w:val="16"/>
          <w:szCs w:val="16"/>
          <w:b w:val="1"/>
          <w:bCs w:val="1"/>
          <w:color w:val="auto"/>
        </w:rPr>
        <w:t>March 31, 2026</w:t>
      </w:r>
      <w:r>
        <w:rPr>
          <w:sz w:val="20"/>
          <w:szCs w:val="20"/>
          <w:color w:val="auto"/>
        </w:rPr>
        <w:tab/>
      </w: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5785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w:t>
      </w:r>
    </w:p>
    <w:p>
      <w:pPr>
        <w:sectPr>
          <w:pgSz w:w="11900" w:h="16838" w:orient="portrait"/>
          <w:cols w:equalWidth="0" w:num="1">
            <w:col w:w="9019"/>
          </w:cols>
          <w:pgMar w:left="1440" w:top="122" w:right="1440" w:bottom="1440" w:gutter="0" w:footer="0" w:header="0"/>
        </w:sectPr>
      </w:pPr>
    </w:p>
    <w:p>
      <w:pPr>
        <w:spacing w:after="0" w:line="50" w:lineRule="exact"/>
        <w:rPr>
          <w:sz w:val="20"/>
          <w:szCs w:val="20"/>
          <w:color w:val="auto"/>
        </w:rPr>
      </w:pPr>
    </w:p>
    <w:p>
      <w:pPr>
        <w:ind w:left="60"/>
        <w:spacing w:after="0"/>
        <w:tabs>
          <w:tab w:leader="none" w:pos="556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cash (including $93 and $81 from VIEs, respectively)</w:t>
      </w:r>
    </w:p>
    <w:p>
      <w:pPr>
        <w:spacing w:after="0" w:line="36" w:lineRule="exact"/>
        <w:rPr>
          <w:sz w:val="20"/>
          <w:szCs w:val="20"/>
          <w:color w:val="auto"/>
        </w:rPr>
      </w:pPr>
    </w:p>
    <w:p>
      <w:pPr>
        <w:ind w:left="60" w:right="480"/>
        <w:spacing w:after="0"/>
        <w:rPr>
          <w:sz w:val="20"/>
          <w:szCs w:val="20"/>
          <w:color w:val="auto"/>
        </w:rPr>
      </w:pPr>
      <w:r>
        <w:rPr>
          <w:rFonts w:ascii="Arial" w:cs="Arial" w:eastAsia="Arial" w:hAnsi="Arial"/>
          <w:sz w:val="18"/>
          <w:szCs w:val="18"/>
          <w:color w:val="auto"/>
        </w:rPr>
        <w:t>Accounts and contracts receivable, net (including $17 and $15 from VIEs, respectively)</w:t>
      </w:r>
    </w:p>
    <w:p>
      <w:pPr>
        <w:spacing w:after="0" w:line="18" w:lineRule="exact"/>
        <w:rPr>
          <w:sz w:val="20"/>
          <w:szCs w:val="20"/>
          <w:color w:val="auto"/>
        </w:rPr>
      </w:pPr>
    </w:p>
    <w:p>
      <w:pPr>
        <w:ind w:left="60" w:right="820"/>
        <w:spacing w:after="0"/>
        <w:rPr>
          <w:sz w:val="20"/>
          <w:szCs w:val="20"/>
          <w:color w:val="auto"/>
        </w:rPr>
      </w:pPr>
      <w:r>
        <w:rPr>
          <w:rFonts w:ascii="Arial" w:cs="Arial" w:eastAsia="Arial" w:hAnsi="Arial"/>
          <w:sz w:val="18"/>
          <w:szCs w:val="18"/>
          <w:color w:val="auto"/>
        </w:rPr>
        <w:t>Vacation ownership notes receivable, net (including $2,070 and $1,900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-259080</wp:posOffset>
            </wp:positionV>
            <wp:extent cx="565785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w:t>
      </w:r>
      <w:r>
        <w:rPr>
          <w:rFonts w:ascii="Arial" w:cs="Arial" w:eastAsia="Arial" w:hAnsi="Arial"/>
          <w:sz w:val="23"/>
          <w:szCs w:val="23"/>
          <w:color w:val="auto"/>
          <w:vertAlign w:val="superscript"/>
        </w:rPr>
        <w:t>(1)</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Intangibles, net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(including $165 and $168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30" w:lineRule="exact"/>
        <w:rPr>
          <w:sz w:val="20"/>
          <w:szCs w:val="20"/>
          <w:color w:val="auto"/>
        </w:rPr>
      </w:pPr>
    </w:p>
    <w:p>
      <w:pPr>
        <w:ind w:left="520"/>
        <w:spacing w:after="0"/>
        <w:tabs>
          <w:tab w:leader="none" w:pos="5560" w:val="left"/>
        </w:tabs>
        <w:rPr>
          <w:sz w:val="20"/>
          <w:szCs w:val="20"/>
          <w:color w:val="auto"/>
        </w:rPr>
      </w:pPr>
      <w:r>
        <w:rPr>
          <w:rFonts w:ascii="Arial" w:cs="Arial" w:eastAsia="Arial" w:hAnsi="Arial"/>
          <w:sz w:val="18"/>
          <w:szCs w:val="18"/>
          <w:b w:val="1"/>
          <w:bCs w:val="1"/>
          <w:color w:val="auto"/>
        </w:rPr>
        <w:t>TOTAL ASSETS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206375</wp:posOffset>
            </wp:positionV>
            <wp:extent cx="56578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268</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57"/>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328</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432"/>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416</w:t>
            </w:r>
          </w:p>
        </w:tc>
        <w:tc>
          <w:tcPr>
            <w:tcW w:w="6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432"/>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2,567</w:t>
            </w:r>
          </w:p>
        </w:tc>
        <w:tc>
          <w:tcPr>
            <w:tcW w:w="6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2,565</w:t>
            </w:r>
          </w:p>
        </w:tc>
      </w:tr>
      <w:tr>
        <w:trPr>
          <w:trHeight w:val="257"/>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680</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57"/>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944</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57"/>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2,958</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2,958</w:t>
            </w:r>
          </w:p>
        </w:tc>
      </w:tr>
      <w:tr>
        <w:trPr>
          <w:trHeight w:val="257"/>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696</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52"/>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779</w:t>
            </w: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r>
      <w:tr>
        <w:trPr>
          <w:trHeight w:val="223"/>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9,636</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9,757</w:t>
            </w:r>
          </w:p>
        </w:tc>
      </w:tr>
      <w:tr>
        <w:trPr>
          <w:trHeight w:val="20"/>
        </w:trPr>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-7620</wp:posOffset>
            </wp:positionV>
            <wp:extent cx="1036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5920" w:space="720"/>
            <w:col w:w="2379"/>
          </w:cols>
          <w:pgMar w:left="1440" w:top="122" w:right="1440" w:bottom="1440" w:gutter="0" w:footer="0" w:header="0"/>
          <w:type w:val="continuous"/>
        </w:sectPr>
      </w:pPr>
    </w:p>
    <w:p>
      <w:pPr>
        <w:ind w:left="60"/>
        <w:spacing w:after="0"/>
        <w:tabs>
          <w:tab w:leader="none" w:pos="556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Advance deposits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liabilities (including $4 and $4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revenue and other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Payroll and benefits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compensation liability</w:t>
      </w:r>
    </w:p>
    <w:p>
      <w:pPr>
        <w:spacing w:after="0" w:line="36" w:lineRule="exact"/>
        <w:rPr>
          <w:sz w:val="20"/>
          <w:szCs w:val="20"/>
          <w:color w:val="auto"/>
        </w:rPr>
      </w:pPr>
    </w:p>
    <w:p>
      <w:pPr>
        <w:ind w:left="60" w:right="900"/>
        <w:spacing w:after="0"/>
        <w:rPr>
          <w:sz w:val="20"/>
          <w:szCs w:val="20"/>
          <w:color w:val="auto"/>
        </w:rPr>
      </w:pPr>
      <w:r>
        <w:rPr>
          <w:rFonts w:ascii="Arial" w:cs="Arial" w:eastAsia="Arial" w:hAnsi="Arial"/>
          <w:sz w:val="18"/>
          <w:szCs w:val="18"/>
          <w:color w:val="auto"/>
        </w:rPr>
        <w:t>Securitized debt, net (including $2,329 and $2,173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Debt, net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taxes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LIABILITIES</w:t>
      </w:r>
    </w:p>
    <w:p>
      <w:pPr>
        <w:spacing w:after="0" w:line="40" w:lineRule="exact"/>
        <w:rPr>
          <w:sz w:val="20"/>
          <w:szCs w:val="20"/>
          <w:color w:val="auto"/>
        </w:rPr>
      </w:pPr>
    </w:p>
    <w:p>
      <w:pPr>
        <w:ind w:left="60" w:right="620"/>
        <w:spacing w:after="0" w:line="237" w:lineRule="auto"/>
        <w:rPr>
          <w:sz w:val="20"/>
          <w:szCs w:val="20"/>
          <w:color w:val="auto"/>
        </w:rPr>
      </w:pPr>
      <w:r>
        <w:rPr>
          <w:rFonts w:ascii="Arial" w:cs="Arial" w:eastAsia="Arial" w:hAnsi="Arial"/>
          <w:sz w:val="18"/>
          <w:szCs w:val="18"/>
          <w:color w:val="auto"/>
        </w:rPr>
        <w:t>Preferred stock — $0.01 par value; 2,000,000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-257810</wp:posOffset>
            </wp:positionV>
            <wp:extent cx="565785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ind w:left="60" w:right="440"/>
        <w:spacing w:after="0"/>
        <w:rPr>
          <w:sz w:val="20"/>
          <w:szCs w:val="20"/>
          <w:color w:val="auto"/>
        </w:rPr>
      </w:pPr>
      <w:r>
        <w:rPr>
          <w:rFonts w:ascii="Arial" w:cs="Arial" w:eastAsia="Arial" w:hAnsi="Arial"/>
          <w:sz w:val="18"/>
          <w:szCs w:val="18"/>
          <w:color w:val="auto"/>
        </w:rPr>
        <w:t>Common stock — $0.01 par value; 100,000,000 shares authorized; 75,897,059 and 75,891,531 shares issued, respectively</w:t>
      </w:r>
    </w:p>
    <w:p>
      <w:pPr>
        <w:spacing w:after="0" w:line="18" w:lineRule="exact"/>
        <w:rPr>
          <w:sz w:val="20"/>
          <w:szCs w:val="20"/>
          <w:color w:val="auto"/>
        </w:rPr>
      </w:pPr>
    </w:p>
    <w:p>
      <w:pPr>
        <w:ind w:left="60" w:right="860"/>
        <w:spacing w:after="0"/>
        <w:rPr>
          <w:sz w:val="20"/>
          <w:szCs w:val="20"/>
          <w:color w:val="auto"/>
        </w:rPr>
      </w:pPr>
      <w:r>
        <w:rPr>
          <w:rFonts w:ascii="Arial" w:cs="Arial" w:eastAsia="Arial" w:hAnsi="Arial"/>
          <w:sz w:val="18"/>
          <w:szCs w:val="18"/>
          <w:color w:val="auto"/>
        </w:rPr>
        <w:t>Treasury stock — at cost; 41,561,920 and 41,767,498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-259080</wp:posOffset>
            </wp:positionV>
            <wp:extent cx="565785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270</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56"/>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172</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56"/>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383</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56"/>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466</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371</w:t>
            </w:r>
          </w:p>
        </w:tc>
      </w:tr>
      <w:tr>
        <w:trPr>
          <w:trHeight w:val="257"/>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221</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56"/>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432"/>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2,304</w:t>
            </w:r>
          </w:p>
        </w:tc>
        <w:tc>
          <w:tcPr>
            <w:tcW w:w="5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2,146</w:t>
            </w:r>
          </w:p>
        </w:tc>
      </w:tr>
      <w:tr>
        <w:trPr>
          <w:trHeight w:val="257"/>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3,265</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3,534</w:t>
            </w:r>
          </w:p>
        </w:tc>
      </w:tr>
      <w:tr>
        <w:trPr>
          <w:trHeight w:val="256"/>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120</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53"/>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229</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r>
      <w:tr>
        <w:trPr>
          <w:trHeight w:val="237"/>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7,644</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7,764</w:t>
            </w:r>
          </w:p>
        </w:tc>
      </w:tr>
      <w:tr>
        <w:trPr>
          <w:trHeight w:val="416"/>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98"/>
              </w:rPr>
              <w:t>(2,415)</w:t>
            </w: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57"/>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3,989</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3,996</w:t>
            </w:r>
          </w:p>
        </w:tc>
      </w:tr>
      <w:tr>
        <w:trPr>
          <w:trHeight w:val="257"/>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429</w:t>
            </w:r>
          </w:p>
        </w:tc>
        <w:tc>
          <w:tcPr>
            <w:tcW w:w="5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-1472565</wp:posOffset>
            </wp:positionV>
            <wp:extent cx="10369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860" w:space="720"/>
            <w:col w:w="2439"/>
          </w:cols>
          <w:pgMar w:left="1440" w:top="122" w:right="1440" w:bottom="1440" w:gutter="0" w:footer="0" w:header="0"/>
          <w:type w:val="continuous"/>
        </w:sectPr>
      </w:pPr>
    </w:p>
    <w:tbl>
      <w:tblPr>
        <w:tblLayout w:type="fixed"/>
        <w:tblInd w:w="40" w:type="dxa"/>
        <w:tblCellMar>
          <w:top w:w="0" w:type="dxa"/>
          <w:left w:w="0" w:type="dxa"/>
          <w:bottom w:w="0" w:type="dxa"/>
          <w:right w:w="0" w:type="dxa"/>
        </w:tblCellMar>
      </w:tblPr>
      <w:tr>
        <w:trPr>
          <w:trHeight w:val="238"/>
        </w:trPr>
        <w:tc>
          <w:tcPr>
            <w:tcW w:w="55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MVW STOCKHOLDERS' EQUITY</w:t>
            </w:r>
          </w:p>
        </w:tc>
        <w:tc>
          <w:tcPr>
            <w:tcW w:w="6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r>
      <w:tr>
        <w:trPr>
          <w:trHeight w:val="257"/>
        </w:trPr>
        <w:tc>
          <w:tcPr>
            <w:tcW w:w="55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6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55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EQUITY</w:t>
            </w: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r>
      <w:tr>
        <w:trPr>
          <w:trHeight w:val="223"/>
        </w:trPr>
        <w:tc>
          <w:tcPr>
            <w:tcW w:w="552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9,636</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9,757</w:t>
            </w:r>
          </w:p>
        </w:tc>
      </w:tr>
      <w:tr>
        <w:trPr>
          <w:trHeight w:val="20"/>
        </w:trPr>
        <w:tc>
          <w:tcPr>
            <w:tcW w:w="5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abbreviation VIEs above means Variable Interest Entities.</w:t>
      </w:r>
    </w:p>
    <w:p>
      <w:pPr>
        <w:spacing w:after="0" w:line="164" w:lineRule="exact"/>
        <w:rPr>
          <w:sz w:val="20"/>
          <w:szCs w:val="20"/>
          <w:color w:val="auto"/>
        </w:rPr>
      </w:pPr>
    </w:p>
    <w:p>
      <w:pPr>
        <w:ind w:left="60" w:right="319" w:firstLine="7"/>
        <w:spacing w:after="0" w:line="290" w:lineRule="auto"/>
        <w:tabs>
          <w:tab w:leader="none" w:pos="21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$230 million and $224 million at March 31, 2026 and December 31, 2025, respectively, of completed vacation ownership units which are classified as a component of Property and equipment, net until the time at which they are available and legally registered for sale as vacation ownership products.</w:t>
      </w:r>
    </w:p>
    <w:p>
      <w:pPr>
        <w:sectPr>
          <w:pgSz w:w="11900" w:h="16838" w:orient="portrait"/>
          <w:cols w:equalWidth="0" w:num="1">
            <w:col w:w="9019"/>
          </w:cols>
          <w:pgMar w:left="1440" w:top="122" w:right="1440"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A-10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and unaudited)</w: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2026</w:t>
            </w: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37"/>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Adjustments to reconcile net income to net cash, cash equivalents and</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(used in) provided by operating activities: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240"/>
              <w:spacing w:after="0"/>
              <w:rPr>
                <w:sz w:val="20"/>
                <w:szCs w:val="20"/>
                <w:color w:val="auto"/>
              </w:rPr>
            </w:pPr>
            <w:r>
              <w:rPr>
                <w:rFonts w:ascii="Arial" w:cs="Arial" w:eastAsia="Arial" w:hAnsi="Arial"/>
                <w:sz w:val="18"/>
                <w:szCs w:val="18"/>
                <w:color w:val="auto"/>
              </w:rPr>
              <w:t>Depreciation and amortization of intangibles</w:t>
            </w:r>
          </w:p>
        </w:tc>
        <w:tc>
          <w:tcPr>
            <w:tcW w:w="12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discount and issuance costs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760" w:type="dxa"/>
            <w:vAlign w:val="bottom"/>
          </w:tcPr>
          <w:p>
            <w:pPr>
              <w:ind w:left="240"/>
              <w:spacing w:after="0"/>
              <w:rPr>
                <w:sz w:val="20"/>
                <w:szCs w:val="20"/>
                <w:color w:val="auto"/>
              </w:rPr>
            </w:pPr>
            <w:r>
              <w:rPr>
                <w:rFonts w:ascii="Arial" w:cs="Arial" w:eastAsia="Arial" w:hAnsi="Arial"/>
                <w:sz w:val="18"/>
                <w:szCs w:val="18"/>
                <w:color w:val="auto"/>
              </w:rPr>
              <w:t>Vacation ownership notes and contracts receivable reserve</w:t>
            </w:r>
          </w:p>
        </w:tc>
        <w:tc>
          <w:tcPr>
            <w:tcW w:w="12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760" w:type="dxa"/>
            <w:vAlign w:val="bottom"/>
          </w:tcPr>
          <w:p>
            <w:pPr>
              <w:ind w:left="24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remeasurement loss (gain)</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6"/>
        </w:trPr>
        <w:tc>
          <w:tcPr>
            <w:tcW w:w="576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change in assets and liabilities: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480"/>
              <w:spacing w:after="0"/>
              <w:rPr>
                <w:sz w:val="20"/>
                <w:szCs w:val="20"/>
                <w:color w:val="auto"/>
              </w:rPr>
            </w:pPr>
            <w:r>
              <w:rPr>
                <w:rFonts w:ascii="Arial" w:cs="Arial" w:eastAsia="Arial" w:hAnsi="Arial"/>
                <w:sz w:val="18"/>
                <w:szCs w:val="18"/>
                <w:color w:val="auto"/>
              </w:rPr>
              <w:t>Accounts and contracts receivable</w:t>
            </w:r>
          </w:p>
        </w:tc>
        <w:tc>
          <w:tcPr>
            <w:tcW w:w="12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Vacation ownership notes receivable originations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6"/>
        </w:trPr>
        <w:tc>
          <w:tcPr>
            <w:tcW w:w="5760" w:type="dxa"/>
            <w:vAlign w:val="bottom"/>
          </w:tcPr>
          <w:p>
            <w:pPr>
              <w:ind w:left="480"/>
              <w:spacing w:after="0"/>
              <w:rPr>
                <w:sz w:val="20"/>
                <w:szCs w:val="20"/>
                <w:color w:val="auto"/>
              </w:rPr>
            </w:pPr>
            <w:r>
              <w:rPr>
                <w:rFonts w:ascii="Arial" w:cs="Arial" w:eastAsia="Arial" w:hAnsi="Arial"/>
                <w:sz w:val="18"/>
                <w:szCs w:val="18"/>
                <w:color w:val="auto"/>
              </w:rPr>
              <w:t>Vacation ownership notes receivable collections</w:t>
            </w:r>
          </w:p>
        </w:tc>
        <w:tc>
          <w:tcPr>
            <w:tcW w:w="12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76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advance deposits and accrued liabilities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6"/>
        </w:trPr>
        <w:tc>
          <w:tcPr>
            <w:tcW w:w="5760" w:type="dxa"/>
            <w:vAlign w:val="bottom"/>
          </w:tcPr>
          <w:p>
            <w:pPr>
              <w:ind w:left="480"/>
              <w:spacing w:after="0"/>
              <w:rPr>
                <w:sz w:val="20"/>
                <w:szCs w:val="20"/>
                <w:color w:val="auto"/>
              </w:rPr>
            </w:pPr>
            <w:r>
              <w:rPr>
                <w:rFonts w:ascii="Arial" w:cs="Arial" w:eastAsia="Arial" w:hAnsi="Arial"/>
                <w:sz w:val="18"/>
                <w:szCs w:val="18"/>
                <w:color w:val="auto"/>
              </w:rPr>
              <w:t>Deferred revenue and other</w:t>
            </w:r>
          </w:p>
        </w:tc>
        <w:tc>
          <w:tcPr>
            <w:tcW w:w="12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Payroll and benefit liabilities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6"/>
        </w:trPr>
        <w:tc>
          <w:tcPr>
            <w:tcW w:w="5760" w:type="dxa"/>
            <w:vAlign w:val="bottom"/>
          </w:tcPr>
          <w:p>
            <w:pPr>
              <w:ind w:left="480"/>
              <w:spacing w:after="0"/>
              <w:rPr>
                <w:sz w:val="20"/>
                <w:szCs w:val="20"/>
                <w:color w:val="auto"/>
              </w:rPr>
            </w:pPr>
            <w:r>
              <w:rPr>
                <w:rFonts w:ascii="Arial" w:cs="Arial" w:eastAsia="Arial" w:hAnsi="Arial"/>
                <w:sz w:val="18"/>
                <w:szCs w:val="18"/>
                <w:color w:val="auto"/>
              </w:rPr>
              <w:t>Deferred compensation liability</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line="176" w:lineRule="exact"/>
              <w:rPr>
                <w:sz w:val="20"/>
                <w:szCs w:val="20"/>
                <w:color w:val="auto"/>
              </w:rPr>
            </w:pPr>
            <w:r>
              <w:rPr>
                <w:rFonts w:ascii="Arial" w:cs="Arial" w:eastAsia="Arial" w:hAnsi="Arial"/>
                <w:sz w:val="18"/>
                <w:szCs w:val="18"/>
                <w:color w:val="auto"/>
              </w:rPr>
              <w:t>Purchase and development of property for future transfer to</w:t>
            </w:r>
          </w:p>
        </w:tc>
        <w:tc>
          <w:tcPr>
            <w:tcW w:w="120" w:type="dxa"/>
            <w:vAlign w:val="bottom"/>
          </w:tcPr>
          <w:p>
            <w:pPr>
              <w:spacing w:after="0"/>
              <w:rPr>
                <w:sz w:val="15"/>
                <w:szCs w:val="15"/>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760" w:type="dxa"/>
            <w:vAlign w:val="bottom"/>
            <w:vMerge w:val="restart"/>
          </w:tcPr>
          <w:p>
            <w:pPr>
              <w:ind w:left="26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0"/>
        </w:trPr>
        <w:tc>
          <w:tcPr>
            <w:tcW w:w="5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5760" w:type="dxa"/>
            <w:vAlign w:val="bottom"/>
          </w:tcPr>
          <w:p>
            <w:pPr>
              <w:ind w:left="680"/>
              <w:spacing w:after="0" w:line="169" w:lineRule="exact"/>
              <w:rPr>
                <w:sz w:val="20"/>
                <w:szCs w:val="20"/>
                <w:color w:val="auto"/>
              </w:rPr>
            </w:pPr>
            <w:r>
              <w:rPr>
                <w:rFonts w:ascii="Arial" w:cs="Arial" w:eastAsia="Arial" w:hAnsi="Arial"/>
                <w:sz w:val="18"/>
                <w:szCs w:val="18"/>
                <w:color w:val="auto"/>
              </w:rPr>
              <w:t>Net cash, cash equivalents and restricted cash (used in)</w:t>
            </w: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provided by operating activities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60" w:type="dxa"/>
            <w:vAlign w:val="bottom"/>
          </w:tcPr>
          <w:p>
            <w:pPr>
              <w:ind w:left="240"/>
              <w:spacing w:after="0"/>
              <w:rPr>
                <w:sz w:val="20"/>
                <w:szCs w:val="20"/>
                <w:color w:val="auto"/>
              </w:rPr>
            </w:pPr>
            <w:r>
              <w:rPr>
                <w:rFonts w:ascii="Arial" w:cs="Arial" w:eastAsia="Arial" w:hAnsi="Arial"/>
                <w:sz w:val="18"/>
                <w:szCs w:val="18"/>
                <w:color w:val="auto"/>
              </w:rPr>
              <w:t>Proceeds from disposition of entity</w:t>
            </w:r>
          </w:p>
        </w:tc>
        <w:tc>
          <w:tcPr>
            <w:tcW w:w="12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Capital expenditures for property and equipment (excluding</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60" w:type="dxa"/>
            <w:vAlign w:val="bottom"/>
          </w:tcPr>
          <w:p>
            <w:pPr>
              <w:ind w:left="240"/>
              <w:spacing w:after="0"/>
              <w:rPr>
                <w:sz w:val="20"/>
                <w:szCs w:val="20"/>
                <w:color w:val="auto"/>
              </w:rPr>
            </w:pPr>
            <w:r>
              <w:rPr>
                <w:rFonts w:ascii="Arial" w:cs="Arial" w:eastAsia="Arial" w:hAnsi="Arial"/>
                <w:sz w:val="18"/>
                <w:szCs w:val="18"/>
                <w:color w:val="auto"/>
              </w:rPr>
              <w:t>Purchase of company owned life insurance</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5760" w:type="dxa"/>
            <w:vAlign w:val="bottom"/>
            <w:tcBorders>
              <w:top w:val="single" w:sz="8" w:color="CCEEFF"/>
            </w:tcBorders>
            <w:shd w:val="clear" w:color="auto" w:fill="CCEEFF"/>
          </w:tcPr>
          <w:p>
            <w:pPr>
              <w:ind w:left="680"/>
              <w:spacing w:after="0" w:line="169" w:lineRule="exact"/>
              <w:rPr>
                <w:sz w:val="20"/>
                <w:szCs w:val="20"/>
                <w:color w:val="auto"/>
              </w:rPr>
            </w:pPr>
            <w:r>
              <w:rPr>
                <w:rFonts w:ascii="Arial" w:cs="Arial" w:eastAsia="Arial" w:hAnsi="Arial"/>
                <w:sz w:val="18"/>
                <w:szCs w:val="18"/>
                <w:color w:val="auto"/>
              </w:rPr>
              <w:t>Net cash, cash equivalents and restricted cash provided by</w:t>
            </w: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(used in) investing activities</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A-11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and unaudited)</w:t>
      </w:r>
    </w:p>
    <w:p>
      <w:pPr>
        <w:spacing w:after="0" w:line="239" w:lineRule="exact"/>
        <w:rPr>
          <w:sz w:val="20"/>
          <w:szCs w:val="20"/>
          <w:color w:val="auto"/>
        </w:rPr>
      </w:pPr>
    </w:p>
    <w:p>
      <w:pPr>
        <w:jc w:val="center"/>
        <w:ind w:left="58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20955</wp:posOffset>
            </wp:positionV>
            <wp:extent cx="19202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6" w:lineRule="exact"/>
        <w:rPr>
          <w:sz w:val="20"/>
          <w:szCs w:val="20"/>
          <w:color w:val="auto"/>
        </w:rPr>
      </w:pPr>
    </w:p>
    <w:p>
      <w:pPr>
        <w:jc w:val="right"/>
        <w:ind w:right="199"/>
        <w:spacing w:after="0"/>
        <w:tabs>
          <w:tab w:leader="none" w:pos="1140" w:val="left"/>
        </w:tabs>
        <w:rPr>
          <w:sz w:val="20"/>
          <w:szCs w:val="20"/>
          <w:color w:val="auto"/>
        </w:rPr>
      </w:pPr>
      <w:r>
        <w:rPr>
          <w:rFonts w:ascii="Arial" w:cs="Arial" w:eastAsia="Arial" w:hAnsi="Arial"/>
          <w:sz w:val="16"/>
          <w:szCs w:val="16"/>
          <w:b w:val="1"/>
          <w:bCs w:val="1"/>
          <w:color w:val="auto"/>
        </w:rPr>
        <w:t>March 31, 2026</w:t>
      </w:r>
      <w:r>
        <w:rPr>
          <w:sz w:val="20"/>
          <w:szCs w:val="20"/>
          <w:color w:val="auto"/>
        </w:rPr>
        <w:tab/>
      </w:r>
      <w:r>
        <w:rPr>
          <w:rFonts w:ascii="Arial" w:cs="Arial" w:eastAsia="Arial" w:hAnsi="Arial"/>
          <w:sz w:val="16"/>
          <w:szCs w:val="16"/>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ACTIVITIES</w:t>
      </w:r>
    </w:p>
    <w:p>
      <w:pPr>
        <w:sectPr>
          <w:pgSz w:w="11900" w:h="16838" w:orient="portrait"/>
          <w:cols w:equalWidth="0" w:num="1">
            <w:col w:w="9019"/>
          </w:cols>
          <w:pgMar w:left="1440" w:top="122" w:right="1440" w:bottom="1440" w:gutter="0" w:footer="0" w:header="0"/>
        </w:sectPr>
      </w:pP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Borrowings from securitization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Repayment of debt related to securitization transactions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Repayments of debt</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Finance lease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Payment of debt and securitized debt issuance costs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Payment of dividends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Payment of withholding taxes on vesting of restricted stock units</w:t>
      </w:r>
    </w:p>
    <w:p>
      <w:pPr>
        <w:spacing w:after="0" w:line="36" w:lineRule="exact"/>
        <w:rPr>
          <w:sz w:val="20"/>
          <w:szCs w:val="20"/>
          <w:color w:val="auto"/>
        </w:rPr>
      </w:pPr>
    </w:p>
    <w:p>
      <w:pPr>
        <w:ind w:left="720" w:right="220"/>
        <w:spacing w:after="0"/>
        <w:rPr>
          <w:sz w:val="20"/>
          <w:szCs w:val="20"/>
          <w:color w:val="auto"/>
        </w:rPr>
      </w:pPr>
      <w:r>
        <w:rPr>
          <w:rFonts w:ascii="Arial" w:cs="Arial" w:eastAsia="Arial" w:hAnsi="Arial"/>
          <w:sz w:val="18"/>
          <w:szCs w:val="18"/>
          <w:color w:val="auto"/>
        </w:rPr>
        <w:t>Net cash, cash equivalents and restricted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-259080</wp:posOffset>
            </wp:positionV>
            <wp:extent cx="565785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ind w:left="260" w:right="460"/>
        <w:spacing w:after="0"/>
        <w:rPr>
          <w:sz w:val="20"/>
          <w:szCs w:val="20"/>
          <w:color w:val="auto"/>
        </w:rPr>
      </w:pPr>
      <w:r>
        <w:rPr>
          <w:rFonts w:ascii="Arial" w:cs="Arial" w:eastAsia="Arial" w:hAnsi="Arial"/>
          <w:sz w:val="18"/>
          <w:szCs w:val="18"/>
          <w:color w:val="auto"/>
        </w:rPr>
        <w:t>Effect of changes in exchange rates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 in cash, cash equivalents and restricted cash</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30" w:lineRule="exact"/>
        <w:rPr>
          <w:sz w:val="20"/>
          <w:szCs w:val="20"/>
          <w:color w:val="auto"/>
        </w:rPr>
      </w:pPr>
    </w:p>
    <w:p>
      <w:pPr>
        <w:ind w:left="60"/>
        <w:spacing w:after="0"/>
        <w:tabs>
          <w:tab w:leader="none" w:pos="5940" w:val="left"/>
        </w:tabs>
        <w:rPr>
          <w:sz w:val="20"/>
          <w:szCs w:val="20"/>
          <w:color w:val="auto"/>
        </w:rPr>
      </w:pPr>
      <w:r>
        <w:rPr>
          <w:rFonts w:ascii="Arial" w:cs="Arial" w:eastAsia="Arial" w:hAnsi="Arial"/>
          <w:sz w:val="18"/>
          <w:szCs w:val="18"/>
          <w:color w:val="auto"/>
        </w:rPr>
        <w:t>Cash, cash equivalents and restricted cash, end of 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8"/>
          <w:szCs w:val="18"/>
          <w:color w:val="auto"/>
        </w:rPr>
        <w:t>206</w:t>
      </w:r>
    </w:p>
    <w:p>
      <w:pPr>
        <w:spacing w:after="0" w:line="50" w:lineRule="exact"/>
        <w:rPr>
          <w:sz w:val="20"/>
          <w:szCs w:val="20"/>
          <w:color w:val="auto"/>
        </w:rPr>
      </w:pPr>
    </w:p>
    <w:p>
      <w:pPr>
        <w:ind w:left="1740" w:hanging="1581"/>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(197)</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jc w:val="right"/>
              <w:ind w:right="550"/>
              <w:spacing w:after="0"/>
              <w:rPr>
                <w:sz w:val="20"/>
                <w:szCs w:val="20"/>
                <w:color w:val="auto"/>
              </w:rPr>
            </w:pPr>
            <w:r>
              <w:rPr>
                <w:rFonts w:ascii="Arial" w:cs="Arial" w:eastAsia="Arial" w:hAnsi="Arial"/>
                <w:sz w:val="18"/>
                <w:szCs w:val="18"/>
                <w:color w:val="auto"/>
              </w:rPr>
              <w:t>885</w:t>
            </w:r>
          </w:p>
        </w:tc>
        <w:tc>
          <w:tcPr>
            <w:tcW w:w="10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57"/>
        </w:trPr>
        <w:tc>
          <w:tcPr>
            <w:tcW w:w="1160" w:type="dxa"/>
            <w:vAlign w:val="bottom"/>
          </w:tcPr>
          <w:p>
            <w:pPr>
              <w:jc w:val="right"/>
              <w:ind w:right="490"/>
              <w:spacing w:after="0"/>
              <w:rPr>
                <w:sz w:val="20"/>
                <w:szCs w:val="20"/>
                <w:color w:val="auto"/>
              </w:rPr>
            </w:pPr>
            <w:r>
              <w:rPr>
                <w:rFonts w:ascii="Arial" w:cs="Arial" w:eastAsia="Arial" w:hAnsi="Arial"/>
                <w:sz w:val="18"/>
                <w:szCs w:val="18"/>
                <w:color w:val="auto"/>
                <w:w w:val="98"/>
              </w:rPr>
              <w:t>(1,152)</w:t>
            </w: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r>
    </w:tbl>
    <w:p>
      <w:pPr>
        <w:spacing w:after="0" w:line="18" w:lineRule="exact"/>
        <w:rPr>
          <w:sz w:val="20"/>
          <w:szCs w:val="20"/>
          <w:color w:val="auto"/>
        </w:rPr>
      </w:pPr>
    </w:p>
    <w:p>
      <w:pPr>
        <w:ind w:left="1940" w:hanging="1581"/>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w:t>
      </w:r>
    </w:p>
    <w:p>
      <w:pPr>
        <w:spacing w:after="0" w:line="50"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(36)</w:t>
      </w:r>
    </w:p>
    <w:p>
      <w:pPr>
        <w:spacing w:after="0" w:line="50" w:lineRule="exact"/>
        <w:rPr>
          <w:sz w:val="20"/>
          <w:szCs w:val="20"/>
          <w:color w:val="auto"/>
        </w:rPr>
      </w:pPr>
    </w:p>
    <w:p>
      <w:pPr>
        <w:ind w:left="1840" w:hanging="1581"/>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(55)</w:t>
      </w:r>
    </w:p>
    <w:p>
      <w:pPr>
        <w:spacing w:after="0" w:line="50" w:lineRule="exact"/>
        <w:rPr>
          <w:sz w:val="20"/>
          <w:szCs w:val="20"/>
          <w:color w:val="auto"/>
        </w:rPr>
      </w:pPr>
    </w:p>
    <w:p>
      <w:pPr>
        <w:ind w:left="1940" w:hanging="1581"/>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w:t>
      </w:r>
    </w:p>
    <w:p>
      <w:pPr>
        <w:spacing w:after="0" w:line="225" w:lineRule="exact"/>
        <w:rPr>
          <w:rFonts w:ascii="Arial" w:cs="Arial" w:eastAsia="Arial" w:hAnsi="Arial"/>
          <w:sz w:val="18"/>
          <w:szCs w:val="18"/>
          <w:color w:val="auto"/>
        </w:rPr>
      </w:pPr>
    </w:p>
    <w:p>
      <w:pPr>
        <w:ind w:left="1840" w:hanging="1681"/>
        <w:spacing w:after="0"/>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17780</wp:posOffset>
            </wp:positionV>
            <wp:extent cx="1920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5"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p>
    <w:p>
      <w:pPr>
        <w:spacing w:after="0" w:line="50" w:lineRule="exact"/>
        <w:rPr>
          <w:sz w:val="20"/>
          <w:szCs w:val="20"/>
          <w:color w:val="auto"/>
        </w:rPr>
      </w:pPr>
    </w:p>
    <w:p>
      <w:pPr>
        <w:ind w:left="1840" w:hanging="1681"/>
        <w:spacing w:after="0"/>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(41)</w:t>
      </w:r>
    </w:p>
    <w:p>
      <w:pPr>
        <w:spacing w:after="0" w:line="50" w:lineRule="exact"/>
        <w:rPr>
          <w:sz w:val="20"/>
          <w:szCs w:val="20"/>
          <w:color w:val="auto"/>
        </w:rPr>
      </w:pPr>
    </w:p>
    <w:tbl>
      <w:tblPr>
        <w:tblLayout w:type="fixed"/>
        <w:tblInd w:w="220" w:type="dxa"/>
        <w:tblCellMar>
          <w:top w:w="0" w:type="dxa"/>
          <w:left w:w="0" w:type="dxa"/>
          <w:bottom w:w="0" w:type="dxa"/>
          <w:right w:w="0" w:type="dxa"/>
        </w:tblCellMar>
      </w:tblPr>
      <w:tr>
        <w:trPr>
          <w:trHeight w:val="235"/>
        </w:trPr>
        <w:tc>
          <w:tcPr>
            <w:tcW w:w="540" w:type="dxa"/>
            <w:vAlign w:val="bottom"/>
          </w:tcPr>
          <w:p>
            <w:pPr>
              <w:jc w:val="right"/>
              <w:ind w:right="150"/>
              <w:spacing w:after="0"/>
              <w:rPr>
                <w:sz w:val="20"/>
                <w:szCs w:val="20"/>
                <w:color w:val="auto"/>
              </w:rPr>
            </w:pPr>
            <w:r>
              <w:rPr>
                <w:rFonts w:ascii="Arial" w:cs="Arial" w:eastAsia="Arial" w:hAnsi="Arial"/>
                <w:sz w:val="18"/>
                <w:szCs w:val="18"/>
                <w:color w:val="auto"/>
                <w:w w:val="93"/>
              </w:rPr>
              <w:t>733</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r>
      <w:tr>
        <w:trPr>
          <w:trHeight w:val="223"/>
        </w:trPr>
        <w:tc>
          <w:tcPr>
            <w:tcW w:w="540" w:type="dxa"/>
            <w:vAlign w:val="bottom"/>
          </w:tcPr>
          <w:p>
            <w:pPr>
              <w:jc w:val="right"/>
              <w:ind w:right="150"/>
              <w:spacing w:after="0"/>
              <w:rPr>
                <w:sz w:val="20"/>
                <w:szCs w:val="20"/>
                <w:color w:val="auto"/>
              </w:rPr>
            </w:pPr>
            <w:r>
              <w:rPr>
                <w:rFonts w:ascii="Arial" w:cs="Arial" w:eastAsia="Arial" w:hAnsi="Arial"/>
                <w:sz w:val="18"/>
                <w:szCs w:val="18"/>
                <w:color w:val="auto"/>
                <w:w w:val="93"/>
              </w:rPr>
              <w:t>596</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r>
      <w:tr>
        <w:trPr>
          <w:trHeight w:val="20"/>
        </w:trPr>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-8255</wp:posOffset>
            </wp:positionV>
            <wp:extent cx="916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ectPr>
          <w:pgSz w:w="11900" w:h="16838" w:orient="portrait"/>
          <w:cols w:equalWidth="0" w:num="2">
            <w:col w:w="6060" w:space="700"/>
            <w:col w:w="2259"/>
          </w:cols>
          <w:pgMar w:left="1440" w:top="122" w:right="1440"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A-12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FREE CASH FLOW AND ADJUSTED FREE CASH FLOW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and 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b w:val="1"/>
                <w:bCs w:val="1"/>
                <w:color w:val="FFFFFF"/>
              </w:rPr>
              <w:t>CASH FLOW</w:t>
            </w:r>
          </w:p>
        </w:tc>
        <w:tc>
          <w:tcPr>
            <w:tcW w:w="1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March 31, 2026</w:t>
            </w:r>
          </w:p>
        </w:tc>
        <w:tc>
          <w:tcPr>
            <w:tcW w:w="1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169"/>
        </w:trPr>
        <w:tc>
          <w:tcPr>
            <w:tcW w:w="60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Cash, cash equivalents, and restricted cash (used in) provided by operating</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2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from securitizations, net of repayments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6040" w:type="dxa"/>
            <w:vAlign w:val="bottom"/>
          </w:tcPr>
          <w:p>
            <w:pPr>
              <w:ind w:left="440"/>
              <w:spacing w:after="0"/>
              <w:rPr>
                <w:sz w:val="20"/>
                <w:szCs w:val="20"/>
                <w:color w:val="auto"/>
              </w:rPr>
            </w:pPr>
            <w:r>
              <w:rPr>
                <w:rFonts w:ascii="Arial" w:cs="Arial" w:eastAsia="Arial" w:hAnsi="Arial"/>
                <w:sz w:val="18"/>
                <w:szCs w:val="18"/>
                <w:color w:val="auto"/>
              </w:rPr>
              <w:t>Free cash flow*</w:t>
            </w:r>
          </w:p>
        </w:tc>
        <w:tc>
          <w:tcPr>
            <w:tcW w:w="12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200"/>
              <w:spacing w:after="0"/>
              <w:rPr>
                <w:sz w:val="20"/>
                <w:szCs w:val="20"/>
                <w:color w:val="auto"/>
              </w:rPr>
            </w:pPr>
            <w:r>
              <w:rPr>
                <w:rFonts w:ascii="Arial" w:cs="Arial" w:eastAsia="Arial" w:hAnsi="Arial"/>
                <w:sz w:val="18"/>
                <w:szCs w:val="18"/>
                <w:color w:val="auto"/>
              </w:rPr>
              <w:t>Proceeds from Cancun disposition</w:t>
            </w:r>
          </w:p>
        </w:tc>
        <w:tc>
          <w:tcPr>
            <w:tcW w:w="12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 in borrowings available from the securitization of eligible</w:t>
            </w:r>
          </w:p>
        </w:tc>
        <w:tc>
          <w:tcPr>
            <w:tcW w:w="1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20"/>
              <w:spacing w:after="0" w:line="243" w:lineRule="exact"/>
              <w:rPr>
                <w:sz w:val="20"/>
                <w:szCs w:val="20"/>
                <w:color w:val="auto"/>
              </w:rPr>
            </w:pPr>
            <w:r>
              <w:rPr>
                <w:rFonts w:ascii="Arial" w:cs="Arial" w:eastAsia="Arial" w:hAnsi="Arial"/>
                <w:sz w:val="18"/>
                <w:szCs w:val="18"/>
                <w:color w:val="auto"/>
              </w:rPr>
              <w:t>vacation ownership notes receivable</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tcPr>
          <w:p>
            <w:pPr>
              <w:ind w:left="20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Adjusted free cash flow*</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40" w:right="379" w:firstLine="1"/>
        <w:spacing w:after="0" w:line="286" w:lineRule="auto"/>
        <w:tabs>
          <w:tab w:leader="none" w:pos="2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Denotes non-GAAP financial measures. Please see “Non-GAAP Financial Measures” for additional information about our reasons for providing these alternative financial measures and limitations on their use.</w:t>
      </w:r>
    </w:p>
    <w:p>
      <w:pPr>
        <w:spacing w:after="0" w:line="61" w:lineRule="exact"/>
        <w:rPr>
          <w:sz w:val="20"/>
          <w:szCs w:val="20"/>
          <w:color w:val="auto"/>
        </w:rPr>
      </w:pPr>
    </w:p>
    <w:p>
      <w:pPr>
        <w:ind w:left="140" w:right="839" w:firstLine="1"/>
        <w:spacing w:after="0" w:line="227" w:lineRule="auto"/>
        <w:tabs>
          <w:tab w:leader="none" w:pos="313"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Represents the net change in borrowings available from the securitization of eligible vacation ownership notes receivable compared to the prior year end.</w:t>
      </w:r>
    </w:p>
    <w:p>
      <w:pPr>
        <w:spacing w:after="0" w:line="97" w:lineRule="exact"/>
        <w:rPr>
          <w:rFonts w:ascii="Arial" w:cs="Arial" w:eastAsia="Arial" w:hAnsi="Arial"/>
          <w:sz w:val="21"/>
          <w:szCs w:val="21"/>
          <w:color w:val="auto"/>
          <w:vertAlign w:val="superscript"/>
        </w:rPr>
      </w:pPr>
    </w:p>
    <w:p>
      <w:pPr>
        <w:ind w:left="140" w:right="219" w:firstLine="1"/>
        <w:spacing w:after="0" w:line="227" w:lineRule="auto"/>
        <w:tabs>
          <w:tab w:leader="none" w:pos="313"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Includes the after-tax impact of Modernization costs, restructuring costs, and other, as well as the changes in restricted cash.</w:t>
      </w:r>
    </w:p>
    <w:p>
      <w:pPr>
        <w:sectPr>
          <w:pgSz w:w="11900" w:h="16838" w:orient="portrait"/>
          <w:cols w:equalWidth="0" w:num="1">
            <w:col w:w="9019"/>
          </w:cols>
          <w:pgMar w:left="1440" w:top="12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A-13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2026 ADJUSTED FREE CASH FLOW OUTLOOK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Previous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Fiscal Year 2026 Guidance</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Fiscal Year 2026 Guidance</w:t>
            </w:r>
          </w:p>
        </w:tc>
        <w:tc>
          <w:tcPr>
            <w:tcW w:w="0" w:type="dxa"/>
            <w:vAlign w:val="bottom"/>
          </w:tcPr>
          <w:p>
            <w:pPr>
              <w:spacing w:after="0"/>
              <w:rPr>
                <w:sz w:val="1"/>
                <w:szCs w:val="1"/>
                <w:color w:val="auto"/>
              </w:rPr>
            </w:pPr>
          </w:p>
        </w:tc>
      </w:tr>
      <w:tr>
        <w:trPr>
          <w:trHeight w:val="249"/>
        </w:trPr>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1"/>
                <w:szCs w:val="21"/>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Low</w:t>
            </w:r>
          </w:p>
        </w:tc>
        <w:tc>
          <w:tcPr>
            <w:tcW w:w="44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37"/>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52"/>
        </w:trPr>
        <w:tc>
          <w:tcPr>
            <w:tcW w:w="2700" w:type="dxa"/>
            <w:vAlign w:val="bottom"/>
          </w:tcPr>
          <w:p>
            <w:pPr>
              <w:ind w:left="220"/>
              <w:spacing w:after="0"/>
              <w:rPr>
                <w:sz w:val="20"/>
                <w:szCs w:val="20"/>
                <w:color w:val="auto"/>
              </w:rPr>
            </w:pPr>
            <w:r>
              <w:rPr>
                <w:rFonts w:ascii="Arial" w:cs="Arial" w:eastAsia="Arial" w:hAnsi="Arial"/>
                <w:sz w:val="18"/>
                <w:szCs w:val="18"/>
                <w:color w:val="auto"/>
              </w:rPr>
              <w:t>Cash interest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61"/>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taxes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76"/>
        </w:trPr>
        <w:tc>
          <w:tcPr>
            <w:tcW w:w="2700" w:type="dxa"/>
            <w:vAlign w:val="bottom"/>
          </w:tcPr>
          <w:p>
            <w:pPr>
              <w:ind w:left="220"/>
              <w:spacing w:after="0" w:line="176" w:lineRule="exact"/>
              <w:rPr>
                <w:sz w:val="20"/>
                <w:szCs w:val="20"/>
                <w:color w:val="auto"/>
              </w:rPr>
            </w:pPr>
            <w:r>
              <w:rPr>
                <w:rFonts w:ascii="Arial" w:cs="Arial" w:eastAsia="Arial" w:hAnsi="Arial"/>
                <w:sz w:val="18"/>
                <w:szCs w:val="18"/>
                <w:color w:val="auto"/>
              </w:rPr>
              <w:t>Corporate capital</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53"/>
        </w:trPr>
        <w:tc>
          <w:tcPr>
            <w:tcW w:w="2700" w:type="dxa"/>
            <w:vAlign w:val="bottom"/>
            <w:vMerge w:val="restart"/>
          </w:tcPr>
          <w:p>
            <w:pPr>
              <w:ind w:left="220"/>
              <w:spacing w:after="0"/>
              <w:rPr>
                <w:sz w:val="20"/>
                <w:szCs w:val="20"/>
                <w:color w:val="auto"/>
              </w:rPr>
            </w:pPr>
            <w:r>
              <w:rPr>
                <w:rFonts w:ascii="Arial" w:cs="Arial" w:eastAsia="Arial" w:hAnsi="Arial"/>
                <w:sz w:val="18"/>
                <w:szCs w:val="18"/>
                <w:color w:val="auto"/>
              </w:rPr>
              <w:t>expenditures</w:t>
            </w:r>
          </w:p>
        </w:tc>
        <w:tc>
          <w:tcPr>
            <w:tcW w:w="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2"/>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activity and other</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8"/>
          <w:szCs w:val="18"/>
          <w:color w:val="auto"/>
        </w:rPr>
        <w:t>The guidance provided above excludes impacts from certain asset sales, foreign currency changes, restructuring costs, litigation charges, modernization costs, transaction and integration costs, and impairments, each of which the Company cannot forecast with sufficient accuracy to factor them into the guidance provided above and without unreasonable efforts, and which may be significant. As a result, the full year 2026 adjusted free cash flow outlook is presented only on a non-GAAP basis and is not reconciled to the most comparable GAAP measures. Where one or more of the currently unavailable items is applicable, some items could be material, individually or in the aggregate, to GAAP reported results.</w:t>
      </w:r>
    </w:p>
    <w:p>
      <w:pPr>
        <w:spacing w:after="0" w:line="291" w:lineRule="exact"/>
        <w:rPr>
          <w:sz w:val="20"/>
          <w:szCs w:val="20"/>
          <w:color w:val="auto"/>
        </w:rPr>
      </w:pPr>
    </w:p>
    <w:p>
      <w:pPr>
        <w:ind w:left="20" w:right="120" w:firstLine="6"/>
        <w:spacing w:after="0" w:line="287" w:lineRule="auto"/>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Denotes non-GAAP financial measures. Please see “Non-GAAP Financial Measures” for additional information about our reasons for providing these alternative financial measures and limitations on their use.</w:t>
      </w:r>
    </w:p>
    <w:p>
      <w:pPr>
        <w:sectPr>
          <w:pgSz w:w="11900" w:h="16838" w:orient="portrait"/>
          <w:cols w:equalWidth="0" w:num="1">
            <w:col w:w="9080"/>
          </w:cols>
          <w:pgMar w:left="1400" w:top="121" w:right="141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A-14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QUARTERLY OPERATING METRICS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 sales in millions)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18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March 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June 30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Full Year</w:t>
            </w:r>
          </w:p>
        </w:tc>
      </w:tr>
      <w:tr>
        <w:trPr>
          <w:trHeight w:val="250"/>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Vacation Ownership</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57"/>
        </w:trPr>
        <w:tc>
          <w:tcPr>
            <w:tcW w:w="2500" w:type="dxa"/>
            <w:vAlign w:val="bottom"/>
            <w:gridSpan w:val="3"/>
          </w:tcPr>
          <w:p>
            <w:pPr>
              <w:ind w:left="140"/>
              <w:spacing w:after="0"/>
              <w:rPr>
                <w:sz w:val="20"/>
                <w:szCs w:val="20"/>
                <w:color w:val="auto"/>
              </w:rPr>
            </w:pPr>
            <w:r>
              <w:rPr>
                <w:rFonts w:ascii="Arial" w:cs="Arial" w:eastAsia="Arial" w:hAnsi="Arial"/>
                <w:sz w:val="18"/>
                <w:szCs w:val="18"/>
                <w:color w:val="auto"/>
              </w:rPr>
              <w:t>Contract sales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238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3"/>
                <w:szCs w:val="23"/>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1,762</w:t>
            </w:r>
          </w:p>
        </w:tc>
      </w:tr>
      <w:tr>
        <w:trPr>
          <w:trHeight w:val="270"/>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r>
      <w:tr>
        <w:trPr>
          <w:trHeight w:val="270"/>
        </w:trPr>
        <w:tc>
          <w:tcPr>
            <w:tcW w:w="1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VPG</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238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2026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3,794</w:t>
            </w:r>
          </w:p>
        </w:tc>
      </w:tr>
      <w:tr>
        <w:trPr>
          <w:trHeight w:val="270"/>
        </w:trPr>
        <w:tc>
          <w:tcPr>
            <w:tcW w:w="238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23"/>
                <w:szCs w:val="23"/>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3,911</w:t>
            </w:r>
          </w:p>
        </w:tc>
      </w:tr>
      <w:tr>
        <w:trPr>
          <w:trHeight w:val="270"/>
        </w:trPr>
        <w:tc>
          <w:tcPr>
            <w:tcW w:w="18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2500" w:type="dxa"/>
            <w:vAlign w:val="bottom"/>
            <w:gridSpan w:val="3"/>
          </w:tcPr>
          <w:p>
            <w:pPr>
              <w:ind w:left="140"/>
              <w:spacing w:after="0"/>
              <w:rPr>
                <w:sz w:val="20"/>
                <w:szCs w:val="20"/>
                <w:color w:val="auto"/>
              </w:rPr>
            </w:pPr>
            <w:r>
              <w:rPr>
                <w:rFonts w:ascii="Arial" w:cs="Arial" w:eastAsia="Arial" w:hAnsi="Arial"/>
                <w:sz w:val="18"/>
                <w:szCs w:val="18"/>
                <w:color w:val="auto"/>
              </w:rPr>
              <w:t>Tours</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7"/>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6"/>
        </w:trPr>
        <w:tc>
          <w:tcPr>
            <w:tcW w:w="238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97,998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114,402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109,609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431,974</w:t>
            </w:r>
          </w:p>
        </w:tc>
      </w:tr>
      <w:tr>
        <w:trPr>
          <w:trHeight w:val="270"/>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111,752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432,716</w:t>
            </w:r>
          </w:p>
        </w:tc>
      </w:tr>
      <w:tr>
        <w:trPr>
          <w:trHeight w:val="270"/>
        </w:trPr>
        <w:tc>
          <w:tcPr>
            <w:tcW w:w="1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6"/>
        </w:trPr>
        <w:tc>
          <w:tcPr>
            <w:tcW w:w="374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Exchange &amp; Third-Party Management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7"/>
        </w:trPr>
        <w:tc>
          <w:tcPr>
            <w:tcW w:w="3740" w:type="dxa"/>
            <w:vAlign w:val="bottom"/>
            <w:gridSpan w:val="6"/>
          </w:tcPr>
          <w:p>
            <w:pPr>
              <w:ind w:left="140"/>
              <w:spacing w:after="0" w:line="256" w:lineRule="exact"/>
              <w:rPr>
                <w:sz w:val="20"/>
                <w:szCs w:val="20"/>
                <w:color w:val="auto"/>
              </w:rPr>
            </w:pPr>
            <w:r>
              <w:rPr>
                <w:rFonts w:ascii="Arial" w:cs="Arial" w:eastAsia="Arial" w:hAnsi="Arial"/>
                <w:sz w:val="18"/>
                <w:szCs w:val="18"/>
                <w:color w:val="auto"/>
                <w:w w:val="99"/>
              </w:rPr>
              <w:t>Total active Interval International members</w:t>
            </w:r>
            <w:r>
              <w:rPr>
                <w:rFonts w:ascii="Arial" w:cs="Arial" w:eastAsia="Arial" w:hAnsi="Arial"/>
                <w:sz w:val="23"/>
                <w:szCs w:val="23"/>
                <w:color w:val="auto"/>
                <w:w w:val="99"/>
                <w:vertAlign w:val="superscript"/>
              </w:rPr>
              <w:t>(1)</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7"/>
        </w:trPr>
        <w:tc>
          <w:tcPr>
            <w:tcW w:w="238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1,537,561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1,507,051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1,499,208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1,507,345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1,507,345</w:t>
            </w:r>
          </w:p>
        </w:tc>
      </w:tr>
      <w:tr>
        <w:trPr>
          <w:trHeight w:val="270"/>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1,530,490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1,544,835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1,545,638</w:t>
            </w:r>
          </w:p>
        </w:tc>
      </w:tr>
      <w:tr>
        <w:trPr>
          <w:trHeight w:val="270"/>
        </w:trPr>
        <w:tc>
          <w:tcPr>
            <w:tcW w:w="1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gridSpan w:val="3"/>
          </w:tcPr>
          <w:p>
            <w:pPr>
              <w:spacing w:after="0"/>
              <w:rPr>
                <w:sz w:val="23"/>
                <w:szCs w:val="23"/>
                <w:color w:val="auto"/>
              </w:rPr>
            </w:pPr>
          </w:p>
        </w:tc>
        <w:tc>
          <w:tcPr>
            <w:tcW w:w="128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6"/>
        </w:trPr>
        <w:tc>
          <w:tcPr>
            <w:tcW w:w="502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rPr>
              <w:t>Average revenue per Interval International member</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70"/>
        </w:trPr>
        <w:tc>
          <w:tcPr>
            <w:tcW w:w="238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2026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380" w:type="dxa"/>
            <w:vAlign w:val="bottom"/>
            <w:gridSpan w:val="2"/>
            <w:shd w:val="clear" w:color="auto" w:fill="CCEEFF"/>
          </w:tcPr>
          <w:p>
            <w:pPr>
              <w:jc w:val="center"/>
              <w:ind w:left="1690"/>
              <w:spacing w:after="0"/>
              <w:rPr>
                <w:sz w:val="20"/>
                <w:szCs w:val="20"/>
                <w:color w:val="auto"/>
              </w:rPr>
            </w:pPr>
            <w:r>
              <w:rPr>
                <w:rFonts w:ascii="Arial" w:cs="Arial" w:eastAsia="Arial" w:hAnsi="Arial"/>
                <w:sz w:val="18"/>
                <w:szCs w:val="18"/>
                <w:color w:val="auto"/>
                <w:w w:val="99"/>
              </w:rPr>
              <w:t>2025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150.51</w:t>
            </w:r>
          </w:p>
        </w:tc>
      </w:tr>
      <w:tr>
        <w:trPr>
          <w:trHeight w:val="274"/>
        </w:trPr>
        <w:tc>
          <w:tcPr>
            <w:tcW w:w="238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41.74</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23"/>
                <w:szCs w:val="23"/>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154.34</w:t>
            </w:r>
          </w:p>
        </w:tc>
      </w:tr>
    </w:tbl>
    <w:p>
      <w:pPr>
        <w:spacing w:after="0" w:line="114" w:lineRule="exact"/>
        <w:rPr>
          <w:sz w:val="20"/>
          <w:szCs w:val="20"/>
          <w:color w:val="auto"/>
        </w:rPr>
      </w:pPr>
    </w:p>
    <w:p>
      <w:pPr>
        <w:ind w:left="340" w:hanging="192"/>
        <w:spacing w:after="0"/>
        <w:tabs>
          <w:tab w:leader="none" w:pos="34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members at the end of each period.</w:t>
      </w:r>
    </w:p>
    <w:p>
      <w:pPr>
        <w:sectPr>
          <w:pgSz w:w="11900" w:h="16838" w:orient="portrait"/>
          <w:cols w:equalWidth="0" w:num="1">
            <w:col w:w="9019"/>
          </w:cols>
          <w:pgMar w:left="1440" w:top="121"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our press release and schedules, and on the related conference call, we report certain financial measures that are not prescribed by GAAP. We discuss our reasons for reporting these non-GAAP financial measures below, and the financial schedules included herein reconcile the most directly comparable GAAP financial measure to each non-GAAP financial measure that we report (identified by an asterisk (“*”) on the preceding pages). Although we evaluate and present these non-GAAP financial measures for the reasons described below, please be aware that these non-GAAP financial measures have limitations and should not be considered in isolation or as a substitute for revenues, net income or loss attributable to common stockholders, earnings or loss per share or any other comparable operating measure prescribed by GAAP. In addition, other companies in our industry may calculate these non-GAAP financial measures differently than we do or may not calculate them at all, limiting their usefulness as comparative measures.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Beginning in the third quarter of 2025, we began separately presenting Modernization expense in our Income Statements. As a result, prior year amounts for the three months ended March 31, 2025 were reclassified from Restructuring expense to conform with our current year presentation. Additionally, for the three months ended March 31, 2025, we reclassified $2 million related to the impairment of an operating lease and related assets from Restructuring expense to Impairment expense to conform with our current year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Items Excluded from Non-GAAP Financial Measures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evaluate non-GAAP financial measures, including those identified by an asterisk (“*”) on the preceding pages, that exclude certain items as further described in the financial schedules included herein, and believe these measures provide useful information to investors because these non-GAAP financial measures allow for period-over-period comparisons of our ongoing core operations before the impact of these items. These non-GAAP financial measures also facilitate the comparison of results from our ongoing core operations before these items with results from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Development Profit and Adjusted Development Profit Margin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evaluate Adjusted development profit (Adjusted sale of vacation ownership products, net of expenses) and Adjusted development profit margin as indicators of operating performance. Adjusted development profit margin is calculated by dividing Adjusted development profit by revenues from the Sale of vacation ownership products. Adjusted development profit and Adjusted development profit margin adjust Sale of vacation ownership products revenues for the impact of revenue reportability, include corresponding adjustments to Cost of vacation ownership products associated with the change in revenues from the Sale of vacation ownership products, and may include adjustments for certain items as necessary. We evaluate Adjusted development profit and Adjusted development profit margin and believe they provide useful information to investors because they allow for period-over-period comparisons of our ongoing core operations before the impact of revenue reportability and certain items to our Development profit and Development profit margin.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EBITDA, a financial measure that is not prescribed by GAAP, is defined as earnings, or net income or loss attributable to common stockholders, before interest expense, net (excluding consumer financing interest expense),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Amortization of cloud computing software implementation costs, which are not included in depreciation and amortization expense, are excluded from Adjusted EBITDA for comparability purposes to address the considerable variability among companies in the utilization of productive assets.</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A-16</w:t>
      </w:r>
    </w:p>
    <w:p>
      <w:pPr>
        <w:spacing w:after="0" w:line="200" w:lineRule="exact"/>
        <w:rPr>
          <w:sz w:val="20"/>
          <w:szCs w:val="20"/>
          <w:color w:val="auto"/>
        </w:rPr>
      </w:pPr>
    </w:p>
    <w:p>
      <w:pPr>
        <w:spacing w:after="0" w:line="36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purposes of our EBITDA and Adjusted EBITDA calculations, we do not adjust for consumer financing interest expense because we consider it to be an operating expense of our business. We consider Adjusted EBITDA to be an indicator of operating performance, which we use to measure our ability to service debt, fund capital expenditures, expand our business, and return cash to stockholders.</w:t>
      </w:r>
    </w:p>
    <w:p>
      <w:pPr>
        <w:spacing w:after="0" w:line="6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Adjusted EBITDA also excludes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Commencing in the first quarter of 2026, interest expense associated with our Warehouse Credit Facility is included as a component of Consumer financing interest expense within Financing expense. For the first quarter of 2025, interest expense associated with our Warehouse Credit Facility is included as a component of Interest expense, net. Interest expense on our Warehouse Credit Facility was $3 million and $4 million for the three months ended March 31, 2026 and March 31, 2025,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Margin and Segment Adjusted EBITDA Margin</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evaluate Adjusted EBITDA margin and Segment Adjusted EBITDA margin as indicators of operating profitability. Adjusted EBITDA margin represents Adjusted EBITDA divided by the Company’s total revenues less cost reimbursement revenues. Segment Adjusted EBITDA margin represents Segment Adjusted EBITDA divided by the applicable segment’s total revenues less cost reimbursement revenues. We evaluate Adjusted EBITDA margin and Segment Adjusted EBITDA margin and believe it provides useful information to investors because it allows for period-over-period comparisons of our ongoing core operations before the impact of excluded items.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Pretax Income, Adjusted Net Income Attributable to Common Stockholders, and Adjusted Earnings per Share - Diluted</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We evaluate Adjusted pretax income, Adjusted net income attributable to common stockholders, and Adjusted earnings per share - diluted as indicators of operating performance. Adjusted pretax income is calculated as Adjusted EBITDA less depreciation and amortization, interest expense, net of interest income, share-based compensation expense and amortization of cloud computing software implementation costs. Adjusted net income attributable to common stockholders is calculated as Adjusted pretax income less provision for income tax adjusted for certain items and Adjusted earnings per share - diluted equals adjusted net income attributable to common stockholders divided by diluted shares. We evaluate these measures because we believe they provide useful information to investors because they allow for period-over-period comparisons of our ongoing core operations before the impact of certain non-recurring items such as impacts from asset sales, foreign currency changes, restructuring costs, litigation charges, modernization costs, transaction and integration costs, and impairments, and also facilitate the comparison of results from our ongoing core operations before these items with results from other companies.</w:t>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and Adjusted Free Cash Flow</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evaluate Free Cash Flow and Adjusted Free Cash Flow as liquidity measures that provide useful information to management and investors about the amount of cash provided by operating activities after capital expenditures for property and equipment and the borrowing and repayment activity related to our term securitizations, which cash can be used for, among other purposes, strategic opportunities, including acquisitions and strengthening the balance sheet. Adjusted Free Cash Flow, which reflects additional adjustments to Free Cash Flow for the impact of transaction, integration, restructuring, and modernization costs, litigation charges, insurance proceeds, impact of borrowings available from the securitization of eligible vacation ownership notes receivable, and changes in restricted cash and other items, allows for period-over-period comparisons of the cash generated by our business before the impact of these items. Analysis of Free Cash Flow and Adjusted Free Cash Flow also facilitates management’s comparison of our results with our competitors’ results.</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50"/>
    </w:lvl>
  </w:abstractNum>
  <w:abstractNum w:abstractNumId="14">
    <w:nsid w:val="75A2A8D4"/>
    <w:multiLevelType w:val="hybridMultilevel"/>
    <w:lvl w:ilvl="0">
      <w:lvlJc w:val="left"/>
      <w:lvlText w:val="(%1)"/>
      <w:numFmt w:val="decimal"/>
      <w:start w:val="22"/>
    </w:lvl>
  </w:abstractNum>
  <w:abstractNum w:abstractNumId="15">
    <w:nsid w:val="8EDBDAB"/>
    <w:multiLevelType w:val="hybridMultilevel"/>
    <w:lvl w:ilvl="0">
      <w:lvlJc w:val="left"/>
      <w:lvlText w:val="%1"/>
      <w:numFmt w:val="decimal"/>
      <w:start w:val="343"/>
    </w:lvl>
    <w:lvl w:ilvl="1">
      <w:lvlJc w:val="left"/>
      <w:lvlText w:val="(%2)"/>
      <w:numFmt w:val="decimal"/>
      <w:start w:val="46"/>
    </w:lvl>
  </w:abstractNum>
  <w:abstractNum w:abstractNumId="16">
    <w:nsid w:val="79838CB2"/>
    <w:multiLevelType w:val="hybridMultilevel"/>
    <w:lvl w:ilvl="0">
      <w:lvlJc w:val="left"/>
      <w:lvlText w:val="(%1)"/>
      <w:numFmt w:val="decimal"/>
      <w:start w:val="242"/>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98"/>
    </w:lvl>
  </w:abstractNum>
  <w:abstractNum w:abstractNumId="23">
    <w:nsid w:val="836C40E"/>
    <w:multiLevelType w:val="hybridMultilevel"/>
    <w:lvl w:ilvl="0">
      <w:lvlJc w:val="left"/>
      <w:lvlText w:val="(%1)"/>
      <w:numFmt w:val="decimal"/>
      <w:start w:val="2"/>
    </w:lvl>
  </w:abstractNum>
  <w:abstractNum w:abstractNumId="24">
    <w:nsid w:val="2901D82"/>
    <w:multiLevelType w:val="hybridMultilevel"/>
    <w:lvl w:ilvl="0">
      <w:lvlJc w:val="left"/>
      <w:lvlText w:val="\emdash "/>
      <w:numFmt w:val="bullet"/>
      <w:start w:val="1"/>
    </w:lvl>
  </w:abstractNum>
  <w:abstractNum w:abstractNumId="25">
    <w:nsid w:val="3A95F874"/>
    <w:multiLevelType w:val="hybridMultilevel"/>
    <w:lvl w:ilvl="0">
      <w:lvlJc w:val="left"/>
      <w:lvlText w:val="(%1)"/>
      <w:numFmt w:val="decimal"/>
      <w:start w:val="55"/>
    </w:lvl>
  </w:abstractNum>
  <w:abstractNum w:abstractNumId="26">
    <w:nsid w:val="8138641"/>
    <w:multiLevelType w:val="hybridMultilevel"/>
    <w:lvl w:ilvl="0">
      <w:lvlJc w:val="left"/>
      <w:lvlText w:val="(%1)"/>
      <w:numFmt w:val="decimal"/>
      <w:start w:val="6"/>
    </w:lvl>
    <w:lvl w:ilvl="1">
      <w:lvlJc w:val="left"/>
      <w:lvlText w:val="%2"/>
      <w:numFmt w:val="decimal"/>
      <w:start w:val="1"/>
    </w:lvl>
  </w:abstractNum>
  <w:abstractNum w:abstractNumId="27">
    <w:nsid w:val="1E7FF521"/>
    <w:multiLevelType w:val="hybridMultilevel"/>
    <w:lvl w:ilvl="0">
      <w:lvlJc w:val="left"/>
      <w:lvlText w:val="(%1)"/>
      <w:numFmt w:val="decimal"/>
      <w:start w:val="174"/>
    </w:lvl>
    <w:lvl w:ilvl="1">
      <w:lvlJc w:val="left"/>
      <w:lvlText w:val="%2"/>
      <w:numFmt w:val="decimal"/>
      <w:start w:val="1"/>
    </w:lvl>
  </w:abstractNum>
  <w:abstractNum w:abstractNumId="28">
    <w:nsid w:val="7C3DBD3D"/>
    <w:multiLevelType w:val="hybridMultilevel"/>
    <w:lvl w:ilvl="0">
      <w:lvlJc w:val="left"/>
      <w:lvlText w:val="(%1)"/>
      <w:numFmt w:val="decimal"/>
      <w:start w:val="137"/>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2026-05-05T06:05:02Z</dcterms:created>
  <dcterms:modified xsi:type="dcterms:W3CDTF">2026-05-05T06:05:02Z</dcterms:modified>
</cp:coreProperties>
</file>