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7,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4280" w:type="dxa"/>
            <w:vAlign w:val="bottom"/>
          </w:tcPr>
          <w:p>
            <w:pPr>
              <w:jc w:val="center"/>
              <w:ind w:right="1982"/>
              <w:spacing w:after="0"/>
              <w:rPr>
                <w:sz w:val="20"/>
                <w:szCs w:val="20"/>
                <w:color w:val="auto"/>
              </w:rPr>
            </w:pPr>
            <w:r>
              <w:rPr>
                <w:rFonts w:ascii="Arial" w:cs="Arial" w:eastAsia="Arial" w:hAnsi="Arial"/>
                <w:sz w:val="18"/>
                <w:szCs w:val="18"/>
                <w:b w:val="1"/>
                <w:bCs w:val="1"/>
                <w:color w:val="auto"/>
                <w:w w:val="88"/>
              </w:rPr>
              <w:t>Delaware</w:t>
            </w:r>
          </w:p>
        </w:tc>
        <w:tc>
          <w:tcPr>
            <w:tcW w:w="3120" w:type="dxa"/>
            <w:vAlign w:val="bottom"/>
          </w:tcPr>
          <w:p>
            <w:pPr>
              <w:jc w:val="right"/>
              <w:ind w:right="24"/>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4280" w:type="dxa"/>
            <w:vAlign w:val="bottom"/>
          </w:tcPr>
          <w:p>
            <w:pPr>
              <w:jc w:val="center"/>
              <w:ind w:right="19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20" w:type="dxa"/>
            <w:vAlign w:val="bottom"/>
          </w:tcPr>
          <w:p>
            <w:pPr>
              <w:jc w:val="center"/>
              <w:ind w:left="19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80" w:type="dxa"/>
            <w:vAlign w:val="bottom"/>
          </w:tcPr>
          <w:p>
            <w:pPr>
              <w:jc w:val="center"/>
              <w:ind w:right="1962"/>
              <w:spacing w:after="0"/>
              <w:rPr>
                <w:sz w:val="20"/>
                <w:szCs w:val="20"/>
                <w:color w:val="auto"/>
              </w:rPr>
            </w:pPr>
            <w:r>
              <w:rPr>
                <w:rFonts w:ascii="Arial" w:cs="Arial" w:eastAsia="Arial" w:hAnsi="Arial"/>
                <w:sz w:val="14"/>
                <w:szCs w:val="14"/>
                <w:b w:val="1"/>
                <w:bCs w:val="1"/>
                <w:color w:val="auto"/>
                <w:w w:val="88"/>
              </w:rPr>
              <w:t>incorporation or organization)</w:t>
            </w:r>
          </w:p>
        </w:tc>
        <w:tc>
          <w:tcPr>
            <w:tcW w:w="3120" w:type="dxa"/>
            <w:vAlign w:val="bottom"/>
          </w:tcPr>
          <w:p>
            <w:pPr>
              <w:jc w:val="center"/>
              <w:ind w:left="19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280" w:type="dxa"/>
            <w:vAlign w:val="bottom"/>
          </w:tcPr>
          <w:p>
            <w:pPr>
              <w:jc w:val="center"/>
              <w:ind w:right="1982"/>
              <w:spacing w:after="0"/>
              <w:rPr>
                <w:sz w:val="20"/>
                <w:szCs w:val="20"/>
                <w:color w:val="auto"/>
              </w:rPr>
            </w:pPr>
            <w:r>
              <w:rPr>
                <w:rFonts w:ascii="Arial" w:cs="Arial" w:eastAsia="Arial" w:hAnsi="Arial"/>
                <w:sz w:val="18"/>
                <w:szCs w:val="18"/>
                <w:b w:val="1"/>
                <w:bCs w:val="1"/>
                <w:color w:val="auto"/>
                <w:w w:val="87"/>
              </w:rPr>
              <w:t>6649 Westwood Blvd.</w:t>
            </w:r>
          </w:p>
        </w:tc>
        <w:tc>
          <w:tcPr>
            <w:tcW w:w="3120" w:type="dxa"/>
            <w:vAlign w:val="bottom"/>
          </w:tcPr>
          <w:p>
            <w:pPr>
              <w:spacing w:after="0"/>
              <w:rPr>
                <w:sz w:val="24"/>
                <w:szCs w:val="24"/>
                <w:color w:val="auto"/>
              </w:rPr>
            </w:pPr>
          </w:p>
        </w:tc>
      </w:tr>
      <w:tr>
        <w:trPr>
          <w:trHeight w:val="231"/>
        </w:trPr>
        <w:tc>
          <w:tcPr>
            <w:tcW w:w="428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Orlando, FL</w:t>
            </w:r>
          </w:p>
        </w:tc>
        <w:tc>
          <w:tcPr>
            <w:tcW w:w="3120" w:type="dxa"/>
            <w:vAlign w:val="bottom"/>
          </w:tcPr>
          <w:p>
            <w:pPr>
              <w:jc w:val="right"/>
              <w:ind w:right="224"/>
              <w:spacing w:after="0"/>
              <w:rPr>
                <w:sz w:val="20"/>
                <w:szCs w:val="20"/>
                <w:color w:val="auto"/>
              </w:rPr>
            </w:pPr>
            <w:r>
              <w:rPr>
                <w:rFonts w:ascii="Arial" w:cs="Arial" w:eastAsia="Arial" w:hAnsi="Arial"/>
                <w:sz w:val="18"/>
                <w:szCs w:val="18"/>
                <w:b w:val="1"/>
                <w:bCs w:val="1"/>
                <w:color w:val="auto"/>
              </w:rPr>
              <w:t>32821</w:t>
            </w:r>
          </w:p>
        </w:tc>
      </w:tr>
      <w:tr>
        <w:trPr>
          <w:trHeight w:val="174"/>
        </w:trPr>
        <w:tc>
          <w:tcPr>
            <w:tcW w:w="4280" w:type="dxa"/>
            <w:vAlign w:val="bottom"/>
          </w:tcPr>
          <w:p>
            <w:pPr>
              <w:jc w:val="center"/>
              <w:ind w:right="19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120" w:type="dxa"/>
            <w:vAlign w:val="bottom"/>
          </w:tcPr>
          <w:p>
            <w:pPr>
              <w:jc w:val="center"/>
              <w:ind w:left="198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(407) 206-6000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4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issuer’s common stock, par value $0.01 per share, as of October 12, 2012 was 34,518,238.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016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10160" w:type="dxa"/>
            <w:vAlign w:val="bottom"/>
            <w:gridSpan w:val="20"/>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60" w:type="dxa"/>
            <w:vAlign w:val="bottom"/>
            <w:tcBorders>
              <w:top w:val="single" w:sz="8" w:color="0000EE"/>
            </w:tcBorders>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Financial Statements</w:t>
              </w:r>
            </w:hyperlink>
          </w:p>
        </w:tc>
        <w:tc>
          <w:tcPr>
            <w:tcW w:w="66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Interim Consolidated Statements of Operations</w:t>
              </w:r>
            </w:hyperlink>
          </w:p>
        </w:tc>
        <w:tc>
          <w:tcPr>
            <w:tcW w:w="68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Interim Consolidated Statements of Comprehensive Income (Loss)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470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54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1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6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Interim Consolidated Financial Statements</w:t>
              </w:r>
            </w:hyperlink>
          </w:p>
        </w:tc>
        <w:tc>
          <w:tcPr>
            <w:tcW w:w="65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Controls and Procedures</w:t>
              </w:r>
            </w:hyperlink>
          </w:p>
        </w:tc>
        <w:tc>
          <w:tcPr>
            <w:tcW w:w="840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INFORMATION</w:t>
              </w:r>
            </w:hyperlink>
          </w:p>
        </w:tc>
        <w:tc>
          <w:tcPr>
            <w:tcW w:w="81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88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7"/>
          </w:tcPr>
          <w:p>
            <w:pPr>
              <w:spacing w:after="0"/>
              <w:rPr>
                <w:sz w:val="24"/>
                <w:szCs w:val="24"/>
                <w:color w:val="auto"/>
              </w:rPr>
            </w:pPr>
          </w:p>
        </w:tc>
        <w:tc>
          <w:tcPr>
            <w:tcW w:w="59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Mine Safety Disclosures</w:t>
              </w:r>
            </w:hyperlink>
          </w:p>
        </w:tc>
        <w:tc>
          <w:tcPr>
            <w:tcW w:w="842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16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88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104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Twelve Weeks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32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425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860"/>
              <w:spacing w:after="0"/>
              <w:rPr>
                <w:sz w:val="20"/>
                <w:szCs w:val="20"/>
                <w:color w:val="auto"/>
              </w:rPr>
            </w:pPr>
            <w:r>
              <w:rPr>
                <w:rFonts w:ascii="Arial" w:cs="Arial" w:eastAsia="Arial" w:hAnsi="Arial"/>
                <w:sz w:val="18"/>
                <w:szCs w:val="18"/>
                <w:b w:val="1"/>
                <w:bCs w:val="1"/>
                <w:color w:val="auto"/>
              </w:rPr>
              <w:t>TOTAL REVENUES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Rental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Cost reimbursements</w:t>
            </w:r>
          </w:p>
        </w:tc>
        <w:tc>
          <w:tcPr>
            <w:tcW w:w="1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EXPENSES</w:t>
            </w:r>
          </w:p>
        </w:tc>
        <w:tc>
          <w:tcPr>
            <w:tcW w:w="1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Impairment reversals on equity investment</w:t>
            </w:r>
          </w:p>
        </w:tc>
        <w:tc>
          <w:tcPr>
            <w:tcW w:w="1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26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11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6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0.68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earnings (loss) per share</w:t>
            </w:r>
          </w:p>
        </w:tc>
        <w:tc>
          <w:tcPr>
            <w:tcW w:w="11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0.17</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0.65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earnings (loss) per share</w:t>
            </w:r>
          </w:p>
        </w:tc>
        <w:tc>
          <w:tcPr>
            <w:tcW w:w="11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 (LOSS)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40" w:type="dxa"/>
            <w:vAlign w:val="bottom"/>
            <w:tcBorders>
              <w:top w:val="single" w:sz="8" w:color="auto"/>
            </w:tcBorders>
            <w:gridSpan w:val="3"/>
          </w:tcPr>
          <w:p>
            <w:pPr>
              <w:jc w:val="right"/>
              <w:ind w:right="680"/>
              <w:spacing w:after="0" w:line="129" w:lineRule="exact"/>
              <w:rPr>
                <w:sz w:val="20"/>
                <w:szCs w:val="20"/>
                <w:color w:val="auto"/>
              </w:rPr>
            </w:pPr>
            <w:r>
              <w:rPr>
                <w:rFonts w:ascii="Arial" w:cs="Arial" w:eastAsia="Arial" w:hAnsi="Arial"/>
                <w:sz w:val="14"/>
                <w:szCs w:val="14"/>
                <w:b w:val="1"/>
                <w:bCs w:val="1"/>
                <w:color w:val="auto"/>
                <w:w w:val="84"/>
              </w:rPr>
              <w:t>September 7,</w:t>
            </w: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 (loss), net of tax</w:t>
            </w: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(Unaudited)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September 7,</w:t>
            </w:r>
          </w:p>
        </w:tc>
        <w:tc>
          <w:tcPr>
            <w:tcW w:w="6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December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$47 and $42 from VIEs, respectively)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Accounts and contracts receivable (including $5 and $0 from VIEs, respectively)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(including $834 and $910 from VIEs, respectively)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(including $0 and $6 from VIEs, respectively)</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Advance deposits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$3 and $0 from VIEs, respectively)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Liability for Marriott Rewards loyalty program</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$790 and $847 from VIEs, respectively)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(including $0 and $2 from VIEs, respectively)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1,594</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7)</w:t>
            </w: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Preferred stock—$.01 par value; 2,000,000 shares authorized; none issued or outstanding</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Common stock—$.01 par value; 100,000,000 shares authorized; 34,415,985 and 33,845,700 shares issued and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respectively</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Retained earnings (deficit)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2,746</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16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Provision for loan losses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charge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Impairment reversals on equity investment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assets and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Accounts and contracts receivable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Notes receivable originations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Notes receivable collections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Inventory</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advance deposits and accrued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Liability for Marriott Rewards loyalty program</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Payroll and benefit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compensation liability</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 collections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Proceeds from sale of property and equipment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restricted cash</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investing activities</w:t>
            </w: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Borrowings from securitization transactions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 of debt related to securitizations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Borrowings on Revolving Corporate Credit Facility</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 of Revolving Corporate Credit Facility</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Repayment of third party debt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stock option exercises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distribution to Marriott International</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vMerge w:val="restart"/>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changes in exchange rates on cash and cash equivalents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212</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5"/>
              </w:rPr>
              <w:t>Non-cash reduction of Additional paid-in capital for increase in Deferred tax liabilities distributed to Marriott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Vacations Worldwide at Spin-off</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ectPr>
          <w:pgSz w:w="11900" w:h="16838" w:orient="portrait"/>
          <w:cols w:equalWidth="0" w:num="1">
            <w:col w:w="11420"/>
          </w:cols>
          <w:pgMar w:left="240" w:top="459" w:right="2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159" w:lineRule="exact"/>
        <w:rPr>
          <w:sz w:val="20"/>
          <w:szCs w:val="20"/>
          <w:color w:val="auto"/>
        </w:rPr>
      </w:pPr>
    </w:p>
    <w:p>
      <w:pPr>
        <w:ind w:right="666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Our Business</w:t>
      </w:r>
    </w:p>
    <w:p>
      <w:pPr>
        <w:spacing w:after="0" w:line="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Inc. (“Marriott International”), generally provides on-site management for Ritz-Carlton branded properties.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business is grouped into four reportable segments: North America, Luxury, Europe and Asia Pacific. We operate 64 properties in the United States and eight other countries and territories.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October 25, 2011, the board of directors of Marriott International approved the spin-off of its vacation ownership division into an independent public company, Marriott Vacations Worldwide, through the distribution of 100 percent of the outstanding shares of Marriott Vacations Worldwide common stock to the shareholders of Marriott International (the “Spin-Off”). On November 21, 2011, the Spin-Off of Marriott Vacations Worldwide was completed pursuant to a Separation and Distribution Agreement (the “Separation and Distribution Agreement”) between Marriott Vacations Worldwide and Marriott International.</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the Spin-Off, Marriott International completed an internal reorganization to contribute its non-U.S. and U.S. subsidiaries that conducted its vacation ownership business to Marriott Vacations Worldwide, a newly formed wholly owned subsidiary of Marriott International; the contributed subsidiaries included Marriott Ownership Resorts, Inc., which does business under the name Marriott Vacation Club International. The distribution of Marriott Vacations Worldwide common stock was made on November 21, 2011, with Marriott International shareholders receiving one share of Marriott Vacations Worldwide common stock for every ten shares of Marriott International common stock held as of the close of business Eastern time on the record date of November 10, 2011. Fractional shares of Marriott Vacations Worldwide common stock were not distributed; any fractional share of Marriott Vacations Worldwide common stock otherwise issuable to a Marriott International shareholder was sold in the open market on such shareholder’s behalf, with such shareholder receiving a cash payment in lieu of such fractional share.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Spin-Off, we entered into the Separation and Distribution Agreement and several other agreements which govern the ongoing relationship between Marriott Vacations Worldwide and Marriott International. See Footnote No. 12 “Related Party Transactions,” for further information on the ongoing relationship with Marriott International.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the consolidation accounting guidance. Through the date of the Spin-Off, these interim financial statements present the historical consolidated results of operations, financial position and cash flows of the Marriott Vacations Worldwide business that now comprises our operations. Intercompany accounts and transactions between consolidated companies have been eliminated in consolidation.</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Through the date of the Spin-Off, the interim consolidated financial statements presented herein and discussed below were prepared on a stand-alone basis and were derived from the interim consolidated financial statements and accounting records of Marriott International. These interim consolidated financial statements were prepared as if the reorganization described under “Our Spin-Off from Marriott International, Inc.” above had taken place as of the earliest period presented. The interim consolidated financial statements reflect our historical financial position, results of operations and cash flows as we have historically operated, in conformity with United States Generally Accepted Accounting Principles (“GAAP”). All significant intracompany transactions and accounts within these interim consolidated financial statements have been eliminated.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Prior to the Spin-Off, Marriott Vacations Worldwide was a subsidiary of Marriott International. The financial information included herein may not necessarily reflect our financial position, results of operations and cash flows in the future or what our financial position, results of operations and cash flows would have been had we been an independent, publicly traded company during all of the periods presented.</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refer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quarter ended on the date shown in the following table, rather than the corresponding calendar quarter:</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Fiscal Year</w:t>
            </w:r>
          </w:p>
        </w:tc>
        <w:tc>
          <w:tcPr>
            <w:tcW w:w="55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Quarter-End Date</w:t>
            </w:r>
          </w:p>
        </w:tc>
      </w:tr>
      <w:tr>
        <w:trPr>
          <w:trHeight w:val="203"/>
        </w:trPr>
        <w:tc>
          <w:tcPr>
            <w:tcW w:w="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4"/>
              </w:rPr>
              <w:t>2012</w:t>
            </w:r>
          </w:p>
        </w:tc>
        <w:tc>
          <w:tcPr>
            <w:tcW w:w="5900" w:type="dxa"/>
            <w:vAlign w:val="bottom"/>
            <w:tcBorders>
              <w:top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Third Quarter</w:t>
            </w: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September 7, 2012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2012</w:t>
            </w:r>
          </w:p>
        </w:tc>
        <w:tc>
          <w:tcPr>
            <w:tcW w:w="59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center"/>
              <w:spacing w:after="0"/>
              <w:rPr>
                <w:sz w:val="20"/>
                <w:szCs w:val="20"/>
                <w:color w:val="auto"/>
              </w:rPr>
            </w:pPr>
            <w:r>
              <w:rPr>
                <w:rFonts w:ascii="Arial" w:cs="Arial" w:eastAsia="Arial" w:hAnsi="Arial"/>
                <w:sz w:val="18"/>
                <w:szCs w:val="18"/>
                <w:color w:val="auto"/>
                <w:w w:val="85"/>
              </w:rPr>
              <w:t>June 15, 2012</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2012</w:t>
            </w:r>
          </w:p>
        </w:tc>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March 23, 2012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2011</w:t>
            </w: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Third Quarter</w:t>
            </w: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September 9, 2011</w:t>
            </w: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2011</w:t>
            </w:r>
          </w:p>
        </w:tc>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June 17, 2011</w:t>
            </w:r>
          </w:p>
        </w:tc>
      </w:tr>
      <w:tr>
        <w:trPr>
          <w:trHeight w:val="222"/>
        </w:trPr>
        <w:tc>
          <w:tcPr>
            <w:tcW w:w="360" w:type="dxa"/>
            <w:vAlign w:val="bottom"/>
          </w:tcPr>
          <w:p>
            <w:pPr>
              <w:spacing w:after="0"/>
              <w:rPr>
                <w:sz w:val="20"/>
                <w:szCs w:val="20"/>
                <w:color w:val="auto"/>
              </w:rPr>
            </w:pPr>
            <w:r>
              <w:rPr>
                <w:rFonts w:ascii="Arial" w:cs="Arial" w:eastAsia="Arial" w:hAnsi="Arial"/>
                <w:sz w:val="18"/>
                <w:szCs w:val="18"/>
                <w:color w:val="auto"/>
                <w:w w:val="84"/>
              </w:rPr>
              <w:t>2011</w:t>
            </w:r>
          </w:p>
        </w:tc>
        <w:tc>
          <w:tcPr>
            <w:tcW w:w="5900" w:type="dxa"/>
            <w:vAlign w:val="bottom"/>
            <w:gridSpan w:val="2"/>
          </w:tcPr>
          <w:p>
            <w:pPr>
              <w:ind w:left="20"/>
              <w:spacing w:after="0"/>
              <w:rPr>
                <w:sz w:val="20"/>
                <w:szCs w:val="20"/>
                <w:color w:val="auto"/>
              </w:rPr>
            </w:pPr>
            <w:r>
              <w:rPr>
                <w:rFonts w:ascii="Arial" w:cs="Arial" w:eastAsia="Arial" w:hAnsi="Arial"/>
                <w:sz w:val="18"/>
                <w:szCs w:val="18"/>
                <w:color w:val="auto"/>
              </w:rPr>
              <w:t>First Quarter</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March 25, 2011</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40" w:lineRule="exact"/>
        <w:rPr>
          <w:sz w:val="20"/>
          <w:szCs w:val="20"/>
          <w:color w:val="auto"/>
        </w:rPr>
      </w:pPr>
    </w:p>
    <w:p>
      <w:pPr>
        <w:jc w:val="both"/>
        <w:ind w:right="440" w:firstLine="456"/>
        <w:spacing w:after="0" w:line="298" w:lineRule="auto"/>
        <w:rPr>
          <w:sz w:val="20"/>
          <w:szCs w:val="20"/>
          <w:color w:val="auto"/>
        </w:rPr>
      </w:pPr>
      <w:r>
        <w:rPr>
          <w:rFonts w:ascii="Arial" w:cs="Arial" w:eastAsia="Arial" w:hAnsi="Arial"/>
          <w:sz w:val="16"/>
          <w:szCs w:val="16"/>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interim Financial Statements in conjunction with the audited annual Consolidated Financial Statements and notes to those Consolidated Financial Statements included in our Annual Report on Form 10-K for the fiscal year ended December 30, 2011.</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significant transactions between us and Marriott International have been included in these Financial Statements. The total net effect of the settlement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intercompany transactions prior to the Spin-Off is reflected in the Cash Flows as a financing activity. In connection with the Spin-Off, we completed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Marriott International related to our separation from Marriott International, which resulted in a net reduction to our equity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These transactions primarily consisted of the reversal of our deferred tax assets, which were retained by Marriott International following the Spin-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 and establishment of deferred tax liabilities. Retained earnings represents the results of operations subsequent to November 20, 2011.</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Through the date of the Spin-Off, our Financial Statements include costs for services provided by Marriott International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Marriott International allocated indirect general and administrative costs to us for certain functions provided by Marriott International. The services provided to us included, but were not limited to, executive office, legal, tax, finance, government and public relations, internal audit, treasury, investor relations, human resources and other administrative support, which were allocated to us primarily on the basis of our proportion of Marriott International’s overall revenue. We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might have been incurred had we been a stand-alone company would depend on a number of factors, including the chosen organizational structure, what functions we might have performed ourselves or outsourced and strategic decisions we might have made in areas such as information technology and infrastructure. Following the Spin-Off, we perform these functions using our own resources or purchased services from either Marriott International or third parties. For an interim period some of these functions will continue to be provided by Marriott International under Transition Services Agreements (“TSAs”). In addition to the TSAs, we entered into a number of commercial agreements with Marriott International in connection with the Spin-Off, many of which have terms longer than one year. These agreements may not have existed prior to the Spin-Off, or may be on different terms than the terms of agreements that existed prior to Spin-Off.</w:t>
      </w:r>
    </w:p>
    <w:p>
      <w:pPr>
        <w:spacing w:after="0" w:line="12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Prior to the Spin-Off, the majority of our domestic cash was transferred to Marriott International daily and Marriott International funded our operating and investing activities as needed. Accordingly, the cash and cash equivalents held by Marriott International at the corporate level were not allocated to us for any of the periods prior to the Spin-Off presented. Prior to the Spin-Off, cash and cash equivalents in our Balance Sheets primarily represented cash held locally by international entities included in our Financial Statements. We included debt incurred from our limited direct financing and historical vacation ownership notes receivable securitizations on our Balance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Sheets, as this debt is specific to our business. Marriott International did not allocate a portion of its external senior debt interest cost to us since none of the external senior debt recorded by Marriott International was directly related to our business. We also did not include any interest expense for cash advances from Marriott International since historically Marriott International did not allocate any interest expense related to intercompany advances to any of the historical Marriott International divisions.</w:t>
      </w:r>
    </w:p>
    <w:p>
      <w:pPr>
        <w:spacing w:after="0" w:line="14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Marriott International maintains self-insurance programs at a corporate level. Marriott International allocated a portion of expenses associated with these programs to us as part of the historical costs for services Marriott International provided. In connection with the Spin-Off, Marriott International did not allocate any portion of the related reserves as these reserves represent obligations of Marriott International which are not transferable.</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loyalty program liabilities, equity-based compensation, income taxes and loss contingencies. Actual amounts may differ from these estimated amounts.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reclassified certain prior year amounts to conform to our 2012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Prior Year Cash Flow Activity Classification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While preparing our Cash Flows for the year ended December 30, 2011, we discovered errors in the presentation of certain items within our prior periods. Consequently, we have restated the accompanying Cash Flows for the thirty-six weeks ended September 9, 2011, appearing herein, from amounts previously reported to correct the prior period misstatements for these classification errors. Based on our evaluation of relevant quantitative and qualitative factors, we determined the identified misstatements are immaterial to our individual prior period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summarize the effect of the restatement of the previously reported Cash Flow activities for the thirty-six weeks ended September 9, 2011.</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60" w:type="dxa"/>
            <w:vAlign w:val="bottom"/>
            <w:gridSpan w:val="9"/>
          </w:tcPr>
          <w:p>
            <w:pPr>
              <w:ind w:left="160"/>
              <w:spacing w:after="0"/>
              <w:rPr>
                <w:sz w:val="20"/>
                <w:szCs w:val="20"/>
                <w:color w:val="auto"/>
              </w:rPr>
            </w:pPr>
            <w:r>
              <w:rPr>
                <w:rFonts w:ascii="Arial" w:cs="Arial" w:eastAsia="Arial" w:hAnsi="Arial"/>
                <w:sz w:val="14"/>
                <w:szCs w:val="14"/>
                <w:b w:val="1"/>
                <w:bCs w:val="1"/>
                <w:color w:val="auto"/>
                <w:w w:val="97"/>
              </w:rPr>
              <w:t>For the Thirty-Six Weeks Ended September 9, 2011</w:t>
            </w:r>
          </w:p>
        </w:tc>
      </w:tr>
      <w:tr>
        <w:trPr>
          <w:trHeight w:val="129"/>
        </w:trPr>
        <w:tc>
          <w:tcPr>
            <w:tcW w:w="60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8"/>
              </w:rPr>
              <w:t>As Previously</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r>
      <w:tr>
        <w:trPr>
          <w:trHeight w:val="161"/>
        </w:trPr>
        <w:tc>
          <w:tcPr>
            <w:tcW w:w="6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Adjustment</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Restated</w:t>
            </w:r>
          </w:p>
        </w:tc>
      </w:tr>
      <w:tr>
        <w:trPr>
          <w:trHeight w:val="196"/>
        </w:trPr>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including working capital changes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2"/>
        </w:trPr>
        <w:tc>
          <w:tcPr>
            <w:tcW w:w="602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102"/>
        </w:trPr>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Note collections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323"/>
        </w:trPr>
        <w:tc>
          <w:tcPr>
            <w:tcW w:w="6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debt related to securitizations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Note collections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ind w:left="240" w:right="760"/>
        <w:spacing w:after="0" w:line="268" w:lineRule="auto"/>
        <w:rPr>
          <w:sz w:val="20"/>
          <w:szCs w:val="20"/>
          <w:color w:val="auto"/>
        </w:rPr>
      </w:pPr>
      <w:r>
        <w:rPr>
          <w:rFonts w:ascii="Arial" w:cs="Arial" w:eastAsia="Arial" w:hAnsi="Arial"/>
          <w:sz w:val="18"/>
          <w:szCs w:val="18"/>
          <w:i w:val="1"/>
          <w:iCs w:val="1"/>
          <w:u w:val="single" w:color="auto"/>
          <w:color w:val="auto"/>
        </w:rPr>
        <w:t>Accounting Standards Update No. 2011-04—“Fair Value Measurement (Topic 820): Amendments to Achieve Common Fair Value Measurement and Disclosure Requirements in U.S. GAAP and IFRSs” (“ASU No. 2011-04”)</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ASU No. 2011-04 generally provides a uniform framework for fair value measurements and related disclosures between GAAP and International Financial Reporting Standards. Additional disclosure requirements in the update include: (1) for Level 3 fair value measurements, quantitative information about unobservable inputs used, a description of the valuation processes used by the entity, and a qualitative discussion about the sensitivity of the measurements to changes in the unobservable inputs; (2) for an entity’s use of a nonfinancial asset that is different from the asset’s highest and best use, the reason for the difference; (3) for financial instruments not measured at fair value but for which disclosure of fair value is required, the fair value hierarchy level in which the fair value measurements were determined; and (4) the disclosure of all transfers between Level 1 and Level 2 of the fair value hierarchy. ASU No. 2011-04 became effective during our first quarter of 2012. The adoption of this update did not have a material impact on our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460"/>
        <w:spacing w:after="0" w:line="306" w:lineRule="auto"/>
        <w:rPr>
          <w:sz w:val="20"/>
          <w:szCs w:val="20"/>
          <w:color w:val="auto"/>
        </w:rPr>
      </w:pPr>
      <w:r>
        <w:rPr>
          <w:rFonts w:ascii="Arial" w:cs="Arial" w:eastAsia="Arial" w:hAnsi="Arial"/>
          <w:sz w:val="16"/>
          <w:szCs w:val="16"/>
          <w:i w:val="1"/>
          <w:iCs w:val="1"/>
          <w:u w:val="single" w:color="auto"/>
          <w:color w:val="auto"/>
        </w:rPr>
        <w:t>Accounting Standards Update No. 2011-05—“Comprehensive Income (Topic 220): Presentation of Comprehensive Income” (“ASU No. 2011-05”) and Accounting Standards Update No. 2011-12—“Comprehensive Income (Topic 220): Deferral of the Effective Date for Amendments to the Presentation of Reclassifications of Items Out of Accumulated Other Comprehensive Income in ASU 2011-05” (“ASU No. 2011-12”)</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ASU No. 2011-05 amends existing guidance by allowing only two options for presenting the components of net income and other comprehensive income:</w:t>
      </w:r>
    </w:p>
    <w:p>
      <w:pPr>
        <w:spacing w:after="0" w:line="38" w:lineRule="exact"/>
        <w:rPr>
          <w:sz w:val="20"/>
          <w:szCs w:val="20"/>
          <w:color w:val="auto"/>
        </w:rPr>
      </w:pPr>
    </w:p>
    <w:p>
      <w:pPr>
        <w:ind w:firstLine="8"/>
        <w:spacing w:after="0" w:line="252"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 single continuous statement of comprehensive income, or (2) in two separate but consecutive financial statements, consisting of an income statement followed by a separate statement of other comprehensive income. ASU No. 2011-12 defers until further notice ASU No. 2011-05’s requirement that items that are reclassified from other comprehensive income to net income be presented on the face of the financial statements. ASU No. 2011-05 requires retrospective application, and both ASU No. 2011-05 and ASU No. 2011-12 became effective during our first quarter of 2012. The adoption of these updates changed the order in which certain financial statements are presented and has required us to provide additional detail on those financial statements, but did not have any substantive impact on our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Spin-Off, our operating results were included in Marriott International’s combined U.S. federal and state income tax returns and in many of Marriott International’s tax filings for non-U.S. jurisdictions. Subsequent to the Spin-Off, Marriott Vacations Worldwide files its own U.S. consolidated federal and state tax returns, as well as separate tax filings for non-U.S. jurisdictions. For periods prior to the Spin-Off, we determined our provision for income taxes and our contribution to Marriott International’s tax losses and tax credits on a separate return basis and included each in these Financial Statements. Our separate return basis tax loss and tax credit carry backs may not reflect the tax positions taken or to be taken by Marriott International for tax losses occurring prior to the Spin-Off. In many cases tax losses and tax credits generated by us prior to the Spin-Off have been available for use by Marriott International and will largely continue to be available to Marriott International in the future.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November 21, 2011, we entered into a Tax Sharing and Indemnification Agreement with Marriott International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and each will indemnify and hold harmless the other from and against the taxes so allocated. During the twelve and thirty-six weeks ended September 7, 2012, Marriott International completed the valuation of the assets distributed to Marriott Vacations Worldwide at the time of the Spin-Off, which resulted in an increase in our Deferred tax liabilities of $12 million and a corresponding reduction of Additional paid-in capital.</w:t>
      </w:r>
    </w:p>
    <w:p>
      <w:pPr>
        <w:spacing w:after="0" w:line="11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addition, under the Tax Sharing and Indemnification Agreement, Marriott International is allocated the responsibility for payment of taxes for our taxable income prior to Spin-Off and we are allocated the responsibility for payment of taxes for our taxable income subsequent to Spin-Off.</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had potential unrecognized tax benefits of $1 million at September 7, 2012 and $2 million at December 30, 2011 relating to contested tax assessments, which, if realized, would have impacted our effective tax rate.</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large taxpayer, Marriott International is continuously under audit by the IRS and other taxing authorities. Marriott Vacations Worldwide has joined in the Marriott International U.S. Federal tax consolidated filing for all years prior to 2011 and the portion of 2011 up to the date of the Spin-Off. The IRS has examined Marriott International’s federal income tax returns, and it has settled all issues for the tax years through 2009. Marriott International participated in the IRS Compliance Assurance Program for the 2011 and 2010 tax years. Although we do not anticipate that a significant impact to our unrecognized tax benefit balance will occur during the next fiscal year as a result of these audits, it remains possible that the amount of our liability for unrecognized tax benefits could change over that time period. Pursuant to the Tax Sharing and Indemnification Agreement, Marriott International is liable and shall pay the relevant tax authority for all taxes related to the taxable income prior to the Spin-Off. Our tax years subsequent to the Spin-Off are subject to examination by relevant tax authorities.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7,</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30,</w:t>
            </w:r>
          </w:p>
        </w:tc>
      </w:tr>
      <w:tr>
        <w:trPr>
          <w:trHeight w:val="161"/>
        </w:trPr>
        <w:tc>
          <w:tcPr>
            <w:tcW w:w="5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receivable—securitized</w:t>
            </w:r>
          </w:p>
        </w:tc>
        <w:tc>
          <w:tcPr>
            <w:tcW w:w="1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Vacation ownership notes receivable—non-securitized</w:t>
            </w:r>
          </w:p>
        </w:tc>
        <w:tc>
          <w:tcPr>
            <w:tcW w:w="1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w:t>
            </w:r>
          </w:p>
        </w:tc>
        <w:tc>
          <w:tcPr>
            <w:tcW w:w="14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Securitized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2015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7, 2012</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w w:val="97"/>
              </w:rPr>
              <w:t>Weighted average stated interest rate at September 7, 2012</w:t>
            </w: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September 7, 2012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 to 19.5%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 to 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0.0% to 19.5%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Operations in the Financing revenues caption. The following table summarizes interest income associated with vacation ownership notes receivable: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7,</w:t>
            </w:r>
          </w:p>
        </w:tc>
        <w:tc>
          <w:tcPr>
            <w:tcW w:w="4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80" w:type="dxa"/>
            <w:vAlign w:val="bottom"/>
          </w:tcPr>
          <w:p>
            <w:pPr>
              <w:spacing w:after="0"/>
              <w:rPr>
                <w:sz w:val="11"/>
                <w:szCs w:val="11"/>
                <w:color w:val="auto"/>
              </w:rPr>
            </w:pPr>
          </w:p>
        </w:tc>
        <w:tc>
          <w:tcPr>
            <w:tcW w:w="1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1"/>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Interest income associated with vacation ownership notes receivable—</w:t>
            </w:r>
          </w:p>
        </w:tc>
        <w:tc>
          <w:tcPr>
            <w:tcW w:w="1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securitized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w w:val="97"/>
              </w:rPr>
              <w:t>Interest income associated with vacation ownership notes receivable—non-</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securitized</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interest income associated with vacation ownership notes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collectability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459"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thirty-six weeks ended September 7,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Securitized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20" w:type="dxa"/>
            <w:vAlign w:val="bottom"/>
          </w:tcPr>
          <w:p>
            <w:pPr>
              <w:spacing w:after="0"/>
              <w:rPr>
                <w:sz w:val="12"/>
                <w:szCs w:val="12"/>
                <w:color w:val="auto"/>
              </w:rPr>
            </w:pPr>
          </w:p>
        </w:tc>
        <w:tc>
          <w:tcPr>
            <w:tcW w:w="17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Vacation Ownership</w:t>
            </w:r>
          </w:p>
        </w:tc>
        <w:tc>
          <w:tcPr>
            <w:tcW w:w="17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Vacation Ownership</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2"/>
                <w:szCs w:val="12"/>
                <w:color w:val="auto"/>
              </w:rPr>
            </w:pPr>
          </w:p>
        </w:tc>
        <w:tc>
          <w:tcPr>
            <w:tcW w:w="16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Notes Receivable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6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Reserve</w:t>
            </w:r>
          </w:p>
        </w:tc>
        <w:tc>
          <w:tcPr>
            <w:tcW w:w="100" w:type="dxa"/>
            <w:vAlign w:val="bottom"/>
          </w:tcPr>
          <w:p>
            <w:pPr>
              <w:spacing w:after="0"/>
              <w:rPr>
                <w:sz w:val="14"/>
                <w:szCs w:val="14"/>
                <w:color w:val="auto"/>
              </w:rPr>
            </w:pPr>
          </w:p>
        </w:tc>
        <w:tc>
          <w:tcPr>
            <w:tcW w:w="16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Reserve</w:t>
            </w:r>
          </w:p>
        </w:tc>
        <w:tc>
          <w:tcPr>
            <w:tcW w:w="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5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2011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 xml:space="preserve">Clean-up calls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 xml:space="preserve">Defaulted notes receivable repurchase activity </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7, 2012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156</w:t>
            </w:r>
          </w:p>
        </w:tc>
        <w:tc>
          <w:tcPr>
            <w:tcW w:w="100" w:type="dxa"/>
            <w:vAlign w:val="bottom"/>
            <w:shd w:val="clear" w:color="auto" w:fill="CCEEFF"/>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70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Refers to our voluntary repurchase of previously securitized non-defaulted vacation ownership notes receivable to retire previous notes receivable securitizations.</w:t>
      </w:r>
    </w:p>
    <w:p>
      <w:pPr>
        <w:spacing w:after="0" w:line="1" w:lineRule="exact"/>
        <w:rPr>
          <w:rFonts w:ascii="Arial" w:cs="Arial" w:eastAsia="Arial" w:hAnsi="Arial"/>
          <w:sz w:val="22"/>
          <w:szCs w:val="22"/>
          <w:color w:val="auto"/>
          <w:vertAlign w:val="superscript"/>
        </w:rPr>
      </w:pPr>
    </w:p>
    <w:p>
      <w:pPr>
        <w:ind w:left="460" w:right="480" w:hanging="452"/>
        <w:spacing w:after="0" w:line="237" w:lineRule="auto"/>
        <w:tabs>
          <w:tab w:leader="none" w:pos="46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color w:val="auto"/>
        </w:rPr>
        <w:t>Decrease in securitized vacation ownership notes receivable reserve and increase in non-securitized vacation ownership notes receivable reserve was attributable to the transfer of the reserve when we voluntarily repurchased the vacation ownership notes receivable.</w:t>
      </w:r>
    </w:p>
    <w:p>
      <w:pPr>
        <w:spacing w:after="0" w:line="15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7.46 percent and 7.71 percent as of September 7, 2012 and December 30, 2011, respectively. A 0.5 percentage point increase in the estimated default rate would have resulted in an increase in our allowance for credit losses of $5 million as of September 7, 2012 and $6 million as of December 30, 2011.</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Non-Securitized</w:t>
            </w:r>
          </w:p>
        </w:tc>
        <w:tc>
          <w:tcPr>
            <w:tcW w:w="100" w:type="dxa"/>
            <w:vAlign w:val="bottom"/>
          </w:tcPr>
          <w:p>
            <w:pPr>
              <w:spacing w:after="0"/>
              <w:rPr>
                <w:sz w:val="14"/>
                <w:szCs w:val="14"/>
                <w:color w:val="auto"/>
              </w:rPr>
            </w:pPr>
          </w:p>
        </w:tc>
        <w:tc>
          <w:tcPr>
            <w:tcW w:w="1120" w:type="dxa"/>
            <w:vAlign w:val="bottom"/>
          </w:tcPr>
          <w:p>
            <w:pPr>
              <w:jc w:val="right"/>
              <w:ind w:right="219"/>
              <w:spacing w:after="0"/>
              <w:rPr>
                <w:sz w:val="20"/>
                <w:szCs w:val="20"/>
                <w:color w:val="auto"/>
              </w:rPr>
            </w:pPr>
            <w:r>
              <w:rPr>
                <w:rFonts w:ascii="Arial" w:cs="Arial" w:eastAsia="Arial" w:hAnsi="Arial"/>
                <w:sz w:val="14"/>
                <w:szCs w:val="14"/>
                <w:b w:val="1"/>
                <w:bCs w:val="1"/>
                <w:color w:val="auto"/>
              </w:rPr>
              <w:t>Securitized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Vacation Ownership</w:t>
            </w: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Vacation Ownership</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120" w:type="dxa"/>
            <w:vAlign w:val="bottom"/>
          </w:tcPr>
          <w:p>
            <w:pPr>
              <w:jc w:val="right"/>
              <w:ind w:right="39"/>
              <w:spacing w:after="0"/>
              <w:rPr>
                <w:sz w:val="20"/>
                <w:szCs w:val="20"/>
                <w:color w:val="auto"/>
              </w:rPr>
            </w:pPr>
            <w:r>
              <w:rPr>
                <w:rFonts w:ascii="Arial" w:cs="Arial" w:eastAsia="Arial" w:hAnsi="Arial"/>
                <w:sz w:val="14"/>
                <w:szCs w:val="14"/>
                <w:b w:val="1"/>
                <w:bCs w:val="1"/>
                <w:color w:val="auto"/>
                <w:w w:val="84"/>
              </w:rPr>
              <w:t>Notes Receivable</w:t>
            </w:r>
          </w:p>
        </w:tc>
        <w:tc>
          <w:tcPr>
            <w:tcW w:w="30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Investment in notes receivable on non-accrual status at September 7, 2012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Investment in notes receivable on non-accrual status at year-end 2011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101</w:t>
            </w:r>
          </w:p>
        </w:tc>
        <w:tc>
          <w:tcPr>
            <w:tcW w:w="100" w:type="dxa"/>
            <w:vAlign w:val="bottom"/>
          </w:tcPr>
          <w:p>
            <w:pPr>
              <w:spacing w:after="0"/>
              <w:rPr>
                <w:sz w:val="18"/>
                <w:szCs w:val="18"/>
                <w:color w:val="auto"/>
              </w:rPr>
            </w:pPr>
          </w:p>
        </w:tc>
      </w:tr>
      <w:tr>
        <w:trPr>
          <w:trHeight w:val="20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0"/>
              </w:rPr>
              <w:t>Average investment in notes receivable on non-accrual status during the thirty-six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weeks ended September 7, 2012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r>
      <w:tr>
        <w:trPr>
          <w:trHeight w:val="208"/>
        </w:trPr>
        <w:tc>
          <w:tcPr>
            <w:tcW w:w="5900" w:type="dxa"/>
            <w:vAlign w:val="bottom"/>
          </w:tcPr>
          <w:p>
            <w:pPr>
              <w:spacing w:after="0"/>
              <w:rPr>
                <w:sz w:val="20"/>
                <w:szCs w:val="20"/>
                <w:color w:val="auto"/>
              </w:rPr>
            </w:pPr>
            <w:r>
              <w:rPr>
                <w:rFonts w:ascii="Arial" w:cs="Arial" w:eastAsia="Arial" w:hAnsi="Arial"/>
                <w:sz w:val="18"/>
                <w:szCs w:val="18"/>
                <w:color w:val="auto"/>
                <w:w w:val="90"/>
              </w:rPr>
              <w:t>Average investment in notes receivable on non-accrual status during the thirty-six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900" w:type="dxa"/>
            <w:vAlign w:val="bottom"/>
          </w:tcPr>
          <w:p>
            <w:pPr>
              <w:ind w:left="220"/>
              <w:spacing w:after="0"/>
              <w:rPr>
                <w:sz w:val="20"/>
                <w:szCs w:val="20"/>
                <w:color w:val="auto"/>
              </w:rPr>
            </w:pPr>
            <w:r>
              <w:rPr>
                <w:rFonts w:ascii="Arial" w:cs="Arial" w:eastAsia="Arial" w:hAnsi="Arial"/>
                <w:sz w:val="18"/>
                <w:szCs w:val="18"/>
                <w:color w:val="auto"/>
              </w:rPr>
              <w:t>weeks ended September 9, 2011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122</w:t>
            </w:r>
          </w:p>
        </w:tc>
        <w:tc>
          <w:tcPr>
            <w:tcW w:w="100" w:type="dxa"/>
            <w:vAlign w:val="bottom"/>
          </w:tcPr>
          <w:p>
            <w:pPr>
              <w:spacing w:after="0"/>
              <w:rPr>
                <w:sz w:val="19"/>
                <w:szCs w:val="19"/>
                <w:color w:val="auto"/>
              </w:rPr>
            </w:pPr>
          </w:p>
        </w:tc>
      </w:tr>
      <w:tr>
        <w:trPr>
          <w:trHeight w:val="365"/>
        </w:trPr>
        <w:tc>
          <w:tcPr>
            <w:tcW w:w="5900" w:type="dxa"/>
            <w:vAlign w:val="bottom"/>
          </w:tcPr>
          <w:p>
            <w:pPr>
              <w:ind w:left="470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September 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Non-Securitized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Securitized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86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Vacation Ownership</w:t>
            </w:r>
          </w:p>
        </w:tc>
        <w:tc>
          <w:tcPr>
            <w:tcW w:w="84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120" w:type="dxa"/>
            <w:vAlign w:val="bottom"/>
          </w:tcPr>
          <w:p>
            <w:pPr>
              <w:jc w:val="right"/>
              <w:ind w:right="37"/>
              <w:spacing w:after="0"/>
              <w:rPr>
                <w:sz w:val="20"/>
                <w:szCs w:val="20"/>
                <w:color w:val="auto"/>
              </w:rPr>
            </w:pPr>
            <w:r>
              <w:rPr>
                <w:rFonts w:ascii="Arial" w:cs="Arial" w:eastAsia="Arial" w:hAnsi="Arial"/>
                <w:sz w:val="14"/>
                <w:szCs w:val="14"/>
                <w:b w:val="1"/>
                <w:bCs w:val="1"/>
                <w:color w:val="auto"/>
                <w:w w:val="84"/>
              </w:rPr>
              <w:t>Notes Receivable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91—150 days past due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Total past due</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1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1,098</w:t>
            </w:r>
          </w:p>
        </w:tc>
        <w:tc>
          <w:tcPr>
            <w:tcW w:w="100" w:type="dxa"/>
            <w:vAlign w:val="bottom"/>
            <w:shd w:val="clear" w:color="auto" w:fill="CCEEFF"/>
          </w:tcPr>
          <w:p>
            <w:pPr>
              <w:spacing w:after="0"/>
              <w:rPr>
                <w:sz w:val="18"/>
                <w:szCs w:val="18"/>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326</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895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1,221</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December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77"/>
              <w:spacing w:after="0"/>
              <w:rPr>
                <w:sz w:val="20"/>
                <w:szCs w:val="20"/>
                <w:color w:val="auto"/>
              </w:rPr>
            </w:pPr>
            <w:r>
              <w:rPr>
                <w:rFonts w:ascii="Arial" w:cs="Arial" w:eastAsia="Arial" w:hAnsi="Arial"/>
                <w:sz w:val="14"/>
                <w:szCs w:val="14"/>
                <w:b w:val="1"/>
                <w:bCs w:val="1"/>
                <w:color w:val="auto"/>
                <w:w w:val="88"/>
              </w:rPr>
              <w:t>Non-Securitized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Securitized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86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Vacation Ownership</w:t>
            </w:r>
          </w:p>
        </w:tc>
        <w:tc>
          <w:tcPr>
            <w:tcW w:w="84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120" w:type="dxa"/>
            <w:vAlign w:val="bottom"/>
          </w:tcPr>
          <w:p>
            <w:pPr>
              <w:jc w:val="right"/>
              <w:ind w:right="37"/>
              <w:spacing w:after="0"/>
              <w:rPr>
                <w:sz w:val="20"/>
                <w:szCs w:val="20"/>
                <w:color w:val="auto"/>
              </w:rPr>
            </w:pPr>
            <w:r>
              <w:rPr>
                <w:rFonts w:ascii="Arial" w:cs="Arial" w:eastAsia="Arial" w:hAnsi="Arial"/>
                <w:sz w:val="14"/>
                <w:szCs w:val="14"/>
                <w:b w:val="1"/>
                <w:bCs w:val="1"/>
                <w:color w:val="auto"/>
                <w:w w:val="84"/>
              </w:rPr>
              <w:t>Notes Receivable</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91—150 days past due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Total past due</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1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1,184</w:t>
            </w:r>
          </w:p>
        </w:tc>
        <w:tc>
          <w:tcPr>
            <w:tcW w:w="100" w:type="dxa"/>
            <w:vAlign w:val="bottom"/>
            <w:shd w:val="clear" w:color="auto" w:fill="CCEEFF"/>
          </w:tcPr>
          <w:p>
            <w:pPr>
              <w:spacing w:after="0"/>
              <w:rPr>
                <w:sz w:val="18"/>
                <w:szCs w:val="18"/>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343</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977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1,320</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current guidance for disclosures on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and Accounts payable, which had fair values approximating their carrying amounts due to the short maturities and liquidity of these instruments.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8"/>
              </w:rPr>
              <w:t>At September 7,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At December 30, 2011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5" w:lineRule="exact"/>
              <w:rPr>
                <w:sz w:val="20"/>
                <w:szCs w:val="20"/>
                <w:color w:val="auto"/>
              </w:rPr>
            </w:pPr>
            <w:r>
              <w:rPr>
                <w:rFonts w:ascii="Arial" w:cs="Arial" w:eastAsia="Arial" w:hAnsi="Arial"/>
                <w:sz w:val="12"/>
                <w:szCs w:val="12"/>
                <w:b w:val="1"/>
                <w:bCs w:val="1"/>
                <w:color w:val="auto"/>
              </w:rPr>
              <w:t>Carrying</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5"/>
              <w:spacing w:after="0" w:line="115" w:lineRule="exact"/>
              <w:rPr>
                <w:sz w:val="20"/>
                <w:szCs w:val="20"/>
                <w:color w:val="auto"/>
              </w:rPr>
            </w:pPr>
            <w:r>
              <w:rPr>
                <w:rFonts w:ascii="Arial" w:cs="Arial" w:eastAsia="Arial" w:hAnsi="Arial"/>
                <w:sz w:val="12"/>
                <w:szCs w:val="12"/>
                <w:b w:val="1"/>
                <w:bCs w:val="1"/>
                <w:color w:val="auto"/>
              </w:rPr>
              <w:t>Fair</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5" w:lineRule="exact"/>
              <w:rPr>
                <w:sz w:val="20"/>
                <w:szCs w:val="20"/>
                <w:color w:val="auto"/>
              </w:rPr>
            </w:pPr>
            <w:r>
              <w:rPr>
                <w:rFonts w:ascii="Arial" w:cs="Arial" w:eastAsia="Arial" w:hAnsi="Arial"/>
                <w:sz w:val="12"/>
                <w:szCs w:val="12"/>
                <w:b w:val="1"/>
                <w:bCs w:val="1"/>
                <w:color w:val="auto"/>
              </w:rPr>
              <w:t>Carrying</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75"/>
              <w:spacing w:after="0" w:line="115"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3"/>
          </w:tcPr>
          <w:p>
            <w:pPr>
              <w:jc w:val="right"/>
              <w:ind w:right="280"/>
              <w:spacing w:after="0" w:line="176" w:lineRule="exact"/>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(1)</w:t>
            </w:r>
          </w:p>
        </w:tc>
        <w:tc>
          <w:tcPr>
            <w:tcW w:w="160" w:type="dxa"/>
            <w:vAlign w:val="bottom"/>
          </w:tcPr>
          <w:p>
            <w:pPr>
              <w:spacing w:after="0"/>
              <w:rPr>
                <w:sz w:val="15"/>
                <w:szCs w:val="15"/>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gridSpan w:val="3"/>
          </w:tcPr>
          <w:p>
            <w:pPr>
              <w:jc w:val="right"/>
              <w:ind w:right="160"/>
              <w:spacing w:after="0" w:line="176" w:lineRule="exact"/>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receivable—securitized</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Vacation ownership notes receivable—non-securitized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Non-recourse debt associated with securitized notes receivable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4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(829)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Warehouse credit facility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debt</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Liability for Marriott Rewards loyalty program</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Total financial liabilities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(1,043)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(1,077)</w:t>
            </w: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620" w:right="5500" w:hanging="5612"/>
        <w:spacing w:after="0" w:line="322" w:lineRule="auto"/>
        <w:tabs>
          <w:tab w:leader="none" w:pos="448"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Fair value of financial instruments has been determined using Level 3 inputs. 12</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determines the fair value of the underlying notes receivable.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bifurcate our non-securitized vacation ownership notes receivable into two pools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ind w:left="40"/>
              <w:spacing w:after="0"/>
              <w:rPr>
                <w:sz w:val="20"/>
                <w:szCs w:val="20"/>
                <w:color w:val="auto"/>
              </w:rPr>
            </w:pPr>
            <w:r>
              <w:rPr>
                <w:rFonts w:ascii="Arial" w:cs="Arial" w:eastAsia="Arial" w:hAnsi="Arial"/>
                <w:sz w:val="14"/>
                <w:szCs w:val="14"/>
                <w:b w:val="1"/>
                <w:bCs w:val="1"/>
                <w:color w:val="auto"/>
              </w:rPr>
              <w:t>At September 7, 2012</w:t>
            </w:r>
          </w:p>
        </w:tc>
        <w:tc>
          <w:tcPr>
            <w:tcW w:w="140" w:type="dxa"/>
            <w:vAlign w:val="bottom"/>
          </w:tcPr>
          <w:p>
            <w:pPr>
              <w:spacing w:after="0"/>
              <w:rPr>
                <w:sz w:val="14"/>
                <w:szCs w:val="14"/>
                <w:color w:val="auto"/>
              </w:rPr>
            </w:pPr>
          </w:p>
        </w:tc>
        <w:tc>
          <w:tcPr>
            <w:tcW w:w="1580" w:type="dxa"/>
            <w:vAlign w:val="bottom"/>
            <w:gridSpan w:val="5"/>
          </w:tcPr>
          <w:p>
            <w:pPr>
              <w:ind w:left="40"/>
              <w:spacing w:after="0"/>
              <w:rPr>
                <w:sz w:val="20"/>
                <w:szCs w:val="20"/>
                <w:color w:val="auto"/>
              </w:rPr>
            </w:pPr>
            <w:r>
              <w:rPr>
                <w:rFonts w:ascii="Arial" w:cs="Arial" w:eastAsia="Arial" w:hAnsi="Arial"/>
                <w:sz w:val="14"/>
                <w:szCs w:val="14"/>
                <w:b w:val="1"/>
                <w:bCs w:val="1"/>
                <w:color w:val="auto"/>
              </w:rPr>
              <w:t>At December 30, 2011</w:t>
            </w:r>
          </w:p>
        </w:tc>
      </w:tr>
      <w:tr>
        <w:trPr>
          <w:trHeight w:val="129"/>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93"/>
              </w:rPr>
              <w:t>Fair</w:t>
            </w:r>
          </w:p>
        </w:tc>
        <w:tc>
          <w:tcPr>
            <w:tcW w:w="54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4"/>
                <w:szCs w:val="14"/>
                <w:b w:val="1"/>
                <w:bCs w:val="1"/>
                <w:color w:val="auto"/>
                <w:w w:val="85"/>
              </w:rPr>
              <w:t>Fair</w:t>
            </w:r>
          </w:p>
        </w:tc>
        <w:tc>
          <w:tcPr>
            <w:tcW w:w="100" w:type="dxa"/>
            <w:vAlign w:val="bottom"/>
          </w:tcPr>
          <w:p>
            <w:pPr>
              <w:spacing w:after="0"/>
              <w:rPr>
                <w:sz w:val="11"/>
                <w:szCs w:val="11"/>
                <w:color w:val="auto"/>
              </w:rPr>
            </w:pPr>
          </w:p>
        </w:tc>
      </w:tr>
      <w:tr>
        <w:trPr>
          <w:trHeight w:val="161"/>
        </w:trPr>
        <w:tc>
          <w:tcPr>
            <w:tcW w:w="5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2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560" w:type="dxa"/>
            <w:vAlign w:val="bottom"/>
          </w:tcPr>
          <w:p>
            <w:pPr>
              <w:spacing w:after="0"/>
              <w:rPr>
                <w:sz w:val="14"/>
                <w:szCs w:val="14"/>
                <w:color w:val="auto"/>
              </w:rPr>
            </w:pPr>
          </w:p>
        </w:tc>
        <w:tc>
          <w:tcPr>
            <w:tcW w:w="54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receivable—eligible for securitization</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Vacation ownership notes receivable—not eligible for securitization</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receivable—non-securitized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estimate the fair value of a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Notes Receivable</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internally generate cash flow estimates by modeling all bond tranches for our active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timeshare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internally generate cash flow estimates by modeling all funding activity for our non-recourse warehouse credit facility (the “Warehouse Credit Facility”) with consideration given to the collateral pledged to date. The key drivers in our analysis include default rates, prepayment rates, bond interest rates and structural factors, which we use to estimate the projected cash flows. The discount rate used to calculate the fair value of these cash flows is composed of the market swap rate for the specific average life of the cash flows plus a credit spread. Because the Warehouse Credit Facility debt is not traded in the market, we use a credit spread which is the average of indicative credit spreads obtained from investment banks on our securitized debt for the particular rating that the Warehouse Credit Facility is structured to achieve.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Loyalty Program</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determine the carrying value of the future redemption obligation of our liability for the Marriott Rewards loyalty program based on statistical formulas that project the timing of future redemption of Marriott Rewards points based on historical levels, including estimates of the Marriott Rewards points that will eventually be redeemed and the “breakage” for points that are likely to never be redeemed. We estimate the fair value of the future redemption obligation by adjusting the contractual discount rate to an estimate of that of a market participant with similar nonperformance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estimate the fair value of our other liabilities that are financial instruments using expected future payments discounted at risk-adjusted rates. These liabilities represent guarantee costs and reserves and deposit liabilities. The carrying values of our guarantee costs and reserves approximate their fair values. We estimate the fair value of our deposit liabilities primarily by discounting future payments at a risk-adjusted rate.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Basic earnings (loss) per common share is calculated by dividing net income (loss) attributable to Marriott Vacations Worldwide common shareholders by the weighted average number of shares of common stock issued and outstanding during the reporting period. Diluted earnings (loss)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November 21, 2011, we ceased to be a subsidiary of Marriott International and became an independent publicly traded company. On November 21, 2011, Marriott International distributed 33.7 million shares of $.01 par value Marriott Vacations Worldwide common stock to Marriott International’s shareholders of record as of the close of business Eastern time on the record date of November 10, 2011. This share amount is utilized for the calculation of basic earnings per common share for the third quarter of 2011 because all 100 shares of our common stock outstanding prior to November 21, 2011 were held by Marriott International. For the third quarter of 2011, the same number of shares is used for diluted earnings (loss) per common share and for basic earnings (loss) per common share as no dilutive securities were outstanding for such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illustrates the reconciliation of the earnings (loss) and number of shares used in our calculation of basic and diluted earnings (loss) per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Thirty-Six Weeks Ended</w:t>
            </w:r>
          </w:p>
        </w:tc>
      </w:tr>
      <w:tr>
        <w:trPr>
          <w:trHeight w:val="115"/>
        </w:trPr>
        <w:tc>
          <w:tcPr>
            <w:tcW w:w="6060" w:type="dxa"/>
            <w:vAlign w:val="bottom"/>
          </w:tcPr>
          <w:p>
            <w:pPr>
              <w:spacing w:after="0"/>
              <w:rPr>
                <w:sz w:val="10"/>
                <w:szCs w:val="10"/>
                <w:color w:val="auto"/>
              </w:rPr>
            </w:pPr>
          </w:p>
        </w:tc>
        <w:tc>
          <w:tcPr>
            <w:tcW w:w="76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w w:val="98"/>
              </w:rPr>
              <w:t>September 7,</w:t>
            </w: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September 9,</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2"/>
                <w:szCs w:val="12"/>
                <w:b w:val="1"/>
                <w:bCs w:val="1"/>
                <w:color w:val="auto"/>
              </w:rPr>
              <w:t>September 7,</w:t>
            </w:r>
          </w:p>
        </w:tc>
        <w:tc>
          <w:tcPr>
            <w:tcW w:w="80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rPr>
              <w:t>September 9,</w:t>
            </w:r>
          </w:p>
        </w:tc>
        <w:tc>
          <w:tcPr>
            <w:tcW w:w="100" w:type="dxa"/>
            <w:vAlign w:val="bottom"/>
          </w:tcPr>
          <w:p>
            <w:pPr>
              <w:spacing w:after="0"/>
              <w:rPr>
                <w:sz w:val="10"/>
                <w:szCs w:val="10"/>
                <w:color w:val="auto"/>
              </w:rPr>
            </w:pPr>
          </w:p>
        </w:tc>
      </w:tr>
      <w:tr>
        <w:trPr>
          <w:trHeight w:val="176"/>
        </w:trPr>
        <w:tc>
          <w:tcPr>
            <w:tcW w:w="60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6"/>
              <w:spacing w:after="0" w:line="176" w:lineRule="exact"/>
              <w:rPr>
                <w:sz w:val="20"/>
                <w:szCs w:val="20"/>
                <w:color w:val="auto"/>
              </w:rPr>
            </w:pPr>
            <w:r>
              <w:rPr>
                <w:rFonts w:ascii="Arial" w:cs="Arial" w:eastAsia="Arial" w:hAnsi="Arial"/>
                <w:sz w:val="13"/>
                <w:szCs w:val="13"/>
                <w:b w:val="1"/>
                <w:bCs w:val="1"/>
                <w:color w:val="auto"/>
                <w:w w:val="94"/>
              </w:rPr>
              <w:t xml:space="preserve">2012 </w:t>
            </w:r>
            <w:r>
              <w:rPr>
                <w:rFonts w:ascii="Arial" w:cs="Arial" w:eastAsia="Arial" w:hAnsi="Arial"/>
                <w:sz w:val="20"/>
                <w:szCs w:val="20"/>
                <w:b w:val="1"/>
                <w:bCs w:val="1"/>
                <w:color w:val="auto"/>
                <w:w w:val="94"/>
                <w:vertAlign w:val="superscript"/>
              </w:rPr>
              <w:t>(1)</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6"/>
              <w:spacing w:after="0" w:line="176" w:lineRule="exact"/>
              <w:rPr>
                <w:sz w:val="20"/>
                <w:szCs w:val="20"/>
                <w:color w:val="auto"/>
              </w:rPr>
            </w:pPr>
            <w:r>
              <w:rPr>
                <w:rFonts w:ascii="Arial" w:cs="Arial" w:eastAsia="Arial" w:hAnsi="Arial"/>
                <w:sz w:val="13"/>
                <w:szCs w:val="13"/>
                <w:b w:val="1"/>
                <w:bCs w:val="1"/>
                <w:color w:val="auto"/>
                <w:w w:val="94"/>
              </w:rPr>
              <w:t xml:space="preserve">2012 </w:t>
            </w:r>
            <w:r>
              <w:rPr>
                <w:rFonts w:ascii="Arial" w:cs="Arial" w:eastAsia="Arial" w:hAnsi="Arial"/>
                <w:sz w:val="20"/>
                <w:szCs w:val="20"/>
                <w:b w:val="1"/>
                <w:bCs w:val="1"/>
                <w:color w:val="auto"/>
                <w:w w:val="94"/>
                <w:vertAlign w:val="superscript"/>
              </w:rPr>
              <w:t>(1)</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Computation of Basic Earnings (Loss) Per Share</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ind w:left="440"/>
              <w:spacing w:after="0"/>
              <w:rPr>
                <w:sz w:val="20"/>
                <w:szCs w:val="20"/>
                <w:color w:val="auto"/>
              </w:rPr>
            </w:pPr>
            <w:r>
              <w:rPr>
                <w:rFonts w:ascii="Arial" w:cs="Arial" w:eastAsia="Arial" w:hAnsi="Arial"/>
                <w:sz w:val="18"/>
                <w:szCs w:val="18"/>
                <w:color w:val="auto"/>
              </w:rPr>
              <w:t>Basic earnings (loss)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Computation of Diluted Earnings (Loss) Per Share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Employee stock options and SARs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060" w:type="dxa"/>
            <w:vAlign w:val="bottom"/>
          </w:tcPr>
          <w:p>
            <w:pPr>
              <w:ind w:left="880"/>
              <w:spacing w:after="0"/>
              <w:rPr>
                <w:sz w:val="20"/>
                <w:szCs w:val="20"/>
                <w:color w:val="auto"/>
              </w:rPr>
            </w:pPr>
            <w:r>
              <w:rPr>
                <w:rFonts w:ascii="Arial" w:cs="Arial" w:eastAsia="Arial" w:hAnsi="Arial"/>
                <w:sz w:val="18"/>
                <w:szCs w:val="18"/>
                <w:color w:val="auto"/>
              </w:rPr>
              <w:t>Restricted stock units</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Shares for diluted earnings (loss) per share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ind w:left="440"/>
              <w:spacing w:after="0"/>
              <w:rPr>
                <w:sz w:val="20"/>
                <w:szCs w:val="20"/>
                <w:color w:val="auto"/>
              </w:rPr>
            </w:pPr>
            <w:r>
              <w:rPr>
                <w:rFonts w:ascii="Arial" w:cs="Arial" w:eastAsia="Arial" w:hAnsi="Arial"/>
                <w:sz w:val="18"/>
                <w:szCs w:val="18"/>
                <w:color w:val="auto"/>
              </w:rPr>
              <w:t>Diluted earnings (loss)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0.17</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0.65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both"/>
        <w:ind w:left="460" w:right="200" w:hanging="452"/>
        <w:spacing w:after="0" w:line="235"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Approximately 84,433 shares of common stock issuable upon the vesting of certain performance-based awards were not included in the computations of diluted earnings (loss) per share for the third quarter of 2012 and for the thirty-six weeks ended September 7, 2012, because the performance conditions required for such shares to vest were not achieved by the end of the reporting period.</w:t>
      </w:r>
    </w:p>
    <w:p>
      <w:pPr>
        <w:spacing w:after="0" w:line="15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twelve week period ended September 7, 2012, we excluded 1,183 SARs with an exercise price of $32.74 in our calculation of diluted earnings (loss) per share for the twelve week period ended September 7, 2012, because those exercise prices were greater than the average market prices for the applicable period.</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accordance with the applicable accounting guidance for calculating earnings per share, we excluded 38,487 options and SARs with exercise prices ranging from $28.16 to $32.74 in our calculation of diluted earnings per share for the thirty-six week period ended September 7, 2012, because those exercise prices were greater than the average market prices for the applicable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Arial" w:cs="Arial" w:eastAsia="Arial" w:hAnsi="Arial"/>
                <w:sz w:val="14"/>
                <w:szCs w:val="14"/>
                <w:b w:val="1"/>
                <w:bCs w:val="1"/>
                <w:color w:val="auto"/>
              </w:rPr>
              <w:t>At September 7,</w:t>
            </w:r>
          </w:p>
        </w:tc>
        <w:tc>
          <w:tcPr>
            <w:tcW w:w="2080" w:type="dxa"/>
            <w:vAlign w:val="bottom"/>
            <w:gridSpan w:val="4"/>
          </w:tcPr>
          <w:p>
            <w:pPr>
              <w:ind w:left="980"/>
              <w:spacing w:after="0"/>
              <w:rPr>
                <w:sz w:val="20"/>
                <w:szCs w:val="20"/>
                <w:color w:val="auto"/>
              </w:rPr>
            </w:pPr>
            <w:r>
              <w:rPr>
                <w:rFonts w:ascii="Arial" w:cs="Arial" w:eastAsia="Arial" w:hAnsi="Arial"/>
                <w:sz w:val="14"/>
                <w:szCs w:val="14"/>
                <w:b w:val="1"/>
                <w:bCs w:val="1"/>
                <w:color w:val="auto"/>
                <w:w w:val="98"/>
              </w:rPr>
              <w:t>At December 30,</w:t>
            </w:r>
          </w:p>
        </w:tc>
        <w:tc>
          <w:tcPr>
            <w:tcW w:w="0" w:type="dxa"/>
            <w:vAlign w:val="bottom"/>
          </w:tcPr>
          <w:p>
            <w:pPr>
              <w:spacing w:after="0"/>
              <w:rPr>
                <w:sz w:val="1"/>
                <w:szCs w:val="1"/>
                <w:color w:val="auto"/>
              </w:rPr>
            </w:pPr>
          </w:p>
        </w:tc>
      </w:tr>
      <w:tr>
        <w:trPr>
          <w:trHeight w:val="161"/>
        </w:trPr>
        <w:tc>
          <w:tcPr>
            <w:tcW w:w="3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2012</w:t>
            </w:r>
          </w:p>
        </w:tc>
        <w:tc>
          <w:tcPr>
            <w:tcW w:w="9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Work-in-progress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p>
        </w:tc>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9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ind w:left="440"/>
              <w:spacing w:after="0"/>
              <w:rPr>
                <w:sz w:val="20"/>
                <w:szCs w:val="20"/>
                <w:color w:val="auto"/>
              </w:rPr>
            </w:pPr>
            <w:r>
              <w:rPr>
                <w:rFonts w:ascii="Arial" w:cs="Arial" w:eastAsia="Arial" w:hAnsi="Arial"/>
                <w:sz w:val="18"/>
                <w:szCs w:val="18"/>
                <w:color w:val="auto"/>
              </w:rPr>
              <w:t>Real estate inventory</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23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897</w:t>
            </w:r>
          </w:p>
        </w:tc>
        <w:tc>
          <w:tcPr>
            <w:tcW w:w="12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140" w:type="dxa"/>
            <w:vAlign w:val="bottom"/>
            <w:vMerge w:val="restart"/>
          </w:tcPr>
          <w:p>
            <w:pPr>
              <w:jc w:val="right"/>
              <w:ind w:right="1139"/>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207" w:lineRule="exact"/>
        <w:rPr>
          <w:sz w:val="20"/>
          <w:szCs w:val="20"/>
          <w:color w:val="auto"/>
        </w:rPr>
      </w:pPr>
    </w:p>
    <w:p>
      <w:pPr>
        <w:ind w:right="786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AND COMMITMENTS </w:t>
      </w:r>
      <w:r>
        <w:rPr>
          <w:rFonts w:ascii="Arial" w:cs="Arial" w:eastAsia="Arial" w:hAnsi="Arial"/>
          <w:sz w:val="18"/>
          <w:szCs w:val="18"/>
          <w:i w:val="1"/>
          <w:iCs w:val="1"/>
          <w:color w:val="auto"/>
        </w:rPr>
        <w:t>Guarantees</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issue guarantees to certain lenders in connection with the provision of third-party financing for our sales of vacation ownership products for the Luxury and Asia Pacific segments. The terms of guarantees to lenders generally require us to fund if the purchaser fails to pay under the term of its note payable. Prior to the Spin-Off, Marriott International guaranteed our performance under these arrangements. Subsequent to the Spin-Off, Marriott International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Luxury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18"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The following table shows the maximum potential amount of future fundings for guarantees where we are the primary obligor and the carrying amount of the liability for expected future fundings.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Maximum Potential</w:t>
            </w:r>
          </w:p>
        </w:tc>
        <w:tc>
          <w:tcPr>
            <w:tcW w:w="1860" w:type="dxa"/>
            <w:vAlign w:val="bottom"/>
            <w:gridSpan w:val="4"/>
          </w:tcPr>
          <w:p>
            <w:pPr>
              <w:jc w:val="center"/>
              <w:ind w:left="302"/>
              <w:spacing w:after="0"/>
              <w:rPr>
                <w:sz w:val="20"/>
                <w:szCs w:val="20"/>
                <w:color w:val="auto"/>
              </w:rPr>
            </w:pPr>
            <w:r>
              <w:rPr>
                <w:rFonts w:ascii="Arial" w:cs="Arial" w:eastAsia="Arial" w:hAnsi="Arial"/>
                <w:sz w:val="14"/>
                <w:szCs w:val="14"/>
                <w:b w:val="1"/>
                <w:bCs w:val="1"/>
                <w:color w:val="auto"/>
                <w:w w:val="90"/>
              </w:rPr>
              <w:t>Liability for Expected</w:t>
            </w:r>
          </w:p>
        </w:tc>
        <w:tc>
          <w:tcPr>
            <w:tcW w:w="0" w:type="dxa"/>
            <w:vAlign w:val="bottom"/>
          </w:tcPr>
          <w:p>
            <w:pPr>
              <w:spacing w:after="0"/>
              <w:rPr>
                <w:sz w:val="1"/>
                <w:szCs w:val="1"/>
                <w:color w:val="auto"/>
              </w:rPr>
            </w:pPr>
          </w:p>
        </w:tc>
      </w:tr>
      <w:tr>
        <w:trPr>
          <w:trHeight w:val="135"/>
        </w:trPr>
        <w:tc>
          <w:tcPr>
            <w:tcW w:w="4360" w:type="dxa"/>
            <w:vAlign w:val="bottom"/>
            <w:gridSpan w:val="2"/>
            <w:vMerge w:val="continue"/>
          </w:tcPr>
          <w:p>
            <w:pPr>
              <w:spacing w:after="0"/>
              <w:rPr>
                <w:sz w:val="11"/>
                <w:szCs w:val="11"/>
                <w:color w:val="auto"/>
              </w:rPr>
            </w:pPr>
          </w:p>
        </w:tc>
        <w:tc>
          <w:tcPr>
            <w:tcW w:w="2460" w:type="dxa"/>
            <w:vAlign w:val="bottom"/>
            <w:gridSpan w:val="3"/>
          </w:tcPr>
          <w:p>
            <w:pPr>
              <w:jc w:val="center"/>
              <w:ind w:left="722"/>
              <w:spacing w:after="0" w:line="135" w:lineRule="exact"/>
              <w:rPr>
                <w:sz w:val="20"/>
                <w:szCs w:val="20"/>
                <w:color w:val="auto"/>
              </w:rPr>
            </w:pPr>
            <w:r>
              <w:rPr>
                <w:rFonts w:ascii="Arial" w:cs="Arial" w:eastAsia="Arial" w:hAnsi="Arial"/>
                <w:sz w:val="14"/>
                <w:szCs w:val="14"/>
                <w:b w:val="1"/>
                <w:bCs w:val="1"/>
                <w:color w:val="auto"/>
                <w:w w:val="87"/>
              </w:rPr>
              <w:t>Amount of Future Fundings</w:t>
            </w:r>
          </w:p>
        </w:tc>
        <w:tc>
          <w:tcPr>
            <w:tcW w:w="500" w:type="dxa"/>
            <w:vAlign w:val="bottom"/>
          </w:tcPr>
          <w:p>
            <w:pPr>
              <w:spacing w:after="0"/>
              <w:rPr>
                <w:sz w:val="11"/>
                <w:szCs w:val="11"/>
                <w:color w:val="auto"/>
              </w:rPr>
            </w:pPr>
          </w:p>
        </w:tc>
        <w:tc>
          <w:tcPr>
            <w:tcW w:w="13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Future Fundings at</w:t>
            </w:r>
          </w:p>
        </w:tc>
        <w:tc>
          <w:tcPr>
            <w:tcW w:w="0" w:type="dxa"/>
            <w:vAlign w:val="bottom"/>
          </w:tcPr>
          <w:p>
            <w:pPr>
              <w:spacing w:after="0"/>
              <w:rPr>
                <w:sz w:val="1"/>
                <w:szCs w:val="1"/>
                <w:color w:val="auto"/>
              </w:rPr>
            </w:pPr>
          </w:p>
        </w:tc>
      </w:tr>
      <w:tr>
        <w:trPr>
          <w:trHeight w:val="175"/>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at September 7, 2012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September 7,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Luxury</w:t>
            </w:r>
          </w:p>
        </w:tc>
        <w:tc>
          <w:tcPr>
            <w:tcW w:w="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guarantees where we are the primary obligor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included our liability for expected future fundings of the guarantees in our Balance Sheets in the Other caption within Liabilities.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guarantees we describe in the preceding paragraphs, in conjunction with financing obtained for specific projects or properties owned by joint ventures in which we are a party, we may provide industry standard indemnifications to the lender for loss, liability or damage occurring as a result of the actions of the other joint venture owners or our own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guarantees we note in the preceding paragraphs, as of September 7, 2012, we had the following commitments:</w:t>
      </w:r>
    </w:p>
    <w:p>
      <w:pPr>
        <w:spacing w:after="0" w:line="90" w:lineRule="exact"/>
        <w:rPr>
          <w:sz w:val="20"/>
          <w:szCs w:val="20"/>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$2 million (€1 million) of other purchase commitments that we expect to fund over the next two years, as follows: $1 million in each of 2013 and 2014.</w:t>
      </w:r>
    </w:p>
    <w:p>
      <w:pPr>
        <w:spacing w:after="0" w:line="50" w:lineRule="exact"/>
        <w:rPr>
          <w:rFonts w:ascii="Arial" w:cs="Arial" w:eastAsia="Arial" w:hAnsi="Arial"/>
          <w:sz w:val="18"/>
          <w:szCs w:val="18"/>
          <w:color w:val="auto"/>
        </w:rPr>
      </w:pPr>
    </w:p>
    <w:p>
      <w:pPr>
        <w:ind w:left="900" w:right="8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$1 million, which we expect will be paid in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$3 million, which we expect will be paid in 2012.</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Surety bonds issued as of September 7, 2012 totaled $93 million, the majority of which were requested by federal, state or local governments related to our operations.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Spin-Off, Marriott International also guaranteed our performance using letters of credit under certain agreements necessary to operate our Europe segment. Subsequent to the Spin-Off, Marriott International continues to hold $2 million of standby letters of credit related to these guarantees. If Marriott International is required to fund any draws under these letters of credit it would seek recourse from us.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Additionally, as of September 7, 2012, we had $5 million of letters of credit outstanding under our four-year $200 million revolving credit facility (the “Revolving Corporate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Certain of our subsidiaries are defendants in a lawsuit in the Superior Court of California, County of San Francisco in which the plaintiffs, 11 owners at our Ritz-Carlton Club and Residences, San Francisco property, question the adequacy of disclosures made regarding bonds issued for the project under California’s Mello-Roos Community Facilities Act of 1982 and their payment obligations with respect to such bonds. In June 2012, the trial judge issued a tentative decision on phase one of the proceeding in favor of the plaintiffs, concluding on the basis of several theories that the plaintiffs are entitled to, among other relief, rescission of their purchase contracts and punitive damages in an amount to be determined. The decision is not yet final, and the total amounts that we may be required to pay to the plaintiffs in this matter are not estimable at this time due to the current procedural status of the case, as well as the uncertainties with respect to the Court’s conclusion and assessment of damages, if any. If the decision does become final, we intend to vigorously appeal the decision. Two other lawsuits are pending in which 11 other owners assert similar claims. To date, we have accrued approximately $7 million for these matters based on amounts that are currently estimable.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$137 million, of which $13 million is included within liabilities on our Balance Sheet. This estimate is based on our current development plans, which remain subject to change, and we expect the phases currently under development will be completed by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0"/>
              </w:rPr>
              <w:t>At September 7,</w:t>
            </w:r>
          </w:p>
        </w:tc>
        <w:tc>
          <w:tcPr>
            <w:tcW w:w="1660" w:type="dxa"/>
            <w:vAlign w:val="bottom"/>
            <w:gridSpan w:val="4"/>
          </w:tcPr>
          <w:p>
            <w:pPr>
              <w:ind w:left="560"/>
              <w:spacing w:after="0"/>
              <w:rPr>
                <w:sz w:val="20"/>
                <w:szCs w:val="20"/>
                <w:color w:val="auto"/>
              </w:rPr>
            </w:pPr>
            <w:r>
              <w:rPr>
                <w:rFonts w:ascii="Arial" w:cs="Arial" w:eastAsia="Arial" w:hAnsi="Arial"/>
                <w:sz w:val="14"/>
                <w:szCs w:val="14"/>
                <w:b w:val="1"/>
                <w:bCs w:val="1"/>
                <w:color w:val="auto"/>
                <w:w w:val="98"/>
              </w:rPr>
              <w:t>At December 30,</w:t>
            </w:r>
          </w:p>
        </w:tc>
      </w:tr>
      <w:tr>
        <w:trPr>
          <w:trHeight w:val="161"/>
        </w:trPr>
        <w:tc>
          <w:tcPr>
            <w:tcW w:w="60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88"/>
        </w:trPr>
        <w:tc>
          <w:tcPr>
            <w:tcW w:w="60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7"/>
              </w:rPr>
              <w:t>Non-recourse debt associated with securitized notes receivable, interest rates</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 xml:space="preserve">ranging from 2.62% to 7.20% (weighted average interest rate of 4.40%) </w:t>
            </w:r>
            <w:r>
              <w:rPr>
                <w:rFonts w:ascii="Arial" w:cs="Arial" w:eastAsia="Arial" w:hAnsi="Arial"/>
                <w:sz w:val="11"/>
                <w:szCs w:val="11"/>
                <w:color w:val="auto"/>
                <w:w w:val="98"/>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Warehouse credit facility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60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793</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3100" w:type="dxa"/>
            <w:vAlign w:val="bottom"/>
            <w:vMerge w:val="restart"/>
          </w:tcPr>
          <w:p>
            <w:pPr>
              <w:ind w:left="160"/>
              <w:spacing w:after="0"/>
              <w:rPr>
                <w:sz w:val="20"/>
                <w:szCs w:val="20"/>
                <w:color w:val="auto"/>
              </w:rPr>
            </w:pPr>
            <w:r>
              <w:rPr>
                <w:rFonts w:ascii="Arial" w:cs="Arial" w:eastAsia="Arial" w:hAnsi="Arial"/>
                <w:sz w:val="18"/>
                <w:szCs w:val="18"/>
                <w:color w:val="auto"/>
                <w:w w:val="85"/>
              </w:rPr>
              <w:t>Interest rates are as of September 7, 2012.</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See Footnote No. 11, “Variable Interest Entities,” for a discussion of the collateral for the non-recourse debt associated with the securitized vacation ownership notes receivable and the Warehouse Credit Facility. All of our other debt was, and to the extent currently outstanding is, recourse to us but is unsecured. Although no cash borrowings were outstanding as of September 7, 2012 under our Revolving Corporate Credit Facility, any amounts that are borrowed under that facility, as well as obligations with respect to letters of credit issued pursuant to that facility, are secured by a perfected first priority security interest in substantially all of our assets and the assets of the guarantors of that facility, in each case including inventory, subject to certain exceptions.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Non-Recourse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34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Debt</w:t>
            </w:r>
          </w:p>
        </w:tc>
        <w:tc>
          <w:tcPr>
            <w:tcW w:w="3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Other Debt</w:t>
            </w:r>
          </w:p>
        </w:tc>
        <w:tc>
          <w:tcPr>
            <w:tcW w:w="320" w:type="dxa"/>
            <w:vAlign w:val="bottom"/>
          </w:tcPr>
          <w:p>
            <w:pPr>
              <w:spacing w:after="0"/>
              <w:rPr>
                <w:sz w:val="15"/>
                <w:szCs w:val="15"/>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120</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122</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118</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106</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288</w:t>
            </w:r>
          </w:p>
        </w:tc>
        <w:tc>
          <w:tcPr>
            <w:tcW w:w="100" w:type="dxa"/>
            <w:vAlign w:val="bottom"/>
          </w:tcPr>
          <w:p>
            <w:pPr>
              <w:spacing w:after="0"/>
              <w:rPr>
                <w:sz w:val="18"/>
                <w:szCs w:val="18"/>
                <w:color w:val="auto"/>
              </w:rPr>
            </w:pPr>
          </w:p>
        </w:tc>
      </w:tr>
      <w:tr>
        <w:trPr>
          <w:trHeight w:val="27"/>
        </w:trPr>
        <w:tc>
          <w:tcPr>
            <w:tcW w:w="6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September 7, 2012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790</w:t>
            </w:r>
          </w:p>
        </w:tc>
        <w:tc>
          <w:tcPr>
            <w:tcW w:w="6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793</w:t>
            </w:r>
          </w:p>
        </w:tc>
        <w:tc>
          <w:tcPr>
            <w:tcW w:w="100" w:type="dxa"/>
            <w:vAlign w:val="bottom"/>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the contractual terms of the underlying securitized notes receivable determine the maturities of the non-recourse debt associated with them, actual maturities may occur earlier than shown above due to prepayments by the notes receivable obligors.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paid cash for interest, net of amounts capitalized, of $33 million in the thirty-six weeks ended September 7, 2012 and $32 million in the thirty-six weeks ended September 9,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Notes Receivable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of our securitized vacation ownership notes receivable pools is subject to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During the third quarter of 2012, one pool reached a performance trigger, but subsequently returned to meeting performance thresholds. At the end of the third quarter of 2012, no pools were out of compliance. As a result of reaching a performance trigger, a total of $1 million in cash of excess spread was redirected to accelerate principal payments to investors during the thirty-six weeks ended September 7, 2012. As of September 7, 2012, we had 10 securitized vacation ownership notes receivable pools outstanding (excluding the Warehouse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Renewal of Warehouse Credit Facility</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September 11, 2012, we entered into amended and restated agreements associated with the Warehouse Credit Facility. As a result, the borrowing capacity of the Warehouse Credit Facility was reduced from $300 million to $250 million and the revolving period was extended to September 10, 2014. In addition, as a result of the amended and restated agreements, borrowings under the Warehouse Credit Facility now bear interest at a rate based on the one-month LIBOR and bank conduit commercial paper rates plus 1.5 percent and are limited at any point to the advance rate on the aggregate amount of eligible vacation ownership notes receivable at such time. Other terms of the Warehouse Credit Facility are substantially similar to those in effect prior to the amendment and restatement.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MANDATORILY REDEEMABLE PREFERRED STOCK OF CONSOLIDATED SUBSIDIARY</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The Series A preferred stock has an aggregate liquidation preference of $40 million plus any accrued and unpaid dividends and an additional premium if liquidation occurs during the first five years after the issuance of the preferred stock. As of September 7, 2012,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“Marriott Vacations Worldwide Stock Plan”). As of September 7, 2012, approximately 2 million shares were available for grants under the Marriott Vacations Worldwide Stock Plan.</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For share-based awards with service-only vesting conditions, we measure compensation expense related to share-based payment transactions with our employees and non-employee directors at fair value on the grant date and recognize this expense in the Statement of Operations over the vesting period during which the employees provide service in exchange for the award. For share-based arrangements with performance conditions as a prerequisite to vesting, we recognize compensation expense once it is probable that the corresponding performance condition will be achieved.</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$3 million and $2 million for the twelve weeks ended September 7, 2012 and September 9, 2011, respectively, and $8 million and $7 million for the thirty-six weeks ended September 7, 2012 and September 9, 2011, respectively. Our deferred compensation liability related to unvested awards held by our employees totaled $16 million and $19 million at September 7, 2012 and December 30, 2011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granted 215,109 RSUs during the thirty-six weeks ended September 7, 2012 to our employees, and those RSUs generally vest over four year periods in annual installments commencing one year after the date of grant. RSUs granted in the thirty-six weeks ended September 7, 2012 had a weighted average grant-date fair value of $23.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During the thirty-six weeks ended September 7, 2012, we granted RSUs with performance-based vesting criteria to key members of management. The number of RSUs earned, if any, will be determined following the end of a three-year performance period based upon our cumulative achievement over that period of specific quantitative operating financial measures. The maximum amount of RSUs that may vest under the performance-based RSUs is approximately 170,000.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9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granted 3,961 SARs to a non-employee director in lieu of annual cash retainers during the thirty-six weeks ended September 7, 2012. SARs generally expire ten years after the date of grant and both vest and may be exercised in cumulative installments of one quarter of the number of SARs granted at the end of each of the first four years following the date of grant. These SARs vested immediately and had a weighted average grant-date fair value of $15 and a weighted average exercise price of $29.</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the Black-Scholes model to estimate the fair value of the stock options or SARs granted. For SARs granted under the Marriott Vacations Worldwide Stock Plan in the thirty-six weeks ended September 7, 2012,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outlines the assumptions used to estimate the fair value of grants during the thirty-six weeks ended September 7, 2012:</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Dividend yield</w:t>
            </w:r>
          </w:p>
        </w:tc>
        <w:tc>
          <w:tcPr>
            <w:tcW w:w="332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20" w:type="dxa"/>
            <w:vAlign w:val="bottom"/>
          </w:tcPr>
          <w:p>
            <w:pPr>
              <w:jc w:val="right"/>
              <w:ind w:right="132"/>
              <w:spacing w:after="0"/>
              <w:rPr>
                <w:sz w:val="20"/>
                <w:szCs w:val="20"/>
                <w:color w:val="auto"/>
              </w:rPr>
            </w:pPr>
            <w:r>
              <w:rPr>
                <w:rFonts w:ascii="Arial" w:cs="Arial" w:eastAsia="Arial" w:hAnsi="Arial"/>
                <w:sz w:val="18"/>
                <w:szCs w:val="18"/>
                <w:color w:val="auto"/>
              </w:rPr>
              <w:t>6.25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that the special purpose entities issue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shows consolidated assets, that are collateral for the obligations of these variable interest entities, and consolidated liabilities included in our Balance Sheet at September 7,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Vacation Ownership</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4"/>
              </w:rPr>
              <w:t>Warehouse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2"/>
              </w:rPr>
              <w:t>Notes Receivable</w:t>
            </w:r>
          </w:p>
        </w:tc>
        <w:tc>
          <w:tcPr>
            <w:tcW w:w="100" w:type="dxa"/>
            <w:vAlign w:val="bottom"/>
          </w:tcPr>
          <w:p>
            <w:pPr>
              <w:spacing w:after="0"/>
              <w:rPr>
                <w:sz w:val="12"/>
                <w:szCs w:val="12"/>
                <w:color w:val="auto"/>
              </w:rPr>
            </w:pPr>
          </w:p>
        </w:tc>
        <w:tc>
          <w:tcPr>
            <w:tcW w:w="56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Credit</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7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8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4"/>
              </w:rPr>
              <w:t>Securitizations</w:t>
            </w:r>
          </w:p>
        </w:tc>
        <w:tc>
          <w:tcPr>
            <w:tcW w:w="1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Facility</w:t>
            </w:r>
          </w:p>
        </w:tc>
        <w:tc>
          <w:tcPr>
            <w:tcW w:w="7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Notes receivable, net of reserves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834</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886</w:t>
            </w:r>
          </w:p>
        </w:tc>
        <w:tc>
          <w:tcPr>
            <w:tcW w:w="100" w:type="dxa"/>
            <w:vAlign w:val="bottom"/>
            <w:shd w:val="clear" w:color="auto" w:fill="CCEEFF"/>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b w:val="1"/>
                <w:bCs w:val="1"/>
                <w:color w:val="auto"/>
              </w:rPr>
              <w:t>Consolidated Liabilities:</w:t>
            </w: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790</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793</w:t>
            </w:r>
          </w:p>
        </w:tc>
        <w:tc>
          <w:tcPr>
            <w:tcW w:w="10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September 7,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2"/>
              </w:rPr>
              <w:t>Notes Receivable</w:t>
            </w:r>
          </w:p>
        </w:tc>
        <w:tc>
          <w:tcPr>
            <w:tcW w:w="80" w:type="dxa"/>
            <w:vAlign w:val="bottom"/>
          </w:tcPr>
          <w:p>
            <w:pPr>
              <w:spacing w:after="0"/>
              <w:rPr>
                <w:sz w:val="12"/>
                <w:szCs w:val="12"/>
                <w:color w:val="auto"/>
              </w:rPr>
            </w:pPr>
          </w:p>
        </w:tc>
        <w:tc>
          <w:tcPr>
            <w:tcW w:w="13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0"/>
              </w:rPr>
              <w:t>Securitizations</w:t>
            </w:r>
          </w:p>
        </w:tc>
        <w:tc>
          <w:tcPr>
            <w:tcW w:w="80" w:type="dxa"/>
            <w:vAlign w:val="bottom"/>
          </w:tcPr>
          <w:p>
            <w:pPr>
              <w:spacing w:after="0"/>
              <w:rPr>
                <w:sz w:val="14"/>
                <w:szCs w:val="14"/>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Facility</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900" w:type="dxa"/>
            <w:vAlign w:val="bottom"/>
            <w:gridSpan w:val="2"/>
          </w:tcPr>
          <w:p>
            <w:pPr>
              <w:ind w:left="1800"/>
              <w:spacing w:after="0"/>
              <w:rPr>
                <w:sz w:val="20"/>
                <w:szCs w:val="20"/>
                <w:color w:val="auto"/>
              </w:rPr>
            </w:pPr>
            <w:r>
              <w:rPr>
                <w:rFonts w:ascii="Arial" w:cs="Arial" w:eastAsia="Arial" w:hAnsi="Arial"/>
                <w:sz w:val="18"/>
                <w:szCs w:val="18"/>
                <w:color w:val="auto"/>
                <w:w w:val="79"/>
              </w:rPr>
              <w:t>$</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90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thirty-six weeks ended September 7,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2"/>
                <w:szCs w:val="12"/>
                <w:color w:val="auto"/>
              </w:rPr>
            </w:pPr>
          </w:p>
        </w:tc>
        <w:tc>
          <w:tcPr>
            <w:tcW w:w="13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Credit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6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9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Securitizations</w:t>
            </w:r>
          </w:p>
        </w:tc>
        <w:tc>
          <w:tcPr>
            <w:tcW w:w="100" w:type="dxa"/>
            <w:vAlign w:val="bottom"/>
          </w:tcPr>
          <w:p>
            <w:pPr>
              <w:spacing w:after="0"/>
              <w:rPr>
                <w:sz w:val="14"/>
                <w:szCs w:val="14"/>
                <w:color w:val="auto"/>
              </w:rPr>
            </w:pPr>
          </w:p>
        </w:tc>
        <w:tc>
          <w:tcPr>
            <w:tcW w:w="13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6"/>
              </w:rPr>
              <w:t>Facility</w:t>
            </w:r>
          </w:p>
        </w:tc>
        <w:tc>
          <w:tcPr>
            <w:tcW w:w="40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26</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60" w:type="dxa"/>
            <w:vAlign w:val="bottom"/>
            <w:tcBorders>
              <w:top w:val="single" w:sz="8" w:color="auto"/>
            </w:tcBorders>
            <w:gridSpan w:val="3"/>
          </w:tcPr>
          <w:p>
            <w:pPr>
              <w:ind w:left="400"/>
              <w:spacing w:after="0" w:line="129" w:lineRule="exact"/>
              <w:rPr>
                <w:sz w:val="20"/>
                <w:szCs w:val="20"/>
                <w:color w:val="auto"/>
              </w:rPr>
            </w:pPr>
            <w:r>
              <w:rPr>
                <w:rFonts w:ascii="Arial" w:cs="Arial" w:eastAsia="Arial" w:hAnsi="Arial"/>
                <w:sz w:val="14"/>
                <w:szCs w:val="14"/>
                <w:b w:val="1"/>
                <w:bCs w:val="1"/>
                <w:color w:val="auto"/>
                <w:w w:val="84"/>
              </w:rPr>
              <w:t>September 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w w:val="97"/>
              </w:rPr>
              <w:t>Net proceeds from notes receivable securitization</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46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Interest receipts</w:t>
            </w:r>
          </w:p>
        </w:tc>
        <w:tc>
          <w:tcPr>
            <w:tcW w:w="2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Voluntary repurchases of defaulted notes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Voluntary clean-up calls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to investors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w:t>
            </w:r>
          </w:p>
        </w:tc>
        <w:tc>
          <w:tcPr>
            <w:tcW w:w="2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c>
          <w:tcPr>
            <w:tcW w:w="46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320" w:type="dxa"/>
            <w:vAlign w:val="bottom"/>
            <w:vMerge w:val="restart"/>
          </w:tcPr>
          <w:p>
            <w:pPr>
              <w:jc w:val="right"/>
              <w:ind w:right="1672"/>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Warehouse Credit Facility variable interest entity:</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Thirty-Six Weeks Ended</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Principal receipts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receipts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Reserve release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18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Voluntary repurchases of defaulted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Repayment of Warehouse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to investors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(120)</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Net Cash Flows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Under the terms of our vacation ownership notes receivable securitizations, we have the right at our option to repurchase defaulted mortgage notes at the outstanding principal balance. The transaction documents typically limit such repurchases to 15 to 20 percent of the transaction’s initial mortgage balance.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an equity investment in and a note receivable due from a variable interest entity that develops and markets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of this entity, as power to direct the activities that most significantly impact the entity’s economic performance is shared among the variable interest holders and, therefore, we do not consolidate the entity. We provided a completion guarantee in favor of the project lenders for which the joint venture has delivered a completed operational project. Although we have not received a release of the guarantee from the lenders, we do not believe we have any exposure for funding. In 2009, we fully impaired our equity investment in the entity and in certain notes receivable due from the entity. In 2010, the continued application of equity losses to our investment in the remaining outstanding notes receivable balance reduced its carrying value to zero. In addition, the venture was unable to pay promissory notes that matured on December 31, 2010 and August 1, 2011. Subsequently, the lenders issued a notice of default to the venture. The venture continues to seek to negotiate a consensual resolution, but no resolution has been reached to date and the lenders have initiated foreclosure proceedings with respect to unsold interests in the project. We have given notice of breach or termination of various agreements, including management agreements with the owners’ associations at the project, marketing and sales agreements with the venture, and other agreements pursuant to which we have provided services to the venture, with termination effective October 29, 2012. During the thirty-six weeks ended September 7, 2012, we reversed $2 million of our previously recorded impairment of this equity investment because the actual costs incurred to suspend the marketing and sales operations were lower than previously estimated. We have a remaining accrual of $10 million for potential future funding included in other liabilities on our Balance Sheet, representing our remaining expected exposure to loss related to our involvement with this entity. In addition, several owners at the project have filed suit against several parties involved in the project, including two of our subsidiaries, which could result in additional exposures which are not estimable at this time.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thirty-six weeks ended September 9, 2011, we reversed $4 million of our previously recorded impairment of this equity investment based on facts and circumstances surrounding the project, including favorable resolution of certain construction-related claims and contingent obligations to refund certain deposits relating to sales that have subsequently closed.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upon the completion of the Spin-Off, Marriott Vacations Worldwide ceased to be a related party of Marriott International.</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Through November 21, 2011 (the effective date of the Spin-Off), our expenses included allocations from Marriott International of costs associated with services provided by Marriott International to us including, but not limited to, information technology support,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These allocated costs were $7 million and $22 million for the twelve and thirty-six weeks ended September 9, 2011, respectively.</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Marriott International allocated indirect general and administrative costs to us for certain functions and services provided to us by Marriott International, including, but not limited to, executive office, legal, tax, finance, government and public relations, internal audit, treasury, investor relations, human resources and other administrative support primarily on the basis of our proportion of Marriott International’s overall revenue. Accordingly, we were allocated $3 million and $10 million for the twelve and thirty-six weeks ended September 9, 2011, respectively, of Marriott International’s indirect general and corporate overhead expenses and have included these expenses in General and administrative expenses on our Statements of Operations.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Marriott International ceased allocating expenses to us after the Spin-Off on November 21, 2011. We determined that our relative revenue was a reasonable reflection of Marriott International time dedicated to the oversight of our historical business. The allocations may not, however, reflect the expense we would have incurred as an independent, publicly traded company for the periods presented.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significant intercompany transactions between us and Marriott International were included in our historical financial statements and are considered to be effectively settled as of the time of the Spin-Off. The total net effect of the settlement of these intercompany transactions is reflected in the Statements of Cash Flows as a financing activity.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SHAREHOLDERS’ EQUITY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changes in shareholders’ equity during the thirty-six weeks ended September 7,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6"/>
              </w:rPr>
              <w:t>Accumulated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14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Other</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9"/>
              </w:rPr>
              <w:t>Paid-In</w:t>
            </w:r>
          </w:p>
        </w:tc>
        <w:tc>
          <w:tcPr>
            <w:tcW w:w="16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7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Capital</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Income</w:t>
            </w:r>
          </w:p>
        </w:tc>
        <w:tc>
          <w:tcPr>
            <w:tcW w:w="7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3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
        </w:trPr>
        <w:tc>
          <w:tcPr>
            <w:tcW w:w="5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year-end 2011</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78"/>
              </w:rPr>
              <w:t>19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8"/>
        </w:trPr>
        <w:tc>
          <w:tcPr>
            <w:tcW w:w="5780" w:type="dxa"/>
            <w:vAlign w:val="bottom"/>
          </w:tcPr>
          <w:p>
            <w:pPr>
              <w:spacing w:after="0"/>
              <w:rPr>
                <w:sz w:val="20"/>
                <w:szCs w:val="20"/>
                <w:color w:val="auto"/>
              </w:rPr>
            </w:pPr>
            <w:r>
              <w:rPr>
                <w:rFonts w:ascii="Arial" w:cs="Arial" w:eastAsia="Arial" w:hAnsi="Arial"/>
                <w:sz w:val="18"/>
                <w:szCs w:val="18"/>
                <w:color w:val="auto"/>
              </w:rPr>
              <w:t>Adjustment to reclassification of Marriott International investment to</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ind w:left="220"/>
              <w:spacing w:after="0"/>
              <w:rPr>
                <w:sz w:val="20"/>
                <w:szCs w:val="20"/>
                <w:color w:val="auto"/>
              </w:rPr>
            </w:pPr>
            <w:r>
              <w:rPr>
                <w:rFonts w:ascii="Arial" w:cs="Arial" w:eastAsia="Arial" w:hAnsi="Arial"/>
                <w:sz w:val="18"/>
                <w:szCs w:val="18"/>
                <w:color w:val="auto"/>
              </w:rPr>
              <w:t xml:space="preserve">additional paid-in capital </w:t>
            </w:r>
            <w:r>
              <w:rPr>
                <w:rFonts w:ascii="Arial" w:cs="Arial" w:eastAsia="Arial" w:hAnsi="Arial"/>
                <w:sz w:val="11"/>
                <w:szCs w:val="11"/>
                <w:color w:val="auto"/>
              </w:rPr>
              <w:t>(1)</w:t>
            </w:r>
          </w:p>
        </w:tc>
        <w:tc>
          <w:tcPr>
            <w:tcW w:w="8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Amounts related to share-based compensation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Balance at September 7, 2012</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8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1,113</w:t>
            </w:r>
          </w:p>
        </w:tc>
        <w:tc>
          <w:tcPr>
            <w:tcW w:w="6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580"/>
              <w:spacing w:after="0"/>
              <w:rPr>
                <w:sz w:val="20"/>
                <w:szCs w:val="20"/>
                <w:color w:val="auto"/>
              </w:rPr>
            </w:pPr>
            <w:r>
              <w:rPr>
                <w:rFonts w:ascii="Arial" w:cs="Arial" w:eastAsia="Arial" w:hAnsi="Arial"/>
                <w:sz w:val="16"/>
                <w:szCs w:val="16"/>
                <w:color w:val="auto"/>
                <w:w w:val="78"/>
              </w:rPr>
              <w:t>18</w:t>
            </w:r>
          </w:p>
        </w:tc>
        <w:tc>
          <w:tcPr>
            <w:tcW w:w="7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1"/>
          <w:szCs w:val="21"/>
          <w:color w:val="auto"/>
          <w:vertAlign w:val="superscript"/>
        </w:rPr>
      </w:pPr>
      <w:r>
        <w:rPr>
          <w:rFonts w:ascii="Arial" w:cs="Arial" w:eastAsia="Arial" w:hAnsi="Arial"/>
          <w:sz w:val="17"/>
          <w:szCs w:val="17"/>
          <w:color w:val="auto"/>
        </w:rPr>
        <w:t>Primarily consists of an adjustment to deferred tax liabilities for changes in the valuation of Marriott Vacations Worldwide at the time of Spin-Off.</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IMPAIRMENT CHARGES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preparation for the Spin-Off (see Footnote No. 1, “Summary of Significant Accounting Policies,” for additional information), management assessed the intended use of excess undeveloped land and built inventory and the current market conditions for those assets. On September 8, 2011, management approved a plan to accelerate cash flow through the monetization of certain excess undeveloped land in the United States, Mexico, and the Bahamas and to accelerate sales of excess built Luxury fractional and residential inventory. As a result, in accordance with the guidance for accounting for the impairment or disposal of long-lived assets, because the nominal cash flows from the planned land sales and the estimated fair values of the land and excess built Luxury inventory were less than their respective carrying values, we recorded a pre-tax non-cash impairment charge of $324 million ($234 million after-tax) in our 2011 third quarter Statement of Operations under the “Impairment” caption.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composition of these charges.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Luxury</w:t>
            </w: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Europe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1"/>
              </w:rPr>
              <w:t>Segment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Inventory impairment</w:t>
            </w:r>
          </w:p>
        </w:tc>
        <w:tc>
          <w:tcPr>
            <w:tcW w:w="2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Property and equipment impairment</w:t>
            </w: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20" w:type="dxa"/>
            <w:vAlign w:val="bottom"/>
            <w:gridSpan w:val="2"/>
            <w:shd w:val="clear" w:color="auto" w:fill="CCEEFF"/>
          </w:tcPr>
          <w:p>
            <w:pPr>
              <w:ind w:left="29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960" w:type="dxa"/>
            <w:vAlign w:val="bottom"/>
            <w:vMerge w:val="restart"/>
          </w:tcPr>
          <w:p>
            <w:pPr>
              <w:jc w:val="right"/>
              <w:ind w:right="1392"/>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four reportable business segments:</w:t>
      </w:r>
    </w:p>
    <w:p>
      <w:pPr>
        <w:spacing w:after="0" w:line="90" w:lineRule="exact"/>
        <w:rPr>
          <w:sz w:val="20"/>
          <w:szCs w:val="20"/>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our North America segment, we develop, market, sell and manage vacation ownership products under the Marriott Vacation Club and Grand Residences by Marriott brands in the United States and the Caribbean. We also develop, market, sell and manage resort residential real estate located within our vacation ownership developments under the Grand Residences by Marriott brand.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our Luxury segment, we develop, market, sell and manage luxury vacation ownership products under the Ritz-Carlton Destination Club brand. We also sell whole ownership luxury residential real estate under the Ritz-Carlton Residences brand.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our Europe segment, we develop, market, sell and manage vacation ownership products in several locations in Europe.</w:t>
      </w:r>
    </w:p>
    <w:p>
      <w:pPr>
        <w:spacing w:after="0" w:line="9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our Asia Pacific segment, we operate Marriott Vacation Club, Asia Pacific, a right-to-use points program we introduced in 2006 that we specifically designed to appeal to vacation preferences of the Asian market, as well as a weeks-based right-to-use product originally introduced in 2001.</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evaluate the performance of our segments based primarily on the results of the segment without allocating corporate expenses, income taxes or indirect general and administrative expenses. We do not allocate corporate interest expense or other financing expenses to our segments. We include interest income specific to segment activities within the appropriate segment. We allocate other gains and losses, equity in earnings or losses from our joint ventures and certain general and administrative expenses to each of our segments. Corporate and other represents that portion of our revenues, general, administrative and other expenses, equity in earnings or losses, and other gains or losses that are not allocable to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8"/>
          </w:tcPr>
          <w:p>
            <w:pPr>
              <w:ind w:left="32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4"/>
              </w:rPr>
              <w:t>September 7,</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81"/>
              </w:rPr>
              <w:t>September 7,</w:t>
            </w:r>
          </w:p>
        </w:tc>
        <w:tc>
          <w:tcPr>
            <w:tcW w:w="3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79"/>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Luxury</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Asia Pacific</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revenues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1,138</w:t>
            </w: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Corporate and other</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Income (Loss)</w:t>
            </w: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3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8"/>
          </w:tcPr>
          <w:p>
            <w:pPr>
              <w:ind w:left="160"/>
              <w:spacing w:after="0"/>
              <w:rPr>
                <w:sz w:val="20"/>
                <w:szCs w:val="20"/>
                <w:color w:val="auto"/>
              </w:rPr>
            </w:pPr>
            <w:r>
              <w:rPr>
                <w:rFonts w:ascii="Arial" w:cs="Arial" w:eastAsia="Arial" w:hAnsi="Arial"/>
                <w:sz w:val="14"/>
                <w:szCs w:val="14"/>
                <w:b w:val="1"/>
                <w:bCs w:val="1"/>
                <w:color w:val="auto"/>
              </w:rPr>
              <w:t>Twelve Weeks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5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1"/>
              </w:rPr>
              <w:t>September 9,</w:t>
            </w:r>
          </w:p>
        </w:tc>
        <w:tc>
          <w:tcPr>
            <w:tcW w:w="720" w:type="dxa"/>
            <w:vAlign w:val="bottom"/>
            <w:gridSpan w:val="2"/>
          </w:tcPr>
          <w:p>
            <w:pPr>
              <w:spacing w:after="0"/>
              <w:rPr>
                <w:sz w:val="11"/>
                <w:szCs w:val="11"/>
                <w:color w:val="auto"/>
              </w:rPr>
            </w:pPr>
          </w:p>
        </w:tc>
        <w:tc>
          <w:tcPr>
            <w:tcW w:w="116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79"/>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4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55"/>
              <w:spacing w:after="0"/>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2012</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75"/>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13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Luxury</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Asia Pacific</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financial results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Corporate and other</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8"/>
                <w:szCs w:val="18"/>
                <w:color w:val="auto"/>
              </w:rPr>
              <w:t>(53)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58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At Period-End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7,</w:t>
            </w:r>
          </w:p>
        </w:tc>
        <w:tc>
          <w:tcPr>
            <w:tcW w:w="15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30,</w:t>
            </w:r>
          </w:p>
        </w:tc>
        <w:tc>
          <w:tcPr>
            <w:tcW w:w="100" w:type="dxa"/>
            <w:vAlign w:val="bottom"/>
          </w:tcPr>
          <w:p>
            <w:pPr>
              <w:spacing w:after="0"/>
              <w:rPr>
                <w:sz w:val="11"/>
                <w:szCs w:val="11"/>
                <w:color w:val="auto"/>
              </w:rPr>
            </w:pPr>
          </w:p>
        </w:tc>
      </w:tr>
      <w:tr>
        <w:trPr>
          <w:trHeight w:val="161"/>
        </w:trPr>
        <w:tc>
          <w:tcPr>
            <w:tcW w:w="4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Luxury</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Asia Pacific</w:t>
            </w: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assets</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Corporate and other</w:t>
            </w:r>
          </w:p>
        </w:tc>
        <w:tc>
          <w:tcPr>
            <w:tcW w:w="2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8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ORGANIZATIONAL AND SEPARATION RELATED CHARGES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the Spin-Off, Marriott International has continued to provide us with certain information technology, payroll, human resources, and other administrative services pursuant to certain transition services agreements.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certain existing administrative organizations to support our stand-alone public company needs. We expect these efforts to continue through 2014. The following table summarizes the classification of organizational and separation related charges recorded in the Statements of Operations: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w w:val="88"/>
              </w:rPr>
              <w:t>Twelve Weeks</w:t>
            </w:r>
          </w:p>
        </w:tc>
        <w:tc>
          <w:tcPr>
            <w:tcW w:w="86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Thirty-Six Weeks</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Ended</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40" w:type="dxa"/>
            <w:vAlign w:val="bottom"/>
            <w:gridSpan w:val="3"/>
          </w:tcPr>
          <w:p>
            <w:pPr>
              <w:ind w:left="1760"/>
              <w:spacing w:after="0"/>
              <w:rPr>
                <w:sz w:val="20"/>
                <w:szCs w:val="20"/>
                <w:color w:val="auto"/>
              </w:rPr>
            </w:pPr>
            <w:r>
              <w:rPr>
                <w:rFonts w:ascii="Arial" w:cs="Arial" w:eastAsia="Arial" w:hAnsi="Arial"/>
                <w:sz w:val="14"/>
                <w:szCs w:val="14"/>
                <w:b w:val="1"/>
                <w:bCs w:val="1"/>
                <w:color w:val="auto"/>
                <w:w w:val="86"/>
              </w:rPr>
              <w:t>September 7, 2012</w:t>
            </w:r>
          </w:p>
        </w:tc>
        <w:tc>
          <w:tcPr>
            <w:tcW w:w="2020" w:type="dxa"/>
            <w:vAlign w:val="bottom"/>
            <w:gridSpan w:val="4"/>
          </w:tcPr>
          <w:p>
            <w:pPr>
              <w:jc w:val="center"/>
              <w:ind w:left="682"/>
              <w:spacing w:after="0"/>
              <w:rPr>
                <w:sz w:val="20"/>
                <w:szCs w:val="20"/>
                <w:color w:val="auto"/>
              </w:rPr>
            </w:pPr>
            <w:r>
              <w:rPr>
                <w:rFonts w:ascii="Arial" w:cs="Arial" w:eastAsia="Arial" w:hAnsi="Arial"/>
                <w:sz w:val="14"/>
                <w:szCs w:val="14"/>
                <w:b w:val="1"/>
                <w:bCs w:val="1"/>
                <w:color w:val="auto"/>
                <w:w w:val="86"/>
              </w:rPr>
              <w:t>September 7, 2012</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Marketing and sales expenses</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5"/>
              </w:rPr>
              <w:t>Resort management and other services expenses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20" w:type="dxa"/>
            <w:vAlign w:val="bottom"/>
          </w:tcPr>
          <w:p>
            <w:pPr>
              <w:spacing w:after="0"/>
              <w:rPr>
                <w:sz w:val="19"/>
                <w:szCs w:val="19"/>
                <w:color w:val="auto"/>
              </w:rPr>
            </w:pPr>
          </w:p>
        </w:tc>
        <w:tc>
          <w:tcPr>
            <w:tcW w:w="1860" w:type="dxa"/>
            <w:vAlign w:val="bottom"/>
            <w:gridSpan w:val="2"/>
          </w:tcPr>
          <w:p>
            <w:pPr>
              <w:ind w:left="17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760" w:type="dxa"/>
            <w:vAlign w:val="bottom"/>
            <w:vMerge w:val="restart"/>
          </w:tcPr>
          <w:p>
            <w:pPr>
              <w:jc w:val="right"/>
              <w:ind w:right="1079"/>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 and can be identified by the use of forward-looking terminology such as the words “believe,” “expect,” “plan,” “intend,” “anticipate,” “estimate,” “predict,” “potential,” “continue,” “may,” “might,” “should,” “could” or the negative of these terms or similar expressions.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except as required by law.</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Financial Statements (as defined below), which we discuss below, reflect our historical financial condition, results of operations and cash flows. The financial information discussed below and included in this Quarterly Report on Form 10-Q, however, may not necessarily reflect what our financial condition, results of operations or cash flows would have been had we been operated as a separate, independent entity during the periods prior to the Spin-Off (defined below) that are presented, or what our financial condition, results of operations and cash flows may be in the future.</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refer to (i) our Interim Consolidated Financial Statements as our “Financial Statements,” (ii) our Interim Consolidated Statements of Operations as our “Statements of Operations,” and (iii) our Interim Consolidated Statements of Cash Flows as our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November 21, 2011, the spin-off of our company (the “Spin-Off”) from Marriott International, Inc.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On the date of the Spin-Off, Marriott International shareholders of record as of the close of business on November 10, 2011 received one share of Marriott Vacations Worldwide common stock for every ten shares of Marriott International common stock. Following the Spin-Off, we are an independent company, and our common stock is listed on the New York Stock Exchange under the symbol “VAC.”</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Spin-Off, our business was owned by Marriott International. In connection with the Spin-Off, we and Marriott International entered into material agreements that govern the ongoing relationships between our two companies after the Spin-Off, provide for an orderly transition to our status as an independent, publicly owned company, relate to the provision by each company to the other of certain services and rights following the Spin-Off, and provide for each company to indemnify the other against certain liabilities arising from our respective businesses. Following the Spin-Off, we and Marriott International have operated independently, and neither company has any ownership interest in the other.</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described in Footnote No. 1, “Summary of Significant Accounting Policies,” in the Notes to our Financial Statements, through the date of the Spin-Off, the Financial Statements discussed below were prepared on a stand-alone basis and were derived from the consolidated financial statements and accounting records of Marriott International. These Financial Statements have been prepared as if the Spin-Off had taken place as of the earliest period presented. The Financial Statements reflect our historical financial position, results of operations and cash flows as we have historically operated, in conformity with United States Generally Accepted Accounting Principles (“GAAP”). All significant intracompany transactions and accounts within these Financial Statements have been eliminated. Beginning November 22, 2011, for periods following the completion of the Spin-Off, our financial results also include the impact of the royalty fee payable under the license agreements with Marriott International and The Ritz-Carlton Hotel Company, L.L.C. that we entered into in connection with the Spin-Off (the “License Agreements”) and the dividend payable on the mandatorily redeemable preferred stock of our consolidated subsidiary (included in interest expense).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the Spin-Off, Marriott International has continued to provide us with certain information technology, payroll, human resources, and other administrative services pursuant to certain transition services agreements. In connection with our continued organizational and separation related activities, we expect to incur future costs of approximately $30 million to $35 million to complete our separation from Marriott International, a portion of which will be capitalized. These costs primarily relate to establishing our own information technology systems and services, independent payroll and accounts payable functions and reorganizing certain existing administrative organizations to support our stand-alone public company needs. We expect these efforts to continue through 2014 and be incurred as follows: $8 million during the fourth quarter of 2012, $15 million to $20 million in 2013 and the remainder in 2014.</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Including approximately $5 million of savings that we anticipate to be reflected in our 2012 financial results, we estimate total annual savings from these efforts to be $15 million to $20 million. We expect these savings to be reflected in our financial results over the next few years, with the full annualized benefit to be realized in 2014. Management cannot guarantee that the actual savings achieved, if any, will be equal to the amounts estimated.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Overview</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generally provides on-site management for Ritz-Carlton branded properties.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business is grouped into four reportable segments: North America, Luxury, Europe and Asia Pacific. We operate 64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the sale of vacation ownership products when all of the following conditions exist:</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receivable is deemed collectible;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criteria for percentage of completion accounting are met;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Sale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year from the date of issuance. Sales incentives are only awarded if the sale is closed.</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report, on a supplemental basis, contract sales for each of our four segments. Contract sales represent the total amount of vacation ownership product sales from purchase agreements signed during the period where we have received a down payment of at least ten percent of the contract price, reduced by actual rescissions during the period. Contract sales differ from revenues from the sale of vacation ownership products that we report in our Statements of Operations due to the requirements for revenue recognition described above. We consider contract sales to be an important operating measure because it reflects the pace of sales in our business.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Total contract sales include sales from company-owned projects and prior to 2012, also include sales generated under a marketing and sales arrangement with a joint venture. Prior to 2011, we established cancellation allowances for previously reported contract sales in anticipation that a portion of these contract sales would not be realized due to contract cancellations prior to closing. These cancellation allowances related mainly to our Luxury segment where we were selling vacation ownership products well in advance of completion of construction. Given the significant amount of time between the date of the purchase agreement and ultimate closings of sales, as well as the significant weakness in the overall economic environment and, in particular, the luxury real estate markets during 2010, 2009 and 2008, many customers decided not to complete their purchases. As we do not have any luxury products that have been sold well in advance of construction, we do not anticipate having significant additional cancellation allowances in the future.</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Cost of vacation ownership products includes costs to develop and construct the project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to the cost of vacation ownership products in our Statements of Operations to true-up costs in that period to those that would have been recorded historically if the revised estimates had been used. These true-ups, which we refer to as product cost true-ups, will have a positive or negative impact on our Statements of Operations.</w:t>
      </w:r>
    </w:p>
    <w:p>
      <w:pPr>
        <w:spacing w:after="0" w:line="120"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resort management and other services revenues includes revenues we earn for managing our resorts, providing ancillary offerings including food and beverage, retail, and golf and spa offerings, and for providing other services to our guests.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provide day-to-day-management services, including housekeeping services, operation of reservation systems, maintenance, and certain accounting and administrative services for property owners’ associations. We receive compensation for such management services which is generally based on either a percentage of total costs to operate the resorts or a fixed fee arrangement. We earn these fees regardless of usage or occupancy. In connection with the Marriott Vacation Club Destinations </w:t>
      </w:r>
      <w:r>
        <w:rPr>
          <w:rFonts w:ascii="Arial" w:cs="Arial" w:eastAsia="Arial" w:hAnsi="Arial"/>
          <w:sz w:val="11"/>
          <w:szCs w:val="11"/>
          <w:color w:val="auto"/>
        </w:rPr>
        <w:t>TM</w:t>
      </w:r>
      <w:r>
        <w:rPr>
          <w:rFonts w:ascii="Arial" w:cs="Arial" w:eastAsia="Arial" w:hAnsi="Arial"/>
          <w:sz w:val="18"/>
          <w:szCs w:val="18"/>
          <w:color w:val="auto"/>
        </w:rPr>
        <w:t xml:space="preserve"> (“MVCD”) program, we also receive annual club dues and certain transaction based fees charged to owners and other third parties for services.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40" w:type="dxa"/>
            <w:vAlign w:val="bottom"/>
            <w:gridSpan w:val="4"/>
          </w:tcPr>
          <w:p>
            <w:pPr>
              <w:ind w:left="460"/>
              <w:spacing w:after="0"/>
              <w:rPr>
                <w:sz w:val="20"/>
                <w:szCs w:val="20"/>
                <w:color w:val="auto"/>
              </w:rPr>
            </w:pPr>
            <w:r>
              <w:rPr>
                <w:rFonts w:ascii="Arial" w:cs="Arial" w:eastAsia="Arial" w:hAnsi="Arial"/>
                <w:sz w:val="14"/>
                <w:szCs w:val="14"/>
                <w:b w:val="1"/>
                <w:bCs w:val="1"/>
                <w:color w:val="auto"/>
              </w:rPr>
              <w:t>Thirty-Six Weeks Ended</w:t>
            </w:r>
          </w:p>
        </w:tc>
      </w:tr>
      <w:tr>
        <w:trPr>
          <w:trHeight w:val="129"/>
        </w:trPr>
        <w:tc>
          <w:tcPr>
            <w:tcW w:w="38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September 7,</w:t>
            </w:r>
          </w:p>
        </w:tc>
        <w:tc>
          <w:tcPr>
            <w:tcW w:w="1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9,</w:t>
            </w:r>
          </w:p>
        </w:tc>
        <w:tc>
          <w:tcPr>
            <w:tcW w:w="100" w:type="dxa"/>
            <w:vAlign w:val="bottom"/>
          </w:tcPr>
          <w:p>
            <w:pPr>
              <w:spacing w:after="0"/>
              <w:rPr>
                <w:sz w:val="11"/>
                <w:szCs w:val="11"/>
                <w:color w:val="auto"/>
              </w:rPr>
            </w:pPr>
          </w:p>
        </w:tc>
      </w:tr>
      <w:tr>
        <w:trPr>
          <w:trHeight w:val="161"/>
        </w:trPr>
        <w:tc>
          <w:tcPr>
            <w:tcW w:w="3840" w:type="dxa"/>
            <w:vAlign w:val="bottom"/>
          </w:tcPr>
          <w:p>
            <w:pPr>
              <w:spacing w:after="0"/>
              <w:rPr>
                <w:sz w:val="14"/>
                <w:szCs w:val="14"/>
                <w:color w:val="auto"/>
              </w:rPr>
            </w:pPr>
          </w:p>
        </w:tc>
        <w:tc>
          <w:tcPr>
            <w:tcW w:w="3140" w:type="dxa"/>
            <w:vAlign w:val="bottom"/>
            <w:gridSpan w:val="2"/>
          </w:tcPr>
          <w:p>
            <w:pPr>
              <w:jc w:val="right"/>
              <w:ind w:right="166"/>
              <w:spacing w:after="0"/>
              <w:rPr>
                <w:sz w:val="20"/>
                <w:szCs w:val="20"/>
                <w:color w:val="auto"/>
              </w:rPr>
            </w:pPr>
            <w:r>
              <w:rPr>
                <w:rFonts w:ascii="Arial" w:cs="Arial" w:eastAsia="Arial" w:hAnsi="Arial"/>
                <w:sz w:val="14"/>
                <w:szCs w:val="14"/>
                <w:b w:val="1"/>
                <w:bCs w:val="1"/>
                <w:color w:val="auto"/>
              </w:rPr>
              <w:t>2012</w:t>
            </w:r>
          </w:p>
        </w:tc>
        <w:tc>
          <w:tcPr>
            <w:tcW w:w="1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FICO score</w:t>
            </w:r>
          </w:p>
        </w:tc>
        <w:tc>
          <w:tcPr>
            <w:tcW w:w="2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vacation ownership notes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Financing revenues include interest income earned on vacation ownership notes receivable as well as fees earned from servicing the existing vacation ownership note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the number of customers choosing to finance their vacation ownership purchase with us (which we refer to as “financing propensity”) declined significantly over the last several years, due in part to our elimination of financing incentive programs. As a result, we expect that interest income will continue to decline over the next few years until new originations outpace the decline in principal amount of the existing vacation ownership note portfolio.</w:t>
      </w:r>
    </w:p>
    <w:p>
      <w:pPr>
        <w:sectPr>
          <w:pgSz w:w="11900" w:h="16838" w:orient="portrait"/>
          <w:cols w:equalWidth="0" w:num="1">
            <w:col w:w="11400"/>
          </w:cols>
          <w:pgMar w:left="240" w:top="459" w:right="259" w:bottom="1440" w:gutter="0" w:footer="0" w:header="0"/>
        </w:sectPr>
      </w:pPr>
    </w:p>
    <w:bookmarkStart w:id="27" w:name="page28"/>
    <w:bookmarkEnd w:id="27"/>
    <w:p>
      <w:pPr>
        <w:ind w:firstLine="456"/>
        <w:spacing w:after="0" w:line="323" w:lineRule="auto"/>
        <w:rPr>
          <w:sz w:val="20"/>
          <w:szCs w:val="20"/>
          <w:color w:val="auto"/>
        </w:rPr>
      </w:pPr>
      <w:r>
        <w:rPr>
          <w:rFonts w:ascii="Arial" w:cs="Arial" w:eastAsia="Arial" w:hAnsi="Arial"/>
          <w:sz w:val="15"/>
          <w:szCs w:val="15"/>
          <w:color w:val="auto"/>
        </w:rPr>
        <w:t>In the event of a default, we generally have the right to foreclose on or revoke the vacation ownership interest. We typically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in our Statements of Operations. Historical default rates, which represent defaults as a percentage of each year’s beginning gross vacation ownership notes receivable balance, were as follows:</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740" w:type="dxa"/>
            <w:vAlign w:val="bottom"/>
            <w:gridSpan w:val="5"/>
          </w:tcPr>
          <w:p>
            <w:pPr>
              <w:ind w:left="560"/>
              <w:spacing w:after="0"/>
              <w:rPr>
                <w:sz w:val="20"/>
                <w:szCs w:val="20"/>
                <w:color w:val="auto"/>
              </w:rPr>
            </w:pPr>
            <w:r>
              <w:rPr>
                <w:rFonts w:ascii="Arial" w:cs="Arial" w:eastAsia="Arial" w:hAnsi="Arial"/>
                <w:sz w:val="14"/>
                <w:szCs w:val="14"/>
                <w:b w:val="1"/>
                <w:bCs w:val="1"/>
                <w:color w:val="auto"/>
              </w:rPr>
              <w:t>Thirty-Six Weeks Ended</w:t>
            </w:r>
          </w:p>
        </w:tc>
      </w:tr>
      <w:tr>
        <w:trPr>
          <w:trHeight w:val="129"/>
        </w:trPr>
        <w:tc>
          <w:tcPr>
            <w:tcW w:w="29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34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6"/>
              </w:rPr>
              <w:t>September 7,</w:t>
            </w:r>
          </w:p>
        </w:tc>
        <w:tc>
          <w:tcPr>
            <w:tcW w:w="1200" w:type="dxa"/>
            <w:vAlign w:val="bottom"/>
            <w:tcBorders>
              <w:top w:val="single" w:sz="8" w:color="auto"/>
            </w:tcBorders>
            <w:gridSpan w:val="2"/>
          </w:tcPr>
          <w:p>
            <w:pPr>
              <w:jc w:val="center"/>
              <w:ind w:left="352"/>
              <w:spacing w:after="0" w:line="129" w:lineRule="exact"/>
              <w:rPr>
                <w:sz w:val="20"/>
                <w:szCs w:val="20"/>
                <w:color w:val="auto"/>
              </w:rPr>
            </w:pPr>
            <w:r>
              <w:rPr>
                <w:rFonts w:ascii="Arial" w:cs="Arial" w:eastAsia="Arial" w:hAnsi="Arial"/>
                <w:sz w:val="14"/>
                <w:szCs w:val="14"/>
                <w:b w:val="1"/>
                <w:bCs w:val="1"/>
                <w:color w:val="auto"/>
                <w:w w:val="84"/>
              </w:rPr>
              <w:t>September 9,</w:t>
            </w:r>
          </w:p>
        </w:tc>
        <w:tc>
          <w:tcPr>
            <w:tcW w:w="200" w:type="dxa"/>
            <w:vAlign w:val="bottom"/>
          </w:tcPr>
          <w:p>
            <w:pPr>
              <w:spacing w:after="0"/>
              <w:rPr>
                <w:sz w:val="11"/>
                <w:szCs w:val="11"/>
                <w:color w:val="auto"/>
              </w:rPr>
            </w:pPr>
          </w:p>
        </w:tc>
      </w:tr>
      <w:tr>
        <w:trPr>
          <w:trHeight w:val="161"/>
        </w:trPr>
        <w:tc>
          <w:tcPr>
            <w:tcW w:w="29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2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Historical default rates</w:t>
            </w:r>
          </w:p>
        </w:tc>
        <w:tc>
          <w:tcPr>
            <w:tcW w:w="30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363"/>
        </w:trPr>
        <w:tc>
          <w:tcPr>
            <w:tcW w:w="2920" w:type="dxa"/>
            <w:vAlign w:val="bottom"/>
          </w:tcPr>
          <w:p>
            <w:pPr>
              <w:spacing w:after="0"/>
              <w:rPr>
                <w:sz w:val="24"/>
                <w:szCs w:val="24"/>
                <w:color w:val="auto"/>
              </w:rPr>
            </w:pPr>
          </w:p>
        </w:tc>
        <w:tc>
          <w:tcPr>
            <w:tcW w:w="3020" w:type="dxa"/>
            <w:vAlign w:val="bottom"/>
          </w:tcPr>
          <w:p>
            <w:pPr>
              <w:jc w:val="right"/>
              <w:ind w:right="1432"/>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20"/>
          </w:cols>
          <w:pgMar w:left="240" w:top="131"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Inventory we control because owners have elected various usage options.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Rental revenues are primarily the revenues we earn from renting this inventory. We also recognize rental revenue from the utilization of plus points issued under the MVCD program when those points are redeemed for rental stays at one of our resorts or upon expiration of the points.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to provide alternate usage options, including Marriott Rewards Points, for owners who elect to exchange their inventory;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MVCD program.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inventory in our Luxury and Asia Pacific segments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night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also record other revenues and expenses which are primarily comprised of fees received from an external exchange company and settlement fees and expenses from the sale of vacation ownership products.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Cost reimbursements revenues include direct and indirect costs that property owners’ associations and joint ventures in which we participate reimburse to us. In accordance with the accounting guidance for “gross versus net” presentation, we record these revenues on a gross basis. We recognize cost reimbursements revenue when we incur the related reimbursable costs. These costs primarily consist of payroll and payroll related expenses for management of the property owners’ associations and other services we provide where we are the employer, and for development and marketing and sales services that joint ventures contract with us to perform. Cost reimbursements are based upon actual expenses with no added margin.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refer to interest expense associated with the debt from our non-recourse warehouse credit facility (the “Warehouse Credit Facility”) and from the securitization of our vacation ownership notes receivable in the term asset-backed securities (“ABS”) market as consumer financing interest expense. We distinguish consumer financing interest expense from all other interest expense (referred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 as non-consumer financing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9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Volume per guest (“VPG”), which we calculate by dividing contract sales, excluding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Rounding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discussion presents an analysis of results of our operations for the twelve and thirty-six weeks ended September 7, 2012, compared to the twelve and thirty-six weeks ended September 9,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Twelve Weeks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1"/>
              </w:rPr>
              <w:t>September 9,</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425</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378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1,138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Rental</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Cost reimbursements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Impairment reversals on equity investment</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2012 highlights include:</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North America segment contract sales increased 13 percent to $143 million; VPG increased 19 percent year-over-year to $3,051.</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company development margin percentage increased to 16.6 percent in the twelve weeks ended September 7, 2012 from 3.5 percent in the prior year comparable period; North America development margin percentage increased to 20.5 percent in the twelve weeks ended September 7, 2012 from 6.1 percent in the prior year comparable period.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Organizational and separation plan related to the Spin-off is expected to drive $15 million to $20 million of annualized savings by 2014.</w:t>
      </w:r>
    </w:p>
    <w:p>
      <w:pPr>
        <w:sectPr>
          <w:pgSz w:w="11900" w:h="16838" w:orient="portrait"/>
          <w:cols w:equalWidth="0" w:num="1">
            <w:col w:w="11340"/>
          </w:cols>
          <w:pgMar w:left="240" w:top="459" w:right="319" w:bottom="1440" w:gutter="0" w:footer="0" w:header="0"/>
        </w:sectPr>
      </w:pP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40"/>
          </w:cols>
          <w:pgMar w:left="240" w:top="459" w:right="31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Twelve Weeks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300"/>
              <w:spacing w:after="0"/>
              <w:rPr>
                <w:sz w:val="20"/>
                <w:szCs w:val="20"/>
                <w:color w:val="auto"/>
              </w:rPr>
            </w:pPr>
            <w:r>
              <w:rPr>
                <w:rFonts w:ascii="Arial" w:cs="Arial" w:eastAsia="Arial" w:hAnsi="Arial"/>
                <w:sz w:val="18"/>
                <w:szCs w:val="18"/>
                <w:color w:val="auto"/>
              </w:rPr>
              <w:t>Total company-owned contract sales</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221"/>
        </w:trPr>
        <w:tc>
          <w:tcPr>
            <w:tcW w:w="48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(12)</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1300"/>
              <w:spacing w:after="0"/>
              <w:rPr>
                <w:sz w:val="20"/>
                <w:szCs w:val="20"/>
                <w:color w:val="auto"/>
              </w:rPr>
            </w:pPr>
            <w:r>
              <w:rPr>
                <w:rFonts w:ascii="Arial" w:cs="Arial" w:eastAsia="Arial" w:hAnsi="Arial"/>
                <w:sz w:val="18"/>
                <w:szCs w:val="18"/>
                <w:color w:val="auto"/>
              </w:rPr>
              <w:t>Total joint venture contract sales</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(15)</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$7 million increase in total company-owned contract sales was driven by $15 million, or 13 percent, of higher contract sales in our key North America segment, partially offset by an aggregate of $5 million of lower contract sales in our Europe and Luxury segments as we continued to sell through existing inventory, and $3 million of lower contract sales in our Asia Pacific segment.</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increase in contract sales in our North America segment reflected a 19 percent increase in VPG to $3,051 in the twelve weeks ended September 7, 2012 from $2,560 in the prior year comparable period. This increase in VPG was due to a four percent price increase and a two percentage point increase in closing efficiency resulting from improved marketing and sales execution.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4"/>
                <w:szCs w:val="14"/>
                <w:b w:val="1"/>
                <w:bCs w:val="1"/>
                <w:color w:val="auto"/>
                <w:w w:val="99"/>
              </w:rPr>
              <w:t>Thirty-Six Weeks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9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27</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300"/>
              <w:spacing w:after="0"/>
              <w:rPr>
                <w:sz w:val="20"/>
                <w:szCs w:val="20"/>
                <w:color w:val="auto"/>
              </w:rPr>
            </w:pPr>
            <w:r>
              <w:rPr>
                <w:rFonts w:ascii="Arial" w:cs="Arial" w:eastAsia="Arial" w:hAnsi="Arial"/>
                <w:sz w:val="18"/>
                <w:szCs w:val="18"/>
                <w:color w:val="auto"/>
              </w:rPr>
              <w:t>Total company-owned contract sales</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1"/>
        </w:trPr>
        <w:tc>
          <w:tcPr>
            <w:tcW w:w="48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26</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(10)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(18)</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1300"/>
              <w:spacing w:after="0"/>
              <w:rPr>
                <w:sz w:val="20"/>
                <w:szCs w:val="20"/>
                <w:color w:val="auto"/>
              </w:rPr>
            </w:pPr>
            <w:r>
              <w:rPr>
                <w:rFonts w:ascii="Arial" w:cs="Arial" w:eastAsia="Arial" w:hAnsi="Arial"/>
                <w:sz w:val="18"/>
                <w:szCs w:val="18"/>
                <w:color w:val="auto"/>
              </w:rPr>
              <w:t>Total joint venture contract sales</w:t>
            </w:r>
          </w:p>
        </w:tc>
        <w:tc>
          <w:tcPr>
            <w:tcW w:w="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(21)</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$27 million increase in total company-owned gross contract sales (before cancellation reversals) was driven by $48 million, or 13 percent, of higher contract sales in our key North America segment, partially offset by an aggregate of $15 million of lower contract sales in our Europe and Luxury segments as we continued to sell through existing inventory, and $6 million of lower contract sales in our Asia Pacific segment.</w:t>
      </w:r>
    </w:p>
    <w:p>
      <w:pPr>
        <w:spacing w:after="0" w:line="10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increase in contract sales in our North America segment reflected a 17 percent increase in VPG to $2,988 in the thirty-six weeks ended September 7, 2012 from $2,555 in the prior year comparable period. This increase in VPG during the thirty-six weeks ended September 7, 2012 was due to a two percentage point increase in closing efficiency resulting from improved marketing and sales execution and a two percent price increase.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4"/>
              </w:rPr>
              <w:t>Twelve Weeks Ended</w:t>
            </w:r>
          </w:p>
        </w:tc>
        <w:tc>
          <w:tcPr>
            <w:tcW w:w="5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524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September 9,</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1"/>
        </w:trPr>
        <w:tc>
          <w:tcPr>
            <w:tcW w:w="5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3"/>
              </w:rPr>
              <w:t>2011</w:t>
            </w: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Development margin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13.1 pts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company-owned contract sales increased $7 million in the twelve weeks ended September 7, 2012, revenues from the sale of vacation ownership products decreased $1 million due mainly to $9 million of lower revenue reportability compared to the prior year comparable period. The $9 million of lower revenue reportability resulted from $19 million of lower revenue reportability in the twelve weeks ended September 7, 2012 compared to $10 million of lower revenue reportability in the prior year comparable period. Revenue reportability was impacted unfavorably in the twelve weeks ended September 7, 2012 because certain financed sales did not meet the down payment requirement for revenue recognition purposes prior to the end of the period. Revenue reportability affects quarter-to-quarter earnings; however, on an annual basis we do not expect a material impact year over year.</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increase in development margin reflects $13 million of favorable product cost true-ups ($13 million in the twelve weeks ended September 7, 2012 compared to $0 in the prior year comparable period), a $6 million increase from higher sales volume net of direct variable expenses (</w:t>
      </w:r>
      <w:r>
        <w:rPr>
          <w:rFonts w:ascii="Arial" w:cs="Arial" w:eastAsia="Arial" w:hAnsi="Arial"/>
          <w:sz w:val="18"/>
          <w:szCs w:val="18"/>
          <w:i w:val="1"/>
          <w:iCs w:val="1"/>
          <w:color w:val="auto"/>
        </w:rPr>
        <w:t>i.e.</w:t>
      </w:r>
      <w:r>
        <w:rPr>
          <w:rFonts w:ascii="Arial" w:cs="Arial" w:eastAsia="Arial" w:hAnsi="Arial"/>
          <w:sz w:val="18"/>
          <w:szCs w:val="18"/>
          <w:color w:val="auto"/>
        </w:rPr>
        <w:t>, cost of vacation ownership products and marketing and sales) mainly from more efficient marketing and sales spending, $5 million of charges in the prior year comparable period, including $3 million of costs related to Americans with Disabilities Act (“ADA”) compliance and Hurricane Irene damage at our resort in the Bahamas and $2 million of legal related charges, and $1 million of lower vacation ownership notes receivable reserve activity. These increases were partially offset by a $5 million impact from lower revenue reportability year-over-year and $1 million reflecting higher than expected redemption costs associated with Marriott Rewards points issued prior to the Spin-off.</w:t>
      </w:r>
    </w:p>
    <w:p>
      <w:pPr>
        <w:spacing w:after="0" w:line="14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favorable product cost true-ups recorded in the twelve weeks ended September 7, 2012 relate mainly to higher estimated sales revenues we expect to generate over the life of the projects ($9 million) primarily from adjustments to future pricing assumptions based upon our sales experience to date and, to a lesser extent, lower overall development costs on specific projects that are substantially completed ($4 million).</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13 percentage point improvement in the development margin percentage reflects a 9 percentage point increase from lower cost of vacation ownership products due to the favorable product cost true-up activity (more than 8 percentage points) and, to a lesser extent, a favorable mix of lower cost real estate inventory being sold, a 3 percentage point increase from efficiencies in marketing and sales spending and a 3 percentage point increase related to the 2011 charges discussed above. These increases were partially offset by a 2 percentage point decline due to lower revenue reportability.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280" w:type="dxa"/>
            <w:vAlign w:val="bottom"/>
          </w:tcPr>
          <w:p>
            <w:pPr>
              <w:spacing w:after="0"/>
              <w:rPr>
                <w:sz w:val="11"/>
                <w:szCs w:val="11"/>
                <w:color w:val="auto"/>
              </w:rPr>
            </w:pPr>
          </w:p>
        </w:tc>
        <w:tc>
          <w:tcPr>
            <w:tcW w:w="15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While company-owned contract sales (before cancellation reversals) increased $27 million in the thirty-six weeks ended September 7, 2012, revenues from the sale of vacation ownership products decreased $17 million from the prior year comparable period, as a result of $36 million of lower revenue reportability and $8 million of higher vacation ownership notes receivable reserve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activity due mainly to lower than estimated default and delinquency activity in our Luxury segment in the prior year comparable period. The $36 million of lower revenue reportability resulted from $39 million of lower revenue reportability in the thirty-six weeks ended September 7, 2012 compared to $3 million of lower revenue reportability in the prior year comparable period. Revenue reportability was impacted unfavorably in the thirty-six weeks ended September 7, 2012 because certain financed sales did not meet the down payment requirement for revenue recognition purposes prior to the end of the period.</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increase in development margin reflects a $22 million increase from higher sales volume net of direct variable expenses (</w:t>
      </w:r>
      <w:r>
        <w:rPr>
          <w:rFonts w:ascii="Arial" w:cs="Arial" w:eastAsia="Arial" w:hAnsi="Arial"/>
          <w:sz w:val="16"/>
          <w:szCs w:val="16"/>
          <w:i w:val="1"/>
          <w:iCs w:val="1"/>
          <w:color w:val="auto"/>
        </w:rPr>
        <w:t>i.e.</w:t>
      </w:r>
      <w:r>
        <w:rPr>
          <w:rFonts w:ascii="Arial" w:cs="Arial" w:eastAsia="Arial" w:hAnsi="Arial"/>
          <w:sz w:val="16"/>
          <w:szCs w:val="16"/>
          <w:color w:val="auto"/>
        </w:rPr>
        <w:t>, cost of vacation ownership products and marketing and sales) mainly from more efficient marketing and sales spending, $19 million of favorable product cost true-ups ($18 million of favorable product cost true-ups in the thirty-six weeks ended September 7, 2012 compared to $1 million of unfavorable product cost true-ups in the prior year comparable period) and $8 million of charges in the prior year comparable period, including $3 million of costs related to ADA compliance and Hurricane Irene damage at our resort in the Bahamas, $3 million of legal related charges and $2 million of severance costs. These increases were partially offset by a $20 million decrease due to lower revenue reportability, a $5 million decrease from higher vacation ownership notes receivable reserve activity, $1 million of severance costs in the thirty-six weeks ended September 7, 2012 and $1 million reflecting higher than expected redemption costs associated with Marriott Rewards points issued prior to the Spin-off.</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favorable product cost true-ups recorded in the thirty-six weeks ended September 7, 2012 relate mainly to higher estimated sales revenues we expect to generate over the life of the projects ($13 million) primarily from adjustments to future pricing assumptions based upon our sales experience to date and, to a lesser extent, lower overall development costs on specific projects that are substantially completed ($5 million).</w:t>
      </w:r>
    </w:p>
    <w:p>
      <w:pPr>
        <w:spacing w:after="0" w:line="10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more than 5 percentage point improvement in the development margin percentage reflects a nearly 6 percentage point increase from lower cost of vacation ownership products due to favorable product cost true-up activity (more than 4 percentage points) and, to a lesser extent, a favorable mix of lower cost real estate inventory being sold, a 4 percentage point increase from efficiencies in marketing and sales spending and a more than 1 percentage point improvement related to the 2011 charges discussed above. These increases were partially offset by a 4 percentage point decline due to lower revenue reportability and a 1 percentage point decline related to higher vacation ownership notes receivable reserve activity in the thirty-six weeks ended September 7, 2012.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Twelve Weeks Ended</w:t>
            </w:r>
          </w:p>
        </w:tc>
        <w:tc>
          <w:tcPr>
            <w:tcW w:w="5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155"/>
              <w:spacing w:after="0"/>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4"/>
                <w:szCs w:val="14"/>
                <w:color w:val="auto"/>
              </w:rPr>
            </w:pPr>
          </w:p>
        </w:tc>
        <w:tc>
          <w:tcPr>
            <w:tcW w:w="12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w w:val="85"/>
              </w:rPr>
              <w:t>3.1 pts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increase in resort management and other services revenues reflects $2 million of additional annual club dues earned in connection with the MVCD program driven by the cumulative increase in enrolled owners and nearly $1 million of higher resales revenues due to an increase in resale activity.</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improvement in the resort management and other services margin reflects $2 million of additional annual club dues earned in connection with the MVCD program net of expenses as well as lower variable enrollment costs due to fewer enrollments in the twelve weeks ended September 7, 2012 compared to the prior year comparable period and $1 million of lower ancillary and other services expenses, partially offset by $1 million of separation related expenses in the twelve weeks ended September 7,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4"/>
                <w:szCs w:val="14"/>
                <w:color w:val="auto"/>
              </w:rPr>
            </w:pPr>
          </w:p>
        </w:tc>
        <w:tc>
          <w:tcPr>
            <w:tcW w:w="12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w w:val="85"/>
              </w:rPr>
              <w:t>3.7 pts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increase in resort management and other services revenues reflects $3 million of higher management fees resulting from the cumulative increase in the number of vacation ownership products sold and higher operating costs across the system, $5 million of additional annual club dues earned in connection with the MVCD program, $2 million of higher ancillary revenues from food and beverage and golf offerings and nearly $1 million of higher resales revenues due to an increase in resale activity.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improvement in the resort management and other services margin reflects $4 million of additional annual club dues earned in connection with the MVCD program net of expenses and lower variable enrollment costs due to fewer enrollments in the thirty-six weeks ended September 7, 2012 than the prior year comparable period, a $3 million increase in management fees and $2 million of higher ancillary revenues net of expenses, partially offset by $1 million of separation related expenses in the thirty-six weeks ended September 7, 2012.</w:t>
      </w:r>
    </w:p>
    <w:p>
      <w:pPr>
        <w:spacing w:after="0" w:line="218" w:lineRule="exact"/>
        <w:rPr>
          <w:sz w:val="20"/>
          <w:szCs w:val="20"/>
          <w:color w:val="auto"/>
        </w:rPr>
      </w:pPr>
    </w:p>
    <w:p>
      <w:pPr>
        <w:jc w:val="right"/>
        <w:ind w:right="8180"/>
        <w:spacing w:after="0"/>
        <w:rPr>
          <w:sz w:val="20"/>
          <w:szCs w:val="20"/>
          <w:color w:val="auto"/>
        </w:rPr>
      </w:pPr>
      <w:r>
        <w:rPr>
          <w:rFonts w:ascii="Arial" w:cs="Arial" w:eastAsia="Arial" w:hAnsi="Arial"/>
          <w:sz w:val="15"/>
          <w:szCs w:val="15"/>
          <w:b w:val="1"/>
          <w:bCs w:val="1"/>
          <w:color w:val="auto"/>
        </w:rPr>
        <w:t>Financing Revenues, Expenses and Margin</w:t>
      </w:r>
    </w:p>
    <w:p>
      <w:pPr>
        <w:spacing w:after="0" w:line="131" w:lineRule="exact"/>
        <w:rPr>
          <w:sz w:val="20"/>
          <w:szCs w:val="20"/>
          <w:color w:val="auto"/>
        </w:rPr>
      </w:pPr>
    </w:p>
    <w:p>
      <w:pPr>
        <w:jc w:val="right"/>
        <w:ind w:right="8140"/>
        <w:spacing w:after="0"/>
        <w:rPr>
          <w:sz w:val="20"/>
          <w:szCs w:val="20"/>
          <w:color w:val="auto"/>
        </w:rPr>
      </w:pPr>
      <w:r>
        <w:rPr>
          <w:rFonts w:ascii="Arial" w:cs="Arial" w:eastAsia="Arial" w:hAnsi="Arial"/>
          <w:sz w:val="16"/>
          <w:szCs w:val="16"/>
          <w:i w:val="1"/>
          <w:iCs w:val="1"/>
          <w:color w:val="auto"/>
        </w:rPr>
        <w:t>Twelve Weeks Ended September 7, 2012</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6"/>
              </w:rPr>
              <w:t>Twelve Weeks Ended</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75"/>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Financing expenses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46.4%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47.7%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decrease in financing revenues is due to a $143 million decline in the average gross vacation ownership notes receivable balance. This decline reflects our continued collection of existing vacation ownership notes receivable at a faster pace than our origination of new vacation ownership notes receivable. The $3 million decrease in financing margin from the prior year comparable period reflected the lower interest income, partially offset by $1 million of lower expenses due to lower foreclosure costs as a result of lower foreclosure activity.</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Financing margin net of consumer financing interest expense declined $3 million to $20 million in the twelve weeks ended September 7, 2012 from $23 million in the prior year comparable period. See “Interest Expense” below for a discussion of consumer financing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Thirty-Six Weeks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vMerge w:val="continue"/>
            <w:shd w:val="clear" w:color="auto" w:fill="CCEEFF"/>
          </w:tcPr>
          <w:p>
            <w:pPr>
              <w:spacing w:after="0"/>
              <w:rPr>
                <w:sz w:val="18"/>
                <w:szCs w:val="18"/>
                <w:color w:val="auto"/>
              </w:rPr>
            </w:pPr>
          </w:p>
        </w:tc>
        <w:tc>
          <w:tcPr>
            <w:tcW w:w="18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(13)</w:t>
            </w:r>
          </w:p>
        </w:tc>
        <w:tc>
          <w:tcPr>
            <w:tcW w:w="7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Financing expenses</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42.7%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20" w:type="dxa"/>
            <w:vAlign w:val="bottom"/>
            <w:gridSpan w:val="2"/>
          </w:tcPr>
          <w:p>
            <w:pPr>
              <w:jc w:val="right"/>
              <w:ind w:right="77"/>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decrease in financing revenues is due to a $143 million decline in the average gross vacation ownership notes receivable balance. This decline reflects our continued collection of existing vacation ownership notes receivable at a faster pace than our origination of new vacation ownership notes receivable. The $12 million decrease in financing margin from the prior year comparable period reflected the lower interest income, partially offset by $1 million of lower expenses due to lower foreclosure costs as a result of lower foreclosure activity.</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Financing margin net of consumer financing interest expense declined $10 million to $58 million in the thirty-six weeks ended September 7, 2012 from $68 million in the prior year comparable period. See “Interest Expense” below for a discussion of consumer financing interest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6"/>
              </w:rPr>
              <w:t>Twelve Weeks Ended</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2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September 9,</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3"/>
              </w:rPr>
              <w:t>Change</w:t>
            </w:r>
          </w:p>
        </w:tc>
        <w:tc>
          <w:tcPr>
            <w:tcW w:w="640" w:type="dxa"/>
            <w:vAlign w:val="bottom"/>
            <w:tcBorders>
              <w:bottom w:val="single" w:sz="8" w:color="CCEEFF"/>
            </w:tcBorders>
            <w:gridSpan w:val="2"/>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8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w w:val="85"/>
              </w:rPr>
              <w:t>3.3 pts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6"/>
              </w:rPr>
              <w:t>Twelve Weeks Ended</w:t>
            </w:r>
          </w:p>
        </w:tc>
        <w:tc>
          <w:tcPr>
            <w:tcW w:w="5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76"/>
              </w:rPr>
              <w:t>2011</w:t>
            </w:r>
          </w:p>
        </w:tc>
        <w:tc>
          <w:tcPr>
            <w:tcW w:w="4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Transient keys rented</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231,377</w:t>
            </w:r>
          </w:p>
        </w:tc>
        <w:tc>
          <w:tcPr>
            <w:tcW w:w="78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209,163</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22,214</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201.86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195.68</w:t>
            </w:r>
          </w:p>
        </w:tc>
        <w:tc>
          <w:tcPr>
            <w:tcW w:w="4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6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(0.2 pts)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increase in rental revenues is due to $4 million from a company-wide 11 percent increase in transient keys rented, which were primarily sourced from an 11 percent increase in available keys (37,000 additional available keys) due to an increase in the number of owners choosing to exchange their vacation ownership interests for alternative usage options, as well as $1 million from a company-wide 3 percent increase in average transient rate driven by stronger consumer demand and mix of available inventory. These increases were partially offset by the recognition of $1 million of lower plus points revenue (which is recognized upon utilization of plus points for stays at our resorts or upon expiration of the points).</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increase in rental margin reflects $6 million of higher rental revenues net of direct variable expenses (such as housekeeping) and expenses incurred due to owners choosing alternative usage options, including lower banking expenses, partially offset by $4 million reflecting higher than expected redemption costs associated with Marriott Rewards points issued prior to the Spin-off and a $1 million decline in plus points revenue.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7"/>
          </w:tcPr>
          <w:p>
            <w:pPr>
              <w:ind w:left="100"/>
              <w:spacing w:after="0"/>
              <w:rPr>
                <w:sz w:val="20"/>
                <w:szCs w:val="20"/>
                <w:color w:val="auto"/>
              </w:rPr>
            </w:pPr>
            <w:r>
              <w:rPr>
                <w:rFonts w:ascii="Arial" w:cs="Arial" w:eastAsia="Arial" w:hAnsi="Arial"/>
                <w:sz w:val="14"/>
                <w:szCs w:val="14"/>
                <w:b w:val="1"/>
                <w:bCs w:val="1"/>
                <w:color w:val="auto"/>
              </w:rPr>
              <w:t>Thirty-Six Weeks Ended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0" w:type="dxa"/>
            <w:vAlign w:val="bottom"/>
            <w:tcBorders>
              <w:top w:val="single" w:sz="8" w:color="auto"/>
            </w:tcBorders>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w w:val="77"/>
              </w:rPr>
              <w:t>September 7,</w:t>
            </w:r>
          </w:p>
        </w:tc>
        <w:tc>
          <w:tcPr>
            <w:tcW w:w="7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79"/>
              </w:rPr>
              <w:t>September 9,</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2011</w:t>
            </w:r>
          </w:p>
        </w:tc>
        <w:tc>
          <w:tcPr>
            <w:tcW w:w="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Borders>
              <w:bottom w:val="single" w:sz="8" w:color="CCEEFF"/>
            </w:tcBorders>
            <w:gridSpan w:val="2"/>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2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26"/>
              <w:spacing w:after="0"/>
              <w:rPr>
                <w:sz w:val="20"/>
                <w:szCs w:val="20"/>
                <w:color w:val="auto"/>
              </w:rPr>
            </w:pPr>
            <w:r>
              <w:rPr>
                <w:rFonts w:ascii="Arial" w:cs="Arial" w:eastAsia="Arial" w:hAnsi="Arial"/>
                <w:sz w:val="5"/>
                <w:szCs w:val="5"/>
                <w:color w:val="auto"/>
                <w:w w:val="70"/>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167</w:t>
            </w:r>
          </w:p>
        </w:tc>
        <w:tc>
          <w:tcPr>
            <w:tcW w:w="4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2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4020" w:type="dxa"/>
            <w:vAlign w:val="bottom"/>
            <w:vMerge w:val="continue"/>
          </w:tcPr>
          <w:p>
            <w:pPr>
              <w:spacing w:after="0"/>
              <w:rPr>
                <w:sz w:val="19"/>
                <w:szCs w:val="19"/>
                <w:color w:val="auto"/>
              </w:rPr>
            </w:pPr>
          </w:p>
        </w:tc>
        <w:tc>
          <w:tcPr>
            <w:tcW w:w="234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6.2 pts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6"/>
              </w:rPr>
              <w:t>Thirty-Six Weeks Ended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Transient keys rented</w:t>
            </w:r>
          </w:p>
        </w:tc>
        <w:tc>
          <w:tcPr>
            <w:tcW w:w="2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681,492</w:t>
            </w: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628,349</w:t>
            </w:r>
          </w:p>
        </w:tc>
        <w:tc>
          <w:tcPr>
            <w:tcW w:w="4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53,143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340" w:type="dxa"/>
            <w:vAlign w:val="bottom"/>
            <w:gridSpan w:val="2"/>
          </w:tcPr>
          <w:p>
            <w:pPr>
              <w:ind w:left="222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197.59</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195.80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6"/>
              </w:rPr>
              <w:t>0.4 pts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rental revenues is due to nearly $11 million from a company-wide 8 percent increase in transient keys rented, which were primarily sourced from a 5 percent increase in available keys (54,000 additional available keys) due to an increase in the number of owners choosing to exchange their vacation ownership interests for alternative usage options, the recognition of $7 million of additional plus points revenue (which is recognized upon utilization of plus points for stays at our resorts or upon expiration of the points) and $1 million from a company-wide 1 percent increase in average transient rate driven by stronger consumer demand and mix of available inventory.</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increase in rental margin reflects the $7 million increase in plus points revenue, $4 million of higher rental revenues net of higher direct variable expenses (such as housekeeping) and expenses incurred due to owners choosing alternative usage options and $3 million of lower maintenance fees on unsold inventory. These increases were partially offset by $4 million reflecting higher than expected redemption costs associated with Marriott Rewards points issued prior to the Spin-off.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September 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revenues</w:t>
            </w:r>
          </w:p>
        </w:tc>
        <w:tc>
          <w:tcPr>
            <w:tcW w:w="1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expenses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Other revenues net of expenses increased due to $2 million of higher net settlement fee revenues and higher external exchange company revenues and $2 million of lower miscellaneous expenses in the twelve weeks ended September 7, 2012 compared to the prior year comparable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4"/>
                <w:szCs w:val="14"/>
                <w:b w:val="1"/>
                <w:bCs w:val="1"/>
                <w:color w:val="auto"/>
              </w:rPr>
              <w:t>Thirty-Six Weeks Ended</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September 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revenues</w:t>
            </w:r>
          </w:p>
        </w:tc>
        <w:tc>
          <w:tcPr>
            <w:tcW w:w="1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expenses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212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revenues net of expenses increased due to $1 million of higher external exchange company revenues and $1 million of lower expenses. The decline in expenses includes $3 million of lower miscellaneous expenses in the thirty-six weeks ended September 7, 2012 over the prior year comparable period, partially offset by a $2 million favorable true-up in the prior year comparable period related to the 2010 bonus accrual following final bonus payouts totaling less than the amount accrued.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reimbursements increased $1 million, or 2 percent, over the prior year comparable period, reflecting the impact of growth across the system.</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Cost reimbursements increased $8 million, or 3 percent, over the prior year comparable period, reflecting higher costs and the impact of growth across the system in the thirty-six weeks ended September 7,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 increased $4 million (from $18 million to $22 million) over the prior year comparable period due to $2 million of organizational and separation related costs incurred in the twelve weeks ended September 7, 2012, $1 million of higher personnel related costs, and $1 million of incremental stand-alone public company costs.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increased $13 million (from $56 million to $69 million) over the prior year comparable period due to $8 million of organizational and separation related costs incurred in the thirty-six weeks ended September 7, 2012, $3 million of incremental stand-alone public company costs, and $2 million for claims asserted related to one of our Luxury projects.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September 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Consumer financing interest expense</w:t>
            </w:r>
          </w:p>
        </w:tc>
        <w:tc>
          <w:tcPr>
            <w:tcW w:w="1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Non-consumer financing interest expense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$5 million of non-consumer financing interest expense includes $2 million of expense associated with the liability for the Marriott Rewards guest loyalty program under the Marriott Rewards Agreement which we entered into in connection with the Spin-Off, $1 million of lower capitalized interest costs, $1 million of dividends associated with the preferred stock issued in connection with the Spin-Off, and $1 million of amortized costs associated with our four-year $200 million revolving credit facility (the “Revolving Corporate Credit Facility”) which we entered into in connection with the Spin-Off. There was minimal change in consumer financing interest expense as the lower interest expense driven by the lower outstanding debt balances and associated interest costs related to the securitized vacation ownership notes receivable was offset by interest expense and amortized costs associated with the Warehouse Credit Facility which we entered into in connection with the Spin-Off.</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Thirty-Six Weeks Ended</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September 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Consumer financing interest expense</w:t>
            </w:r>
          </w:p>
        </w:tc>
        <w:tc>
          <w:tcPr>
            <w:tcW w:w="1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w w:val="77"/>
              </w:rPr>
              <w:t>(30)</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Non-consumer financing interest expense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8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(42)</w:t>
            </w:r>
          </w:p>
        </w:tc>
        <w:tc>
          <w:tcPr>
            <w:tcW w:w="94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non-consumer financing interest expense includes $6 million of expense associated with the liability for the Marriott Rewards guest loyalty program under the Marriott Rewards Agreement which we entered into in connection with the Spin-Off, $3 million of dividends associated with the preferred stock issued in connection with the Spin-Off, $2 million of lower capitalized interest costs, and $2 million of amortized costs associated with the Revolving Corporate Credit Facility. Lower consumer financing interest expense reflects lower outstanding debt balances and associated interest costs related to the securitized vacation ownership notes receivable, partially offset by interest expense and amortized costs associated with the Warehouse Credit Facility.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and Thirty-Six Weeks Ended September 7,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Royalty fee expenses relate to amounts due under the License Agreements for periods subsequent to the Spin-Off.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and Thirty-Six Weeks Ended September 7, 2012</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There were no impairment charges in the twelve and thirty-six weeks ended September 7, 2012. In the twelve and thirty-six weeks ended September 9, 2011, we recorded $324 million of pre-tax impairment charges in our Statements of Operations. As discussed in more detail in Footnote No. 19 of our Financial Statements included in our 2011 Annual Report on Form 10-K, “Impairment Charges,” on September 8, 2011 management approved a plan to accelerate cash flow through the monetization of certain excess undeveloped parcels of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Reversals on Equity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There were no impairment reversals on equity investments in the twelve weeks ended September 7, 2012. In the twelve weeks ended September 9, 2011, we reversed nearly $4 million of our previously recorded impairment of an equity investment in a joint venture based on facts and circumstances surrounding the project, including favorable resolution of certain construction-related claims and contingent obligations to refund certain deposits relating to sales that have subsequently closed.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thirty-six weeks ended September 7, 2012, we reversed $2 million of our previously recorded impairment of an equity investment in a joint venture because the actual costs incurred to suspend the marketing and sales operations were lower than previously estimated. In the prior year comparable period, we reversed nearly $4 million of our previously recorded impairment of the same equity investment based on facts and circumstances surrounding the project, including favorable resolution of certain construction-related claims and contingent obligations to refund certain deposits relating to sales that have subsequently closed.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tax expense increased by $93 million (from a benefit of $81 million to a provision of $12 million) from the prior year comparable period. The increase in income tax expense in 2012 is primarily related to an impairment charge taken in the third quarter 2011 financial statements resulting in the recording of a tax benefit in the prior year comparable period.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tax expense increased by $79 million (from a benefit of $55 million to a provision of $24 million) from the prior year comparable period. The increase in income tax expense in 2012 is primarily related to an impairment charge taken in the third quarter 2011 financial statements resulting in the recording of a tax benefit in the prior year comparable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0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also evaluate Adjusted EBITDA, another non-GAAP financial measure, as an indicator of performance. Our Adjusted EBITDA excludes the impact of non-cash impairment charges or reversals and restructuring charges and includes the impact of interest expense associated with the debt from the Warehouse Credit Facility and from the securitization of our notes receivable in the term ABS market, which together we refer to as consumer financing interest expense. We deduct consumer financing interest expense in determining Adjusted EBITDA since the debt is secured by notes receivable that have been sold to bankruptcy remote special</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purpose entities and is generally non-recourse to us. We evaluate Adjusted EBITDA, which adjusts for these items, to allow for period-over-period comparisons of our ongoing core operations before material charges. Adjusted EBITDA is also useful in measuring our ability to service our non-securitized debt. Together, EBITDA and Adjusted EBITDA facilitate our comparison of results from our ongoing operations with results from other vacation ownership companies.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Income.</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Twelve Weeks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2"/>
              </w:rPr>
              <w:t>Thirty-Six Weeks Ended</w:t>
            </w: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 continuing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Impairment charges: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40"/>
              <w:spacing w:after="0"/>
              <w:rPr>
                <w:sz w:val="20"/>
                <w:szCs w:val="20"/>
                <w:color w:val="auto"/>
              </w:rPr>
            </w:pPr>
            <w:r>
              <w:rPr>
                <w:rFonts w:ascii="Arial" w:cs="Arial" w:eastAsia="Arial" w:hAnsi="Arial"/>
                <w:sz w:val="18"/>
                <w:szCs w:val="18"/>
                <w:color w:val="auto"/>
              </w:rPr>
              <w:t>Impairment reversals on equity investment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880"/>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w:t>
            </w:r>
          </w:p>
        </w:tc>
        <w:tc>
          <w:tcPr>
            <w:tcW w:w="4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business is grouped into four reportable business segments: North America, Luxury, Europe and Asia Pacific. See Footnote No. 15, “Business Segments,” of the Notes to our Financial Statements for further information on our segments.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7, 2012, we operated the following 64 properties by segment:</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7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75"/>
              </w:rPr>
              <w:t>U.S.</w:t>
            </w:r>
            <w:r>
              <w:rPr>
                <w:rFonts w:ascii="Arial" w:cs="Arial" w:eastAsia="Arial" w:hAnsi="Arial"/>
                <w:sz w:val="22"/>
                <w:szCs w:val="22"/>
                <w:b w:val="1"/>
                <w:bCs w:val="1"/>
                <w:color w:val="auto"/>
                <w:w w:val="75"/>
                <w:vertAlign w:val="superscript"/>
              </w:rPr>
              <w:t>(1)</w:t>
            </w:r>
          </w:p>
        </w:tc>
        <w:tc>
          <w:tcPr>
            <w:tcW w:w="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4"/>
              </w:rPr>
              <w:t>Non-U.S.</w:t>
            </w:r>
          </w:p>
        </w:tc>
        <w:tc>
          <w:tcPr>
            <w:tcW w:w="5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Luxury</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Pr>
          <w:p>
            <w:pPr>
              <w:jc w:val="right"/>
              <w:ind w:right="104"/>
              <w:spacing w:after="0"/>
              <w:rPr>
                <w:sz w:val="20"/>
                <w:szCs w:val="20"/>
                <w:color w:val="auto"/>
              </w:rPr>
            </w:pPr>
            <w:r>
              <w:rPr>
                <w:rFonts w:ascii="Arial" w:cs="Arial" w:eastAsia="Arial" w:hAnsi="Arial"/>
                <w:sz w:val="11"/>
                <w:szCs w:val="11"/>
                <w:color w:val="auto"/>
                <w:w w:val="88"/>
              </w:rPr>
              <w:t>(1)</w:t>
            </w:r>
          </w:p>
        </w:tc>
        <w:tc>
          <w:tcPr>
            <w:tcW w:w="5500" w:type="dxa"/>
            <w:vAlign w:val="bottom"/>
            <w:vMerge w:val="restart"/>
          </w:tcPr>
          <w:p>
            <w:pPr>
              <w:jc w:val="right"/>
              <w:ind w:right="3532"/>
              <w:spacing w:after="0"/>
              <w:rPr>
                <w:sz w:val="20"/>
                <w:szCs w:val="20"/>
                <w:color w:val="auto"/>
              </w:rPr>
            </w:pPr>
            <w:r>
              <w:rPr>
                <w:rFonts w:ascii="Arial" w:cs="Arial" w:eastAsia="Arial" w:hAnsi="Arial"/>
                <w:sz w:val="18"/>
                <w:szCs w:val="18"/>
                <w:color w:val="auto"/>
                <w:w w:val="96"/>
              </w:rPr>
              <w:t>Includes U.S. territories.</w:t>
            </w:r>
          </w:p>
        </w:tc>
        <w:tc>
          <w:tcPr>
            <w:tcW w:w="0" w:type="dxa"/>
            <w:vAlign w:val="bottom"/>
          </w:tcPr>
          <w:p>
            <w:pPr>
              <w:spacing w:after="0"/>
              <w:rPr>
                <w:sz w:val="1"/>
                <w:szCs w:val="1"/>
                <w:color w:val="auto"/>
              </w:rPr>
            </w:pPr>
          </w:p>
        </w:tc>
      </w:tr>
      <w:tr>
        <w:trPr>
          <w:trHeight w:val="101"/>
        </w:trPr>
        <w:tc>
          <w:tcPr>
            <w:tcW w:w="300" w:type="dxa"/>
            <w:vAlign w:val="bottom"/>
          </w:tcPr>
          <w:p>
            <w:pPr>
              <w:spacing w:after="0"/>
              <w:rPr>
                <w:sz w:val="8"/>
                <w:szCs w:val="8"/>
                <w:color w:val="auto"/>
              </w:rPr>
            </w:pPr>
          </w:p>
        </w:tc>
        <w:tc>
          <w:tcPr>
            <w:tcW w:w="5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300" w:type="dxa"/>
            <w:vAlign w:val="bottom"/>
          </w:tcPr>
          <w:p>
            <w:pPr>
              <w:spacing w:after="0"/>
              <w:rPr>
                <w:sz w:val="24"/>
                <w:szCs w:val="24"/>
                <w:color w:val="auto"/>
              </w:rPr>
            </w:pPr>
          </w:p>
        </w:tc>
        <w:tc>
          <w:tcPr>
            <w:tcW w:w="55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7"/>
          </w:tcPr>
          <w:p>
            <w:pPr>
              <w:ind w:left="20"/>
              <w:spacing w:after="0"/>
              <w:rPr>
                <w:sz w:val="20"/>
                <w:szCs w:val="20"/>
                <w:color w:val="auto"/>
              </w:rPr>
            </w:pPr>
            <w:r>
              <w:rPr>
                <w:rFonts w:ascii="Arial" w:cs="Arial" w:eastAsia="Arial" w:hAnsi="Arial"/>
                <w:sz w:val="14"/>
                <w:szCs w:val="14"/>
                <w:b w:val="1"/>
                <w:bCs w:val="1"/>
                <w:color w:val="auto"/>
              </w:rPr>
              <w:t>Twelve Weeks Ended</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w w:val="91"/>
              </w:rPr>
              <w:t>Thirty-Six Weeks Ended</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460" w:type="dxa"/>
            <w:vAlign w:val="bottom"/>
            <w:tcBorders>
              <w:top w:val="single" w:sz="8" w:color="auto"/>
            </w:tcBorders>
            <w:gridSpan w:val="6"/>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Borders>
              <w:top w:val="single" w:sz="8" w:color="auto"/>
            </w:tcBorders>
            <w:gridSpan w:val="5"/>
          </w:tcPr>
          <w:p>
            <w:pPr>
              <w:jc w:val="center"/>
              <w:ind w:right="680"/>
              <w:spacing w:after="0" w:line="129" w:lineRule="exact"/>
              <w:rPr>
                <w:sz w:val="20"/>
                <w:szCs w:val="20"/>
                <w:color w:val="auto"/>
              </w:rPr>
            </w:pPr>
            <w:r>
              <w:rPr>
                <w:rFonts w:ascii="Arial" w:cs="Arial" w:eastAsia="Arial" w:hAnsi="Arial"/>
                <w:sz w:val="14"/>
                <w:szCs w:val="14"/>
                <w:b w:val="1"/>
                <w:bCs w:val="1"/>
                <w:color w:val="auto"/>
                <w:w w:val="86"/>
              </w:rPr>
              <w:t>September 7,</w:t>
            </w: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1"/>
              </w:rPr>
              <w:t>September 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4"/>
          </w:tcPr>
          <w:p>
            <w:pPr>
              <w:jc w:val="center"/>
              <w:ind w:left="196"/>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420" w:type="dxa"/>
            <w:vAlign w:val="bottom"/>
          </w:tcPr>
          <w:p>
            <w:pPr>
              <w:spacing w:after="0"/>
              <w:rPr>
                <w:sz w:val="18"/>
                <w:szCs w:val="18"/>
                <w:color w:val="auto"/>
              </w:rPr>
            </w:pPr>
          </w:p>
        </w:tc>
        <w:tc>
          <w:tcPr>
            <w:tcW w:w="6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355</w:t>
            </w:r>
          </w:p>
        </w:tc>
        <w:tc>
          <w:tcPr>
            <w:tcW w:w="640" w:type="dxa"/>
            <w:vAlign w:val="bottom"/>
          </w:tcPr>
          <w:p>
            <w:pPr>
              <w:spacing w:after="0"/>
              <w:rPr>
                <w:sz w:val="18"/>
                <w:szCs w:val="18"/>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185</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260" w:type="dxa"/>
            <w:vAlign w:val="bottom"/>
          </w:tcPr>
          <w:p>
            <w:pPr>
              <w:ind w:left="88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314</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937</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36</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120</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sales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101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Royalty fee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185</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260" w:type="dxa"/>
            <w:vAlign w:val="bottom"/>
          </w:tcPr>
          <w:p>
            <w:pPr>
              <w:ind w:left="88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244</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240</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724</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financial results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213</w:t>
            </w:r>
          </w:p>
        </w:tc>
        <w:tc>
          <w:tcPr>
            <w:tcW w:w="6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20" w:type="dxa"/>
            <w:vAlign w:val="bottom"/>
            <w:gridSpan w:val="2"/>
          </w:tcPr>
          <w:p>
            <w:pPr>
              <w:ind w:left="460"/>
              <w:spacing w:after="0"/>
              <w:rPr>
                <w:sz w:val="20"/>
                <w:szCs w:val="20"/>
                <w:color w:val="auto"/>
              </w:rPr>
            </w:pPr>
            <w:r>
              <w:rPr>
                <w:rFonts w:ascii="Arial" w:cs="Arial" w:eastAsia="Arial" w:hAnsi="Arial"/>
                <w:sz w:val="18"/>
                <w:szCs w:val="18"/>
                <w:i w:val="1"/>
                <w:iCs w:val="1"/>
                <w:color w:val="auto"/>
              </w:rPr>
              <w:t>Twelve Weeks Ended September 7, 2012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8"/>
              </w:rPr>
              <w:t>Twelve Weeks Ended</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4"/>
              </w:rPr>
              <w:t>September 9,</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5"/>
              </w:rPr>
              <w:t>Change</w:t>
            </w:r>
          </w:p>
        </w:tc>
        <w:tc>
          <w:tcPr>
            <w:tcW w:w="8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6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740" w:type="dxa"/>
            <w:vAlign w:val="bottom"/>
            <w:gridSpan w:val="3"/>
          </w:tcPr>
          <w:p>
            <w:pPr>
              <w:jc w:val="center"/>
              <w:ind w:left="516"/>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60" w:type="dxa"/>
            <w:vAlign w:val="bottom"/>
            <w:vMerge w:val="restart"/>
          </w:tcPr>
          <w:p>
            <w:pPr>
              <w:ind w:left="440"/>
              <w:spacing w:after="0"/>
              <w:rPr>
                <w:sz w:val="20"/>
                <w:szCs w:val="20"/>
                <w:color w:val="auto"/>
              </w:rPr>
            </w:pPr>
            <w:r>
              <w:rPr>
                <w:rFonts w:ascii="Arial" w:cs="Arial" w:eastAsia="Arial" w:hAnsi="Arial"/>
                <w:sz w:val="18"/>
                <w:szCs w:val="18"/>
                <w:color w:val="auto"/>
              </w:rPr>
              <w:t>Total contract sales</w:t>
            </w: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740" w:type="dxa"/>
            <w:vAlign w:val="bottom"/>
            <w:gridSpan w:val="3"/>
          </w:tcPr>
          <w:p>
            <w:pPr>
              <w:jc w:val="center"/>
              <w:ind w:left="516"/>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increase in contract sales in our North America segment reflected a 19 percent increase in VPG to $3,051 in the twelve weeks ended September 7, 2012 from $2,560 in the prior year comparable period. This increase in VPG was due to a four percent price increase and a two percentage point increase in closing efficiency resulting from improved marketing and sales execution.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w w:val="99"/>
              </w:rPr>
              <w:t>Thirty-Six Weeks Ended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7,</w:t>
            </w:r>
          </w:p>
        </w:tc>
        <w:tc>
          <w:tcPr>
            <w:tcW w:w="6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580" w:type="dxa"/>
            <w:vAlign w:val="bottom"/>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364</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contract sales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414</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366</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increase in contract sales in our North America segment reflected a 17 percent increase in VPG to $2,988 in the thirty-six weeks ended September 7, 2012 from $2,555 in the prior year comparable period. This increase in VPG was due to a two percentage point increase in closing efficiency resulting from improved marketing and sales execution and a two percent price increase.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5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2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1"/>
              </w:rPr>
              <w:t>September 9,</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14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25</w:t>
            </w:r>
          </w:p>
        </w:tc>
        <w:tc>
          <w:tcPr>
            <w:tcW w:w="5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19</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14.4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increase in revenues from the sale of vacation ownership products was due to the $15 million increase in contract sales and a $5 million favorable change in the vacation ownership notes receivable reserve activity, partially offset by $8 million of lower revenue reportability in the twelve weeks ended September 7, 2012 compared to the prior year comparable period. The $5 million favorable change in the reserve activity was mainly due to lower than estimated default and delinquency activity in the North American segment in the twelve weeks ended September 7, 2012. The $8 million of lower revenue reportability resulted from $17 million of lower revenue reportability in the twelve weeks ended September 7, 2012 compared to $9 million of lower revenue reportability in the prior year comparable period. Revenue reportability was impacted unfavorably in the twelve weeks ended September 7, 2012 because certain financed sales did not meet the down payment requirement for revenue recognition purposes prior to the end of the period.</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increase in development margin reflects $12 million of favorable product cost true-ups ($11 million of favorable product cost true-ups in the twelve weeks ended September 7, 2012 compared to $1 million of unfavorable product cost true-ups in the prior year comparable period), an $8 million increase from higher sales volume net of direct variable expenses (</w:t>
      </w:r>
      <w:r>
        <w:rPr>
          <w:rFonts w:ascii="Arial" w:cs="Arial" w:eastAsia="Arial" w:hAnsi="Arial"/>
          <w:sz w:val="16"/>
          <w:szCs w:val="16"/>
          <w:i w:val="1"/>
          <w:iCs w:val="1"/>
          <w:color w:val="auto"/>
        </w:rPr>
        <w:t>i.e.,</w:t>
      </w:r>
      <w:r>
        <w:rPr>
          <w:rFonts w:ascii="Arial" w:cs="Arial" w:eastAsia="Arial" w:hAnsi="Arial"/>
          <w:sz w:val="16"/>
          <w:szCs w:val="16"/>
          <w:color w:val="auto"/>
        </w:rPr>
        <w:t xml:space="preserve"> cost of vacation ownership products and marketing and sales) mainly from more efficient marketing and sales spending, $3 million of lower vacation ownership notes receivable reserve activity and $1 million of costs in the prior year comparable period related to ADA compliance. These increases were partially offset by a $4 million net impact from lower revenue reportability year-over-year and $1 million reflecting higher than expected redemption costs associated with Marriott Rewards points issued prior to the Spin-off.</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favorable product cost true-ups recorded in the twelve weeks ended September 7, 2012 relate mainly to higher estimated sales revenues we expect to generate over the life of the projects ($7 million) primarily from adjustments to future pricing assumptions based upon our sales experience to date and, to a lesser extent, lower overall development costs on specific projects that are substantially completed ($4 million).</w:t>
      </w:r>
    </w:p>
    <w:p>
      <w:pPr>
        <w:spacing w:after="0" w:line="107" w:lineRule="exact"/>
        <w:rPr>
          <w:sz w:val="20"/>
          <w:szCs w:val="20"/>
          <w:color w:val="auto"/>
        </w:rPr>
      </w:pPr>
    </w:p>
    <w:p>
      <w:pPr>
        <w:ind w:right="480" w:firstLine="456"/>
        <w:spacing w:after="0" w:line="255" w:lineRule="auto"/>
        <w:rPr>
          <w:sz w:val="20"/>
          <w:szCs w:val="20"/>
          <w:color w:val="auto"/>
        </w:rPr>
      </w:pPr>
      <w:r>
        <w:rPr>
          <w:rFonts w:ascii="Arial" w:cs="Arial" w:eastAsia="Arial" w:hAnsi="Arial"/>
          <w:sz w:val="18"/>
          <w:szCs w:val="18"/>
          <w:color w:val="auto"/>
        </w:rPr>
        <w:t>The 14 percentage point improvement in the development margin percentage reflects an 11 percentage point increase from lower cost of vacation ownership products due to the favorable product cost true-up activity (10 percentage points) and, to a lesser extent, a favorable mix of lower cost real estate inventory being sold, a more than 3 percentage point increase from efficiencies in marketing and sales spending and a 2 percentage point increase from the favorable vacation ownership notes receivable reserve activity. These increases were partially offset by a 2 percentage point decline due to lower revenue reportability.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280" w:type="dxa"/>
            <w:vAlign w:val="bottom"/>
          </w:tcPr>
          <w:p>
            <w:pPr>
              <w:spacing w:after="0"/>
              <w:rPr>
                <w:sz w:val="11"/>
                <w:szCs w:val="11"/>
                <w:color w:val="auto"/>
              </w:rPr>
            </w:pPr>
          </w:p>
        </w:tc>
        <w:tc>
          <w:tcPr>
            <w:tcW w:w="15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6.3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increase in revenues from the sale of vacation ownership products was due to the $48 million increase in contract sales and a $3 million favorable change in the vacation ownership notes receivable reserve activity, partially offset by $35 million of lower revenue reportability in the thirty-six weeks ended September 7, 2012 compared to the prior year comparable period. The $3 million favorable change in the reserve activity was mainly due to lower than estimated default and delinquency activity in the North American segment in the twelve weeks ended September 7, 2012. The $35 million of lower revenue reportability resulted from $38 million of lower revenue reportability in the twelve weeks ended September 7, 2012 compared to $3 million of lower revenue reportability in the prior year comparable period. Revenue reportability was impacted unfavorably in the thirty-six weeks ended September 7, 2012 because certain financed sales did not meet the down payment requirement for revenue recognition purposes prior to the end of the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increase in development margin reflects a $23 million increase from higher sales volume net of direct variable expenses (</w:t>
      </w:r>
      <w:r>
        <w:rPr>
          <w:rFonts w:ascii="Arial" w:cs="Arial" w:eastAsia="Arial" w:hAnsi="Arial"/>
          <w:sz w:val="18"/>
          <w:szCs w:val="18"/>
          <w:i w:val="1"/>
          <w:iCs w:val="1"/>
          <w:color w:val="auto"/>
        </w:rPr>
        <w:t>i.e.,</w:t>
      </w:r>
      <w:r>
        <w:rPr>
          <w:rFonts w:ascii="Arial" w:cs="Arial" w:eastAsia="Arial" w:hAnsi="Arial"/>
          <w:sz w:val="18"/>
          <w:szCs w:val="18"/>
          <w:color w:val="auto"/>
        </w:rPr>
        <w:t xml:space="preserve"> cost of vacation ownership products and marketing and sales) mainly from more efficient marketing and sales spending, $17 million of favorable product cost true-ups ($15 million of favorable product cost true-ups in the thirty-six weeks ended September 7, 2012 compared to $2 million of unfavorable product cost true-ups in the prior year comparable period), $2 million of lower vacation ownership notes receivable reserve activity, and $2 million of charges in the prior year comparable period, including $1 million of costs related to ADA compliance and $1 million of severance costs. These increases were partially offset by a $19 million net impact from lower revenue reportability year-over-year and $1 million reflecting higher than expected redemption costs associated with Marriott Rewards points issued prior to the Spin-off.</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favorable product cost true-ups recorded in the thirty-six weeks ended September 7, 2012 relate mainly to higher estimated sales revenues we expect to generate over the life of the projects ($10 million) primarily from adjustments to future pricing assumptions based upon our sales experience to date and, to a lesser extent, lower overall development costs on specific projects that are substantially completed ($5 million).</w:t>
      </w:r>
    </w:p>
    <w:p>
      <w:pPr>
        <w:spacing w:after="0" w:line="10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6 percentage point improvement in the development margin percentage primarily reflects a nearly 6 percentage point increase from lower cost of vacation ownership products due to the favorable product cost true-up activity (5 percentage points) and, to a lesser extent, a favorable mix of lower cost real estate inventory being sold, a 4 percentage point increase from efficiencies in marketing and sales spending. These increases were partially offset by a 4 percentage point decline due to lower revenue reportability.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Twelve Weeks Ended</w:t>
            </w:r>
          </w:p>
        </w:tc>
        <w:tc>
          <w:tcPr>
            <w:tcW w:w="52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ind w:right="155"/>
              <w:spacing w:after="0"/>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4.3 pts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increase in resort management and other services revenues primarily reflects $2 million of additional annual club dues earned in connection with the MVCD program driven by the cumulative increase in enrolled owners, $1 million of higher ancillary revenues from food and beverage and golf offerings and nearly $1 million of higher resales revenues due to an increase in resale activity.</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improvement in resort management and other services margin primarily reflects $2 million of additional annual club dues earned in connection with the MVCD program net of expenses as well as lower variable enrollment costs due to fewer enrollments in the twelve weeks ended September 7, 2012 compared to the prior year comparable period, $1 million of higher ancillary revenues net of expenses and nearly $1 million of higher resales revenues net of expenses, partially offset by $1 million of separation related expenses in the twelve weeks ended September 7, 2012.</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1220"/>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5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780" w:type="dxa"/>
            <w:vAlign w:val="bottom"/>
          </w:tcPr>
          <w:p>
            <w:pPr>
              <w:spacing w:after="0"/>
              <w:rPr>
                <w:sz w:val="14"/>
                <w:szCs w:val="14"/>
                <w:color w:val="auto"/>
              </w:rPr>
            </w:pPr>
          </w:p>
        </w:tc>
        <w:tc>
          <w:tcPr>
            <w:tcW w:w="12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25.4%</w:t>
            </w:r>
          </w:p>
        </w:tc>
        <w:tc>
          <w:tcPr>
            <w:tcW w:w="18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w w:val="85"/>
              </w:rPr>
              <w:t>5.1 pts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increase in resort management and other services revenues primarily reflects $5 million of additional annual club dues earned in connection with the MVCD program, $3 million of higher ancillary revenues from food and beverage and golf offerings and $2 million of higher management fees resulting from the cumulative increase in the number of vacation ownership products sold and higher operating costs across the system.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improvement in resort management and other services margin primarily reflects $5 million of additional annual club dues earned in connection with the MVCD program net of expenses and lower variable enrollment costs due to fewer enrollments in the thirty-six weeks ended September 7, 2012 than in the prior year comparable period, a $2 million increase in management fees and $2 million of higher ancillary revenues net of expenses and nearly $1million of higher resales revenues net of expenses, partially offset by $1 million of separation related expenses in the twelve weeks ended September 7,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6"/>
              </w:rPr>
              <w:t>Twelve Weeks Ended</w:t>
            </w:r>
          </w:p>
        </w:tc>
        <w:tc>
          <w:tcPr>
            <w:tcW w:w="5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4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76"/>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Financing propensity</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49.8%</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decrease in financing revenues is due to lower interest income from a lower outstanding vacation ownership notes receivable balance. This decline reflects our continued collection of existing vacation ownership notes receivable at a faster pace than our origination of new vacation ownership notes receivable.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Thirty-Six Weeks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2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8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(11)</w:t>
            </w:r>
          </w:p>
        </w:tc>
        <w:tc>
          <w:tcPr>
            <w:tcW w:w="7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(11)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Financing propensity</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41.3%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decrease in financing revenues is due to lower interest income from a lower outstanding vacation ownership notes receivable balance. This decline reflects our continued collection of existing vacation ownership notes receivable at a faster pace than our origination of new vacation ownership notes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7"/>
              </w:rPr>
              <w:t>Twelve Weeks Ended</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September 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76"/>
              </w:rPr>
              <w:t>2011</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1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right"/>
              <w:ind w:right="76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7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(1.8 pts)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86"/>
              </w:rPr>
              <w:t>Twelve Weeks Ended</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Change</w:t>
            </w: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Transient keys rented</w:t>
            </w:r>
          </w:p>
        </w:tc>
        <w:tc>
          <w:tcPr>
            <w:tcW w:w="1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207,061</w:t>
            </w:r>
          </w:p>
        </w:tc>
        <w:tc>
          <w:tcPr>
            <w:tcW w:w="8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187,623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19,438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8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00"/>
              <w:spacing w:after="0"/>
              <w:rPr>
                <w:sz w:val="20"/>
                <w:szCs w:val="20"/>
                <w:color w:val="auto"/>
              </w:rPr>
            </w:pPr>
            <w:r>
              <w:rPr>
                <w:rFonts w:ascii="Arial" w:cs="Arial" w:eastAsia="Arial" w:hAnsi="Arial"/>
                <w:sz w:val="18"/>
                <w:szCs w:val="18"/>
                <w:color w:val="auto"/>
              </w:rPr>
              <w:t>183.11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w w:val="90"/>
              </w:rPr>
              <w:t>174.33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8.78</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 pts)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8"/>
          <w:szCs w:val="18"/>
          <w:color w:val="auto"/>
        </w:rPr>
        <w:t>The increase in rental revenues is due to $3 million from a 10 percent increase in transient keys rented, which were primarily sourced from an 11 percent increase in available keys (32,000 additional available keys) due to an increase in the number of owners choosing to exchange their vacation ownership interests for alternative usage options, as well as $2 million from a 5 percent increase in average transient rate driven by stronger consumer demand and mix of available inventory. These increases were partially offset by the recognition of $1 million of lower plus points revenue (which is recognized upon utilization of plus points for stays at our resorts or upon expiration of the points).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decline in rental margin reflects $4 million of higher than expected redemption costs associated with Marriott Rewards points issued prior to the Spin-off, $3 million of higher maintenance fees on unsold inventory due to an increase in foreclosed inventory in the fourth quarter of 2011 as well as the transfer of Luxury inventory to the MVCD program and the $1 million decline in plus points revenue. These declines are partially offset by $7 million of higher rental revenues net of direct variable expenses (such as housekeeping) and expenses incurred due to owners choosing alternative usage options, including lower banking expenses.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Thirty-Six Weeks Ended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29"/>
        </w:trPr>
        <w:tc>
          <w:tcPr>
            <w:tcW w:w="5600" w:type="dxa"/>
            <w:vAlign w:val="bottom"/>
          </w:tcPr>
          <w:p>
            <w:pPr>
              <w:spacing w:after="0"/>
              <w:rPr>
                <w:sz w:val="11"/>
                <w:szCs w:val="11"/>
                <w:color w:val="auto"/>
              </w:rPr>
            </w:pPr>
          </w:p>
        </w:tc>
        <w:tc>
          <w:tcPr>
            <w:tcW w:w="1420" w:type="dxa"/>
            <w:vAlign w:val="bottom"/>
            <w:tcBorders>
              <w:top w:val="single" w:sz="8" w:color="auto"/>
            </w:tcBorders>
            <w:gridSpan w:val="5"/>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81"/>
              </w:rPr>
              <w:t>September 9,</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1"/>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Change</w:t>
            </w:r>
          </w:p>
        </w:tc>
        <w:tc>
          <w:tcPr>
            <w:tcW w:w="580" w:type="dxa"/>
            <w:vAlign w:val="bottom"/>
            <w:tcBorders>
              <w:bottom w:val="single" w:sz="8" w:color="CCEEFF"/>
            </w:tcBorders>
            <w:gridSpan w:val="2"/>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gridSpan w:val="2"/>
          </w:tcPr>
          <w:p>
            <w:pPr>
              <w:spacing w:after="0"/>
              <w:rPr>
                <w:sz w:val="14"/>
                <w:szCs w:val="14"/>
                <w:color w:val="auto"/>
              </w:rPr>
            </w:pPr>
          </w:p>
        </w:tc>
      </w:tr>
      <w:tr>
        <w:trPr>
          <w:trHeight w:val="210"/>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(3)</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Rental margin</w:t>
            </w: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41%</w:t>
            </w:r>
          </w:p>
        </w:tc>
      </w:tr>
      <w:tr>
        <w:trPr>
          <w:trHeight w:val="20"/>
        </w:trPr>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1"/>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81"/>
              </w:rPr>
              <w:t>2.4 pts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351"/>
        </w:trPr>
        <w:tc>
          <w:tcPr>
            <w:tcW w:w="5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Thirty-Six Weeks Ended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29"/>
        </w:trPr>
        <w:tc>
          <w:tcPr>
            <w:tcW w:w="5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1"/>
        </w:trPr>
        <w:tc>
          <w:tcPr>
            <w:tcW w:w="5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7"/>
              </w:rPr>
              <w:t>Change</w:t>
            </w:r>
          </w:p>
        </w:tc>
        <w:tc>
          <w:tcPr>
            <w:tcW w:w="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 Change</w:t>
            </w:r>
          </w:p>
        </w:tc>
        <w:tc>
          <w:tcPr>
            <w:tcW w:w="240" w:type="dxa"/>
            <w:vAlign w:val="bottom"/>
            <w:tcBorders>
              <w:bottom w:val="single" w:sz="8" w:color="CCEEFF"/>
            </w:tcBorders>
          </w:tcPr>
          <w:p>
            <w:pPr>
              <w:spacing w:after="0"/>
              <w:rPr>
                <w:sz w:val="14"/>
                <w:szCs w:val="14"/>
                <w:color w:val="auto"/>
              </w:rPr>
            </w:pPr>
          </w:p>
        </w:tc>
      </w:tr>
      <w:tr>
        <w:trPr>
          <w:trHeight w:val="210"/>
        </w:trPr>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Transient keys rented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617,975</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568,222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49,753</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187.55</w:t>
            </w:r>
          </w:p>
        </w:tc>
        <w:tc>
          <w:tcPr>
            <w:tcW w:w="64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184.83</w:t>
            </w:r>
          </w:p>
        </w:tc>
        <w:tc>
          <w:tcPr>
            <w:tcW w:w="4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56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91.3%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85"/>
              </w:rPr>
              <w:t>0.1 pts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increase in rental revenues is primarily due to $10 million from a 9 percent increase in transient keys rented, which were primarily sourced from a 6 percent increase in available keys (65,000 additional available keys) due to an increase in the number of owners choosing to exchange their vacation ownership interests for alternative usage options, the recognition of $7 million of additional plus points revenue (which is recognized upon utilization of plus points for stays at our resorts or upon expiration of the points) and nearly $2 million from a 1 percent increase in average transient rate driven by stronger consumer demand and mix of available inventory.</w:t>
      </w:r>
    </w:p>
    <w:p>
      <w:pPr>
        <w:spacing w:after="0" w:line="143"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The increase in rental margin reflects the $7 million increase in plus points revenue and $6 million of higher rental revenues net of higher direct variable expenses (such as housekeeping) and expenses incurred due to owners choosing alternative usage options, partially offset by $4 million of higher than expected redemption costs associated with Marriott Rewards points issued prior to the Spin-off and $3 million of higher maintenance fees on unsold inventory due to an increase in foreclosed inventory in the fourth quarter of 2011 as well as the transfer of Luxury inventory to the MVCD program.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Luxury</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Twelve Weeks Ended</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2"/>
              </w:rPr>
              <w:t>Thirty-Six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reversals on equity investment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420"/>
              <w:spacing w:after="0"/>
              <w:rPr>
                <w:sz w:val="20"/>
                <w:szCs w:val="20"/>
                <w:color w:val="auto"/>
              </w:rPr>
            </w:pPr>
            <w:r>
              <w:rPr>
                <w:rFonts w:ascii="Arial" w:cs="Arial" w:eastAsia="Arial" w:hAnsi="Arial"/>
                <w:sz w:val="18"/>
                <w:szCs w:val="18"/>
                <w:color w:val="auto"/>
              </w:rPr>
              <w:t>Segment financial results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significantly scaled back our development of Luxury vacation ownership products. We do not have any significant construction at any Luxury projects nor do we have any current plans for new development in this segment. We expect to continue to evaluate opportunities for bulk sales of excess Luxury inventory and the disposition of undeveloped land as well as further opportunities to sell Luxury inventory as part of the MVCD program. Consistent with this strategy, inventory from one of our Luxury properties has been added to the MVCD program, and we intend to place most of our remaining Luxury inventory into the MVCD program over the next few years. We have also repositioned several Luxury sales centers to sell the MVCD points product. We believe this strategy will allow us to sell the inventory faster, thereby reducing our near term real estate inventory spending needs and accelerating the reduction of maintenance fees on unsold inventory. We also believe this strategy, coupled with our recent decision to provide owners of our Luxury fractional product access to the MVCD program, provides our owners with significantly more vacation options from which to choose, including expanded Luxury offerings. In the Luxury segment, we also made the decision to remove The Ritz-Carlton brand from one of our Luxury properties, The Abaco Club at Winding Bay in the Bahamas, after concluding that global economic conditions have rendered the property unsustainable under the brand from a business perspective. Our plan, consistent with our overall strategy to sell excess Luxury inventory, is to pursue a bulk sale of the entire asset.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880" w:type="dxa"/>
            <w:vAlign w:val="bottom"/>
          </w:tcPr>
          <w:p>
            <w:pPr>
              <w:spacing w:after="0"/>
              <w:rPr>
                <w:sz w:val="11"/>
                <w:szCs w:val="11"/>
                <w:color w:val="auto"/>
              </w:rPr>
            </w:pPr>
          </w:p>
        </w:tc>
        <w:tc>
          <w:tcPr>
            <w:tcW w:w="1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8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 Change</w:t>
            </w: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8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7"/>
        </w:trPr>
        <w:tc>
          <w:tcPr>
            <w:tcW w:w="5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company-owned contract sales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Joint Venture</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Vacation ownership</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880"/>
              <w:spacing w:after="0"/>
              <w:rPr>
                <w:sz w:val="20"/>
                <w:szCs w:val="20"/>
                <w:color w:val="auto"/>
              </w:rPr>
            </w:pPr>
            <w:r>
              <w:rPr>
                <w:rFonts w:ascii="Arial" w:cs="Arial" w:eastAsia="Arial" w:hAnsi="Arial"/>
                <w:sz w:val="18"/>
                <w:szCs w:val="18"/>
                <w:color w:val="auto"/>
              </w:rPr>
              <w:t>Residential products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Subtotal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880"/>
              <w:spacing w:after="0"/>
              <w:rPr>
                <w:sz w:val="20"/>
                <w:szCs w:val="20"/>
                <w:color w:val="auto"/>
              </w:rPr>
            </w:pPr>
            <w:r>
              <w:rPr>
                <w:rFonts w:ascii="Arial" w:cs="Arial" w:eastAsia="Arial" w:hAnsi="Arial"/>
                <w:sz w:val="18"/>
                <w:szCs w:val="18"/>
                <w:color w:val="auto"/>
              </w:rPr>
              <w:t>Cancellation reversal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joint venture contract sales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0"/>
        </w:trPr>
        <w:tc>
          <w:tcPr>
            <w:tcW w:w="5880" w:type="dxa"/>
            <w:vAlign w:val="bottom"/>
          </w:tcPr>
          <w:p>
            <w:pPr>
              <w:ind w:left="440"/>
              <w:spacing w:after="0"/>
              <w:rPr>
                <w:sz w:val="20"/>
                <w:szCs w:val="20"/>
                <w:color w:val="auto"/>
              </w:rPr>
            </w:pPr>
            <w:r>
              <w:rPr>
                <w:rFonts w:ascii="Arial" w:cs="Arial" w:eastAsia="Arial" w:hAnsi="Arial"/>
                <w:sz w:val="18"/>
                <w:szCs w:val="18"/>
                <w:color w:val="auto"/>
              </w:rPr>
              <w:t>Total contract sales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18</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decrease in contract sales in our Luxury segment reflects our strategy to sell Luxury inventory as an additional offering within our North America points program. The negative contract sales in the twelve weeks ended September 7, 2012 represents the reversal of previously recognized contract sales at our project in the Bahamas that we no longer expect to be closed.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4"/>
                <w:szCs w:val="14"/>
                <w:b w:val="1"/>
                <w:bCs w:val="1"/>
                <w:color w:val="auto"/>
              </w:rPr>
              <w:t>Thirty-Six Weeks Ended</w:t>
            </w:r>
          </w:p>
        </w:tc>
        <w:tc>
          <w:tcPr>
            <w:tcW w:w="2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13</w:t>
            </w:r>
          </w:p>
        </w:tc>
        <w:tc>
          <w:tcPr>
            <w:tcW w:w="160" w:type="dxa"/>
            <w:vAlign w:val="bottom"/>
          </w:tcPr>
          <w:p>
            <w:pPr>
              <w:spacing w:after="0"/>
              <w:rPr>
                <w:sz w:val="19"/>
                <w:szCs w:val="19"/>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300"/>
              <w:spacing w:after="0"/>
              <w:rPr>
                <w:sz w:val="20"/>
                <w:szCs w:val="20"/>
                <w:color w:val="auto"/>
              </w:rPr>
            </w:pPr>
            <w:r>
              <w:rPr>
                <w:rFonts w:ascii="Arial" w:cs="Arial" w:eastAsia="Arial" w:hAnsi="Arial"/>
                <w:sz w:val="18"/>
                <w:szCs w:val="18"/>
                <w:color w:val="auto"/>
              </w:rPr>
              <w:t>Total company-owned contract sales</w:t>
            </w: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line="20" w:lineRule="exact"/>
              <w:rPr>
                <w:sz w:val="1"/>
                <w:szCs w:val="1"/>
                <w:color w:val="auto"/>
              </w:rPr>
            </w:pPr>
          </w:p>
        </w:tc>
      </w:tr>
      <w:tr>
        <w:trPr>
          <w:trHeight w:val="221"/>
        </w:trPr>
        <w:tc>
          <w:tcPr>
            <w:tcW w:w="48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14</w:t>
            </w:r>
          </w:p>
        </w:tc>
        <w:tc>
          <w:tcPr>
            <w:tcW w:w="160" w:type="dxa"/>
            <w:vAlign w:val="bottom"/>
          </w:tcPr>
          <w:p>
            <w:pPr>
              <w:spacing w:after="0"/>
              <w:rPr>
                <w:sz w:val="19"/>
                <w:szCs w:val="19"/>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9"/>
                <w:szCs w:val="19"/>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1300"/>
              <w:spacing w:after="0"/>
              <w:rPr>
                <w:sz w:val="20"/>
                <w:szCs w:val="20"/>
                <w:color w:val="auto"/>
              </w:rPr>
            </w:pPr>
            <w:r>
              <w:rPr>
                <w:rFonts w:ascii="Arial" w:cs="Arial" w:eastAsia="Arial" w:hAnsi="Arial"/>
                <w:sz w:val="18"/>
                <w:szCs w:val="18"/>
                <w:color w:val="auto"/>
              </w:rPr>
              <w:t>Total joint venture contract sales</w:t>
            </w: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19"/>
                <w:szCs w:val="19"/>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decrease in contract sales in our Luxury segment reflects our strategy to sell Luxury inventory as an additional offering within our North America points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7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221"/>
        </w:trPr>
        <w:tc>
          <w:tcPr>
            <w:tcW w:w="38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20" w:type="dxa"/>
            <w:vAlign w:val="bottom"/>
            <w:vMerge w:val="restart"/>
          </w:tcPr>
          <w:p>
            <w:pPr>
              <w:jc w:val="right"/>
              <w:ind w:right="72"/>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improvement in development margin reflects $4 million of charges in the prior year comparable period, including $2 million of legal related charges and $2 million of costs related to ADA compliance and Hurricane Irene damage at our resort in the Bahamas, as well as the impact of our strategy to sell Luxury inventory as an additional offering within our North America points program in the twelve weeks ended September 7, 2012.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Thirty-Six Weeks Ended</w:t>
            </w:r>
          </w:p>
        </w:tc>
        <w:tc>
          <w:tcPr>
            <w:tcW w:w="2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(14)</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The improvement in development margin reflects $6 million of charges in the prior year comparable period, including $3 million of legal related charges, $2 million of costs related to ADA compliance and Hurricane Irene damage at our resort in the Bahamas and $1 million of severance costs, as well as the impact of our strategy to sell Luxury inventory as an additional offering within our North America points program in the thirty-six weeks ended September 7, 2012.</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These increases are partially offset by $6 million primarily related to a favorable change in the vacation ownership notes receivable reserve in the prior year comparable period due to lower than estimated default and delinquency activity.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Twelve Weeks Ended</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Thirty-Six Weeks Ended</w:t>
            </w:r>
          </w:p>
        </w:tc>
        <w:tc>
          <w:tcPr>
            <w:tcW w:w="2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7,</w:t>
            </w:r>
          </w:p>
        </w:tc>
        <w:tc>
          <w:tcPr>
            <w:tcW w:w="7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September 9,</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ind w:right="153"/>
              <w:spacing w:after="0"/>
              <w:rPr>
                <w:sz w:val="20"/>
                <w:szCs w:val="20"/>
                <w:color w:val="auto"/>
              </w:rPr>
            </w:pPr>
            <w:r>
              <w:rPr>
                <w:rFonts w:ascii="Arial" w:cs="Arial" w:eastAsia="Arial" w:hAnsi="Arial"/>
                <w:sz w:val="14"/>
                <w:szCs w:val="14"/>
                <w:b w:val="1"/>
                <w:bCs w:val="1"/>
                <w:color w:val="auto"/>
                <w:w w:val="76"/>
              </w:rPr>
              <w:t>2011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95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86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Segment financial results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Twelve Weeks Ended</w:t>
            </w:r>
          </w:p>
        </w:tc>
        <w:tc>
          <w:tcPr>
            <w:tcW w:w="2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6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8"/>
                <w:szCs w:val="18"/>
                <w:i w:val="1"/>
                <w:iCs w:val="1"/>
                <w:color w:val="auto"/>
              </w:rPr>
              <w:t>Thirty-Six Weeks Ended September 7, 2012</w:t>
            </w: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1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Thirty-Six Weeks Ended</w:t>
            </w:r>
          </w:p>
        </w:tc>
        <w:tc>
          <w:tcPr>
            <w:tcW w:w="2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620" w:type="dxa"/>
            <w:vAlign w:val="bottom"/>
            <w:gridSpan w:val="2"/>
          </w:tcPr>
          <w:p>
            <w:pPr>
              <w:ind w:left="1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38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460" w:type="dxa"/>
            <w:vAlign w:val="bottom"/>
            <w:vMerge w:val="restart"/>
          </w:tcPr>
          <w:p>
            <w:pPr>
              <w:ind w:left="1060"/>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4"/>
                <w:szCs w:val="14"/>
                <w:b w:val="1"/>
                <w:bCs w:val="1"/>
                <w:color w:val="auto"/>
              </w:rPr>
              <w:t>Twelve Weeks Ended</w:t>
            </w:r>
          </w:p>
        </w:tc>
        <w:tc>
          <w:tcPr>
            <w:tcW w:w="2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development margin decline is due to $1 million from the lower sales volume net of direct variable expenses (</w:t>
      </w:r>
      <w:r>
        <w:rPr>
          <w:rFonts w:ascii="Arial" w:cs="Arial" w:eastAsia="Arial" w:hAnsi="Arial"/>
          <w:sz w:val="18"/>
          <w:szCs w:val="18"/>
          <w:i w:val="1"/>
          <w:iCs w:val="1"/>
          <w:color w:val="auto"/>
        </w:rPr>
        <w:t>i.e.,</w:t>
      </w:r>
      <w:r>
        <w:rPr>
          <w:rFonts w:ascii="Arial" w:cs="Arial" w:eastAsia="Arial" w:hAnsi="Arial"/>
          <w:sz w:val="18"/>
          <w:szCs w:val="18"/>
          <w:color w:val="auto"/>
        </w:rPr>
        <w:t xml:space="preserve"> cost of vacation ownership products and marketing and sales) and a $1 million net impact from lower revenue reportability.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Thirty-Six Weeks Ended</w:t>
            </w:r>
          </w:p>
        </w:tc>
        <w:tc>
          <w:tcPr>
            <w:tcW w:w="2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(10)</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(22)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development margin decline is due to $3 million from the lower sales volume net of direct variable expenses (</w:t>
      </w:r>
      <w:r>
        <w:rPr>
          <w:rFonts w:ascii="Arial" w:cs="Arial" w:eastAsia="Arial" w:hAnsi="Arial"/>
          <w:sz w:val="15"/>
          <w:szCs w:val="15"/>
          <w:i w:val="1"/>
          <w:iCs w:val="1"/>
          <w:color w:val="auto"/>
        </w:rPr>
        <w:t>i.e.,</w:t>
      </w:r>
      <w:r>
        <w:rPr>
          <w:rFonts w:ascii="Arial" w:cs="Arial" w:eastAsia="Arial" w:hAnsi="Arial"/>
          <w:sz w:val="15"/>
          <w:szCs w:val="15"/>
          <w:color w:val="auto"/>
        </w:rPr>
        <w:t xml:space="preserve"> cost of vacation ownership products and marketing and sales), $1 million net impact from lower revenue reportability and $1 million of higher vacation ownership notes receivable reserve activity.</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4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5640" w:type="dxa"/>
            <w:vAlign w:val="bottom"/>
            <w:gridSpan w:val="3"/>
          </w:tcPr>
          <w:p>
            <w:pPr>
              <w:ind w:left="460"/>
              <w:spacing w:after="0"/>
              <w:rPr>
                <w:sz w:val="20"/>
                <w:szCs w:val="20"/>
                <w:color w:val="auto"/>
              </w:rPr>
            </w:pPr>
            <w:r>
              <w:rPr>
                <w:rFonts w:ascii="Arial" w:cs="Arial" w:eastAsia="Arial" w:hAnsi="Arial"/>
                <w:sz w:val="18"/>
                <w:szCs w:val="18"/>
                <w:b w:val="1"/>
                <w:bCs w:val="1"/>
                <w:i w:val="1"/>
                <w:iCs w:val="1"/>
                <w:color w:val="auto"/>
              </w:rPr>
              <w:t>Asia Pacific</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Twelve Weeks Ended</w:t>
            </w:r>
          </w:p>
        </w:tc>
        <w:tc>
          <w:tcPr>
            <w:tcW w:w="5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Thirty-Six Weeks Ended</w:t>
            </w:r>
          </w:p>
        </w:tc>
        <w:tc>
          <w:tcPr>
            <w:tcW w:w="2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7,</w:t>
            </w:r>
          </w:p>
        </w:tc>
        <w:tc>
          <w:tcPr>
            <w:tcW w:w="76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1"/>
              </w:rPr>
              <w:t>September 9,</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gridSpan w:val="3"/>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jc w:val="right"/>
              <w:ind w:right="153"/>
              <w:spacing w:after="0"/>
              <w:rPr>
                <w:sz w:val="20"/>
                <w:szCs w:val="20"/>
                <w:color w:val="auto"/>
              </w:rPr>
            </w:pPr>
            <w:r>
              <w:rPr>
                <w:rFonts w:ascii="Arial" w:cs="Arial" w:eastAsia="Arial" w:hAnsi="Arial"/>
                <w:sz w:val="14"/>
                <w:szCs w:val="14"/>
                <w:b w:val="1"/>
                <w:bCs w:val="1"/>
                <w:color w:val="auto"/>
                <w:w w:val="76"/>
              </w:rPr>
              <w:t>2011</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Sale of vacation ownership products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0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47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Financing</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Cost reimbursements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gridSpan w:val="3"/>
          </w:tcPr>
          <w:p>
            <w:pPr>
              <w:ind w:left="460"/>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of vacation ownership products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Marketing and sales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Rental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tcPr>
          <w:p>
            <w:pPr>
              <w:ind w:left="440"/>
              <w:spacing w:after="0"/>
              <w:rPr>
                <w:sz w:val="20"/>
                <w:szCs w:val="20"/>
                <w:color w:val="auto"/>
              </w:rPr>
            </w:pPr>
            <w:r>
              <w:rPr>
                <w:rFonts w:ascii="Arial" w:cs="Arial" w:eastAsia="Arial" w:hAnsi="Arial"/>
                <w:sz w:val="18"/>
                <w:szCs w:val="18"/>
                <w:color w:val="auto"/>
              </w:rPr>
              <w:t>Royalty fee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8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62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Segment financial results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our Asia Pacific segment, we continue to identify opportunities for development margin improvement and, as a result, we have decided to close our off-site sales locations in Hong Kong and Japan in the fourth quarter of 2012. Our on-site sales locations have proven to be more efficient sales channels than our off-site sales locations and, therefore, we will focus our efforts towards future inventory acquisitions with high volume on-site sales distribution potential. We anticipate the costs associated with closing these off-site sales locations will be approximately $4 million to $5 million, with the majority of the costs to be incurred in the fourth quarter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Twelve Weeks Ended</w:t>
            </w:r>
          </w:p>
        </w:tc>
        <w:tc>
          <w:tcPr>
            <w:tcW w:w="2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3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90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7"/>
        </w:trPr>
        <w:tc>
          <w:tcPr>
            <w:tcW w:w="3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3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decline in contract sales reflects the impact of a 14 percent decrease in sales tours as a result of having fewer sales centers in the twelve weeks ended September 7, 2012 compared to the prior year comparable period and a $122 decrease in VPG.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rPr>
              <w:t>Thirty-Six Weeks Ended</w:t>
            </w:r>
          </w:p>
        </w:tc>
        <w:tc>
          <w:tcPr>
            <w:tcW w:w="2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9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3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61"/>
        </w:trPr>
        <w:tc>
          <w:tcPr>
            <w:tcW w:w="3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 Change</w:t>
            </w:r>
          </w:p>
        </w:tc>
      </w:tr>
      <w:tr>
        <w:trPr>
          <w:trHeight w:val="196"/>
        </w:trPr>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90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82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49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7"/>
        </w:trPr>
        <w:tc>
          <w:tcPr>
            <w:tcW w:w="3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3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8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0"/>
        </w:trPr>
        <w:tc>
          <w:tcPr>
            <w:tcW w:w="3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decline in contract sales reflects the impact of a 13 percent decrease in sales tours as a result of having fewer sales centers in the thirty-six weeks ended September 7, 2012 compared to the prior year comparable period, partially offset by an $11 increase in VPG.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46"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Twelve Weeks Ended</w:t>
            </w:r>
          </w:p>
        </w:tc>
        <w:tc>
          <w:tcPr>
            <w:tcW w:w="2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(10)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(2)</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development margin decline is due to the lower sales volume net of direct variable expenses (</w:t>
      </w:r>
      <w:r>
        <w:rPr>
          <w:rFonts w:ascii="Arial" w:cs="Arial" w:eastAsia="Arial" w:hAnsi="Arial"/>
          <w:sz w:val="18"/>
          <w:szCs w:val="18"/>
          <w:i w:val="1"/>
          <w:iCs w:val="1"/>
          <w:color w:val="auto"/>
        </w:rPr>
        <w:t>i.e.</w:t>
      </w:r>
      <w:r>
        <w:rPr>
          <w:rFonts w:ascii="Arial" w:cs="Arial" w:eastAsia="Arial" w:hAnsi="Arial"/>
          <w:sz w:val="18"/>
          <w:szCs w:val="18"/>
          <w:color w:val="auto"/>
        </w:rPr>
        <w:t>, cost of vacation ownership products and marketing and sales) mainly from less efficient marketing and sales spending.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Thirty-Six Weeks Ended</w:t>
            </w:r>
          </w:p>
        </w:tc>
        <w:tc>
          <w:tcPr>
            <w:tcW w:w="2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Change</w:t>
            </w:r>
          </w:p>
        </w:tc>
        <w:tc>
          <w:tcPr>
            <w:tcW w:w="7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18"/>
                <w:szCs w:val="18"/>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(14)</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development margin improvement is due to $2 million of favorable product cost true-up activity, partially offset by $1 million from the lower sales volume net of direct variable expenses (</w:t>
      </w:r>
      <w:r>
        <w:rPr>
          <w:rFonts w:ascii="Arial" w:cs="Arial" w:eastAsia="Arial" w:hAnsi="Arial"/>
          <w:sz w:val="18"/>
          <w:szCs w:val="18"/>
          <w:i w:val="1"/>
          <w:iCs w:val="1"/>
          <w:color w:val="auto"/>
        </w:rPr>
        <w:t>i.e.</w:t>
      </w:r>
      <w:r>
        <w:rPr>
          <w:rFonts w:ascii="Arial" w:cs="Arial" w:eastAsia="Arial" w:hAnsi="Arial"/>
          <w:sz w:val="18"/>
          <w:szCs w:val="18"/>
          <w:color w:val="auto"/>
        </w:rPr>
        <w:t>, cost of vacation ownership products and marketing and sales). The favorable product cost true-up activity includes $1 million of favorable product cost true-ups in the thirty-six weeks ended September 7, 2012 and $1 million of unfavorable product cost true-ups in the prior year comparable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Pr>
          <w:p>
            <w:pPr>
              <w:spacing w:after="0"/>
              <w:rPr>
                <w:sz w:val="14"/>
                <w:szCs w:val="14"/>
                <w:color w:val="auto"/>
              </w:rPr>
            </w:pPr>
          </w:p>
        </w:tc>
        <w:tc>
          <w:tcPr>
            <w:tcW w:w="2100" w:type="dxa"/>
            <w:vAlign w:val="bottom"/>
            <w:gridSpan w:val="6"/>
          </w:tcPr>
          <w:p>
            <w:pPr>
              <w:ind w:left="8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7,</w:t>
            </w:r>
          </w:p>
        </w:tc>
        <w:tc>
          <w:tcPr>
            <w:tcW w:w="7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720" w:type="dxa"/>
            <w:vAlign w:val="bottom"/>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September 9,</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vacation ownership products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Financing</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Royalty fee</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Corporate and Other captures information not specifically identifiable to an individual segment, including expenses in support of our financing operations, non-capitalizable development expenses supporting overall company development, company-wide general and administrative costs, the fixed royalty fee payable under the License Agreements and interest expense.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7, 2012</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Total expenses decreased $191 million over the prior year comparable period. The $191 million decrease was the result of $209 million of impairment charges in the prior year comparable period, $1 million of lower financing expenses and $1 million of lower other miscellaneous expenses, partially offset by $11 million of royalty fees in the twelve weeks ended September 7, 2012, $5 million of higher interest expense and $4 million of higher general and administrative expenses.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$5 million increase in interest expense was due to $5 million of higher non-consumer financing interest expense. The $5 million of higher non-consumer financing interest expense primarily includes $2 million of expense associated with the liability for the Marriott Rewards guest loyalty program under the Marriott Rewards Agreement which we entered into in connection with the Spin-Off, $1 million of lower capitalized interest costs, $1 million of dividends associated with the preferred stock issued in connection with the Spin-Off, and $1 million of amortized costs associated with the Revolving Corporate Credit Facility which we</w:t>
      </w:r>
    </w:p>
    <w:p>
      <w:pPr>
        <w:sectPr>
          <w:pgSz w:w="11900" w:h="16838" w:orient="portrait"/>
          <w:cols w:equalWidth="0" w:num="1">
            <w:col w:w="11400"/>
          </w:cols>
          <w:pgMar w:left="240" w:top="459" w:right="25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459" w:right="25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entered into in connection with the Spin-Off. There was minimal change in consumer financing interest expense as the lower interest expense from the lower outstanding debt balances and associated interest costs related to the securitized vacation ownership notes receivable was offset by interest expense and amortized costs associated with the Warehouse Credit Facility which we entered into in connection with the Spin-Off.</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$4 million increase in general and administrative expenses was due to $2 million of organizational and separation related costs, $1 million of higher personnel related costs, and $1 million of incremental stand-alone public company costs.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7, 2012</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Total expenses decreased $150 million over the prior year comparable period. The $150 million decrease was the result of $209 million of impairment charges in the prior year comparable period, partially offset by $34 million of royalty fees in the thirty-six weeks ended September 7, 2012, $14 million of higher general and administrative expenses, $10 million of higher interest expense and a $2 million favorable true-up in other expenses in the prior year comparable period related to the 2010 bonus accrual following final bonus payouts totaling less than the amount accrued.</w:t>
      </w:r>
    </w:p>
    <w:p>
      <w:pPr>
        <w:spacing w:after="0" w:line="11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$10 million increase in interest expense was due to $12 million of higher non-consumer financing interest expense, offset partially by $2 million of lower consumer financing interest expense. The higher non-consumer financing interest expense primarily includes $6 million of expense associated with the liability for the Marriott Rewards guest loyalty program under the Marriott Rewards Agreement which we entered into in connection with the Spin-Off, $3 million of dividends associated with the preferred stock issued in connection with the Spin-Off, $2 million of lower capitalized interest costs, and $2 million of amortized costs associated with the Revolving Corporate Credit Facility which we entered into in connection with the Spin-Off. Lower consumer financing interest expense reflects lower outstanding debt balances and associated interest costs related to the securitized vacation ownership notes receivable, partially offset by interest expense and amortized costs associated with the Warehouse Credit Facility which we entered into in connection with the Spin-Off.</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$14 million increase in general and administrative expenses was due to $8 million of organizational and separation related costs incurred in the thirty-six weeks ended September 7, 2012, $3 million of incremental stand-alone public company costs, $2 million for claims asserted related to one of our Luxury projects and $1 million of higher personnel related costs net of cost savings.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Footnote No. 1 to our Financial Statements, “Summary of Significant Accounting Policies,” for information related to our adoption of new accounting standards in the thirty-six weeks ended September 7,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capital needs are supported by cash on hand ($212 million at the end of the third quarter of 2012), cash generated from operations, our ability to raise capital through securitizations in the ABS market, and to the extent necessary, funds available under the Warehouse Credit Facility and the Revolving Corporate Credit Facility. We believe these sources will be adequate to meet our short-term and long-term liquidity requirements, finance our long-term growth plans, meet debt service, and fulfill other cash requirements. At the end of the third quarter of 2012, $790 million of the $793 million of total debt outstanding is non-recourse debt associated with secured vacation ownership notes receivable.</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sufficient real estate inventory to meet expected demand for our vacation ownership products for the next several years. At the end of the third quarter of 2012, we had $891 million of real estate inventory on hand, comprised of $440 million of finished goods, $164 million of work-in-process, and $287 million of land and infrastructure. As a result, we expect our real estate inventory spending (discussed below) will be less than or in line with cost of sales for the next several years. We also expect to sell excess luxury inventory and dispose of undeveloped land, as well as to sell most of our remaining Luxury inventory through the MVCD program over the next few years, in order to generate incremental cash and reduce related carrying costs.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Changes we have made to our vacation ownership product offerings also allow us to more efficiently utilize our real estate inventory. The majority of our sales are of a points-based product offering, which permits us to sell vacation ownership products at most of our sales locations, including those where little or no weeks-based inventory remains available for sale. Because we no longer need specific resort-based inventory at each sales location, we expect to have fewer resorts under construction at any given time and expect to better leverage successful sales locations at completed resorts. We expect that this will allow us to maintain long-term sales locations and minimize the need to develop and staff on-site sales locations at smaller projects in the future. We believe these points-based programs better position us to align our construction of real estate inventory with the pace of sales of vacation ownership products by slowing down or accelerating construction, as demand across our portfolio and market conditions dictate.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thirty-six weeks ended September 7, 2012 we had a net increase in cash and cash equivalents of $102 million compared to a $1 million net decrease in cash and cash equivalents during the thirty-six weeks ended September 9, 2011, which net decrease included a distribution to Marriott International of $71 million prior to the Spin-Off. The following table summarizes such changes: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60" w:type="dxa"/>
            <w:vAlign w:val="bottom"/>
            <w:tcBorders>
              <w:top w:val="single" w:sz="8" w:color="auto"/>
            </w:tcBorders>
            <w:gridSpan w:val="3"/>
          </w:tcPr>
          <w:p>
            <w:pPr>
              <w:ind w:left="400"/>
              <w:spacing w:after="0" w:line="129" w:lineRule="exact"/>
              <w:rPr>
                <w:sz w:val="20"/>
                <w:szCs w:val="20"/>
                <w:color w:val="auto"/>
              </w:rPr>
            </w:pPr>
            <w:r>
              <w:rPr>
                <w:rFonts w:ascii="Arial" w:cs="Arial" w:eastAsia="Arial" w:hAnsi="Arial"/>
                <w:sz w:val="14"/>
                <w:szCs w:val="14"/>
                <w:b w:val="1"/>
                <w:bCs w:val="1"/>
                <w:color w:val="auto"/>
                <w:w w:val="84"/>
              </w:rPr>
              <w:t>September 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w:t>
            </w:r>
          </w:p>
        </w:tc>
        <w:tc>
          <w:tcPr>
            <w:tcW w:w="44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distribution to Marriott International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20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changes in exchange rates on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1300"/>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thirty-six weeks ended September 7, 2012, we generated $158 million of cash flows from operating activities, compared to $248 million in the thirty-six weeks ended September 9, 2011. Our primary sources of funds from operations are (1) cash sales and down payments on financed sales, (2) cash from our financing operations, including principal and interest payments received on outstanding notes receivables and (3) net cash generated from our rental and resort management and other services operations. Outflows include spending for the development of new phases of existing resorts or turnkey purchases of new inventory as well as funding our working capital needs. Additionally, during the thirty-six weeks ended September 7, 2012 we made a payment of $20 million to Marriott International in final settlement of expenses associated with the Spin-Off, and a payment of $20 million to property owners’ associations for maintenance fees collected on their behalf prior to the end of 2011 (these funds were held for the benefit of the applicable property owners’ associations in restricted cash at the end of 2011).</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minimize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development.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net income and adjustments for non-cash items, the following operating activities are key drivers of our cash from operating activities: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Thirty-Six Weeks Ended</w:t>
            </w:r>
          </w:p>
        </w:tc>
      </w:tr>
      <w:tr>
        <w:trPr>
          <w:trHeight w:val="129"/>
        </w:trPr>
        <w:tc>
          <w:tcPr>
            <w:tcW w:w="5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September 9,</w:t>
            </w:r>
          </w:p>
        </w:tc>
        <w:tc>
          <w:tcPr>
            <w:tcW w:w="120" w:type="dxa"/>
            <w:vAlign w:val="bottom"/>
          </w:tcPr>
          <w:p>
            <w:pPr>
              <w:spacing w:after="0"/>
              <w:rPr>
                <w:sz w:val="11"/>
                <w:szCs w:val="11"/>
                <w:color w:val="auto"/>
              </w:rPr>
            </w:pPr>
          </w:p>
        </w:tc>
      </w:tr>
      <w:tr>
        <w:trPr>
          <w:trHeight w:val="161"/>
        </w:trPr>
        <w:tc>
          <w:tcPr>
            <w:tcW w:w="5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Real estate inventory spending</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1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inventory spending less than cost of sales</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in our Statements of Operations related to sale of vacation ownership products (a non-cash item).</w:t>
      </w:r>
    </w:p>
    <w:p>
      <w:pPr>
        <w:spacing w:after="0" w:line="8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Given the significant level of completed real estate inventory on hand, as well as the capital efficiency resulting from our MVCD program, our real estate inventory spending continues to decline. Total spending was lower than our real estate inventory costs in each of the thirty-six week periods ended September 7, 2012 and September 9, 2011, and we expect this trend to continue in the near term. On a longer term basis, we expect this spending to remain in line with our projected real estate inventory costs.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recently expanded our existing vacation ownership interest repurchase program pursuant to which we are proactively buying back previously sold vacation ownership interests at costs favorable to us. By actively repurchasing inventory in desirable locations we expect to be able to stabilize the future cost of vacation ownership products for the next several years.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60" w:type="dxa"/>
            <w:vAlign w:val="bottom"/>
            <w:tcBorders>
              <w:top w:val="single" w:sz="8" w:color="auto"/>
            </w:tcBorders>
            <w:gridSpan w:val="3"/>
          </w:tcPr>
          <w:p>
            <w:pPr>
              <w:ind w:left="400"/>
              <w:spacing w:after="0" w:line="129" w:lineRule="exact"/>
              <w:rPr>
                <w:sz w:val="20"/>
                <w:szCs w:val="20"/>
                <w:color w:val="auto"/>
              </w:rPr>
            </w:pPr>
            <w:r>
              <w:rPr>
                <w:rFonts w:ascii="Arial" w:cs="Arial" w:eastAsia="Arial" w:hAnsi="Arial"/>
                <w:sz w:val="14"/>
                <w:szCs w:val="14"/>
                <w:b w:val="1"/>
                <w:bCs w:val="1"/>
                <w:color w:val="auto"/>
                <w:w w:val="84"/>
              </w:rPr>
              <w:t>September 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1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Notes receivable collections (non-securitized vacation ownership notes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8"/>
                <w:szCs w:val="18"/>
                <w:color w:val="auto"/>
              </w:rPr>
              <w:t>Notes receivable collections (securitized vacation ownership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tcPr>
          <w:p>
            <w:pPr>
              <w:ind w:left="220"/>
              <w:spacing w:after="0"/>
              <w:rPr>
                <w:sz w:val="20"/>
                <w:szCs w:val="20"/>
                <w:color w:val="auto"/>
              </w:rPr>
            </w:pPr>
            <w:r>
              <w:rPr>
                <w:rFonts w:ascii="Arial" w:cs="Arial" w:eastAsia="Arial" w:hAnsi="Arial"/>
                <w:sz w:val="18"/>
                <w:szCs w:val="18"/>
                <w:color w:val="auto"/>
              </w:rPr>
              <w:t>receivable)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New vacation ownership notes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440"/>
              <w:spacing w:after="0"/>
              <w:rPr>
                <w:sz w:val="20"/>
                <w:szCs w:val="20"/>
                <w:color w:val="auto"/>
              </w:rPr>
            </w:pPr>
            <w:r>
              <w:rPr>
                <w:rFonts w:ascii="Arial" w:cs="Arial" w:eastAsia="Arial" w:hAnsi="Arial"/>
                <w:sz w:val="18"/>
                <w:szCs w:val="18"/>
                <w:color w:val="auto"/>
              </w:rPr>
              <w:t>Notes receivable collections in excess of new mortgages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Notes receivable collections include principal from non-securitized and securitized vacation ownership notes receivable for all periods reported. Collections declined in the thirty-six weeks ended September 7, 2012 due to the declining vacation ownership notes receivable balance. New vacation ownership notes receivable declined slightly in the thirty-six weeks ended September 7, 2012 compared to the thirty-six weeks ended September 9, 2011 due to a 3.1 percentage point decline in the financing propensity of purchasers in our North America segment (from 41.3 percent in the thirty-six weeks ended September 7, 2012 to 44.4 percent in the prior year comparable period) and a reduction in the number of contract closings that occurred in the thirty-six weeks ended September 7, 2012 compared to the thirty-six weeks ended September 9, 2011.</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See Footnote No. 8, “Debt,” of the Notes to our Financial Statements for additional information regarding the failure of certain securitization pools to perform within established parameters and the resulting redirection of $1 million and $2 million of cash flows to investors during each of the thirty-six weeks ended September 7, 2012 and September 9, 2011. At September 7, 2012 all pools were in compliance with established parameters.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4"/>
                <w:szCs w:val="14"/>
                <w:b w:val="1"/>
                <w:bCs w:val="1"/>
                <w:color w:val="auto"/>
              </w:rPr>
              <w:t>Thirty-Six Weeks Ended</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4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September 9,</w:t>
            </w:r>
          </w:p>
        </w:tc>
        <w:tc>
          <w:tcPr>
            <w:tcW w:w="120" w:type="dxa"/>
            <w:vAlign w:val="bottom"/>
          </w:tcPr>
          <w:p>
            <w:pPr>
              <w:spacing w:after="0"/>
              <w:rPr>
                <w:sz w:val="11"/>
                <w:szCs w:val="11"/>
                <w:color w:val="auto"/>
              </w:rPr>
            </w:pPr>
          </w:p>
        </w:tc>
      </w:tr>
      <w:tr>
        <w:trPr>
          <w:trHeight w:val="161"/>
        </w:trPr>
        <w:tc>
          <w:tcPr>
            <w:tcW w:w="48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 for property and equipment</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(11)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Note collections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investing activities</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ancillary offerings at resorts such as food and beverage locations.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thirty-six weeks ended September 7, 2012, capital expenditures for property and equipment of $11 million included $8 million of spending to support normal business operations (such as sales locations and ancillary assets) and $3 million for technology spending.</w:t>
      </w:r>
    </w:p>
    <w:p>
      <w:pPr>
        <w:spacing w:after="0" w:line="13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In the thirty-six weeks ended September 9, 2011, capital expenditures for property and equipment of $11 million included $6 million for technology spending relating primarily to systems enhancements supporting the MVCD program and $5 million related to the support of normal business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 collections relate to monies collected during the twelve weeks ended September 9, 2011 that were previously advanced to a related party.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Decrease in Restricted Cash</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Restricted cash primarily consists of cash held in a reserve account related to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 The decrease in restricted cash in the thirty-six weeks ended September 7, 2012 reflects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payments to property owners’ associations for maintenance fees collected on their behalf prior to the end of 2011, partially offset by cash collected in connection with securitized vacation ownership notes receivable that will be distributed to investors subsequent to the end of the third quarter of 2012 and an increase in cash held in escrow for contracts that had not yet closed prior to the end of the third quarter of 2012.</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7,</w:t>
            </w:r>
          </w:p>
        </w:tc>
        <w:tc>
          <w:tcPr>
            <w:tcW w:w="1160" w:type="dxa"/>
            <w:vAlign w:val="bottom"/>
            <w:tcBorders>
              <w:top w:val="single" w:sz="8" w:color="auto"/>
            </w:tcBorders>
            <w:gridSpan w:val="3"/>
          </w:tcPr>
          <w:p>
            <w:pPr>
              <w:ind w:left="400"/>
              <w:spacing w:after="0" w:line="129" w:lineRule="exact"/>
              <w:rPr>
                <w:sz w:val="20"/>
                <w:szCs w:val="20"/>
                <w:color w:val="auto"/>
              </w:rPr>
            </w:pPr>
            <w:r>
              <w:rPr>
                <w:rFonts w:ascii="Arial" w:cs="Arial" w:eastAsia="Arial" w:hAnsi="Arial"/>
                <w:sz w:val="14"/>
                <w:szCs w:val="14"/>
                <w:b w:val="1"/>
                <w:bCs w:val="1"/>
                <w:color w:val="auto"/>
                <w:w w:val="84"/>
              </w:rPr>
              <w:t>September 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Borrowings from securitization transactions</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w w:val="97"/>
              </w:rPr>
              <w:t>Bonds payable on securitized vacation ownership notes receivable</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460" w:type="dxa"/>
            <w:vAlign w:val="bottom"/>
          </w:tcPr>
          <w:p>
            <w:pPr>
              <w:spacing w:after="0"/>
              <w:rPr>
                <w:sz w:val="18"/>
                <w:szCs w:val="18"/>
                <w:color w:val="auto"/>
              </w:rPr>
            </w:pP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Warehouse Credit Facility</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40"/>
              <w:spacing w:after="0"/>
              <w:rPr>
                <w:sz w:val="20"/>
                <w:szCs w:val="20"/>
                <w:color w:val="auto"/>
              </w:rPr>
            </w:pPr>
            <w:r>
              <w:rPr>
                <w:rFonts w:ascii="Arial" w:cs="Arial" w:eastAsia="Arial" w:hAnsi="Arial"/>
                <w:sz w:val="18"/>
                <w:szCs w:val="18"/>
                <w:color w:val="auto"/>
              </w:rPr>
              <w:t>Subtotal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20"/>
              <w:spacing w:after="0"/>
              <w:rPr>
                <w:sz w:val="20"/>
                <w:szCs w:val="20"/>
                <w:color w:val="auto"/>
              </w:rPr>
            </w:pPr>
            <w:r>
              <w:rPr>
                <w:rFonts w:ascii="Arial" w:cs="Arial" w:eastAsia="Arial" w:hAnsi="Arial"/>
                <w:sz w:val="18"/>
                <w:szCs w:val="18"/>
                <w:color w:val="auto"/>
                <w:w w:val="97"/>
              </w:rPr>
              <w:t>Bonds payable on securitized vacation ownership notes receivable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(177)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Warehouse Credit Facility</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vMerge w:val="restart"/>
          </w:tcPr>
          <w:p>
            <w:pPr>
              <w:ind w:left="840"/>
              <w:spacing w:after="0"/>
              <w:rPr>
                <w:sz w:val="20"/>
                <w:szCs w:val="20"/>
                <w:color w:val="auto"/>
              </w:rPr>
            </w:pPr>
            <w:r>
              <w:rPr>
                <w:rFonts w:ascii="Arial" w:cs="Arial" w:eastAsia="Arial" w:hAnsi="Arial"/>
                <w:sz w:val="18"/>
                <w:szCs w:val="18"/>
                <w:color w:val="auto"/>
              </w:rPr>
              <w:t>Subtotal</w:t>
            </w: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Repayment of Revolving Corporate Credit Facility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Repayment of third party debt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distribution to Marriott International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Renewal of Warehouse Credit Facility</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September 11, 2012, we entered into amended and restated agreements associated with the Warehouse Credit Facility. As a result, the borrowing capacity of the Warehouse Credit Facility was reduced from $300 million to $250 million and the revolving period was extended to September 10, 2014. In addition, as a result of the amended and restated agreements, borrowings under the Warehouse Credit Facility now bear interest at a rate based on the one-month LIBOR and bank conduit commercial paper rates plus 1.5 percent and are limited at any point to the advance rate on the aggregate amount of eligible vacation ownership notes receivable at such time. Other terms of the Warehouse Credit Facility are substantially similar to those in effect prior to the amendment and restatement. At September 7, 2012, no amounts were outstanding under the Warehouse Credit Facility and $47 million of our vacation ownership notes receivable were eligible for securitization.</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Repayments of debt related to securitizations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Repayments on the non-recourse debt associated with our securitized vacation ownership notes receivable totaled $295 million (including $30 million for voluntary retirement clean-up calls) and $186 million in each of the thirty-six weeks ended September 7, 2012 and September 9, 2011, respectively.</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28, 2012, we completed a securitization involving the transfer of a pool of approximately $250 million in vacation ownership notes receivable (the “Loans”) to Marriott Vacation Club Owner Trust 2012-1 (the “2012-1 Trust”), including $122 million of Loans that were previously securitized in the Warehouse Credit Facility. Simultaneous with the securitization of the Loans to the 2012-1 Trust, investors purchased approximately $238 million in Timeshare Loan Backed Notes (the “Notes”) from the 2012-1 Trust in a private placement. Two classes of Notes were issued by the 2012-1 Trust: approximately $210 million of Class A Notes and approximately $28 million of Class B Notes. The Class A Notes have an interest rate of 2.51% and the Class B Notes have an interest rate of 3.50%, for an overall weighted average interest rate of 2.625%. As consideration for the securitization of the Loans, we received initial gross cash proceeds (before transaction expenses and required reserves) of approximately $238 million ($233 million after transaction expenses and required reserves), and a subordinated residual interest in the 2012-1 Trust through which we expect to realize the remaining value of the Loans over time. Of this amount, approximately $101 million was used to repay amounts previously drawn under the Warehouse Credit Facility, and the remainder will be used for general corporate purposes. We have accounted for the securitization as a secured borrowing and therefore did not recognize a gain or loss in the third quarter of 2012 as a result of this transaction. The results of operations of the 2012-1 Trust are consolidated within our results of operations as the Trust is a variable interest entity for which we are the primary beneficiary.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provided notice of our intent to voluntarily repurchase previously securitized vacation ownership notes receivable to retire two vacation ownership notes receivable pools outstanding. We expect to have a net cash outflow of approximately $38 million for the purchase of $42 million of debt, which carried a weighted average interest rate of 5.05% at September 7, 2012. The majority of vacation ownership notes receivable repurchased will be available for future securitization.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December 30, 2011, other than those resulting from changes in the amount of debt outstanding. As of the end of the third quarter of 2012, debt decreased by $57 million to $793 million compared to $850 million at year-end 2011, all of which related to a decrease in non-recourse debt associated with previously securitized notes. At the end of the third quarter of 2012, future debt payments to be paid out of collections from our mortgage notes receivable, including principal and interest, totaled $963 million and are due as follows: $51 million in 2012; $153 million in 2013; $148 million in 2014; $138 million in 2015; $120 million in 2016; and $353 million thereafter.</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have provided guarantees to certain lenders in connection with the provision of third-party financing for our vacation ownership product sales, which guarantees generally have a stated maximum amount of funding and a term of five to ten years. The terms of the guarantees require us to fund if the purchaser fails to pay under the terms of the note payable. We are then entitled to repossess the property and retain the proceeds from its resale. Our commitments under these guarantees diminish as principal payments are made by the purchaser to the third-party lender. Our current exposure under such guarantees as of the end of the third quarter of 2012 in the Asia Pacific and Luxury segments is $20 million and $3 million, respectively, and underlying debt to third-party lenders will mature between 2012 and 2022.</w:t>
      </w:r>
    </w:p>
    <w:p>
      <w:pPr>
        <w:spacing w:after="0" w:line="14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Additionally, related to an equity method investment, we provided a completion guarantee in favor of the project lenders for which the joint venture has delivered a completed operational project. Although we have not received a release of our guarantee from the lenders, we do not believe we have any exposure for funding.</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7, “Contingencies and Commitments,” of the Notes to our Financial Statements.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has not changed materially from that disclosed in the Annual Report on Form 10-K for the year ended December 30, 2011.</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(the “Exchange Act”)), and management necessarily applied its judgment in assessing the costs and benefits of such controls and procedures, which by their nature, can provide only reasonable assurance about management’s control objectives.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Historically, we relied on financial controls and resources of Marriott International to manage certain aspects of our business and report our results. Since the Spin-Off, several areas of internal control over financial reporting have changed. New corporate and oversight functions have been implemented, such as investor relations, payroll and benefits accounting and reporting, stock administration, external financial reporting, Board of Directors, and Internal Audit. Existing functions such as external communications, tax, legal, human resources, and treasury, including insurance and risk management, have also been enhanced to include corporate-level activities previously performed by Marriott International and to meet all regulatory requirements for a stand-alone company. Controls and procedures related to these new functions have been, or are in the process of being, implemented. Lastly, we have refined policies as needed, implemented a stand-alone instance of the previously used general ledger system, and entered into agreements with Marriott International pursuant to which Marriott International will provide us use of certain other financial applications such as those for payroll, accounts payable, fixed assets, and project costing.</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Other than those noted above or included in our Annual Report on Form 10-K for the year ended December 30, 2011, 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From time to time, we are subject to certain legal proceedings and claims in the ordinary course of business, including adjustments proposed during governmental examinations of the various tax returns we file.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30,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color w:val="auto"/>
        </w:rPr>
        <w:t>October 18, 2012</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10795</wp:posOffset>
            </wp:positionV>
            <wp:extent cx="55054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10795</wp:posOffset>
            </wp:positionV>
            <wp:extent cx="5505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80" w:type="dxa"/>
            <w:vAlign w:val="bottom"/>
            <w:gridSpan w:val="3"/>
          </w:tcPr>
          <w:p>
            <w:pPr>
              <w:ind w:left="392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12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5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No.</w:t>
            </w:r>
          </w:p>
        </w:tc>
        <w:tc>
          <w:tcPr>
            <w:tcW w:w="50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16"/>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1"/>
              </w:rPr>
              <w:t>Restated Certificate of Incorporation of Marriott Vacations Worldwide Corporation (incorporated by reference to Exhibit 3.1 of the Company’s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Current Report on Form 8-K filed on November 22, 2011).</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1"/>
              </w:rPr>
              <w:t>Restated Bylaws of Marriott Vacations Worldwide Corporation (incorporated by reference to Exhibit 3.2 of the Company’s Current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Form 8-K filed on November 22, 2011).</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0"/>
              </w:rPr>
              <w:t>Amendment, dated August 2, 2012, between Marriott International, Inc. and Marriott Vacations Worldwide Corporation, to the Tax Sharing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95"/>
              </w:rPr>
              <w:t>Indemnification Agreement, entered into on November 17, 2011, between Marriott International, Inc. and Marriott Vacations Worldwide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Corporation.</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88"/>
              </w:rPr>
              <w:t>Amended and Restated Sale Agreement, entered into September 11, 2012 and dated as of September 1, 2012, between MORI SPC Series Corp.</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89"/>
              </w:rPr>
              <w:t>and Marriott Vacations Worldwide Owner Trust 2011-1 (incorporated by reference to Exhibit 10.1 to the Company’s Current Report on Form 8-K</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filed on September 13, 2012).</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87"/>
              </w:rPr>
              <w:t>Second Amended and Restated Indenture and Servicing Agreement, entered into September 11, 2012 and dated as of September 1, 2012, among</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w w:val="89"/>
              </w:rPr>
              <w:t>Marriott Vacations Worldwide Owner Trust 2011-1, Marriott Ownership Resorts, Inc., and Wells Fargo Bank, National Association (incorporated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by reference to Exhibit 10.2 to the Company’s Current Report on Form 8-K filed on September 13, 2012).</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480" w:type="dxa"/>
            <w:vAlign w:val="bottom"/>
            <w:gridSpan w:val="3"/>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56" w:lineRule="exact"/>
        <w:rPr>
          <w:sz w:val="20"/>
          <w:szCs w:val="20"/>
          <w:color w:val="auto"/>
        </w:rPr>
      </w:pPr>
    </w:p>
    <w:p>
      <w:pPr>
        <w:ind w:right="260" w:firstLine="456"/>
        <w:spacing w:after="0" w:line="303" w:lineRule="auto"/>
        <w:rPr>
          <w:sz w:val="20"/>
          <w:szCs w:val="20"/>
          <w:color w:val="auto"/>
        </w:rPr>
      </w:pPr>
      <w:r>
        <w:rPr>
          <w:rFonts w:ascii="Arial" w:cs="Arial" w:eastAsia="Arial" w:hAnsi="Arial"/>
          <w:sz w:val="15"/>
          <w:szCs w:val="15"/>
          <w:color w:val="auto"/>
        </w:rPr>
        <w:t>We have attached the following documents formatted in XBRL (Extensible Business Reporting Language) as Exhibit 101 to this report: (i) the Interim Consolidated Statements of Operations for the twelve and thirty-six weeks ended September 7, 2012, and September 9, 2011, respectively; (ii) the Interim Consolidated Statements of Comprehensive Income (Loss) for the twelve and thirty-six weeks ended September 7, 2012, and September 9, 2011, respectively;</w:t>
      </w:r>
    </w:p>
    <w:p>
      <w:pPr>
        <w:spacing w:after="0" w:line="1" w:lineRule="exact"/>
        <w:rPr>
          <w:sz w:val="20"/>
          <w:szCs w:val="20"/>
          <w:color w:val="auto"/>
        </w:rPr>
      </w:pPr>
    </w:p>
    <w:p>
      <w:pPr>
        <w:ind w:right="20" w:firstLine="8"/>
        <w:spacing w:after="0" w:line="295" w:lineRule="auto"/>
        <w:tabs>
          <w:tab w:leader="none" w:pos="3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Interim Consolidated Balance Sheets at September 7, 2012, and December 30, 2011; and (iv) the Interim Consolidated Statements of Cash Flows for the thirty-six weeks ended September 7, 2012, and September 9, 2011, respectively. Pursuant to Rule 406T of Regulation S-T, the interactive data files in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00"/>
          </w:cols>
          <w:pgMar w:left="240" w:top="459" w:right="2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TAX SHARING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165"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This AMENDMENT (“</w:t>
      </w:r>
      <w:r>
        <w:rPr>
          <w:rFonts w:ascii="Arial" w:cs="Arial" w:eastAsia="Arial" w:hAnsi="Arial"/>
          <w:sz w:val="16"/>
          <w:szCs w:val="16"/>
          <w:u w:val="single" w:color="auto"/>
          <w:color w:val="auto"/>
        </w:rPr>
        <w:t>Amendment</w:t>
      </w:r>
      <w:r>
        <w:rPr>
          <w:rFonts w:ascii="Arial" w:cs="Arial" w:eastAsia="Arial" w:hAnsi="Arial"/>
          <w:sz w:val="16"/>
          <w:szCs w:val="16"/>
          <w:color w:val="auto"/>
        </w:rPr>
        <w:t>”) to the TAX SHARING AND INDEMNIFICATION AGREEMENT signed on November 17, 2011, and effective as of November 21, 2011, by and between MII and MVWC (the “</w:t>
      </w:r>
      <w:r>
        <w:rPr>
          <w:rFonts w:ascii="Arial" w:cs="Arial" w:eastAsia="Arial" w:hAnsi="Arial"/>
          <w:sz w:val="16"/>
          <w:szCs w:val="16"/>
          <w:u w:val="single" w:color="auto"/>
          <w:color w:val="auto"/>
        </w:rPr>
        <w:t>TSIA</w:t>
      </w:r>
      <w:r>
        <w:rPr>
          <w:rFonts w:ascii="Arial" w:cs="Arial" w:eastAsia="Arial" w:hAnsi="Arial"/>
          <w:sz w:val="16"/>
          <w:szCs w:val="16"/>
          <w:color w:val="auto"/>
        </w:rPr>
        <w:t>”) is entered into on this 2nd day of August, 2012, by and between MARRIOTT INTERNATIONAL, INC., a Delaware corporation (“</w:t>
      </w:r>
      <w:r>
        <w:rPr>
          <w:rFonts w:ascii="Arial" w:cs="Arial" w:eastAsia="Arial" w:hAnsi="Arial"/>
          <w:sz w:val="16"/>
          <w:szCs w:val="16"/>
          <w:u w:val="single" w:color="auto"/>
          <w:color w:val="auto"/>
        </w:rPr>
        <w:t>MII</w:t>
      </w:r>
      <w:r>
        <w:rPr>
          <w:rFonts w:ascii="Arial" w:cs="Arial" w:eastAsia="Arial" w:hAnsi="Arial"/>
          <w:sz w:val="16"/>
          <w:szCs w:val="16"/>
          <w:color w:val="auto"/>
        </w:rPr>
        <w:t>”), and MARRIOTT VACATIONS WORLDWIDE CORPORATION, a Delaware corporation (“</w:t>
      </w:r>
      <w:r>
        <w:rPr>
          <w:rFonts w:ascii="Arial" w:cs="Arial" w:eastAsia="Arial" w:hAnsi="Arial"/>
          <w:sz w:val="16"/>
          <w:szCs w:val="16"/>
          <w:u w:val="single" w:color="auto"/>
          <w:color w:val="auto"/>
        </w:rPr>
        <w:t>MVWC</w:t>
      </w:r>
      <w:r>
        <w:rPr>
          <w:rFonts w:ascii="Arial" w:cs="Arial" w:eastAsia="Arial" w:hAnsi="Arial"/>
          <w:sz w:val="16"/>
          <w:szCs w:val="16"/>
          <w:color w:val="auto"/>
        </w:rPr>
        <w:t>”). Capitalized terms used herein but not defined shall have the meaning ascribed to them in the TSIA.</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WHEREAS, Section 2.03(b) of the TSIA provides, in part, that MVWC, MVW US and/or the applicable Subsidiary of MVW US shall prepare consistently with the Allocation (as adjusted to reflect any written comments by MVW US that were accepted by MII) an IRS Form 8883 (and any similar forms required by applicable state and local Tax laws) for MORI and any corporate subsidiary of MORI for which a 338(h)(10) Election is made (such IRS Form 8883 and any similar forms required by applicable state and local Tax laws, the “</w:t>
      </w:r>
      <w:r>
        <w:rPr>
          <w:rFonts w:ascii="Arial" w:cs="Arial" w:eastAsia="Arial" w:hAnsi="Arial"/>
          <w:sz w:val="18"/>
          <w:szCs w:val="18"/>
          <w:u w:val="single" w:color="auto"/>
          <w:color w:val="auto"/>
        </w:rPr>
        <w:t>Tax Forms</w:t>
      </w:r>
      <w:r>
        <w:rPr>
          <w:rFonts w:ascii="Arial" w:cs="Arial" w:eastAsia="Arial" w:hAnsi="Arial"/>
          <w:sz w:val="18"/>
          <w:szCs w:val="18"/>
          <w:color w:val="auto"/>
        </w:rPr>
        <w:t>”), and promptly deliver copies of the Tax Forms to MII for MII’s review and approval.</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WHEREAS, Section 2.03(c) of the TSIA provides, in part, that MVW US and each other member of the MVWC Group, except as required pursuant to a Final Determination, shall not take, or cause to be taken, any action that would be inconsistent with the final Allocation in any Tax Return, audit, litigation or otherwise.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mutual agreements, provisions and covenants contained in this Amendment, MII and MVWC hereby agree that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TSIA be, and hereby is, amended as follows:</w:t>
      </w:r>
    </w:p>
    <w:p>
      <w:pPr>
        <w:spacing w:after="0" w:line="84" w:lineRule="exact"/>
        <w:rPr>
          <w:sz w:val="20"/>
          <w:szCs w:val="20"/>
          <w:color w:val="auto"/>
        </w:rPr>
      </w:pPr>
    </w:p>
    <w:p>
      <w:pPr>
        <w:ind w:left="460" w:right="20" w:hanging="452"/>
        <w:spacing w:after="0" w:line="290"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Tax Filings With Respect to the Allocation</w:t>
      </w:r>
      <w:r>
        <w:rPr>
          <w:rFonts w:ascii="Arial" w:cs="Arial" w:eastAsia="Arial" w:hAnsi="Arial"/>
          <w:sz w:val="16"/>
          <w:szCs w:val="16"/>
          <w:color w:val="auto"/>
        </w:rPr>
        <w:t>. Notwithstanding Sections 2.03(b) and (c) of the TSIA, MII acknowledges and agrees that (a) none of MVWC, MVW US or any applicable Subsidiary of MVW US or other member of the MVWC Group is obligated to file any Tax Forms consistently with the Allocation as it relates to the value between and among “domestic” entities as defined in section 7701(a)(4) of the Internal Revenue Code, and (b) none of MVWC, MVW US or any applicable Subsidiary of MVW US is obligated to promptly deliver any copies of the Tax Forms to MII for MII’s review and approval with respect to such allocation. MVWC acknowledges and agrees that nothing in this Amendment is intended to permit MVWC, MVW US or any applicable Subsidiary of MVW US or other member of the MVWC Group to use a total enterprise value or an allocation of value to the total “domestic” entities that is inconsistent with the Allocation.</w:t>
      </w:r>
    </w:p>
    <w:p>
      <w:pPr>
        <w:spacing w:after="0" w:line="37"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Tainting Act</w:t>
      </w:r>
      <w:r>
        <w:rPr>
          <w:rFonts w:ascii="Arial" w:cs="Arial" w:eastAsia="Arial" w:hAnsi="Arial"/>
          <w:sz w:val="18"/>
          <w:szCs w:val="18"/>
          <w:color w:val="auto"/>
        </w:rPr>
        <w:t>. MII agrees that no act or omission of MVWC, MVW US or any applicable Subsidiary of MVW US or other member of the MVWC Group authorized by or within the scope of paragraph 1 above, shall constitute a Tainting Act as defined in the TSIA.</w:t>
      </w:r>
    </w:p>
    <w:p>
      <w:pPr>
        <w:sectPr>
          <w:pgSz w:w="11900" w:h="16838" w:orient="portrait"/>
          <w:cols w:equalWidth="0" w:num="1">
            <w:col w:w="11420"/>
          </w:cols>
          <w:pgMar w:left="240" w:top="125" w:right="239" w:bottom="1440" w:gutter="0" w:footer="0" w:header="0"/>
        </w:sectPr>
      </w:pPr>
    </w:p>
    <w:bookmarkStart w:id="60" w:name="page61"/>
    <w:bookmarkEnd w:id="60"/>
    <w:p>
      <w:pPr>
        <w:ind w:left="460" w:right="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Waiver</w:t>
      </w:r>
      <w:r>
        <w:rPr>
          <w:rFonts w:ascii="Arial" w:cs="Arial" w:eastAsia="Arial" w:hAnsi="Arial"/>
          <w:sz w:val="18"/>
          <w:szCs w:val="18"/>
          <w:color w:val="auto"/>
        </w:rPr>
        <w:t>. Except as otherwise provided in paragraph 1 above, MII and MVWC mutually agree that this Amendment does not constitute a waiver under Section 8.08 of the TSIA by the parties of any of their rights under the TSIA.</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MII and MVWC agree that, except as specifically modified by this Amendment, all provisions of the TSIA remain in full force and effect.</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2787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 John E. Geller Jr.</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 Executive Vice President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MARRIOTT INTERNATIONAL,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Carl T. Berquist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2735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Name: Carl T. Berquist</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Title: EVP &amp; CFO</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ind w:left="900" w:right="100" w:hanging="446"/>
        <w:spacing w:after="0" w:line="332"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ind w:left="900" w:right="100" w:hanging="446"/>
        <w:spacing w:after="0" w:line="33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90" w:lineRule="exact"/>
        <w:rPr>
          <w:sz w:val="20"/>
          <w:szCs w:val="20"/>
          <w:color w:val="auto"/>
        </w:rPr>
      </w:pPr>
    </w:p>
    <w:p>
      <w:pPr>
        <w:ind w:left="460" w:right="2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7, 2012 (the “Quarterly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October 18,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13" w:lineRule="exact"/>
        <w:rPr>
          <w:sz w:val="20"/>
          <w:szCs w:val="20"/>
          <w:color w:val="auto"/>
        </w:rPr>
      </w:pPr>
    </w:p>
    <w:p>
      <w:pPr>
        <w:ind w:left="460" w:right="2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7, 2012 (the “Quarterly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Quarterly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October 18,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Roman"/>
      <w:start w:val="3"/>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3"/>
    </w:lvl>
  </w:abstractNum>
  <w:abstractNum w:abstractNumId="19">
    <w:nsid w:val="6763845E"/>
    <w:multiLevelType w:val="hybridMultilevel"/>
    <w:lvl w:ilvl="0">
      <w:lvlJc w:val="left"/>
      <w:lvlText w:val="%1."/>
      <w:numFmt w:val="decimal"/>
      <w:start w:val="1"/>
    </w:lvl>
    <w:lvl w:ilvl="1">
      <w:lvlJc w:val="left"/>
      <w:lvlText w:val="(%2)"/>
      <w:numFmt w:val="lowerLetter"/>
      <w:start w:val="1"/>
    </w:lvl>
  </w:abstractNum>
  <w:abstractNum w:abstractNumId="20">
    <w:nsid w:val="75A2A8D4"/>
    <w:multiLevelType w:val="hybridMultilevel"/>
    <w:lvl w:ilvl="0">
      <w:lvlJc w:val="left"/>
      <w:lvlText w:val="%1"/>
      <w:numFmt w:val="decimal"/>
      <w:start w:val="1"/>
    </w:lvl>
    <w:lvl w:ilvl="1">
      <w:lvlJc w:val="left"/>
      <w:lvlText w:val="(%2)"/>
      <w:numFmt w:val="lowerLetter"/>
      <w:start w:val="3"/>
    </w:lvl>
  </w:abstractNum>
  <w:abstractNum w:abstractNumId="21">
    <w:nsid w:val="8EDBDAB"/>
    <w:multiLevelType w:val="hybridMultilevel"/>
    <w:lvl w:ilvl="0">
      <w:lvlJc w:val="left"/>
      <w:lvlText w:val="%1."/>
      <w:numFmt w:val="decimal"/>
      <w:start w:val="5"/>
    </w:lvl>
    <w:lvl w:ilvl="1">
      <w:lvlJc w:val="left"/>
      <w:lvlText w:val="(%2)"/>
      <w:numFmt w:val="lowerLetter"/>
      <w:start w:val="1"/>
    </w:lvl>
  </w:abstractNum>
  <w:abstractNum w:abstractNumId="22">
    <w:nsid w:val="79838CB2"/>
    <w:multiLevelType w:val="hybridMultilevel"/>
    <w:lvl w:ilvl="0">
      <w:lvlJc w:val="left"/>
      <w:lvlText w:val="%1."/>
      <w:numFmt w:val="decimal"/>
      <w:start w:val="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3"/>
    </w:lvl>
  </w:abstractNum>
  <w:abstractNum w:abstractNumId="24">
    <w:nsid w:val="B03E0C6"/>
    <w:multiLevelType w:val="hybridMultilevel"/>
    <w:lvl w:ilvl="0">
      <w:lvlJc w:val="left"/>
      <w:lvlText w:val="%1."/>
      <w:numFmt w:val="decimal"/>
      <w:start w:val="5"/>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2019-12-09T20:11:25Z</dcterms:created>
  <dcterms:modified xsi:type="dcterms:W3CDTF">2019-12-09T20:11:25Z</dcterms:modified>
</cp:coreProperties>
</file>