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141605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169545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80" w:right="340" w:hanging="572"/>
        <w:spacing w:after="0" w:line="237"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25, 2016</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172085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660" w:type="dxa"/>
            <w:vAlign w:val="bottom"/>
          </w:tcPr>
          <w:p>
            <w:pPr>
              <w:spacing w:after="0"/>
              <w:rPr>
                <w:sz w:val="18"/>
                <w:szCs w:val="18"/>
                <w:color w:val="auto"/>
              </w:rPr>
            </w:pPr>
          </w:p>
        </w:tc>
        <w:tc>
          <w:tcPr>
            <w:tcW w:w="406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3"/>
              </w:rPr>
              <w:t>Delaware</w:t>
            </w:r>
          </w:p>
        </w:tc>
        <w:tc>
          <w:tcPr>
            <w:tcW w:w="5500" w:type="dxa"/>
            <w:vAlign w:val="bottom"/>
            <w:gridSpan w:val="2"/>
          </w:tcPr>
          <w:p>
            <w:pPr>
              <w:jc w:val="right"/>
              <w:ind w:right="2061"/>
              <w:spacing w:after="0"/>
              <w:rPr>
                <w:sz w:val="20"/>
                <w:szCs w:val="20"/>
                <w:color w:val="auto"/>
              </w:rPr>
            </w:pPr>
            <w:r>
              <w:rPr>
                <w:rFonts w:ascii="Arial" w:cs="Arial" w:eastAsia="Arial" w:hAnsi="Arial"/>
                <w:sz w:val="18"/>
                <w:szCs w:val="18"/>
                <w:b w:val="1"/>
                <w:bCs w:val="1"/>
                <w:color w:val="auto"/>
              </w:rPr>
              <w:t>45-2598330</w:t>
            </w:r>
          </w:p>
        </w:tc>
        <w:tc>
          <w:tcPr>
            <w:tcW w:w="200" w:type="dxa"/>
            <w:vAlign w:val="bottom"/>
          </w:tcPr>
          <w:p>
            <w:pPr>
              <w:spacing w:after="0"/>
              <w:rPr>
                <w:sz w:val="18"/>
                <w:szCs w:val="18"/>
                <w:color w:val="auto"/>
              </w:rPr>
            </w:pPr>
          </w:p>
        </w:tc>
      </w:tr>
      <w:tr>
        <w:trPr>
          <w:trHeight w:val="149"/>
        </w:trPr>
        <w:tc>
          <w:tcPr>
            <w:tcW w:w="1660" w:type="dxa"/>
            <w:vAlign w:val="bottom"/>
          </w:tcPr>
          <w:p>
            <w:pPr>
              <w:spacing w:after="0"/>
              <w:rPr>
                <w:sz w:val="12"/>
                <w:szCs w:val="12"/>
                <w:color w:val="auto"/>
              </w:rPr>
            </w:pPr>
          </w:p>
        </w:tc>
        <w:tc>
          <w:tcPr>
            <w:tcW w:w="4060" w:type="dxa"/>
            <w:vAlign w:val="bottom"/>
            <w:gridSpan w:val="2"/>
          </w:tcPr>
          <w:p>
            <w:pPr>
              <w:jc w:val="center"/>
              <w:ind w:right="15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40" w:type="dxa"/>
            <w:vAlign w:val="bottom"/>
          </w:tcPr>
          <w:p>
            <w:pPr>
              <w:spacing w:after="0"/>
              <w:rPr>
                <w:sz w:val="12"/>
                <w:szCs w:val="12"/>
                <w:color w:val="auto"/>
              </w:rPr>
            </w:pPr>
          </w:p>
        </w:tc>
        <w:tc>
          <w:tcPr>
            <w:tcW w:w="4360" w:type="dxa"/>
            <w:vAlign w:val="bottom"/>
          </w:tcPr>
          <w:p>
            <w:pPr>
              <w:jc w:val="center"/>
              <w:ind w:right="68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200" w:type="dxa"/>
            <w:vAlign w:val="bottom"/>
          </w:tcPr>
          <w:p>
            <w:pPr>
              <w:spacing w:after="0"/>
              <w:rPr>
                <w:sz w:val="12"/>
                <w:szCs w:val="12"/>
                <w:color w:val="auto"/>
              </w:rPr>
            </w:pPr>
          </w:p>
        </w:tc>
      </w:tr>
      <w:tr>
        <w:trPr>
          <w:trHeight w:val="186"/>
        </w:trPr>
        <w:tc>
          <w:tcPr>
            <w:tcW w:w="1660" w:type="dxa"/>
            <w:vAlign w:val="bottom"/>
          </w:tcPr>
          <w:p>
            <w:pPr>
              <w:spacing w:after="0"/>
              <w:rPr>
                <w:sz w:val="16"/>
                <w:szCs w:val="16"/>
                <w:color w:val="auto"/>
              </w:rPr>
            </w:pPr>
          </w:p>
        </w:tc>
        <w:tc>
          <w:tcPr>
            <w:tcW w:w="406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4"/>
              </w:rPr>
              <w:t>incorporation or organization)</w:t>
            </w:r>
          </w:p>
        </w:tc>
        <w:tc>
          <w:tcPr>
            <w:tcW w:w="1140" w:type="dxa"/>
            <w:vAlign w:val="bottom"/>
          </w:tcPr>
          <w:p>
            <w:pPr>
              <w:spacing w:after="0"/>
              <w:rPr>
                <w:sz w:val="16"/>
                <w:szCs w:val="16"/>
                <w:color w:val="auto"/>
              </w:rPr>
            </w:pPr>
          </w:p>
        </w:tc>
        <w:tc>
          <w:tcPr>
            <w:tcW w:w="4360" w:type="dxa"/>
            <w:vAlign w:val="bottom"/>
          </w:tcPr>
          <w:p>
            <w:pPr>
              <w:jc w:val="center"/>
              <w:ind w:right="701"/>
              <w:spacing w:after="0"/>
              <w:rPr>
                <w:sz w:val="20"/>
                <w:szCs w:val="20"/>
                <w:color w:val="auto"/>
              </w:rPr>
            </w:pPr>
            <w:r>
              <w:rPr>
                <w:rFonts w:ascii="Arial" w:cs="Arial" w:eastAsia="Arial" w:hAnsi="Arial"/>
                <w:sz w:val="14"/>
                <w:szCs w:val="14"/>
                <w:b w:val="1"/>
                <w:bCs w:val="1"/>
                <w:color w:val="auto"/>
                <w:w w:val="96"/>
              </w:rPr>
              <w:t>Identification No.)</w:t>
            </w:r>
          </w:p>
        </w:tc>
        <w:tc>
          <w:tcPr>
            <w:tcW w:w="200" w:type="dxa"/>
            <w:vAlign w:val="bottom"/>
          </w:tcPr>
          <w:p>
            <w:pPr>
              <w:spacing w:after="0"/>
              <w:rPr>
                <w:sz w:val="16"/>
                <w:szCs w:val="16"/>
                <w:color w:val="auto"/>
              </w:rPr>
            </w:pPr>
          </w:p>
        </w:tc>
      </w:tr>
      <w:tr>
        <w:trPr>
          <w:trHeight w:val="412"/>
        </w:trPr>
        <w:tc>
          <w:tcPr>
            <w:tcW w:w="1660" w:type="dxa"/>
            <w:vAlign w:val="bottom"/>
          </w:tcPr>
          <w:p>
            <w:pPr>
              <w:spacing w:after="0"/>
              <w:rPr>
                <w:sz w:val="24"/>
                <w:szCs w:val="24"/>
                <w:color w:val="auto"/>
              </w:rPr>
            </w:pPr>
          </w:p>
        </w:tc>
        <w:tc>
          <w:tcPr>
            <w:tcW w:w="406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0"/>
              </w:rPr>
              <w:t>6649 Westwood Blvd.</w:t>
            </w:r>
          </w:p>
        </w:tc>
        <w:tc>
          <w:tcPr>
            <w:tcW w:w="1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5"/>
        </w:trPr>
        <w:tc>
          <w:tcPr>
            <w:tcW w:w="1660" w:type="dxa"/>
            <w:vAlign w:val="bottom"/>
          </w:tcPr>
          <w:p>
            <w:pPr>
              <w:spacing w:after="0"/>
              <w:rPr>
                <w:sz w:val="19"/>
                <w:szCs w:val="19"/>
                <w:color w:val="auto"/>
              </w:rPr>
            </w:pPr>
          </w:p>
        </w:tc>
        <w:tc>
          <w:tcPr>
            <w:tcW w:w="406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6"/>
              </w:rPr>
              <w:t>Orlando, FL</w:t>
            </w:r>
          </w:p>
        </w:tc>
        <w:tc>
          <w:tcPr>
            <w:tcW w:w="5500" w:type="dxa"/>
            <w:vAlign w:val="bottom"/>
            <w:gridSpan w:val="2"/>
          </w:tcPr>
          <w:p>
            <w:pPr>
              <w:jc w:val="right"/>
              <w:ind w:right="2261"/>
              <w:spacing w:after="0"/>
              <w:rPr>
                <w:sz w:val="20"/>
                <w:szCs w:val="20"/>
                <w:color w:val="auto"/>
              </w:rPr>
            </w:pPr>
            <w:r>
              <w:rPr>
                <w:rFonts w:ascii="Arial" w:cs="Arial" w:eastAsia="Arial" w:hAnsi="Arial"/>
                <w:sz w:val="18"/>
                <w:szCs w:val="18"/>
                <w:b w:val="1"/>
                <w:bCs w:val="1"/>
                <w:color w:val="auto"/>
              </w:rPr>
              <w:t>32821</w:t>
            </w:r>
          </w:p>
        </w:tc>
        <w:tc>
          <w:tcPr>
            <w:tcW w:w="200" w:type="dxa"/>
            <w:vAlign w:val="bottom"/>
          </w:tcPr>
          <w:p>
            <w:pPr>
              <w:spacing w:after="0"/>
              <w:rPr>
                <w:sz w:val="19"/>
                <w:szCs w:val="19"/>
                <w:color w:val="auto"/>
              </w:rPr>
            </w:pPr>
          </w:p>
        </w:tc>
      </w:tr>
      <w:tr>
        <w:trPr>
          <w:trHeight w:val="186"/>
        </w:trPr>
        <w:tc>
          <w:tcPr>
            <w:tcW w:w="1660" w:type="dxa"/>
            <w:vAlign w:val="bottom"/>
          </w:tcPr>
          <w:p>
            <w:pPr>
              <w:spacing w:after="0"/>
              <w:rPr>
                <w:sz w:val="16"/>
                <w:szCs w:val="16"/>
                <w:color w:val="auto"/>
              </w:rPr>
            </w:pPr>
          </w:p>
        </w:tc>
        <w:tc>
          <w:tcPr>
            <w:tcW w:w="4060" w:type="dxa"/>
            <w:vAlign w:val="bottom"/>
            <w:gridSpan w:val="2"/>
          </w:tcPr>
          <w:p>
            <w:pPr>
              <w:jc w:val="center"/>
              <w:ind w:right="16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40" w:type="dxa"/>
            <w:vAlign w:val="bottom"/>
          </w:tcPr>
          <w:p>
            <w:pPr>
              <w:spacing w:after="0"/>
              <w:rPr>
                <w:sz w:val="16"/>
                <w:szCs w:val="16"/>
                <w:color w:val="auto"/>
              </w:rPr>
            </w:pPr>
          </w:p>
        </w:tc>
        <w:tc>
          <w:tcPr>
            <w:tcW w:w="4360" w:type="dxa"/>
            <w:vAlign w:val="bottom"/>
          </w:tcPr>
          <w:p>
            <w:pPr>
              <w:jc w:val="center"/>
              <w:ind w:right="701"/>
              <w:spacing w:after="0"/>
              <w:rPr>
                <w:sz w:val="20"/>
                <w:szCs w:val="20"/>
                <w:color w:val="auto"/>
              </w:rPr>
            </w:pPr>
            <w:r>
              <w:rPr>
                <w:rFonts w:ascii="Arial" w:cs="Arial" w:eastAsia="Arial" w:hAnsi="Arial"/>
                <w:sz w:val="14"/>
                <w:szCs w:val="14"/>
                <w:b w:val="1"/>
                <w:bCs w:val="1"/>
                <w:color w:val="auto"/>
                <w:w w:val="95"/>
              </w:rPr>
              <w:t>(Zip Code)</w:t>
            </w:r>
          </w:p>
        </w:tc>
        <w:tc>
          <w:tcPr>
            <w:tcW w:w="200" w:type="dxa"/>
            <w:vAlign w:val="bottom"/>
          </w:tcPr>
          <w:p>
            <w:pPr>
              <w:spacing w:after="0"/>
              <w:rPr>
                <w:sz w:val="16"/>
                <w:szCs w:val="16"/>
                <w:color w:val="auto"/>
              </w:rPr>
            </w:pPr>
          </w:p>
        </w:tc>
      </w:tr>
      <w:tr>
        <w:trPr>
          <w:trHeight w:val="286"/>
        </w:trPr>
        <w:tc>
          <w:tcPr>
            <w:tcW w:w="1660" w:type="dxa"/>
            <w:vAlign w:val="bottom"/>
          </w:tcPr>
          <w:p>
            <w:pPr>
              <w:spacing w:after="0"/>
              <w:rPr>
                <w:sz w:val="24"/>
                <w:szCs w:val="24"/>
                <w:color w:val="auto"/>
              </w:rPr>
            </w:pPr>
          </w:p>
        </w:tc>
        <w:tc>
          <w:tcPr>
            <w:tcW w:w="5200" w:type="dxa"/>
            <w:vAlign w:val="bottom"/>
            <w:gridSpan w:val="3"/>
          </w:tcPr>
          <w:p>
            <w:pPr>
              <w:jc w:val="center"/>
              <w:ind w:left="2838"/>
              <w:spacing w:after="0"/>
              <w:rPr>
                <w:sz w:val="20"/>
                <w:szCs w:val="20"/>
                <w:color w:val="auto"/>
              </w:rPr>
            </w:pPr>
            <w:r>
              <w:rPr>
                <w:rFonts w:ascii="Arial" w:cs="Arial" w:eastAsia="Arial" w:hAnsi="Arial"/>
                <w:sz w:val="18"/>
                <w:szCs w:val="18"/>
                <w:b w:val="1"/>
                <w:bCs w:val="1"/>
                <w:color w:val="auto"/>
                <w:w w:val="90"/>
              </w:rPr>
              <w:t>(407) 206-6000</w:t>
            </w:r>
          </w:p>
        </w:tc>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6"/>
        </w:trPr>
        <w:tc>
          <w:tcPr>
            <w:tcW w:w="1660" w:type="dxa"/>
            <w:vAlign w:val="bottom"/>
          </w:tcPr>
          <w:p>
            <w:pPr>
              <w:spacing w:after="0"/>
              <w:rPr>
                <w:sz w:val="16"/>
                <w:szCs w:val="16"/>
                <w:color w:val="auto"/>
              </w:rPr>
            </w:pPr>
          </w:p>
        </w:tc>
        <w:tc>
          <w:tcPr>
            <w:tcW w:w="9560" w:type="dxa"/>
            <w:vAlign w:val="bottom"/>
            <w:gridSpan w:val="4"/>
          </w:tcPr>
          <w:p>
            <w:pPr>
              <w:jc w:val="center"/>
              <w:ind w:right="138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0" w:type="dxa"/>
            <w:vAlign w:val="bottom"/>
          </w:tcPr>
          <w:p>
            <w:pPr>
              <w:spacing w:after="0"/>
              <w:rPr>
                <w:sz w:val="16"/>
                <w:szCs w:val="16"/>
                <w:color w:val="auto"/>
              </w:rPr>
            </w:pPr>
          </w:p>
        </w:tc>
      </w:tr>
      <w:tr>
        <w:trPr>
          <w:trHeight w:val="257"/>
        </w:trPr>
        <w:tc>
          <w:tcPr>
            <w:tcW w:w="1660" w:type="dxa"/>
            <w:vAlign w:val="bottom"/>
          </w:tcPr>
          <w:p>
            <w:pPr>
              <w:spacing w:after="0"/>
              <w:rPr>
                <w:sz w:val="22"/>
                <w:szCs w:val="22"/>
                <w:color w:val="auto"/>
              </w:rPr>
            </w:pPr>
          </w:p>
        </w:tc>
        <w:tc>
          <w:tcPr>
            <w:tcW w:w="9560" w:type="dxa"/>
            <w:vAlign w:val="bottom"/>
            <w:gridSpan w:val="4"/>
          </w:tcPr>
          <w:p>
            <w:pPr>
              <w:jc w:val="center"/>
              <w:ind w:right="1381"/>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c>
          <w:tcPr>
            <w:tcW w:w="200" w:type="dxa"/>
            <w:vAlign w:val="bottom"/>
          </w:tcPr>
          <w:p>
            <w:pPr>
              <w:spacing w:after="0"/>
              <w:rPr>
                <w:sz w:val="22"/>
                <w:szCs w:val="22"/>
                <w:color w:val="auto"/>
              </w:rPr>
            </w:pPr>
          </w:p>
        </w:tc>
      </w:tr>
      <w:tr>
        <w:trPr>
          <w:trHeight w:val="228"/>
        </w:trPr>
        <w:tc>
          <w:tcPr>
            <w:tcW w:w="4580" w:type="dxa"/>
            <w:vAlign w:val="bottom"/>
            <w:gridSpan w:val="2"/>
          </w:tcPr>
          <w:p>
            <w:pPr>
              <w:spacing w:after="0"/>
              <w:rPr>
                <w:sz w:val="19"/>
                <w:szCs w:val="19"/>
                <w:color w:val="auto"/>
              </w:rPr>
            </w:pPr>
          </w:p>
        </w:tc>
        <w:tc>
          <w:tcPr>
            <w:tcW w:w="2280" w:type="dxa"/>
            <w:vAlign w:val="bottom"/>
            <w:tcBorders>
              <w:bottom w:val="single" w:sz="8" w:color="auto"/>
            </w:tcBorders>
            <w:gridSpan w:val="2"/>
          </w:tcPr>
          <w:p>
            <w:pPr>
              <w:spacing w:after="0"/>
              <w:rPr>
                <w:sz w:val="19"/>
                <w:szCs w:val="19"/>
                <w:color w:val="auto"/>
              </w:rPr>
            </w:pPr>
          </w:p>
        </w:tc>
        <w:tc>
          <w:tcPr>
            <w:tcW w:w="43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03"/>
        </w:trPr>
        <w:tc>
          <w:tcPr>
            <w:tcW w:w="11220" w:type="dxa"/>
            <w:vAlign w:val="bottom"/>
            <w:gridSpan w:val="5"/>
          </w:tcPr>
          <w:p>
            <w:pPr>
              <w:ind w:left="580"/>
              <w:spacing w:after="0"/>
              <w:rPr>
                <w:sz w:val="20"/>
                <w:szCs w:val="20"/>
                <w:color w:val="auto"/>
              </w:rPr>
            </w:pPr>
            <w:r>
              <w:rPr>
                <w:rFonts w:ascii="Arial" w:cs="Arial" w:eastAsia="Arial" w:hAnsi="Arial"/>
                <w:sz w:val="18"/>
                <w:szCs w:val="18"/>
                <w:color w:val="auto"/>
                <w:w w:val="92"/>
              </w:rPr>
              <w:t>Indicate by check mark whether the registrant (1) has filed all reports required to be filed by Section 13 or 15(d) of the Securities Exchange Act of</w:t>
            </w:r>
          </w:p>
        </w:tc>
        <w:tc>
          <w:tcPr>
            <w:tcW w:w="200" w:type="dxa"/>
            <w:vAlign w:val="bottom"/>
          </w:tcPr>
          <w:p>
            <w:pPr>
              <w:spacing w:after="0"/>
              <w:rPr>
                <w:sz w:val="24"/>
                <w:szCs w:val="24"/>
                <w:color w:val="auto"/>
              </w:rPr>
            </w:pPr>
          </w:p>
        </w:tc>
      </w:tr>
      <w:tr>
        <w:trPr>
          <w:trHeight w:val="183"/>
        </w:trPr>
        <w:tc>
          <w:tcPr>
            <w:tcW w:w="11220" w:type="dxa"/>
            <w:vAlign w:val="bottom"/>
            <w:gridSpan w:val="5"/>
          </w:tcPr>
          <w:p>
            <w:pPr>
              <w:spacing w:after="0" w:line="183" w:lineRule="exact"/>
              <w:rPr>
                <w:sz w:val="20"/>
                <w:szCs w:val="20"/>
                <w:color w:val="auto"/>
              </w:rPr>
            </w:pPr>
            <w:r>
              <w:rPr>
                <w:rFonts w:ascii="Arial" w:cs="Arial" w:eastAsia="Arial" w:hAnsi="Arial"/>
                <w:sz w:val="18"/>
                <w:szCs w:val="18"/>
                <w:color w:val="auto"/>
                <w:w w:val="90"/>
              </w:rPr>
              <w:t>1934 during the preceding 12 months (or for such shorter period that the registrant was required to file such reports), and (2) has been subject to such filing</w:t>
            </w:r>
          </w:p>
        </w:tc>
        <w:tc>
          <w:tcPr>
            <w:tcW w:w="200" w:type="dxa"/>
            <w:vAlign w:val="bottom"/>
          </w:tcPr>
          <w:p>
            <w:pPr>
              <w:spacing w:after="0"/>
              <w:rPr>
                <w:sz w:val="15"/>
                <w:szCs w:val="15"/>
                <w:color w:val="auto"/>
              </w:rPr>
            </w:pPr>
          </w:p>
        </w:tc>
      </w:tr>
      <w:tr>
        <w:trPr>
          <w:trHeight w:val="283"/>
        </w:trPr>
        <w:tc>
          <w:tcPr>
            <w:tcW w:w="572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1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1220" w:type="dxa"/>
            <w:vAlign w:val="bottom"/>
            <w:gridSpan w:val="5"/>
          </w:tcPr>
          <w:p>
            <w:pPr>
              <w:ind w:left="580"/>
              <w:spacing w:after="0"/>
              <w:rPr>
                <w:sz w:val="20"/>
                <w:szCs w:val="20"/>
                <w:color w:val="auto"/>
              </w:rPr>
            </w:pPr>
            <w:r>
              <w:rPr>
                <w:rFonts w:ascii="Arial" w:cs="Arial" w:eastAsia="Arial" w:hAnsi="Arial"/>
                <w:sz w:val="18"/>
                <w:szCs w:val="18"/>
                <w:color w:val="auto"/>
                <w:w w:val="91"/>
              </w:rPr>
              <w:t>Indicate by check mark whether the registrant has submitted electronically and posted on its corporate Web site, if any, every Interactive Data File</w:t>
            </w:r>
          </w:p>
        </w:tc>
        <w:tc>
          <w:tcPr>
            <w:tcW w:w="200" w:type="dxa"/>
            <w:vAlign w:val="bottom"/>
          </w:tcPr>
          <w:p>
            <w:pPr>
              <w:spacing w:after="0"/>
              <w:rPr>
                <w:sz w:val="24"/>
                <w:szCs w:val="24"/>
                <w:color w:val="auto"/>
              </w:rPr>
            </w:pPr>
          </w:p>
        </w:tc>
      </w:tr>
      <w:tr>
        <w:trPr>
          <w:trHeight w:val="183"/>
        </w:trPr>
        <w:tc>
          <w:tcPr>
            <w:tcW w:w="11220" w:type="dxa"/>
            <w:vAlign w:val="bottom"/>
            <w:gridSpan w:val="5"/>
          </w:tcPr>
          <w:p>
            <w:pPr>
              <w:spacing w:after="0" w:line="183" w:lineRule="exact"/>
              <w:rPr>
                <w:sz w:val="20"/>
                <w:szCs w:val="20"/>
                <w:color w:val="auto"/>
              </w:rPr>
            </w:pPr>
            <w:r>
              <w:rPr>
                <w:rFonts w:ascii="Arial" w:cs="Arial" w:eastAsia="Arial" w:hAnsi="Arial"/>
                <w:sz w:val="18"/>
                <w:szCs w:val="18"/>
                <w:color w:val="auto"/>
                <w:w w:val="91"/>
              </w:rPr>
              <w:t>required to be submitted and posted pursuant to Rule 405 of Regulation S-T (§232.405 of this chapter) during the preceding 12 months (or for such shorter</w:t>
            </w:r>
          </w:p>
        </w:tc>
        <w:tc>
          <w:tcPr>
            <w:tcW w:w="200" w:type="dxa"/>
            <w:vAlign w:val="bottom"/>
          </w:tcPr>
          <w:p>
            <w:pPr>
              <w:spacing w:after="0"/>
              <w:rPr>
                <w:sz w:val="15"/>
                <w:szCs w:val="15"/>
                <w:color w:val="auto"/>
              </w:rPr>
            </w:pPr>
          </w:p>
        </w:tc>
      </w:tr>
      <w:tr>
        <w:trPr>
          <w:trHeight w:val="283"/>
        </w:trPr>
        <w:tc>
          <w:tcPr>
            <w:tcW w:w="5720" w:type="dxa"/>
            <w:vAlign w:val="bottom"/>
            <w:gridSpan w:val="3"/>
          </w:tcPr>
          <w:p>
            <w:pPr>
              <w:spacing w:after="0" w:line="207" w:lineRule="exact"/>
              <w:rPr>
                <w:sz w:val="20"/>
                <w:szCs w:val="20"/>
                <w:color w:val="auto"/>
              </w:rPr>
            </w:pPr>
            <w:r>
              <w:rPr>
                <w:rFonts w:ascii="Arial" w:cs="Arial" w:eastAsia="Arial" w:hAnsi="Arial"/>
                <w:sz w:val="18"/>
                <w:szCs w:val="18"/>
                <w:color w:val="auto"/>
                <w:w w:val="93"/>
              </w:rPr>
              <w:t xml:space="preserve">period that the registrant was required to submit and post such files).  Yes </w:t>
            </w:r>
            <w:r>
              <w:rPr>
                <w:rFonts w:ascii="MS PGothic" w:cs="MS PGothic" w:eastAsia="MS PGothic" w:hAnsi="MS PGothic"/>
                <w:sz w:val="18"/>
                <w:szCs w:val="18"/>
                <w:color w:val="auto"/>
                <w:w w:val="93"/>
              </w:rPr>
              <w:t>☒</w:t>
            </w:r>
          </w:p>
        </w:tc>
        <w:tc>
          <w:tcPr>
            <w:tcW w:w="55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200" w:type="dxa"/>
            <w:vAlign w:val="bottom"/>
          </w:tcPr>
          <w:p>
            <w:pPr>
              <w:spacing w:after="0"/>
              <w:rPr>
                <w:sz w:val="24"/>
                <w:szCs w:val="24"/>
                <w:color w:val="auto"/>
              </w:rPr>
            </w:pPr>
          </w:p>
        </w:tc>
      </w:tr>
      <w:tr>
        <w:trPr>
          <w:trHeight w:val="290"/>
        </w:trPr>
        <w:tc>
          <w:tcPr>
            <w:tcW w:w="11220" w:type="dxa"/>
            <w:vAlign w:val="bottom"/>
            <w:gridSpan w:val="5"/>
          </w:tcPr>
          <w:p>
            <w:pPr>
              <w:ind w:left="580"/>
              <w:spacing w:after="0"/>
              <w:rPr>
                <w:sz w:val="20"/>
                <w:szCs w:val="20"/>
                <w:color w:val="auto"/>
              </w:rPr>
            </w:pPr>
            <w:r>
              <w:rPr>
                <w:rFonts w:ascii="Arial" w:cs="Arial" w:eastAsia="Arial" w:hAnsi="Arial"/>
                <w:sz w:val="18"/>
                <w:szCs w:val="18"/>
                <w:color w:val="auto"/>
                <w:w w:val="90"/>
              </w:rPr>
              <w:t>Indicate by check mark whether the registrant is a large accelerated filer, an accelerated filer, a non-accelerated filer, or smaller reporting company.</w:t>
            </w:r>
          </w:p>
        </w:tc>
        <w:tc>
          <w:tcPr>
            <w:tcW w:w="200" w:type="dxa"/>
            <w:vAlign w:val="bottom"/>
          </w:tcPr>
          <w:p>
            <w:pPr>
              <w:spacing w:after="0"/>
              <w:rPr>
                <w:sz w:val="24"/>
                <w:szCs w:val="24"/>
                <w:color w:val="auto"/>
              </w:rPr>
            </w:pPr>
          </w:p>
        </w:tc>
      </w:tr>
      <w:tr>
        <w:trPr>
          <w:trHeight w:val="230"/>
        </w:trPr>
        <w:tc>
          <w:tcPr>
            <w:tcW w:w="11220" w:type="dxa"/>
            <w:vAlign w:val="bottom"/>
            <w:gridSpan w:val="5"/>
          </w:tcPr>
          <w:p>
            <w:pPr>
              <w:spacing w:after="0"/>
              <w:rPr>
                <w:sz w:val="20"/>
                <w:szCs w:val="20"/>
                <w:color w:val="auto"/>
              </w:rPr>
            </w:pPr>
            <w:r>
              <w:rPr>
                <w:rFonts w:ascii="Arial" w:cs="Arial" w:eastAsia="Arial" w:hAnsi="Arial"/>
                <w:sz w:val="18"/>
                <w:szCs w:val="18"/>
                <w:color w:val="auto"/>
              </w:rPr>
              <w:t>See definition of “large accelerated filer,” “accelerated filer” and “smaller reporting company” in Rule 12b-2 of the Exchange Act:</w:t>
            </w:r>
          </w:p>
        </w:tc>
        <w:tc>
          <w:tcPr>
            <w:tcW w:w="200" w:type="dxa"/>
            <w:vAlign w:val="bottom"/>
          </w:tcPr>
          <w:p>
            <w:pPr>
              <w:spacing w:after="0"/>
              <w:rPr>
                <w:sz w:val="20"/>
                <w:szCs w:val="20"/>
                <w:color w:val="auto"/>
              </w:rPr>
            </w:pPr>
          </w:p>
        </w:tc>
      </w:tr>
      <w:tr>
        <w:trPr>
          <w:trHeight w:val="358"/>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4060" w:type="dxa"/>
            <w:vAlign w:val="bottom"/>
            <w:gridSpan w:val="2"/>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Pr>
          <w:p>
            <w:pPr>
              <w:spacing w:after="0"/>
              <w:rPr>
                <w:sz w:val="24"/>
                <w:szCs w:val="24"/>
                <w:color w:val="auto"/>
              </w:rPr>
            </w:pPr>
          </w:p>
        </w:tc>
        <w:tc>
          <w:tcPr>
            <w:tcW w:w="4360" w:type="dxa"/>
            <w:vAlign w:val="bottom"/>
          </w:tcPr>
          <w:p>
            <w:pPr>
              <w:ind w:left="2000"/>
              <w:spacing w:after="0"/>
              <w:rPr>
                <w:sz w:val="20"/>
                <w:szCs w:val="20"/>
                <w:color w:val="auto"/>
              </w:rPr>
            </w:pPr>
            <w:r>
              <w:rPr>
                <w:rFonts w:ascii="Arial" w:cs="Arial" w:eastAsia="Arial" w:hAnsi="Arial"/>
                <w:sz w:val="18"/>
                <w:szCs w:val="18"/>
                <w:color w:val="auto"/>
              </w:rPr>
              <w:t>Accelerated filer</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660" w:type="dxa"/>
            <w:vAlign w:val="bottom"/>
          </w:tcPr>
          <w:p>
            <w:pPr>
              <w:spacing w:after="0"/>
              <w:rPr>
                <w:sz w:val="20"/>
                <w:szCs w:val="20"/>
                <w:color w:val="auto"/>
              </w:rPr>
            </w:pPr>
            <w:r>
              <w:rPr>
                <w:rFonts w:ascii="Arial" w:cs="Arial" w:eastAsia="Arial" w:hAnsi="Arial"/>
                <w:sz w:val="18"/>
                <w:szCs w:val="18"/>
                <w:color w:val="auto"/>
                <w:w w:val="98"/>
              </w:rPr>
              <w:t>Non-accelerated filer</w:t>
            </w:r>
          </w:p>
        </w:tc>
        <w:tc>
          <w:tcPr>
            <w:tcW w:w="4060" w:type="dxa"/>
            <w:vAlign w:val="bottom"/>
            <w:gridSpan w:val="2"/>
          </w:tcPr>
          <w:p>
            <w:pPr>
              <w:ind w:left="260"/>
              <w:spacing w:after="0" w:line="207" w:lineRule="exact"/>
              <w:rPr>
                <w:sz w:val="20"/>
                <w:szCs w:val="20"/>
                <w:color w:val="auto"/>
              </w:rPr>
            </w:pPr>
            <w:r>
              <w:rPr>
                <w:rFonts w:ascii="MS PGothic" w:cs="MS PGothic" w:eastAsia="MS PGothic" w:hAnsi="MS PGothic"/>
                <w:sz w:val="18"/>
                <w:szCs w:val="18"/>
                <w:color w:val="auto"/>
                <w:w w:val="97"/>
              </w:rPr>
              <w:t>☐</w:t>
            </w:r>
            <w:r>
              <w:rPr>
                <w:rFonts w:ascii="Arial" w:cs="Arial" w:eastAsia="Arial" w:hAnsi="Arial"/>
                <w:sz w:val="18"/>
                <w:szCs w:val="18"/>
                <w:color w:val="auto"/>
                <w:w w:val="97"/>
              </w:rPr>
              <w:t xml:space="preserve"> (Do not check if a smaller reporting company)</w:t>
            </w:r>
          </w:p>
        </w:tc>
        <w:tc>
          <w:tcPr>
            <w:tcW w:w="1140" w:type="dxa"/>
            <w:vAlign w:val="bottom"/>
          </w:tcPr>
          <w:p>
            <w:pPr>
              <w:spacing w:after="0"/>
              <w:rPr>
                <w:sz w:val="24"/>
                <w:szCs w:val="24"/>
                <w:color w:val="auto"/>
              </w:rPr>
            </w:pPr>
          </w:p>
        </w:tc>
        <w:tc>
          <w:tcPr>
            <w:tcW w:w="4360" w:type="dxa"/>
            <w:vAlign w:val="bottom"/>
          </w:tcPr>
          <w:p>
            <w:pPr>
              <w:ind w:left="2000"/>
              <w:spacing w:after="0"/>
              <w:rPr>
                <w:sz w:val="20"/>
                <w:szCs w:val="20"/>
                <w:color w:val="auto"/>
              </w:rPr>
            </w:pPr>
            <w:r>
              <w:rPr>
                <w:rFonts w:ascii="Arial" w:cs="Arial" w:eastAsia="Arial" w:hAnsi="Arial"/>
                <w:sz w:val="18"/>
                <w:szCs w:val="18"/>
                <w:color w:val="auto"/>
              </w:rPr>
              <w:t>Smaller reporting company</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1" w:lineRule="exact"/>
        <w:rPr>
          <w:sz w:val="24"/>
          <w:szCs w:val="24"/>
          <w:color w:val="auto"/>
        </w:rPr>
      </w:pPr>
    </w:p>
    <w:p>
      <w:pPr>
        <w:ind w:left="580" w:right="142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issuer’s common stock, par value $0.01 per share, as of April 22, 2016 was 28,218,122.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3640" w:type="dxa"/>
            <w:vAlign w:val="bottom"/>
            <w:gridSpan w:val="14"/>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 (UNAUDITED)</w:t>
              </w:r>
            </w:hyperlink>
          </w:p>
        </w:tc>
        <w:tc>
          <w:tcPr>
            <w:tcW w:w="5280" w:type="dxa"/>
            <w:vAlign w:val="bottom"/>
            <w:gridSpan w:val="6"/>
            <w:vMerge w:val="restart"/>
          </w:tcPr>
          <w:p>
            <w:pPr>
              <w:spacing w:after="0"/>
              <w:rPr>
                <w:sz w:val="14"/>
                <w:szCs w:val="14"/>
                <w:color w:val="auto"/>
              </w:rPr>
            </w:pPr>
          </w:p>
        </w:tc>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340" w:type="dxa"/>
            <w:vAlign w:val="bottom"/>
            <w:vMerge w:val="continue"/>
          </w:tcPr>
          <w:p>
            <w:pPr>
              <w:spacing w:after="0"/>
              <w:rPr>
                <w:sz w:val="14"/>
                <w:szCs w:val="14"/>
                <w:color w:val="auto"/>
              </w:rPr>
            </w:pPr>
          </w:p>
        </w:tc>
        <w:tc>
          <w:tcPr>
            <w:tcW w:w="3640" w:type="dxa"/>
            <w:vAlign w:val="bottom"/>
            <w:tcBorders>
              <w:bottom w:val="single" w:sz="8" w:color="0000EE"/>
            </w:tcBorders>
            <w:gridSpan w:val="14"/>
            <w:vMerge w:val="continue"/>
          </w:tcPr>
          <w:p>
            <w:pPr>
              <w:spacing w:after="0"/>
              <w:rPr>
                <w:sz w:val="14"/>
                <w:szCs w:val="14"/>
                <w:color w:val="auto"/>
              </w:rPr>
            </w:pPr>
          </w:p>
        </w:tc>
        <w:tc>
          <w:tcPr>
            <w:tcW w:w="5280" w:type="dxa"/>
            <w:vAlign w:val="bottom"/>
            <w:gridSpan w:val="6"/>
            <w:vMerge w:val="continue"/>
          </w:tcPr>
          <w:p>
            <w:pPr>
              <w:spacing w:after="0"/>
              <w:rPr>
                <w:sz w:val="14"/>
                <w:szCs w:val="14"/>
                <w:color w:val="auto"/>
              </w:rPr>
            </w:pPr>
          </w:p>
        </w:tc>
        <w:tc>
          <w:tcPr>
            <w:tcW w:w="1160" w:type="dxa"/>
            <w:vAlign w:val="bottom"/>
          </w:tcPr>
          <w:p>
            <w:pPr>
              <w:jc w:val="center"/>
              <w:spacing w:after="0" w:line="170"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420" w:type="dxa"/>
            <w:vAlign w:val="bottom"/>
            <w:gridSpan w:val="14"/>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31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Interim Consolidated Statements of Income</w:t>
              </w:r>
            </w:hyperlink>
          </w:p>
        </w:tc>
        <w:tc>
          <w:tcPr>
            <w:tcW w:w="5780" w:type="dxa"/>
            <w:vAlign w:val="bottom"/>
            <w:gridSpan w:val="8"/>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89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Interim Consolidated Statements of Comprehensive Income</w:t>
              </w:r>
            </w:hyperlink>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Interim Consolidated Balance Sheets</w:t>
              </w:r>
            </w:hyperlink>
          </w:p>
        </w:tc>
        <w:tc>
          <w:tcPr>
            <w:tcW w:w="1640" w:type="dxa"/>
            <w:vAlign w:val="bottom"/>
            <w:tcBorders>
              <w:top w:val="single" w:sz="8" w:color="0000EE"/>
            </w:tcBorders>
            <w:gridSpan w:val="5"/>
          </w:tcPr>
          <w:p>
            <w:pPr>
              <w:spacing w:after="0"/>
              <w:rPr>
                <w:sz w:val="17"/>
                <w:szCs w:val="17"/>
                <w:color w:val="auto"/>
              </w:rPr>
            </w:pPr>
          </w:p>
        </w:tc>
        <w:tc>
          <w:tcPr>
            <w:tcW w:w="4620" w:type="dxa"/>
            <w:vAlign w:val="bottom"/>
            <w:gridSpan w:val="4"/>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34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Interim Consolidated Statements of Cash Flows</w:t>
              </w:r>
            </w:hyperlink>
          </w:p>
        </w:tc>
        <w:tc>
          <w:tcPr>
            <w:tcW w:w="5480" w:type="dxa"/>
            <w:vAlign w:val="bottom"/>
            <w:gridSpan w:val="7"/>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37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Interim Consolidated Financial Statements</w:t>
              </w:r>
            </w:hyperlink>
          </w:p>
        </w:tc>
        <w:tc>
          <w:tcPr>
            <w:tcW w:w="5200" w:type="dxa"/>
            <w:vAlign w:val="bottom"/>
            <w:gridSpan w:val="5"/>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246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Quantitative and Qualitative Disclosures About Market Risk</w:t>
              </w:r>
            </w:hyperlink>
          </w:p>
        </w:tc>
        <w:tc>
          <w:tcPr>
            <w:tcW w:w="4560" w:type="dxa"/>
            <w:vAlign w:val="bottom"/>
            <w:gridSpan w:val="2"/>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Controls and Procedures</w:t>
              </w:r>
            </w:hyperlink>
          </w:p>
        </w:tc>
        <w:tc>
          <w:tcPr>
            <w:tcW w:w="7140" w:type="dxa"/>
            <w:vAlign w:val="bottom"/>
            <w:gridSpan w:val="12"/>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OTHER INFORMATION</w:t>
              </w:r>
            </w:hyperlink>
          </w:p>
        </w:tc>
        <w:tc>
          <w:tcPr>
            <w:tcW w:w="6900" w:type="dxa"/>
            <w:vAlign w:val="bottom"/>
            <w:gridSpan w:val="11"/>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8920" w:type="dxa"/>
            <w:vAlign w:val="bottom"/>
            <w:gridSpan w:val="2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Risk Factors</w:t>
              </w:r>
            </w:hyperlink>
          </w:p>
        </w:tc>
        <w:tc>
          <w:tcPr>
            <w:tcW w:w="420" w:type="dxa"/>
            <w:vAlign w:val="bottom"/>
            <w:tcBorders>
              <w:top w:val="single" w:sz="8" w:color="0000EE"/>
            </w:tcBorders>
            <w:gridSpan w:val="3"/>
          </w:tcPr>
          <w:p>
            <w:pPr>
              <w:spacing w:after="0"/>
              <w:rPr>
                <w:sz w:val="17"/>
                <w:szCs w:val="17"/>
                <w:color w:val="auto"/>
              </w:rPr>
            </w:pPr>
          </w:p>
        </w:tc>
        <w:tc>
          <w:tcPr>
            <w:tcW w:w="7600" w:type="dxa"/>
            <w:vAlign w:val="bottom"/>
            <w:gridSpan w:val="15"/>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920" w:type="dxa"/>
            <w:vAlign w:val="bottom"/>
            <w:gridSpan w:val="2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7"/>
          </w:tcPr>
          <w:p>
            <w:pPr>
              <w:spacing w:after="0"/>
              <w:rPr>
                <w:sz w:val="17"/>
                <w:szCs w:val="17"/>
                <w:color w:val="auto"/>
              </w:rPr>
            </w:pPr>
          </w:p>
        </w:tc>
        <w:tc>
          <w:tcPr>
            <w:tcW w:w="4580" w:type="dxa"/>
            <w:vAlign w:val="bottom"/>
            <w:gridSpan w:val="3"/>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920" w:type="dxa"/>
            <w:vAlign w:val="bottom"/>
            <w:gridSpan w:val="2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7160" w:type="dxa"/>
            <w:vAlign w:val="bottom"/>
            <w:gridSpan w:val="13"/>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17"/>
                <w:szCs w:val="17"/>
                <w:color w:val="auto"/>
              </w:rPr>
            </w:pPr>
          </w:p>
        </w:tc>
        <w:tc>
          <w:tcPr>
            <w:tcW w:w="7620" w:type="dxa"/>
            <w:vAlign w:val="bottom"/>
            <w:gridSpan w:val="16"/>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SIGNATURES</w:t>
              </w:r>
            </w:hyperlink>
          </w:p>
        </w:tc>
        <w:tc>
          <w:tcPr>
            <w:tcW w:w="7820" w:type="dxa"/>
            <w:vAlign w:val="bottom"/>
            <w:gridSpan w:val="17"/>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jc w:val="center"/>
              <w:ind w:left="1890"/>
              <w:spacing w:after="0"/>
              <w:rPr>
                <w:sz w:val="20"/>
                <w:szCs w:val="20"/>
                <w:color w:val="auto"/>
              </w:rPr>
            </w:pPr>
            <w:r>
              <w:rPr>
                <w:rFonts w:ascii="Arial" w:cs="Arial" w:eastAsia="Arial" w:hAnsi="Arial"/>
                <w:sz w:val="18"/>
                <w:szCs w:val="18"/>
                <w:b w:val="1"/>
                <w:bCs w:val="1"/>
                <w:color w:val="auto"/>
              </w:rPr>
              <w:t>MARRIOTT VACATIONS WORLDWIDE CORPORATION</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0" w:type="dxa"/>
            <w:vAlign w:val="bottom"/>
          </w:tcPr>
          <w:p>
            <w:pPr>
              <w:jc w:val="center"/>
              <w:ind w:left="1890"/>
              <w:spacing w:after="0"/>
              <w:rPr>
                <w:sz w:val="20"/>
                <w:szCs w:val="20"/>
                <w:color w:val="auto"/>
              </w:rPr>
            </w:pPr>
            <w:r>
              <w:rPr>
                <w:rFonts w:ascii="Arial" w:cs="Arial" w:eastAsia="Arial" w:hAnsi="Arial"/>
                <w:sz w:val="18"/>
                <w:szCs w:val="18"/>
                <w:b w:val="1"/>
                <w:bCs w:val="1"/>
                <w:color w:val="auto"/>
              </w:rPr>
              <w:t>INTERIM CONSOLIDATED STATEMENTS OF INCOME</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0" w:type="dxa"/>
            <w:vAlign w:val="bottom"/>
          </w:tcPr>
          <w:p>
            <w:pPr>
              <w:jc w:val="center"/>
              <w:ind w:left="1890"/>
              <w:spacing w:after="0"/>
              <w:rPr>
                <w:sz w:val="20"/>
                <w:szCs w:val="20"/>
                <w:color w:val="auto"/>
              </w:rPr>
            </w:pPr>
            <w:r>
              <w:rPr>
                <w:rFonts w:ascii="Arial" w:cs="Arial" w:eastAsia="Arial" w:hAnsi="Arial"/>
                <w:sz w:val="18"/>
                <w:szCs w:val="18"/>
                <w:color w:val="auto"/>
                <w:w w:val="88"/>
              </w:rPr>
              <w:t>(In thousands, except per share amounts)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0" w:type="dxa"/>
            <w:vAlign w:val="bottom"/>
          </w:tcPr>
          <w:p>
            <w:pPr>
              <w:jc w:val="center"/>
              <w:ind w:left="189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ind w:left="62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74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6"/>
              </w:rPr>
              <w:t>March 25, 2016</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8"/>
              </w:rPr>
              <w:t>REVENUES</w:t>
            </w:r>
          </w:p>
        </w:tc>
        <w:tc>
          <w:tcPr>
            <w:tcW w:w="7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340"/>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138,369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183,906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69,629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64,417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340"/>
              <w:spacing w:after="0"/>
              <w:rPr>
                <w:sz w:val="20"/>
                <w:szCs w:val="20"/>
                <w:color w:val="auto"/>
              </w:rPr>
            </w:pPr>
            <w:r>
              <w:rPr>
                <w:rFonts w:ascii="Arial" w:cs="Arial" w:eastAsia="Arial" w:hAnsi="Arial"/>
                <w:sz w:val="18"/>
                <w:szCs w:val="18"/>
                <w:color w:val="auto"/>
              </w:rPr>
              <w:t>Financing</w:t>
            </w:r>
          </w:p>
        </w:tc>
        <w:tc>
          <w:tcPr>
            <w:tcW w:w="200" w:type="dxa"/>
            <w:vAlign w:val="bottom"/>
          </w:tcPr>
          <w:p>
            <w:pPr>
              <w:spacing w:after="0"/>
              <w:rPr>
                <w:sz w:val="18"/>
                <w:szCs w:val="18"/>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29,224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29,052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7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80,288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76,199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gridSpan w:val="2"/>
          </w:tcPr>
          <w:p>
            <w:pPr>
              <w:ind w:left="340"/>
              <w:spacing w:after="0"/>
              <w:rPr>
                <w:sz w:val="20"/>
                <w:szCs w:val="20"/>
                <w:color w:val="auto"/>
              </w:rPr>
            </w:pPr>
            <w:r>
              <w:rPr>
                <w:rFonts w:ascii="Arial" w:cs="Arial" w:eastAsia="Arial" w:hAnsi="Arial"/>
                <w:sz w:val="18"/>
                <w:szCs w:val="18"/>
                <w:color w:val="auto"/>
              </w:rPr>
              <w:t>Cost reimbursements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107,533</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101,306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425,043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454,880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7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vacation ownership products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35,617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64,962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340"/>
              <w:spacing w:after="0"/>
              <w:rPr>
                <w:sz w:val="20"/>
                <w:szCs w:val="20"/>
                <w:color w:val="auto"/>
              </w:rPr>
            </w:pPr>
            <w:r>
              <w:rPr>
                <w:rFonts w:ascii="Arial" w:cs="Arial" w:eastAsia="Arial" w:hAnsi="Arial"/>
                <w:sz w:val="18"/>
                <w:szCs w:val="18"/>
                <w:color w:val="auto"/>
              </w:rPr>
              <w:t>Marketing and sales</w:t>
            </w:r>
          </w:p>
        </w:tc>
        <w:tc>
          <w:tcPr>
            <w:tcW w:w="200" w:type="dxa"/>
            <w:vAlign w:val="bottom"/>
          </w:tcPr>
          <w:p>
            <w:pPr>
              <w:spacing w:after="0"/>
              <w:rPr>
                <w:sz w:val="18"/>
                <w:szCs w:val="18"/>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78,412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79,995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45,797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340"/>
              <w:spacing w:after="0"/>
              <w:rPr>
                <w:sz w:val="20"/>
                <w:szCs w:val="20"/>
                <w:color w:val="auto"/>
              </w:rPr>
            </w:pPr>
            <w:r>
              <w:rPr>
                <w:rFonts w:ascii="Arial" w:cs="Arial" w:eastAsia="Arial" w:hAnsi="Arial"/>
                <w:sz w:val="18"/>
                <w:szCs w:val="18"/>
                <w:color w:val="auto"/>
              </w:rPr>
              <w:t>Financing</w:t>
            </w:r>
          </w:p>
        </w:tc>
        <w:tc>
          <w:tcPr>
            <w:tcW w:w="200" w:type="dxa"/>
            <w:vAlign w:val="bottom"/>
          </w:tcPr>
          <w:p>
            <w:pPr>
              <w:spacing w:after="0"/>
              <w:rPr>
                <w:sz w:val="18"/>
                <w:szCs w:val="18"/>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4,629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4,905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7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64,660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25,297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22,777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Reversal of litigation expense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340"/>
              <w:spacing w:after="0"/>
              <w:rPr>
                <w:sz w:val="20"/>
                <w:szCs w:val="20"/>
                <w:color w:val="auto"/>
              </w:rPr>
            </w:pPr>
            <w:r>
              <w:rPr>
                <w:rFonts w:ascii="Arial" w:cs="Arial" w:eastAsia="Arial" w:hAnsi="Arial"/>
                <w:sz w:val="18"/>
                <w:szCs w:val="18"/>
                <w:color w:val="auto"/>
              </w:rPr>
              <w:t>Organizational and separation related</w:t>
            </w:r>
          </w:p>
        </w:tc>
        <w:tc>
          <w:tcPr>
            <w:tcW w:w="200" w:type="dxa"/>
            <w:vAlign w:val="bottom"/>
          </w:tcPr>
          <w:p>
            <w:pPr>
              <w:spacing w:after="0"/>
              <w:rPr>
                <w:sz w:val="18"/>
                <w:szCs w:val="18"/>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 financing interest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340"/>
              <w:spacing w:after="0"/>
              <w:rPr>
                <w:sz w:val="20"/>
                <w:szCs w:val="20"/>
                <w:color w:val="auto"/>
              </w:rPr>
            </w:pPr>
            <w:r>
              <w:rPr>
                <w:rFonts w:ascii="Arial" w:cs="Arial" w:eastAsia="Arial" w:hAnsi="Arial"/>
                <w:sz w:val="18"/>
                <w:szCs w:val="18"/>
                <w:color w:val="auto"/>
              </w:rPr>
              <w:t>Royalty fee</w:t>
            </w:r>
          </w:p>
        </w:tc>
        <w:tc>
          <w:tcPr>
            <w:tcW w:w="200" w:type="dxa"/>
            <w:vAlign w:val="bottom"/>
          </w:tcPr>
          <w:p>
            <w:pPr>
              <w:spacing w:after="0"/>
              <w:rPr>
                <w:sz w:val="18"/>
                <w:szCs w:val="18"/>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13,357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reimbursements</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107,533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101,306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gridSpan w:val="2"/>
          </w:tcPr>
          <w:p>
            <w:pPr>
              <w:ind w:left="70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380,361</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395,463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Gains and other income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(1,982)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7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(2,542)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20" w:type="dxa"/>
            <w:vAlign w:val="bottom"/>
            <w:gridSpan w:val="3"/>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40,165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57,343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(15,757)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(23,289)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2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24,408</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34,054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7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Shares used in computing basic earnings per share</w:t>
            </w:r>
          </w:p>
        </w:tc>
        <w:tc>
          <w:tcPr>
            <w:tcW w:w="200" w:type="dxa"/>
            <w:vAlign w:val="bottom"/>
          </w:tcPr>
          <w:p>
            <w:pPr>
              <w:spacing w:after="0"/>
              <w:rPr>
                <w:sz w:val="20"/>
                <w:szCs w:val="20"/>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29,123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32,299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40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0.82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Shares used in computing diluted earnings per share</w:t>
            </w:r>
          </w:p>
        </w:tc>
        <w:tc>
          <w:tcPr>
            <w:tcW w:w="200" w:type="dxa"/>
            <w:vAlign w:val="bottom"/>
          </w:tcPr>
          <w:p>
            <w:pPr>
              <w:spacing w:after="0"/>
              <w:rPr>
                <w:sz w:val="20"/>
                <w:szCs w:val="20"/>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29,640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33,009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40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share of common stock</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5"/>
          </w:tcPr>
          <w:p>
            <w:pPr>
              <w:ind w:left="660"/>
              <w:spacing w:after="0"/>
              <w:rPr>
                <w:sz w:val="20"/>
                <w:szCs w:val="20"/>
                <w:color w:val="auto"/>
              </w:rPr>
            </w:pPr>
            <w:r>
              <w:rPr>
                <w:rFonts w:ascii="Arial" w:cs="Arial" w:eastAsia="Arial" w:hAnsi="Arial"/>
                <w:sz w:val="14"/>
                <w:szCs w:val="14"/>
                <w:b w:val="1"/>
                <w:bCs w:val="1"/>
                <w:color w:val="auto"/>
              </w:rPr>
              <w:t>Twelve Weeks Ended</w:t>
            </w:r>
          </w:p>
        </w:tc>
      </w:t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96"/>
              </w:rPr>
              <w:t>March 25, 2016</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March 27, 2015</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24,408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34,054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(5,602)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Derivative instrument adjustment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(5,602)</w:t>
            </w:r>
          </w:p>
        </w:tc>
        <w:tc>
          <w:tcPr>
            <w:tcW w:w="60" w:type="dxa"/>
            <w:vAlign w:val="bottom"/>
            <w:shd w:val="clear" w:color="auto" w:fill="CCEEFF"/>
          </w:tcPr>
          <w:p>
            <w:pPr>
              <w:spacing w:after="0"/>
              <w:rPr>
                <w:sz w:val="18"/>
                <w:szCs w:val="18"/>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25,964</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28,452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16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311"/>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1, 2016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191"/>
              <w:spacing w:after="0"/>
              <w:rPr>
                <w:sz w:val="20"/>
                <w:szCs w:val="20"/>
                <w:color w:val="auto"/>
              </w:rPr>
            </w:pPr>
            <w:r>
              <w:rPr>
                <w:rFonts w:ascii="Arial" w:cs="Arial" w:eastAsia="Arial" w:hAnsi="Arial"/>
                <w:sz w:val="14"/>
                <w:szCs w:val="14"/>
                <w:b w:val="1"/>
                <w:bCs w:val="1"/>
                <w:color w:val="auto"/>
              </w:rPr>
              <w:t>March 25, 2016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106,613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177,061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(including $24,768 and $26,884 from VIEs, respectively)</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55,252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Accounts and contracts receivable, net (including $4,527 and $4,893 from VIEs, respectively)</w:t>
            </w:r>
          </w:p>
        </w:tc>
        <w:tc>
          <w:tcPr>
            <w:tcW w:w="240" w:type="dxa"/>
            <w:vAlign w:val="bottom"/>
          </w:tcPr>
          <w:p>
            <w:pPr>
              <w:spacing w:after="0"/>
              <w:rPr>
                <w:sz w:val="18"/>
                <w:szCs w:val="18"/>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131,538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131,850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net (including $680,888 and $669,179 from VIEs, respectively)</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908,587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920,631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715,072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669,243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222,516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288,803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191,207</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140,679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2,330,785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2,399,718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80,618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139,120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Advance deposits</w:t>
            </w:r>
          </w:p>
        </w:tc>
        <w:tc>
          <w:tcPr>
            <w:tcW w:w="240" w:type="dxa"/>
            <w:vAlign w:val="bottom"/>
          </w:tcPr>
          <w:p>
            <w:pPr>
              <w:spacing w:after="0"/>
              <w:rPr>
                <w:sz w:val="18"/>
                <w:szCs w:val="18"/>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77,141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69,064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(including $292 and $669 from VIEs, respectively)</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178,642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164,791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28,562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35,276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liability</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75,749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104,331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240" w:type="dxa"/>
            <w:vAlign w:val="bottom"/>
          </w:tcPr>
          <w:p>
            <w:pPr>
              <w:spacing w:after="0"/>
              <w:rPr>
                <w:sz w:val="18"/>
                <w:szCs w:val="18"/>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liability</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55,437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51,031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Mandatorily redeemable preferred stock of consolidated subsidiary, net</w:t>
            </w:r>
          </w:p>
        </w:tc>
        <w:tc>
          <w:tcPr>
            <w:tcW w:w="240" w:type="dxa"/>
            <w:vAlign w:val="bottom"/>
          </w:tcPr>
          <w:p>
            <w:pPr>
              <w:spacing w:after="0"/>
              <w:rPr>
                <w:sz w:val="18"/>
                <w:szCs w:val="18"/>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39,029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38,989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Debt, net (including $688,023 and $684,604 from VIEs, respectively)</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689,234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678,793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72,582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32,945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114,765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109,076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1,411,759</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1,423,451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 (Note 8)</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240" w:type="dxa"/>
            <w:vAlign w:val="bottom"/>
            <w:gridSpan w:val="2"/>
          </w:tcPr>
          <w:p>
            <w:pPr>
              <w:spacing w:after="0"/>
              <w:rPr>
                <w:sz w:val="20"/>
                <w:szCs w:val="20"/>
                <w:color w:val="auto"/>
              </w:rPr>
            </w:pPr>
            <w:r>
              <w:rPr>
                <w:rFonts w:ascii="Arial" w:cs="Arial" w:eastAsia="Arial" w:hAnsi="Arial"/>
                <w:sz w:val="18"/>
                <w:szCs w:val="18"/>
                <w:color w:val="auto"/>
              </w:rPr>
              <w:t>Preferred stock — $0.01 par value; 2,000,000 shares authorized; none issued or outstanding</w:t>
            </w:r>
          </w:p>
        </w:tc>
        <w:tc>
          <w:tcPr>
            <w:tcW w:w="240" w:type="dxa"/>
            <w:vAlign w:val="bottom"/>
          </w:tcPr>
          <w:p>
            <w:pPr>
              <w:spacing w:after="0"/>
              <w:rPr>
                <w:sz w:val="24"/>
                <w:szCs w:val="24"/>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 $0.01 par value; 100,000,000 shares authorized; 36,564,810 and 36,393,800 shares issued,</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Treasury stock — at cost; 8,171,238 and 6,844,256 shares, respectively</w:t>
            </w:r>
          </w:p>
        </w:tc>
        <w:tc>
          <w:tcPr>
            <w:tcW w:w="24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(503,218)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(429,990)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1,149,442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1,150,731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8"/>
                <w:szCs w:val="18"/>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12,937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11,381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259,499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243,781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70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919,026</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976,267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Equity</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2,330,785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2,399,718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w:t>
      </w:r>
    </w:p>
    <w:p>
      <w:pPr>
        <w:jc w:val="center"/>
        <w:spacing w:after="0" w:line="225" w:lineRule="auto"/>
        <w:rPr>
          <w:sz w:val="20"/>
          <w:szCs w:val="20"/>
          <w:color w:val="auto"/>
        </w:rPr>
      </w:pPr>
      <w:r>
        <w:rPr>
          <w:rFonts w:ascii="Arial" w:cs="Arial" w:eastAsia="Arial" w:hAnsi="Arial"/>
          <w:sz w:val="14"/>
          <w:szCs w:val="14"/>
          <w:color w:val="auto"/>
        </w:rPr>
        <w:t>(In thousands)</w:t>
      </w:r>
    </w:p>
    <w:p>
      <w:pPr>
        <w:jc w:val="center"/>
        <w:spacing w:after="0"/>
        <w:rPr>
          <w:sz w:val="20"/>
          <w:szCs w:val="20"/>
          <w:color w:val="auto"/>
        </w:rPr>
      </w:pPr>
      <w:r>
        <w:rPr>
          <w:rFonts w:ascii="Arial" w:cs="Arial" w:eastAsia="Arial" w:hAnsi="Arial"/>
          <w:sz w:val="14"/>
          <w:szCs w:val="14"/>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40" w:type="dxa"/>
            <w:vAlign w:val="bottom"/>
            <w:gridSpan w:val="5"/>
          </w:tcPr>
          <w:p>
            <w:pPr>
              <w:ind w:left="7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March 25, 2016</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March 27, 2015</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OPERATING ACTIVITIES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22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32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24,408</w:t>
            </w:r>
          </w:p>
        </w:tc>
        <w:tc>
          <w:tcPr>
            <w:tcW w:w="3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320" w:type="dxa"/>
            <w:vAlign w:val="bottom"/>
          </w:tcPr>
          <w:p>
            <w:pPr>
              <w:jc w:val="right"/>
              <w:ind w:right="144"/>
              <w:spacing w:after="0" w:line="162" w:lineRule="exact"/>
              <w:rPr>
                <w:sz w:val="20"/>
                <w:szCs w:val="20"/>
                <w:color w:val="auto"/>
              </w:rPr>
            </w:pPr>
            <w:r>
              <w:rPr>
                <w:rFonts w:ascii="Arial" w:cs="Arial" w:eastAsia="Arial" w:hAnsi="Arial"/>
                <w:sz w:val="15"/>
                <w:szCs w:val="15"/>
                <w:color w:val="auto"/>
              </w:rPr>
              <w:t>34,054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ind w:left="300"/>
              <w:spacing w:after="0" w:line="162" w:lineRule="exact"/>
              <w:rPr>
                <w:sz w:val="20"/>
                <w:szCs w:val="20"/>
                <w:color w:val="auto"/>
              </w:rPr>
            </w:pPr>
            <w:r>
              <w:rPr>
                <w:rFonts w:ascii="Arial" w:cs="Arial" w:eastAsia="Arial" w:hAnsi="Arial"/>
                <w:sz w:val="15"/>
                <w:szCs w:val="15"/>
                <w:color w:val="auto"/>
              </w:rPr>
              <w:t>Depreciation</w:t>
            </w:r>
          </w:p>
        </w:tc>
        <w:tc>
          <w:tcPr>
            <w:tcW w:w="220" w:type="dxa"/>
            <w:vAlign w:val="bottom"/>
          </w:tcPr>
          <w:p>
            <w:pPr>
              <w:spacing w:after="0"/>
              <w:rPr>
                <w:sz w:val="14"/>
                <w:szCs w:val="14"/>
                <w:color w:val="auto"/>
              </w:rPr>
            </w:pPr>
          </w:p>
        </w:tc>
        <w:tc>
          <w:tcPr>
            <w:tcW w:w="132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5,125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144"/>
              <w:spacing w:after="0" w:line="162" w:lineRule="exact"/>
              <w:rPr>
                <w:sz w:val="20"/>
                <w:szCs w:val="20"/>
                <w:color w:val="auto"/>
              </w:rPr>
            </w:pPr>
            <w:r>
              <w:rPr>
                <w:rFonts w:ascii="Arial" w:cs="Arial" w:eastAsia="Arial" w:hAnsi="Arial"/>
                <w:sz w:val="15"/>
                <w:szCs w:val="15"/>
                <w:color w:val="auto"/>
              </w:rPr>
              <w:t>4,065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Amortization of debt issuance costs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1,300</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44"/>
              <w:spacing w:after="0" w:line="162" w:lineRule="exact"/>
              <w:rPr>
                <w:sz w:val="20"/>
                <w:szCs w:val="20"/>
                <w:color w:val="auto"/>
              </w:rPr>
            </w:pPr>
            <w:r>
              <w:rPr>
                <w:rFonts w:ascii="Arial" w:cs="Arial" w:eastAsia="Arial" w:hAnsi="Arial"/>
                <w:sz w:val="15"/>
                <w:szCs w:val="15"/>
                <w:color w:val="auto"/>
              </w:rPr>
              <w:t>1,267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ind w:left="300"/>
              <w:spacing w:after="0" w:line="162" w:lineRule="exact"/>
              <w:rPr>
                <w:sz w:val="20"/>
                <w:szCs w:val="20"/>
                <w:color w:val="auto"/>
              </w:rPr>
            </w:pPr>
            <w:r>
              <w:rPr>
                <w:rFonts w:ascii="Arial" w:cs="Arial" w:eastAsia="Arial" w:hAnsi="Arial"/>
                <w:sz w:val="15"/>
                <w:szCs w:val="15"/>
                <w:color w:val="auto"/>
              </w:rPr>
              <w:t>Provision for loan losses</w:t>
            </w:r>
          </w:p>
        </w:tc>
        <w:tc>
          <w:tcPr>
            <w:tcW w:w="220" w:type="dxa"/>
            <w:vAlign w:val="bottom"/>
          </w:tcPr>
          <w:p>
            <w:pPr>
              <w:spacing w:after="0"/>
              <w:rPr>
                <w:sz w:val="14"/>
                <w:szCs w:val="14"/>
                <w:color w:val="auto"/>
              </w:rPr>
            </w:pPr>
          </w:p>
        </w:tc>
        <w:tc>
          <w:tcPr>
            <w:tcW w:w="132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8,287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144"/>
              <w:spacing w:after="0" w:line="162" w:lineRule="exact"/>
              <w:rPr>
                <w:sz w:val="20"/>
                <w:szCs w:val="20"/>
                <w:color w:val="auto"/>
              </w:rPr>
            </w:pPr>
            <w:r>
              <w:rPr>
                <w:rFonts w:ascii="Arial" w:cs="Arial" w:eastAsia="Arial" w:hAnsi="Arial"/>
                <w:sz w:val="15"/>
                <w:szCs w:val="15"/>
                <w:color w:val="auto"/>
              </w:rPr>
              <w:t>8,437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Share-based compensation</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2,524</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44"/>
              <w:spacing w:after="0" w:line="162" w:lineRule="exact"/>
              <w:rPr>
                <w:sz w:val="20"/>
                <w:szCs w:val="20"/>
                <w:color w:val="auto"/>
              </w:rPr>
            </w:pPr>
            <w:r>
              <w:rPr>
                <w:rFonts w:ascii="Arial" w:cs="Arial" w:eastAsia="Arial" w:hAnsi="Arial"/>
                <w:sz w:val="15"/>
                <w:szCs w:val="15"/>
                <w:color w:val="auto"/>
              </w:rPr>
              <w:t>2,643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ind w:left="300"/>
              <w:spacing w:after="0" w:line="162" w:lineRule="exact"/>
              <w:rPr>
                <w:sz w:val="20"/>
                <w:szCs w:val="20"/>
                <w:color w:val="auto"/>
              </w:rPr>
            </w:pPr>
            <w:r>
              <w:rPr>
                <w:rFonts w:ascii="Arial" w:cs="Arial" w:eastAsia="Arial" w:hAnsi="Arial"/>
                <w:sz w:val="15"/>
                <w:szCs w:val="15"/>
                <w:color w:val="auto"/>
              </w:rPr>
              <w:t>Deferred income taxes</w:t>
            </w:r>
          </w:p>
        </w:tc>
        <w:tc>
          <w:tcPr>
            <w:tcW w:w="220" w:type="dxa"/>
            <w:vAlign w:val="bottom"/>
          </w:tcPr>
          <w:p>
            <w:pPr>
              <w:spacing w:after="0"/>
              <w:rPr>
                <w:sz w:val="14"/>
                <w:szCs w:val="14"/>
                <w:color w:val="auto"/>
              </w:rPr>
            </w:pPr>
          </w:p>
        </w:tc>
        <w:tc>
          <w:tcPr>
            <w:tcW w:w="132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5,549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144"/>
              <w:spacing w:after="0" w:line="162" w:lineRule="exact"/>
              <w:rPr>
                <w:sz w:val="20"/>
                <w:szCs w:val="20"/>
                <w:color w:val="auto"/>
              </w:rPr>
            </w:pPr>
            <w:r>
              <w:rPr>
                <w:rFonts w:ascii="Arial" w:cs="Arial" w:eastAsia="Arial" w:hAnsi="Arial"/>
                <w:sz w:val="15"/>
                <w:szCs w:val="15"/>
                <w:color w:val="auto"/>
              </w:rPr>
              <w:t>8,600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Equity method income</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(28)</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(13)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ind w:left="300"/>
              <w:spacing w:after="0" w:line="162" w:lineRule="exact"/>
              <w:rPr>
                <w:sz w:val="20"/>
                <w:szCs w:val="20"/>
                <w:color w:val="auto"/>
              </w:rPr>
            </w:pPr>
            <w:r>
              <w:rPr>
                <w:rFonts w:ascii="Arial" w:cs="Arial" w:eastAsia="Arial" w:hAnsi="Arial"/>
                <w:sz w:val="15"/>
                <w:szCs w:val="15"/>
                <w:color w:val="auto"/>
              </w:rPr>
              <w:t>Gain on disposal of property and equipment, net</w:t>
            </w:r>
          </w:p>
        </w:tc>
        <w:tc>
          <w:tcPr>
            <w:tcW w:w="220" w:type="dxa"/>
            <w:vAlign w:val="bottom"/>
          </w:tcPr>
          <w:p>
            <w:pPr>
              <w:spacing w:after="0"/>
              <w:rPr>
                <w:sz w:val="14"/>
                <w:szCs w:val="14"/>
                <w:color w:val="auto"/>
              </w:rPr>
            </w:pPr>
          </w:p>
        </w:tc>
        <w:tc>
          <w:tcPr>
            <w:tcW w:w="13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(887)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Non-cash reversal of litigation expense</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(303)</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(262)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ind w:left="300"/>
              <w:spacing w:after="0" w:line="162" w:lineRule="exact"/>
              <w:rPr>
                <w:sz w:val="20"/>
                <w:szCs w:val="20"/>
                <w:color w:val="auto"/>
              </w:rPr>
            </w:pPr>
            <w:r>
              <w:rPr>
                <w:rFonts w:ascii="Arial" w:cs="Arial" w:eastAsia="Arial" w:hAnsi="Arial"/>
                <w:sz w:val="15"/>
                <w:szCs w:val="15"/>
                <w:color w:val="auto"/>
              </w:rPr>
              <w:t>Net change in assets and liabilities:</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Accounts and contracts receivable</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21</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(4,643)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ind w:left="600"/>
              <w:spacing w:after="0" w:line="162" w:lineRule="exact"/>
              <w:rPr>
                <w:sz w:val="20"/>
                <w:szCs w:val="20"/>
                <w:color w:val="auto"/>
              </w:rPr>
            </w:pPr>
            <w:r>
              <w:rPr>
                <w:rFonts w:ascii="Arial" w:cs="Arial" w:eastAsia="Arial" w:hAnsi="Arial"/>
                <w:sz w:val="15"/>
                <w:szCs w:val="15"/>
                <w:color w:val="auto"/>
              </w:rPr>
              <w:t>Notes receivable originations</w:t>
            </w:r>
          </w:p>
        </w:tc>
        <w:tc>
          <w:tcPr>
            <w:tcW w:w="220" w:type="dxa"/>
            <w:vAlign w:val="bottom"/>
          </w:tcPr>
          <w:p>
            <w:pPr>
              <w:spacing w:after="0"/>
              <w:rPr>
                <w:sz w:val="14"/>
                <w:szCs w:val="14"/>
                <w:color w:val="auto"/>
              </w:rPr>
            </w:pPr>
          </w:p>
        </w:tc>
        <w:tc>
          <w:tcPr>
            <w:tcW w:w="13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(57,524)</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(48,946)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Notes receivable collections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60,532</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44"/>
              <w:spacing w:after="0" w:line="162" w:lineRule="exact"/>
              <w:rPr>
                <w:sz w:val="20"/>
                <w:szCs w:val="20"/>
                <w:color w:val="auto"/>
              </w:rPr>
            </w:pPr>
            <w:r>
              <w:rPr>
                <w:rFonts w:ascii="Arial" w:cs="Arial" w:eastAsia="Arial" w:hAnsi="Arial"/>
                <w:sz w:val="15"/>
                <w:szCs w:val="15"/>
                <w:color w:val="auto"/>
              </w:rPr>
              <w:t>67,518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ind w:left="600"/>
              <w:spacing w:after="0" w:line="162" w:lineRule="exact"/>
              <w:rPr>
                <w:sz w:val="20"/>
                <w:szCs w:val="20"/>
                <w:color w:val="auto"/>
              </w:rPr>
            </w:pPr>
            <w:r>
              <w:rPr>
                <w:rFonts w:ascii="Arial" w:cs="Arial" w:eastAsia="Arial" w:hAnsi="Arial"/>
                <w:sz w:val="15"/>
                <w:szCs w:val="15"/>
                <w:color w:val="auto"/>
              </w:rPr>
              <w:t>Inventory</w:t>
            </w:r>
          </w:p>
        </w:tc>
        <w:tc>
          <w:tcPr>
            <w:tcW w:w="220" w:type="dxa"/>
            <w:vAlign w:val="bottom"/>
          </w:tcPr>
          <w:p>
            <w:pPr>
              <w:spacing w:after="0"/>
              <w:rPr>
                <w:sz w:val="14"/>
                <w:szCs w:val="14"/>
                <w:color w:val="auto"/>
              </w:rPr>
            </w:pPr>
          </w:p>
        </w:tc>
        <w:tc>
          <w:tcPr>
            <w:tcW w:w="13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(14,970)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144"/>
              <w:spacing w:after="0" w:line="162" w:lineRule="exact"/>
              <w:rPr>
                <w:sz w:val="20"/>
                <w:szCs w:val="20"/>
                <w:color w:val="auto"/>
              </w:rPr>
            </w:pPr>
            <w:r>
              <w:rPr>
                <w:rFonts w:ascii="Arial" w:cs="Arial" w:eastAsia="Arial" w:hAnsi="Arial"/>
                <w:sz w:val="15"/>
                <w:szCs w:val="15"/>
                <w:color w:val="auto"/>
              </w:rPr>
              <w:t>44,883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Purchase of operating properties for future conversion to inventory</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(46,614)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ind w:left="600"/>
              <w:spacing w:after="0" w:line="162" w:lineRule="exact"/>
              <w:rPr>
                <w:sz w:val="20"/>
                <w:szCs w:val="20"/>
                <w:color w:val="auto"/>
              </w:rPr>
            </w:pPr>
            <w:r>
              <w:rPr>
                <w:rFonts w:ascii="Arial" w:cs="Arial" w:eastAsia="Arial" w:hAnsi="Arial"/>
                <w:sz w:val="15"/>
                <w:szCs w:val="15"/>
                <w:color w:val="auto"/>
              </w:rPr>
              <w:t>Other assets</w:t>
            </w:r>
          </w:p>
        </w:tc>
        <w:tc>
          <w:tcPr>
            <w:tcW w:w="220" w:type="dxa"/>
            <w:vAlign w:val="bottom"/>
          </w:tcPr>
          <w:p>
            <w:pPr>
              <w:spacing w:after="0"/>
              <w:rPr>
                <w:sz w:val="14"/>
                <w:szCs w:val="14"/>
                <w:color w:val="auto"/>
              </w:rPr>
            </w:pPr>
          </w:p>
        </w:tc>
        <w:tc>
          <w:tcPr>
            <w:tcW w:w="13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(5,285)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(8,096)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Accounts payable, advance deposits and accrued liabilities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(27,836)</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(25,064)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ind w:left="600"/>
              <w:spacing w:after="0" w:line="162" w:lineRule="exact"/>
              <w:rPr>
                <w:sz w:val="20"/>
                <w:szCs w:val="20"/>
                <w:color w:val="auto"/>
              </w:rPr>
            </w:pPr>
            <w:r>
              <w:rPr>
                <w:rFonts w:ascii="Arial" w:cs="Arial" w:eastAsia="Arial" w:hAnsi="Arial"/>
                <w:sz w:val="15"/>
                <w:szCs w:val="15"/>
                <w:color w:val="auto"/>
              </w:rPr>
              <w:t>Deferred revenue</w:t>
            </w:r>
          </w:p>
        </w:tc>
        <w:tc>
          <w:tcPr>
            <w:tcW w:w="220" w:type="dxa"/>
            <w:vAlign w:val="bottom"/>
          </w:tcPr>
          <w:p>
            <w:pPr>
              <w:spacing w:after="0"/>
              <w:rPr>
                <w:sz w:val="14"/>
                <w:szCs w:val="14"/>
                <w:color w:val="auto"/>
              </w:rPr>
            </w:pPr>
          </w:p>
        </w:tc>
        <w:tc>
          <w:tcPr>
            <w:tcW w:w="13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(6,785)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(11,624)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Payroll and benefit liabilities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(28,586)</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(19,583)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ind w:left="600"/>
              <w:spacing w:after="0" w:line="162" w:lineRule="exact"/>
              <w:rPr>
                <w:sz w:val="20"/>
                <w:szCs w:val="20"/>
                <w:color w:val="auto"/>
              </w:rPr>
            </w:pPr>
            <w:r>
              <w:rPr>
                <w:rFonts w:ascii="Arial" w:cs="Arial" w:eastAsia="Arial" w:hAnsi="Arial"/>
                <w:sz w:val="15"/>
                <w:szCs w:val="15"/>
                <w:color w:val="auto"/>
              </w:rPr>
              <w:t>Liability for Marriott Rewards customer loyalty program</w:t>
            </w:r>
          </w:p>
        </w:tc>
        <w:tc>
          <w:tcPr>
            <w:tcW w:w="220" w:type="dxa"/>
            <w:vAlign w:val="bottom"/>
          </w:tcPr>
          <w:p>
            <w:pPr>
              <w:spacing w:after="0"/>
              <w:rPr>
                <w:sz w:val="14"/>
                <w:szCs w:val="14"/>
                <w:color w:val="auto"/>
              </w:rPr>
            </w:pPr>
          </w:p>
        </w:tc>
        <w:tc>
          <w:tcPr>
            <w:tcW w:w="13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(36)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(4,474)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Deferred compensation liability</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4,406</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44"/>
              <w:spacing w:after="0" w:line="162" w:lineRule="exact"/>
              <w:rPr>
                <w:sz w:val="20"/>
                <w:szCs w:val="20"/>
                <w:color w:val="auto"/>
              </w:rPr>
            </w:pPr>
            <w:r>
              <w:rPr>
                <w:rFonts w:ascii="Arial" w:cs="Arial" w:eastAsia="Arial" w:hAnsi="Arial"/>
                <w:sz w:val="15"/>
                <w:szCs w:val="15"/>
                <w:color w:val="auto"/>
              </w:rPr>
              <w:t>2,921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ind w:left="600"/>
              <w:spacing w:after="0" w:line="162" w:lineRule="exact"/>
              <w:rPr>
                <w:sz w:val="20"/>
                <w:szCs w:val="20"/>
                <w:color w:val="auto"/>
              </w:rPr>
            </w:pPr>
            <w:r>
              <w:rPr>
                <w:rFonts w:ascii="Arial" w:cs="Arial" w:eastAsia="Arial" w:hAnsi="Arial"/>
                <w:sz w:val="15"/>
                <w:szCs w:val="15"/>
                <w:color w:val="auto"/>
              </w:rPr>
              <w:t>Other liabilities</w:t>
            </w:r>
          </w:p>
        </w:tc>
        <w:tc>
          <w:tcPr>
            <w:tcW w:w="220" w:type="dxa"/>
            <w:vAlign w:val="bottom"/>
          </w:tcPr>
          <w:p>
            <w:pPr>
              <w:spacing w:after="0"/>
              <w:rPr>
                <w:sz w:val="14"/>
                <w:szCs w:val="14"/>
                <w:color w:val="auto"/>
              </w:rPr>
            </w:pPr>
          </w:p>
        </w:tc>
        <w:tc>
          <w:tcPr>
            <w:tcW w:w="132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39,399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144"/>
              <w:spacing w:after="0" w:line="162" w:lineRule="exact"/>
              <w:rPr>
                <w:sz w:val="20"/>
                <w:szCs w:val="20"/>
                <w:color w:val="auto"/>
              </w:rPr>
            </w:pPr>
            <w:r>
              <w:rPr>
                <w:rFonts w:ascii="Arial" w:cs="Arial" w:eastAsia="Arial" w:hAnsi="Arial"/>
                <w:sz w:val="15"/>
                <w:szCs w:val="15"/>
                <w:color w:val="auto"/>
              </w:rPr>
              <w:t>27,937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net</w:t>
            </w:r>
          </w:p>
        </w:tc>
        <w:tc>
          <w:tcPr>
            <w:tcW w:w="2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(313)</w:t>
            </w:r>
          </w:p>
        </w:tc>
        <w:tc>
          <w:tcPr>
            <w:tcW w:w="1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(50)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40" w:type="dxa"/>
            <w:vAlign w:val="bottom"/>
          </w:tcPr>
          <w:p>
            <w:pPr>
              <w:ind w:left="900"/>
              <w:spacing w:after="0" w:line="169" w:lineRule="exact"/>
              <w:rPr>
                <w:sz w:val="20"/>
                <w:szCs w:val="20"/>
                <w:color w:val="auto"/>
              </w:rPr>
            </w:pPr>
            <w:r>
              <w:rPr>
                <w:rFonts w:ascii="Arial" w:cs="Arial" w:eastAsia="Arial" w:hAnsi="Arial"/>
                <w:sz w:val="15"/>
                <w:szCs w:val="15"/>
                <w:color w:val="auto"/>
              </w:rPr>
              <w:t>Net cash provided by operating activities</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24"/>
              <w:spacing w:after="0" w:line="169" w:lineRule="exact"/>
              <w:rPr>
                <w:sz w:val="20"/>
                <w:szCs w:val="20"/>
                <w:color w:val="auto"/>
              </w:rPr>
            </w:pPr>
            <w:r>
              <w:rPr>
                <w:rFonts w:ascii="Arial" w:cs="Arial" w:eastAsia="Arial" w:hAnsi="Arial"/>
                <w:sz w:val="15"/>
                <w:szCs w:val="15"/>
                <w:color w:val="auto"/>
              </w:rPr>
              <w:t>9,878</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44"/>
              <w:spacing w:after="0" w:line="169" w:lineRule="exact"/>
              <w:rPr>
                <w:sz w:val="20"/>
                <w:szCs w:val="20"/>
                <w:color w:val="auto"/>
              </w:rPr>
            </w:pPr>
            <w:r>
              <w:rPr>
                <w:rFonts w:ascii="Arial" w:cs="Arial" w:eastAsia="Arial" w:hAnsi="Arial"/>
                <w:sz w:val="15"/>
                <w:szCs w:val="15"/>
                <w:color w:val="auto"/>
              </w:rPr>
              <w:t>32,069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ind w:left="300"/>
              <w:spacing w:after="0" w:line="162" w:lineRule="exact"/>
              <w:rPr>
                <w:sz w:val="20"/>
                <w:szCs w:val="20"/>
                <w:color w:val="auto"/>
              </w:rPr>
            </w:pPr>
            <w:r>
              <w:rPr>
                <w:rFonts w:ascii="Arial" w:cs="Arial" w:eastAsia="Arial" w:hAnsi="Arial"/>
                <w:sz w:val="15"/>
                <w:szCs w:val="15"/>
                <w:color w:val="auto"/>
              </w:rPr>
              <w:t>Capital expenditures for property and equipment (excluding inventory)</w:t>
            </w:r>
          </w:p>
        </w:tc>
        <w:tc>
          <w:tcPr>
            <w:tcW w:w="220" w:type="dxa"/>
            <w:vAlign w:val="bottom"/>
          </w:tcPr>
          <w:p>
            <w:pPr>
              <w:spacing w:after="0"/>
              <w:rPr>
                <w:sz w:val="14"/>
                <w:szCs w:val="14"/>
                <w:color w:val="auto"/>
              </w:rPr>
            </w:pPr>
          </w:p>
        </w:tc>
        <w:tc>
          <w:tcPr>
            <w:tcW w:w="13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(6,331)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(10,562)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Decrease in restricted cash</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16,133</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44"/>
              <w:spacing w:after="0" w:line="162" w:lineRule="exact"/>
              <w:rPr>
                <w:sz w:val="20"/>
                <w:szCs w:val="20"/>
                <w:color w:val="auto"/>
              </w:rPr>
            </w:pPr>
            <w:r>
              <w:rPr>
                <w:rFonts w:ascii="Arial" w:cs="Arial" w:eastAsia="Arial" w:hAnsi="Arial"/>
                <w:sz w:val="15"/>
                <w:szCs w:val="15"/>
                <w:color w:val="auto"/>
              </w:rPr>
              <w:t>47,103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140" w:type="dxa"/>
            <w:vAlign w:val="bottom"/>
          </w:tcPr>
          <w:p>
            <w:pPr>
              <w:ind w:left="300"/>
              <w:spacing w:after="0" w:line="162" w:lineRule="exact"/>
              <w:rPr>
                <w:sz w:val="20"/>
                <w:szCs w:val="20"/>
                <w:color w:val="auto"/>
              </w:rPr>
            </w:pPr>
            <w:r>
              <w:rPr>
                <w:rFonts w:ascii="Arial" w:cs="Arial" w:eastAsia="Arial" w:hAnsi="Arial"/>
                <w:sz w:val="15"/>
                <w:szCs w:val="15"/>
                <w:color w:val="auto"/>
              </w:rPr>
              <w:t>Dispositions, net</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24"/>
              <w:spacing w:after="0" w:line="162" w:lineRule="exact"/>
              <w:rPr>
                <w:sz w:val="20"/>
                <w:szCs w:val="20"/>
                <w:color w:val="auto"/>
              </w:rPr>
            </w:pPr>
            <w:r>
              <w:rPr>
                <w:rFonts w:ascii="Arial" w:cs="Arial" w:eastAsia="Arial" w:hAnsi="Arial"/>
                <w:sz w:val="15"/>
                <w:szCs w:val="15"/>
                <w:color w:val="auto"/>
              </w:rPr>
              <w:t>9</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44"/>
              <w:spacing w:after="0" w:line="162" w:lineRule="exact"/>
              <w:rPr>
                <w:sz w:val="20"/>
                <w:szCs w:val="20"/>
                <w:color w:val="auto"/>
              </w:rPr>
            </w:pPr>
            <w:r>
              <w:rPr>
                <w:rFonts w:ascii="Arial" w:cs="Arial" w:eastAsia="Arial" w:hAnsi="Arial"/>
                <w:sz w:val="15"/>
                <w:szCs w:val="15"/>
                <w:color w:val="auto"/>
              </w:rPr>
              <w:t>197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900"/>
              <w:spacing w:after="0" w:line="162" w:lineRule="exact"/>
              <w:rPr>
                <w:sz w:val="20"/>
                <w:szCs w:val="20"/>
                <w:color w:val="auto"/>
              </w:rPr>
            </w:pPr>
            <w:r>
              <w:rPr>
                <w:rFonts w:ascii="Arial" w:cs="Arial" w:eastAsia="Arial" w:hAnsi="Arial"/>
                <w:sz w:val="15"/>
                <w:szCs w:val="15"/>
                <w:color w:val="auto"/>
              </w:rPr>
              <w:t>Net cash provided by investing activities</w:t>
            </w:r>
          </w:p>
        </w:tc>
        <w:tc>
          <w:tcPr>
            <w:tcW w:w="2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9,811</w:t>
            </w:r>
          </w:p>
        </w:tc>
        <w:tc>
          <w:tcPr>
            <w:tcW w:w="1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44"/>
              <w:spacing w:after="0" w:line="162" w:lineRule="exact"/>
              <w:rPr>
                <w:sz w:val="20"/>
                <w:szCs w:val="20"/>
                <w:color w:val="auto"/>
              </w:rPr>
            </w:pPr>
            <w:r>
              <w:rPr>
                <w:rFonts w:ascii="Arial" w:cs="Arial" w:eastAsia="Arial" w:hAnsi="Arial"/>
                <w:sz w:val="15"/>
                <w:szCs w:val="15"/>
                <w:color w:val="auto"/>
              </w:rPr>
              <w:t>36,738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160" w:type="dxa"/>
            <w:vAlign w:val="bottom"/>
            <w:gridSpan w:val="2"/>
          </w:tcPr>
          <w:p>
            <w:pPr>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140" w:type="dxa"/>
            <w:vAlign w:val="bottom"/>
            <w:shd w:val="clear" w:color="auto" w:fill="CCEEFF"/>
          </w:tcPr>
          <w:p>
            <w:pPr>
              <w:ind w:left="300"/>
              <w:spacing w:after="0" w:line="165" w:lineRule="exact"/>
              <w:rPr>
                <w:sz w:val="20"/>
                <w:szCs w:val="20"/>
                <w:color w:val="auto"/>
              </w:rPr>
            </w:pPr>
            <w:r>
              <w:rPr>
                <w:rFonts w:ascii="Arial" w:cs="Arial" w:eastAsia="Arial" w:hAnsi="Arial"/>
                <w:sz w:val="15"/>
                <w:szCs w:val="15"/>
                <w:color w:val="auto"/>
              </w:rPr>
              <w:t>Borrowings from securitization transactions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5" w:lineRule="exact"/>
              <w:rPr>
                <w:sz w:val="20"/>
                <w:szCs w:val="20"/>
                <w:color w:val="auto"/>
              </w:rPr>
            </w:pPr>
            <w:r>
              <w:rPr>
                <w:rFonts w:ascii="Arial" w:cs="Arial" w:eastAsia="Arial" w:hAnsi="Arial"/>
                <w:sz w:val="15"/>
                <w:szCs w:val="15"/>
                <w:color w:val="auto"/>
              </w:rPr>
              <w:t>51,130</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60"/>
              <w:spacing w:after="0" w:line="16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ind w:left="300"/>
              <w:spacing w:after="0" w:line="162" w:lineRule="exact"/>
              <w:rPr>
                <w:sz w:val="20"/>
                <w:szCs w:val="20"/>
                <w:color w:val="auto"/>
              </w:rPr>
            </w:pPr>
            <w:r>
              <w:rPr>
                <w:rFonts w:ascii="Arial" w:cs="Arial" w:eastAsia="Arial" w:hAnsi="Arial"/>
                <w:sz w:val="15"/>
                <w:szCs w:val="15"/>
                <w:color w:val="auto"/>
              </w:rPr>
              <w:t>Repayment of debt related to securitization transactions</w:t>
            </w:r>
          </w:p>
        </w:tc>
        <w:tc>
          <w:tcPr>
            <w:tcW w:w="220" w:type="dxa"/>
            <w:vAlign w:val="bottom"/>
          </w:tcPr>
          <w:p>
            <w:pPr>
              <w:spacing w:after="0"/>
              <w:rPr>
                <w:sz w:val="14"/>
                <w:szCs w:val="14"/>
                <w:color w:val="auto"/>
              </w:rPr>
            </w:pPr>
          </w:p>
        </w:tc>
        <w:tc>
          <w:tcPr>
            <w:tcW w:w="13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(47,711)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(78,811)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Proceeds from vacation ownership inventory arrangement</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44"/>
              <w:spacing w:after="0" w:line="162" w:lineRule="exact"/>
              <w:rPr>
                <w:sz w:val="20"/>
                <w:szCs w:val="20"/>
                <w:color w:val="auto"/>
              </w:rPr>
            </w:pPr>
            <w:r>
              <w:rPr>
                <w:rFonts w:ascii="Arial" w:cs="Arial" w:eastAsia="Arial" w:hAnsi="Arial"/>
                <w:sz w:val="15"/>
                <w:szCs w:val="15"/>
                <w:color w:val="auto"/>
              </w:rPr>
              <w:t>5,375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ind w:left="300"/>
              <w:spacing w:after="0" w:line="162" w:lineRule="exact"/>
              <w:rPr>
                <w:sz w:val="20"/>
                <w:szCs w:val="20"/>
                <w:color w:val="auto"/>
              </w:rPr>
            </w:pPr>
            <w:r>
              <w:rPr>
                <w:rFonts w:ascii="Arial" w:cs="Arial" w:eastAsia="Arial" w:hAnsi="Arial"/>
                <w:sz w:val="15"/>
                <w:szCs w:val="15"/>
                <w:color w:val="auto"/>
              </w:rPr>
              <w:t>Repurchase of common stock</w:t>
            </w:r>
          </w:p>
        </w:tc>
        <w:tc>
          <w:tcPr>
            <w:tcW w:w="220" w:type="dxa"/>
            <w:vAlign w:val="bottom"/>
          </w:tcPr>
          <w:p>
            <w:pPr>
              <w:spacing w:after="0"/>
              <w:rPr>
                <w:sz w:val="14"/>
                <w:szCs w:val="14"/>
                <w:color w:val="auto"/>
              </w:rPr>
            </w:pPr>
          </w:p>
        </w:tc>
        <w:tc>
          <w:tcPr>
            <w:tcW w:w="13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(73,228)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(51,281)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Payment of dividends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(17,585)</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(8,081)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ind w:left="300"/>
              <w:spacing w:after="0" w:line="162" w:lineRule="exact"/>
              <w:rPr>
                <w:sz w:val="20"/>
                <w:szCs w:val="20"/>
                <w:color w:val="auto"/>
              </w:rPr>
            </w:pPr>
            <w:r>
              <w:rPr>
                <w:rFonts w:ascii="Arial" w:cs="Arial" w:eastAsia="Arial" w:hAnsi="Arial"/>
                <w:sz w:val="15"/>
                <w:szCs w:val="15"/>
                <w:color w:val="auto"/>
              </w:rPr>
              <w:t>Proceeds from stock option exercises</w:t>
            </w:r>
          </w:p>
        </w:tc>
        <w:tc>
          <w:tcPr>
            <w:tcW w:w="220" w:type="dxa"/>
            <w:vAlign w:val="bottom"/>
          </w:tcPr>
          <w:p>
            <w:pPr>
              <w:spacing w:after="0"/>
              <w:rPr>
                <w:sz w:val="14"/>
                <w:szCs w:val="14"/>
                <w:color w:val="auto"/>
              </w:rPr>
            </w:pPr>
          </w:p>
        </w:tc>
        <w:tc>
          <w:tcPr>
            <w:tcW w:w="132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144"/>
              <w:spacing w:after="0" w:line="162" w:lineRule="exact"/>
              <w:rPr>
                <w:sz w:val="20"/>
                <w:szCs w:val="20"/>
                <w:color w:val="auto"/>
              </w:rPr>
            </w:pPr>
            <w:r>
              <w:rPr>
                <w:rFonts w:ascii="Arial" w:cs="Arial" w:eastAsia="Arial" w:hAnsi="Arial"/>
                <w:sz w:val="15"/>
                <w:szCs w:val="15"/>
                <w:color w:val="auto"/>
              </w:rPr>
              <w:t>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Payment of withholding taxes on vesting of restricted stock units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(3,864)</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(9,061)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140" w:type="dxa"/>
            <w:vAlign w:val="bottom"/>
          </w:tcPr>
          <w:p>
            <w:pPr>
              <w:ind w:left="300"/>
              <w:spacing w:after="0" w:line="162" w:lineRule="exact"/>
              <w:rPr>
                <w:sz w:val="20"/>
                <w:szCs w:val="20"/>
                <w:color w:val="auto"/>
              </w:rPr>
            </w:pPr>
            <w:r>
              <w:rPr>
                <w:rFonts w:ascii="Arial" w:cs="Arial" w:eastAsia="Arial" w:hAnsi="Arial"/>
                <w:sz w:val="15"/>
                <w:szCs w:val="15"/>
                <w:color w:val="auto"/>
              </w:rPr>
              <w:t>Other</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24"/>
              <w:spacing w:after="0" w:line="162" w:lineRule="exact"/>
              <w:rPr>
                <w:sz w:val="20"/>
                <w:szCs w:val="20"/>
                <w:color w:val="auto"/>
              </w:rPr>
            </w:pPr>
            <w:r>
              <w:rPr>
                <w:rFonts w:ascii="Arial" w:cs="Arial" w:eastAsia="Arial" w:hAnsi="Arial"/>
                <w:sz w:val="15"/>
                <w:szCs w:val="15"/>
                <w:color w:val="auto"/>
              </w:rPr>
              <w:t>591</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44"/>
              <w:spacing w:after="0" w:line="162" w:lineRule="exact"/>
              <w:rPr>
                <w:sz w:val="20"/>
                <w:szCs w:val="20"/>
                <w:color w:val="auto"/>
              </w:rPr>
            </w:pPr>
            <w:r>
              <w:rPr>
                <w:rFonts w:ascii="Arial" w:cs="Arial" w:eastAsia="Arial" w:hAnsi="Arial"/>
                <w:sz w:val="15"/>
                <w:szCs w:val="15"/>
                <w:color w:val="auto"/>
              </w:rPr>
              <w:t>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900"/>
              <w:spacing w:after="0" w:line="162" w:lineRule="exact"/>
              <w:rPr>
                <w:sz w:val="20"/>
                <w:szCs w:val="20"/>
                <w:color w:val="auto"/>
              </w:rPr>
            </w:pPr>
            <w:r>
              <w:rPr>
                <w:rFonts w:ascii="Arial" w:cs="Arial" w:eastAsia="Arial" w:hAnsi="Arial"/>
                <w:sz w:val="15"/>
                <w:szCs w:val="15"/>
                <w:color w:val="auto"/>
              </w:rPr>
              <w:t>Net cash used in financing activities</w:t>
            </w:r>
          </w:p>
        </w:tc>
        <w:tc>
          <w:tcPr>
            <w:tcW w:w="2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(90,667)</w:t>
            </w:r>
          </w:p>
        </w:tc>
        <w:tc>
          <w:tcPr>
            <w:tcW w:w="1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(141,689)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140" w:type="dxa"/>
            <w:vAlign w:val="bottom"/>
          </w:tcPr>
          <w:p>
            <w:pPr>
              <w:ind w:left="300"/>
              <w:spacing w:after="0" w:line="169" w:lineRule="exact"/>
              <w:rPr>
                <w:sz w:val="20"/>
                <w:szCs w:val="20"/>
                <w:color w:val="auto"/>
              </w:rPr>
            </w:pPr>
            <w:r>
              <w:rPr>
                <w:rFonts w:ascii="Arial" w:cs="Arial" w:eastAsia="Arial" w:hAnsi="Arial"/>
                <w:sz w:val="15"/>
                <w:szCs w:val="15"/>
                <w:color w:val="auto"/>
              </w:rPr>
              <w:t>Effect of changes in exchange rates on cash and cash equivalents</w:t>
            </w:r>
          </w:p>
        </w:tc>
        <w:tc>
          <w:tcPr>
            <w:tcW w:w="220" w:type="dxa"/>
            <w:vAlign w:val="bottom"/>
          </w:tcPr>
          <w:p>
            <w:pPr>
              <w:spacing w:after="0"/>
              <w:rPr>
                <w:sz w:val="14"/>
                <w:szCs w:val="14"/>
                <w:color w:val="auto"/>
              </w:rPr>
            </w:pPr>
          </w:p>
        </w:tc>
        <w:tc>
          <w:tcPr>
            <w:tcW w:w="1320" w:type="dxa"/>
            <w:vAlign w:val="bottom"/>
          </w:tcPr>
          <w:p>
            <w:pPr>
              <w:jc w:val="right"/>
              <w:ind w:right="124"/>
              <w:spacing w:after="0" w:line="169" w:lineRule="exact"/>
              <w:rPr>
                <w:sz w:val="20"/>
                <w:szCs w:val="20"/>
                <w:color w:val="auto"/>
              </w:rPr>
            </w:pPr>
            <w:r>
              <w:rPr>
                <w:rFonts w:ascii="Arial" w:cs="Arial" w:eastAsia="Arial" w:hAnsi="Arial"/>
                <w:sz w:val="15"/>
                <w:szCs w:val="15"/>
                <w:color w:val="auto"/>
              </w:rPr>
              <w:t>530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124"/>
              <w:spacing w:after="0" w:line="169" w:lineRule="exact"/>
              <w:rPr>
                <w:sz w:val="20"/>
                <w:szCs w:val="20"/>
                <w:color w:val="auto"/>
              </w:rPr>
            </w:pPr>
            <w:r>
              <w:rPr>
                <w:rFonts w:ascii="Arial" w:cs="Arial" w:eastAsia="Arial" w:hAnsi="Arial"/>
                <w:sz w:val="15"/>
                <w:szCs w:val="15"/>
                <w:color w:val="auto"/>
              </w:rPr>
              <w:t>(1,453)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DECREASE IN CASH AND CASH EQUIVALENTS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(70,448)</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(74,335)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140" w:type="dxa"/>
            <w:vAlign w:val="bottom"/>
          </w:tcPr>
          <w:p>
            <w:pPr>
              <w:spacing w:after="0" w:line="162" w:lineRule="exact"/>
              <w:rPr>
                <w:sz w:val="20"/>
                <w:szCs w:val="20"/>
                <w:color w:val="auto"/>
              </w:rPr>
            </w:pPr>
            <w:r>
              <w:rPr>
                <w:rFonts w:ascii="Arial" w:cs="Arial" w:eastAsia="Arial" w:hAnsi="Arial"/>
                <w:sz w:val="15"/>
                <w:szCs w:val="15"/>
                <w:color w:val="auto"/>
              </w:rPr>
              <w:t>CASH AND CASH EQUIVALENTS, beginning of period</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24"/>
              <w:spacing w:after="0" w:line="162" w:lineRule="exact"/>
              <w:rPr>
                <w:sz w:val="20"/>
                <w:szCs w:val="20"/>
                <w:color w:val="auto"/>
              </w:rPr>
            </w:pPr>
            <w:r>
              <w:rPr>
                <w:rFonts w:ascii="Arial" w:cs="Arial" w:eastAsia="Arial" w:hAnsi="Arial"/>
                <w:sz w:val="15"/>
                <w:szCs w:val="15"/>
                <w:color w:val="auto"/>
              </w:rPr>
              <w:t>177,061</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44"/>
              <w:spacing w:after="0" w:line="162" w:lineRule="exact"/>
              <w:rPr>
                <w:sz w:val="20"/>
                <w:szCs w:val="20"/>
                <w:color w:val="auto"/>
              </w:rPr>
            </w:pPr>
            <w:r>
              <w:rPr>
                <w:rFonts w:ascii="Arial" w:cs="Arial" w:eastAsia="Arial" w:hAnsi="Arial"/>
                <w:sz w:val="15"/>
                <w:szCs w:val="15"/>
                <w:color w:val="auto"/>
              </w:rPr>
              <w:t>346,515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end of period</w:t>
            </w:r>
          </w:p>
        </w:tc>
        <w:tc>
          <w:tcPr>
            <w:tcW w:w="22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106,613</w:t>
            </w:r>
          </w:p>
        </w:tc>
        <w:tc>
          <w:tcPr>
            <w:tcW w:w="3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144"/>
              <w:spacing w:after="0" w:line="162" w:lineRule="exact"/>
              <w:rPr>
                <w:sz w:val="20"/>
                <w:szCs w:val="20"/>
                <w:color w:val="auto"/>
              </w:rPr>
            </w:pPr>
            <w:r>
              <w:rPr>
                <w:rFonts w:ascii="Arial" w:cs="Arial" w:eastAsia="Arial" w:hAnsi="Arial"/>
                <w:sz w:val="15"/>
                <w:szCs w:val="15"/>
                <w:color w:val="auto"/>
              </w:rPr>
              <w:t>272,180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140" w:type="dxa"/>
            <w:vAlign w:val="bottom"/>
            <w:shd w:val="clear" w:color="auto" w:fill="CCEEFF"/>
          </w:tcPr>
          <w:p>
            <w:pPr>
              <w:ind w:left="300"/>
              <w:spacing w:after="0" w:line="165" w:lineRule="exact"/>
              <w:rPr>
                <w:sz w:val="20"/>
                <w:szCs w:val="20"/>
                <w:color w:val="auto"/>
              </w:rPr>
            </w:pPr>
            <w:r>
              <w:rPr>
                <w:rFonts w:ascii="Arial" w:cs="Arial" w:eastAsia="Arial" w:hAnsi="Arial"/>
                <w:sz w:val="15"/>
                <w:szCs w:val="15"/>
                <w:color w:val="auto"/>
              </w:rPr>
              <w:t>Non-cash issuance of note receivable</w:t>
            </w:r>
          </w:p>
        </w:tc>
        <w:tc>
          <w:tcPr>
            <w:tcW w:w="220" w:type="dxa"/>
            <w:vAlign w:val="bottom"/>
            <w:shd w:val="clear" w:color="auto" w:fill="CCEEFF"/>
          </w:tcPr>
          <w:p>
            <w:pPr>
              <w:jc w:val="right"/>
              <w:ind w:right="3"/>
              <w:spacing w:after="0" w:line="165" w:lineRule="exact"/>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124"/>
              <w:spacing w:after="0" w:line="165" w:lineRule="exact"/>
              <w:rPr>
                <w:sz w:val="20"/>
                <w:szCs w:val="20"/>
                <w:color w:val="auto"/>
              </w:rPr>
            </w:pPr>
            <w:r>
              <w:rPr>
                <w:rFonts w:ascii="Arial" w:cs="Arial" w:eastAsia="Arial" w:hAnsi="Arial"/>
                <w:sz w:val="15"/>
                <w:szCs w:val="15"/>
                <w:color w:val="auto"/>
              </w:rPr>
              <w:t>—</w:t>
            </w:r>
          </w:p>
        </w:tc>
        <w:tc>
          <w:tcPr>
            <w:tcW w:w="360" w:type="dxa"/>
            <w:vAlign w:val="bottom"/>
            <w:gridSpan w:val="2"/>
            <w:shd w:val="clear" w:color="auto" w:fill="CCEEFF"/>
          </w:tcPr>
          <w:p>
            <w:pPr>
              <w:jc w:val="right"/>
              <w:ind w:right="60"/>
              <w:spacing w:after="0" w:line="165" w:lineRule="exact"/>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124"/>
              <w:spacing w:after="0" w:line="165" w:lineRule="exact"/>
              <w:rPr>
                <w:sz w:val="20"/>
                <w:szCs w:val="20"/>
                <w:color w:val="auto"/>
              </w:rPr>
            </w:pPr>
            <w:r>
              <w:rPr>
                <w:rFonts w:ascii="Arial" w:cs="Arial" w:eastAsia="Arial" w:hAnsi="Arial"/>
                <w:sz w:val="15"/>
                <w:szCs w:val="15"/>
                <w:color w:val="auto"/>
              </w:rPr>
              <w:t>(500)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ind w:left="300"/>
              <w:spacing w:after="0" w:line="162" w:lineRule="exact"/>
              <w:rPr>
                <w:sz w:val="20"/>
                <w:szCs w:val="20"/>
                <w:color w:val="auto"/>
              </w:rPr>
            </w:pPr>
            <w:r>
              <w:rPr>
                <w:rFonts w:ascii="Arial" w:cs="Arial" w:eastAsia="Arial" w:hAnsi="Arial"/>
                <w:sz w:val="15"/>
                <w:szCs w:val="15"/>
                <w:color w:val="auto"/>
              </w:rPr>
              <w:t>Property acquired via capital lease</w:t>
            </w:r>
          </w:p>
        </w:tc>
        <w:tc>
          <w:tcPr>
            <w:tcW w:w="220" w:type="dxa"/>
            <w:vAlign w:val="bottom"/>
          </w:tcPr>
          <w:p>
            <w:pPr>
              <w:spacing w:after="0"/>
              <w:rPr>
                <w:sz w:val="14"/>
                <w:szCs w:val="14"/>
                <w:color w:val="auto"/>
              </w:rPr>
            </w:pPr>
          </w:p>
        </w:tc>
        <w:tc>
          <w:tcPr>
            <w:tcW w:w="132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7,221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Non-cash transfer of Property and equipment to assets held for sale, within Other assets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45,201</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117" w:lineRule="exact"/>
        <w:rPr>
          <w:sz w:val="20"/>
          <w:szCs w:val="20"/>
          <w:color w:val="auto"/>
        </w:rPr>
      </w:pPr>
    </w:p>
    <w:p>
      <w:pPr>
        <w:ind w:right="60" w:firstLine="1141"/>
        <w:spacing w:after="0" w:line="255" w:lineRule="auto"/>
        <w:rPr>
          <w:sz w:val="20"/>
          <w:szCs w:val="20"/>
          <w:color w:val="auto"/>
        </w:rPr>
      </w:pPr>
      <w:r>
        <w:rPr>
          <w:rFonts w:ascii="Arial" w:cs="Arial" w:eastAsia="Arial" w:hAnsi="Arial"/>
          <w:sz w:val="18"/>
          <w:szCs w:val="18"/>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(“The Ritz-Carlton Hotel Company”), a subsidiary of Marriott International, Inc. (“Marriott International”), provides on-site management for Ritz-Carlton branded properties.</w:t>
      </w:r>
    </w:p>
    <w:p>
      <w:pPr>
        <w:spacing w:after="0" w:line="81" w:lineRule="exact"/>
        <w:rPr>
          <w:sz w:val="20"/>
          <w:szCs w:val="20"/>
          <w:color w:val="auto"/>
        </w:rPr>
      </w:pPr>
    </w:p>
    <w:p>
      <w:pPr>
        <w:ind w:right="180" w:firstLine="1141"/>
        <w:spacing w:after="0" w:line="259" w:lineRule="auto"/>
        <w:rPr>
          <w:sz w:val="20"/>
          <w:szCs w:val="20"/>
          <w:color w:val="auto"/>
        </w:rPr>
      </w:pPr>
      <w:r>
        <w:rPr>
          <w:rFonts w:ascii="Arial" w:cs="Arial" w:eastAsia="Arial" w:hAnsi="Arial"/>
          <w:sz w:val="18"/>
          <w:szCs w:val="18"/>
          <w:color w:val="auto"/>
        </w:rPr>
        <w:t>Our business is grouped into three reportable segments: North America, Europe and Asia Pacific. As of March 25, 2016, our portfolio consisted of over 60 properties in the United States and eight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117" w:lineRule="exact"/>
        <w:rPr>
          <w:sz w:val="20"/>
          <w:szCs w:val="20"/>
          <w:color w:val="auto"/>
        </w:rPr>
      </w:pPr>
    </w:p>
    <w:p>
      <w:pPr>
        <w:ind w:right="160" w:firstLine="1141"/>
        <w:spacing w:after="0" w:line="255" w:lineRule="auto"/>
        <w:rPr>
          <w:sz w:val="20"/>
          <w:szCs w:val="20"/>
          <w:color w:val="auto"/>
        </w:rPr>
      </w:pPr>
      <w:r>
        <w:rPr>
          <w:rFonts w:ascii="Arial" w:cs="Arial" w:eastAsia="Arial" w:hAnsi="Arial"/>
          <w:sz w:val="18"/>
          <w:szCs w:val="18"/>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Intercompany accounts and transactions between consolidated companies have been eliminated in consolidation. The interim consolidated financial statements reflect our financial position, results of operations and cash flows as prepared in conformity with United States Generally Accepted Accounting Principles (“GAAP”).</w:t>
      </w:r>
    </w:p>
    <w:p>
      <w:pPr>
        <w:spacing w:after="0" w:line="85" w:lineRule="exact"/>
        <w:rPr>
          <w:sz w:val="20"/>
          <w:szCs w:val="20"/>
          <w:color w:val="auto"/>
        </w:rPr>
      </w:pPr>
    </w:p>
    <w:p>
      <w:pPr>
        <w:jc w:val="both"/>
        <w:ind w:right="600" w:firstLine="1141"/>
        <w:spacing w:after="0" w:line="302" w:lineRule="auto"/>
        <w:rPr>
          <w:sz w:val="20"/>
          <w:szCs w:val="20"/>
          <w:color w:val="auto"/>
        </w:rPr>
      </w:pPr>
      <w:r>
        <w:rPr>
          <w:rFonts w:ascii="Arial" w:cs="Arial" w:eastAsia="Arial" w:hAnsi="Arial"/>
          <w:sz w:val="16"/>
          <w:szCs w:val="16"/>
          <w:color w:val="auto"/>
        </w:rPr>
        <w:t>In order to make this report easier to read, we refer throughout to (i) our Interim Consolidated Financial Statements as our “Financial Statements,” (ii) 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w:t>
      </w:r>
    </w:p>
    <w:p>
      <w:pPr>
        <w:spacing w:after="0" w:line="46" w:lineRule="exact"/>
        <w:rPr>
          <w:sz w:val="20"/>
          <w:szCs w:val="20"/>
          <w:color w:val="auto"/>
        </w:rPr>
      </w:pPr>
    </w:p>
    <w:p>
      <w:pPr>
        <w:ind w:right="280" w:firstLine="1141"/>
        <w:spacing w:after="0" w:line="277" w:lineRule="auto"/>
        <w:rPr>
          <w:sz w:val="20"/>
          <w:szCs w:val="20"/>
          <w:color w:val="auto"/>
        </w:rPr>
      </w:pPr>
      <w:r>
        <w:rPr>
          <w:rFonts w:ascii="Arial" w:cs="Arial" w:eastAsia="Arial" w:hAnsi="Arial"/>
          <w:sz w:val="18"/>
          <w:szCs w:val="18"/>
          <w:color w:val="auto"/>
        </w:rPr>
        <w:t>Unless otherwise specified, each reference to a particular quarter in these Financial Statements means the twelve weeks ended on the date shown in the following table, rather than the corresponding calendar quarter:</w:t>
      </w:r>
    </w:p>
    <w:p>
      <w:pPr>
        <w:spacing w:after="0" w:line="68" w:lineRule="exact"/>
        <w:rPr>
          <w:sz w:val="20"/>
          <w:szCs w:val="20"/>
          <w:color w:val="auto"/>
        </w:rPr>
      </w:pPr>
    </w:p>
    <w:tbl>
      <w:tblPr>
        <w:tblLayout w:type="fixed"/>
        <w:tblInd w:w="1500" w:type="dxa"/>
        <w:tblCellMar>
          <w:top w:w="0" w:type="dxa"/>
          <w:left w:w="0" w:type="dxa"/>
          <w:bottom w:w="0" w:type="dxa"/>
          <w:right w:w="0" w:type="dxa"/>
        </w:tblCellMar>
      </w:tblPr>
      <w:tr>
        <w:trPr>
          <w:trHeight w:val="185"/>
        </w:trPr>
        <w:tc>
          <w:tcPr>
            <w:tcW w:w="4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Fiscal Year</w:t>
            </w:r>
          </w:p>
        </w:tc>
        <w:tc>
          <w:tcPr>
            <w:tcW w:w="3720" w:type="dxa"/>
            <w:vAlign w:val="bottom"/>
          </w:tcPr>
          <w:p>
            <w:pPr>
              <w:ind w:left="1340"/>
              <w:spacing w:after="0"/>
              <w:rPr>
                <w:sz w:val="20"/>
                <w:szCs w:val="20"/>
                <w:color w:val="auto"/>
              </w:rPr>
            </w:pPr>
            <w:r>
              <w:rPr>
                <w:rFonts w:ascii="Arial" w:cs="Arial" w:eastAsia="Arial" w:hAnsi="Arial"/>
                <w:sz w:val="14"/>
                <w:szCs w:val="14"/>
                <w:b w:val="1"/>
                <w:bCs w:val="1"/>
                <w:color w:val="auto"/>
              </w:rPr>
              <w:t>Quarter-End Date</w:t>
            </w:r>
          </w:p>
        </w:tc>
      </w:tr>
      <w:tr>
        <w:trPr>
          <w:trHeight w:val="195"/>
        </w:trPr>
        <w:tc>
          <w:tcPr>
            <w:tcW w:w="4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2016 First Quarter</w:t>
            </w:r>
          </w:p>
        </w:tc>
        <w:tc>
          <w:tcPr>
            <w:tcW w:w="160" w:type="dxa"/>
            <w:vAlign w:val="bottom"/>
          </w:tcPr>
          <w:p>
            <w:pPr>
              <w:spacing w:after="0"/>
              <w:rPr>
                <w:sz w:val="16"/>
                <w:szCs w:val="16"/>
                <w:color w:val="auto"/>
              </w:rPr>
            </w:pPr>
          </w:p>
        </w:tc>
        <w:tc>
          <w:tcPr>
            <w:tcW w:w="3720" w:type="dxa"/>
            <w:vAlign w:val="bottom"/>
            <w:tcBorders>
              <w:top w:val="single" w:sz="8" w:color="auto"/>
            </w:tcBorders>
          </w:tcPr>
          <w:p>
            <w:pPr>
              <w:ind w:left="1280"/>
              <w:spacing w:after="0" w:line="195" w:lineRule="exact"/>
              <w:rPr>
                <w:sz w:val="20"/>
                <w:szCs w:val="20"/>
                <w:color w:val="auto"/>
              </w:rPr>
            </w:pPr>
            <w:r>
              <w:rPr>
                <w:rFonts w:ascii="Arial" w:cs="Arial" w:eastAsia="Arial" w:hAnsi="Arial"/>
                <w:sz w:val="18"/>
                <w:szCs w:val="18"/>
                <w:color w:val="auto"/>
              </w:rPr>
              <w:t>March 25, 2016</w:t>
            </w:r>
          </w:p>
        </w:tc>
      </w:tr>
      <w:tr>
        <w:trPr>
          <w:trHeight w:val="230"/>
        </w:trPr>
        <w:tc>
          <w:tcPr>
            <w:tcW w:w="47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2015 First Quarter</w:t>
            </w:r>
          </w:p>
        </w:tc>
        <w:tc>
          <w:tcPr>
            <w:tcW w:w="3720" w:type="dxa"/>
            <w:vAlign w:val="bottom"/>
          </w:tcPr>
          <w:p>
            <w:pPr>
              <w:ind w:left="1280"/>
              <w:spacing w:after="0"/>
              <w:rPr>
                <w:sz w:val="20"/>
                <w:szCs w:val="20"/>
                <w:color w:val="auto"/>
              </w:rPr>
            </w:pPr>
            <w:r>
              <w:rPr>
                <w:rFonts w:ascii="Arial" w:cs="Arial" w:eastAsia="Arial" w:hAnsi="Arial"/>
                <w:sz w:val="18"/>
                <w:szCs w:val="18"/>
                <w:color w:val="auto"/>
              </w:rPr>
              <w:t>March 27, 2015</w:t>
            </w:r>
          </w:p>
        </w:tc>
      </w:tr>
    </w:tbl>
    <w:p>
      <w:pPr>
        <w:spacing w:after="0" w:line="94" w:lineRule="exact"/>
        <w:rPr>
          <w:sz w:val="20"/>
          <w:szCs w:val="20"/>
          <w:color w:val="auto"/>
        </w:rPr>
      </w:pPr>
    </w:p>
    <w:p>
      <w:pPr>
        <w:ind w:firstLine="1141"/>
        <w:spacing w:after="0" w:line="264" w:lineRule="auto"/>
        <w:rPr>
          <w:sz w:val="20"/>
          <w:szCs w:val="20"/>
          <w:color w:val="auto"/>
        </w:rPr>
      </w:pPr>
      <w:r>
        <w:rPr>
          <w:rFonts w:ascii="Arial" w:cs="Arial" w:eastAsia="Arial" w:hAnsi="Arial"/>
          <w:sz w:val="18"/>
          <w:szCs w:val="18"/>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w:t>
      </w:r>
    </w:p>
    <w:p>
      <w:pPr>
        <w:spacing w:after="0" w:line="73" w:lineRule="exact"/>
        <w:rPr>
          <w:sz w:val="20"/>
          <w:szCs w:val="20"/>
          <w:color w:val="auto"/>
        </w:rPr>
      </w:pPr>
    </w:p>
    <w:p>
      <w:pPr>
        <w:ind w:right="100" w:firstLine="1141"/>
        <w:spacing w:after="0" w:line="297" w:lineRule="auto"/>
        <w:rPr>
          <w:sz w:val="20"/>
          <w:szCs w:val="20"/>
          <w:color w:val="auto"/>
        </w:rPr>
      </w:pPr>
      <w:r>
        <w:rPr>
          <w:rFonts w:ascii="Arial" w:cs="Arial" w:eastAsia="Arial" w:hAnsi="Arial"/>
          <w:sz w:val="16"/>
          <w:szCs w:val="16"/>
          <w:color w:val="auto"/>
        </w:rPr>
        <w:t>These Financial Statements have not been audited. Amounts as of January 1, 2016 included in these Financial Statements have been derived from the audited consolidated financial statements as of that date. We have condensed or omitted certain information and footnote disclosures normally included in financial statements presented in accordance with GAAP. Although we believe our footnote disclosures are adequate to make the information presented not misleading, you should read these Financial Statements in conjunction with the consolidated financial statements and notes to those consolidated financial statements included in our Annual Report on Form 10-K for the fiscal year ended January 1, 2016.</w:t>
      </w:r>
    </w:p>
    <w:p>
      <w:pPr>
        <w:spacing w:after="0" w:line="50" w:lineRule="exact"/>
        <w:rPr>
          <w:sz w:val="20"/>
          <w:szCs w:val="20"/>
          <w:color w:val="auto"/>
        </w:rPr>
      </w:pPr>
    </w:p>
    <w:p>
      <w:pPr>
        <w:ind w:right="240" w:firstLine="1141"/>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self-insured medical plan reserves, equity-based compensation, income taxes and loss contingencies. Accordingly, actual amounts may differ from these estimated amounts.</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We have reclassified certain prior year amounts to conform to our current period presentation.</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Accounting Standards Update No. 2016-09 –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(“ASU 2016-09”)</w:t>
      </w:r>
    </w:p>
    <w:p>
      <w:pPr>
        <w:spacing w:after="0" w:line="117" w:lineRule="exact"/>
        <w:rPr>
          <w:sz w:val="20"/>
          <w:szCs w:val="20"/>
          <w:color w:val="auto"/>
        </w:rPr>
      </w:pPr>
    </w:p>
    <w:p>
      <w:pPr>
        <w:ind w:right="60" w:firstLine="1141"/>
        <w:spacing w:after="0" w:line="302" w:lineRule="auto"/>
        <w:rPr>
          <w:sz w:val="20"/>
          <w:szCs w:val="20"/>
          <w:color w:val="auto"/>
        </w:rPr>
      </w:pPr>
      <w:r>
        <w:rPr>
          <w:rFonts w:ascii="Arial" w:cs="Arial" w:eastAsia="Arial" w:hAnsi="Arial"/>
          <w:sz w:val="16"/>
          <w:szCs w:val="16"/>
          <w:color w:val="auto"/>
        </w:rPr>
        <w:t>In March 2016, the Financial Accounting Standards Board (“FASB”) issued Accounting Standards Update (“ASU”) 2016-09 which changes how entities account for certain aspects of share-based payment transactions, including the income tax consequences, classification of awards as either equity or liabilities and classification on the statement of cash flows. The update is effective for annual periods beginning after December 15, 2016 and interim periods within those annual periods. We are evaluating the impact that ASU 2016-09 will have on our financial statements and disclosures.</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Accounting Standards Update No. 2016-02 –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w:t>
      </w:r>
    </w:p>
    <w:p>
      <w:pPr>
        <w:spacing w:after="0" w:line="117" w:lineRule="exact"/>
        <w:rPr>
          <w:sz w:val="20"/>
          <w:szCs w:val="20"/>
          <w:color w:val="auto"/>
        </w:rPr>
      </w:pPr>
    </w:p>
    <w:p>
      <w:pPr>
        <w:ind w:right="60" w:firstLine="1141"/>
        <w:spacing w:after="0" w:line="273" w:lineRule="auto"/>
        <w:rPr>
          <w:sz w:val="20"/>
          <w:szCs w:val="20"/>
          <w:color w:val="auto"/>
        </w:rPr>
      </w:pPr>
      <w:r>
        <w:rPr>
          <w:rFonts w:ascii="Arial" w:cs="Arial" w:eastAsia="Arial" w:hAnsi="Arial"/>
          <w:sz w:val="17"/>
          <w:szCs w:val="17"/>
          <w:color w:val="auto"/>
        </w:rPr>
        <w:t>In February 2016, the FASB issued ASU 2016-02 to increase transparency and comparability of information regarding an entity’s leasing activities by providing additional information to users of financial statements. ASU 2016-02 amends the existing accounting standards for lease accounting, including requiring lessees to recognize most leases on their balance sheets and making targeted changes to lessor accounting. The new standard requires a modified retrospective transition approach for all leases existing at, or entered into after, the date of initial application, with an option to use certain transition relief. This update is effective for annual periods beginning after December 15, 2018, with early adoption permitted. We are evaluating the impact that ASU 2016-02, including the method and timing of implementation, will have on our financial statements and disclosures.</w:t>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Accounting Standards Update No. 2016-01 – “</w:t>
      </w:r>
      <w:r>
        <w:rPr>
          <w:rFonts w:ascii="Arial" w:cs="Arial" w:eastAsia="Arial" w:hAnsi="Arial"/>
          <w:sz w:val="18"/>
          <w:szCs w:val="18"/>
          <w:i w:val="1"/>
          <w:iCs w:val="1"/>
          <w:color w:val="auto"/>
        </w:rPr>
        <w:t>Financial Instruments – Overall (Subtopic 825-10)</w:t>
      </w:r>
      <w:r>
        <w:rPr>
          <w:rFonts w:ascii="Arial" w:cs="Arial" w:eastAsia="Arial" w:hAnsi="Arial"/>
          <w:sz w:val="18"/>
          <w:szCs w:val="18"/>
          <w:color w:val="auto"/>
        </w:rPr>
        <w:t>” (“ASU 2016-01”)</w:t>
      </w:r>
    </w:p>
    <w:p>
      <w:pPr>
        <w:spacing w:after="0" w:line="117" w:lineRule="exact"/>
        <w:rPr>
          <w:sz w:val="20"/>
          <w:szCs w:val="20"/>
          <w:color w:val="auto"/>
        </w:rPr>
      </w:pPr>
    </w:p>
    <w:p>
      <w:pPr>
        <w:ind w:right="180" w:firstLine="1141"/>
        <w:spacing w:after="0" w:line="312" w:lineRule="auto"/>
        <w:rPr>
          <w:sz w:val="20"/>
          <w:szCs w:val="20"/>
          <w:color w:val="auto"/>
        </w:rPr>
      </w:pPr>
      <w:r>
        <w:rPr>
          <w:rFonts w:ascii="Arial" w:cs="Arial" w:eastAsia="Arial" w:hAnsi="Arial"/>
          <w:sz w:val="16"/>
          <w:szCs w:val="16"/>
          <w:color w:val="auto"/>
        </w:rPr>
        <w:t>In January 2016, the FASB issued ASU 2016-01, which updates certain aspects of recognition, measurement, presentation and disclosure of financial instruments. For public business entities, the amendments in ASU 2016-01 will be effective for fiscal years beginning after December 15, 2017, including interim periods within those fiscal years. We do not expect the adoption of ASU 2016-01 to have a material impact on our Financial Statements.</w:t>
      </w:r>
    </w:p>
    <w:p>
      <w:pPr>
        <w:spacing w:after="0" w:line="147" w:lineRule="exact"/>
        <w:rPr>
          <w:sz w:val="20"/>
          <w:szCs w:val="20"/>
          <w:color w:val="auto"/>
        </w:rPr>
      </w:pPr>
    </w:p>
    <w:p>
      <w:pPr>
        <w:ind w:firstLine="1141"/>
        <w:spacing w:after="0" w:line="259" w:lineRule="auto"/>
        <w:rPr>
          <w:sz w:val="20"/>
          <w:szCs w:val="20"/>
          <w:color w:val="auto"/>
        </w:rPr>
      </w:pPr>
      <w:r>
        <w:rPr>
          <w:rFonts w:ascii="Arial" w:cs="Arial" w:eastAsia="Arial" w:hAnsi="Arial"/>
          <w:sz w:val="18"/>
          <w:szCs w:val="18"/>
          <w:color w:val="auto"/>
        </w:rPr>
        <w:t>Accounting Standards Update No. 2014-09 –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Accounting Standards Update No. 2016-08 – </w:t>
      </w:r>
      <w:r>
        <w:rPr>
          <w:rFonts w:ascii="Arial" w:cs="Arial" w:eastAsia="Arial" w:hAnsi="Arial"/>
          <w:sz w:val="18"/>
          <w:szCs w:val="18"/>
          <w:i w:val="1"/>
          <w:iCs w:val="1"/>
          <w:color w:val="auto"/>
        </w:rPr>
        <w:t>“Revenue from Contracts with Customers (Topic 606), Principal versus Agent Considerations”</w:t>
      </w:r>
      <w:r>
        <w:rPr>
          <w:rFonts w:ascii="Arial" w:cs="Arial" w:eastAsia="Arial" w:hAnsi="Arial"/>
          <w:sz w:val="18"/>
          <w:szCs w:val="18"/>
          <w:color w:val="auto"/>
        </w:rPr>
        <w:t xml:space="preserve"> (“ASU 2016-08”) and Accounting Standards Update No. 2016-10 –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xml:space="preserve"> (“ASU 2016-10”)</w:t>
      </w:r>
    </w:p>
    <w:p>
      <w:pPr>
        <w:spacing w:after="0" w:line="79" w:lineRule="exact"/>
        <w:rPr>
          <w:sz w:val="20"/>
          <w:szCs w:val="20"/>
          <w:color w:val="auto"/>
        </w:rPr>
      </w:pPr>
    </w:p>
    <w:p>
      <w:pPr>
        <w:ind w:right="60" w:firstLine="1141"/>
        <w:spacing w:after="0" w:line="285" w:lineRule="auto"/>
        <w:rPr>
          <w:sz w:val="20"/>
          <w:szCs w:val="20"/>
          <w:color w:val="auto"/>
        </w:rPr>
      </w:pPr>
      <w:r>
        <w:rPr>
          <w:rFonts w:ascii="Arial" w:cs="Arial" w:eastAsia="Arial" w:hAnsi="Arial"/>
          <w:sz w:val="16"/>
          <w:szCs w:val="16"/>
          <w:color w:val="auto"/>
        </w:rPr>
        <w:t xml:space="preserve">In May 2014, the FASB issued ASU 2014-09. ASU 2014-09 supersedes the revenue recognition requirements in Topic 605,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w:t>
      </w:r>
      <w:r>
        <w:rPr>
          <w:rFonts w:ascii="Arial" w:cs="Arial" w:eastAsia="Arial" w:hAnsi="Arial"/>
          <w:sz w:val="16"/>
          <w:szCs w:val="16"/>
          <w:color w:val="auto"/>
        </w:rPr>
        <w:t>, as well as most industry-specific guidance, and significantly enhances comparability of revenue recognition practices across entities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industries by providing a principles-based,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 (2) identify the performance obligations in the contract; (3) determine the transaction price;</w:t>
      </w:r>
    </w:p>
    <w:p>
      <w:pPr>
        <w:spacing w:after="0" w:line="2" w:lineRule="exact"/>
        <w:rPr>
          <w:sz w:val="20"/>
          <w:szCs w:val="20"/>
          <w:color w:val="auto"/>
        </w:rPr>
      </w:pPr>
    </w:p>
    <w:p>
      <w:pPr>
        <w:ind w:right="20" w:firstLine="8"/>
        <w:spacing w:after="0" w:line="254"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 (5) recognize revenue when (or as) the entity satisfies a performance obligation. ASU 2014-09 will be effective for fiscal years, and interim periods within those years, beginning after December 15, 2017. The new standard may be applied prospectively to each prior period presented or retrospectively with the cumulative effect recognized on the date of adoption. We expect to adopt ASU 2014-09 commencing in our fiscal year 2018.</w:t>
      </w:r>
    </w:p>
    <w:p>
      <w:pPr>
        <w:spacing w:after="0" w:line="82" w:lineRule="exact"/>
        <w:rPr>
          <w:sz w:val="20"/>
          <w:szCs w:val="20"/>
          <w:color w:val="auto"/>
        </w:rPr>
      </w:pPr>
    </w:p>
    <w:p>
      <w:pPr>
        <w:ind w:right="40" w:firstLine="1141"/>
        <w:spacing w:after="0" w:line="279" w:lineRule="auto"/>
        <w:rPr>
          <w:sz w:val="20"/>
          <w:szCs w:val="20"/>
          <w:color w:val="auto"/>
        </w:rPr>
      </w:pPr>
      <w:r>
        <w:rPr>
          <w:rFonts w:ascii="Arial" w:cs="Arial" w:eastAsia="Arial" w:hAnsi="Arial"/>
          <w:sz w:val="17"/>
          <w:szCs w:val="17"/>
          <w:color w:val="auto"/>
        </w:rPr>
        <w:t>In March 2016, the FASB issued ASU 2016-08, which amends the implementation guidance on principal versus agent revenue recognition considerations in the previously issued ASU 2014-09. In April 2016, the FASB issued ASU 2016-10, which amends the guidance on identifying performance obligations and amends the implementation guidance on identifying performance obligations and licensing. We continue to evaluate the impact that adoption of these ASUs, including the method of implementation, will have on our financial statements and disclosures.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121" w:lineRule="exact"/>
        <w:rPr>
          <w:sz w:val="20"/>
          <w:szCs w:val="20"/>
          <w:color w:val="auto"/>
        </w:rPr>
      </w:pPr>
    </w:p>
    <w:p>
      <w:pPr>
        <w:ind w:right="340" w:firstLine="1141"/>
        <w:spacing w:after="0" w:line="342" w:lineRule="auto"/>
        <w:rPr>
          <w:sz w:val="20"/>
          <w:szCs w:val="20"/>
          <w:color w:val="auto"/>
        </w:rPr>
      </w:pPr>
      <w:r>
        <w:rPr>
          <w:rFonts w:ascii="Arial" w:cs="Arial" w:eastAsia="Arial" w:hAnsi="Arial"/>
          <w:sz w:val="16"/>
          <w:szCs w:val="16"/>
          <w:color w:val="auto"/>
        </w:rPr>
        <w:t>We file income tax returns with U.S. federal and state and non-U.S. jurisdictions and are subject to audits in these jurisdictions. Our total unrecognized tax benefit balance that, if recognized, would impact our effective tax rate was $2.4 million at each of March 25, 2016 and January 1, 2016.</w:t>
      </w:r>
    </w:p>
    <w:p>
      <w:pPr>
        <w:spacing w:after="0" w:line="16" w:lineRule="exact"/>
        <w:rPr>
          <w:sz w:val="20"/>
          <w:szCs w:val="20"/>
          <w:color w:val="auto"/>
        </w:rPr>
      </w:pPr>
    </w:p>
    <w:p>
      <w:pPr>
        <w:ind w:right="20" w:firstLine="1141"/>
        <w:spacing w:after="0" w:line="259" w:lineRule="auto"/>
        <w:rPr>
          <w:sz w:val="20"/>
          <w:szCs w:val="20"/>
          <w:color w:val="auto"/>
        </w:rPr>
      </w:pPr>
      <w:r>
        <w:rPr>
          <w:rFonts w:ascii="Arial" w:cs="Arial" w:eastAsia="Arial" w:hAnsi="Arial"/>
          <w:sz w:val="18"/>
          <w:szCs w:val="18"/>
          <w:color w:val="auto"/>
        </w:rPr>
        <w:t>Our tax returns are subject to examination by relevant tax authorities; currently our 2012, 2013 and 2014 returns are being audited by state tax authorities in U.S. jurisdictions, and our 2013 and 2014 returns are being audited by tax authorities in non-U.S. jurisdictions. Although we do not anticipate that a significant impact to our unrecognized tax benefit balance will occur during the next fiscal year, the amount of our liability for unrecognized tax benefits could change as a result of these audits.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VACATION OWNERSHIP NOTES RECEIVABLE</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22" w:lineRule="exact"/>
        <w:rPr>
          <w:sz w:val="20"/>
          <w:szCs w:val="20"/>
          <w:color w:val="auto"/>
        </w:rPr>
      </w:pPr>
    </w:p>
    <w:tbl>
      <w:tblPr>
        <w:tblLayout w:type="fixed"/>
        <w:tblInd w:w="1600" w:type="dxa"/>
        <w:tblCellMar>
          <w:top w:w="0" w:type="dxa"/>
          <w:left w:w="0" w:type="dxa"/>
          <w:bottom w:w="0" w:type="dxa"/>
          <w:right w:w="0" w:type="dxa"/>
        </w:tblCellMar>
      </w:tblPr>
      <w:tr>
        <w:trPr>
          <w:trHeight w:val="17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4"/>
                <w:szCs w:val="14"/>
                <w:color w:val="auto"/>
              </w:rPr>
            </w:pPr>
          </w:p>
        </w:tc>
        <w:tc>
          <w:tcPr>
            <w:tcW w:w="120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March 25, 2016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January 1, 2016</w:t>
            </w: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 notes receivable — securitized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680,888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669,179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Vacation ownership notes receivable — non-securitized</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 xml:space="preserve">Eligible for securitization </w:t>
            </w:r>
            <w:r>
              <w:rPr>
                <w:rFonts w:ascii="Arial" w:cs="Arial" w:eastAsia="Arial" w:hAnsi="Arial"/>
                <w:sz w:val="15"/>
                <w:szCs w:val="15"/>
                <w:color w:val="auto"/>
              </w:rPr>
              <w:t>(1)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97,561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104,671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700"/>
              <w:spacing w:after="0"/>
              <w:rPr>
                <w:sz w:val="20"/>
                <w:szCs w:val="20"/>
                <w:color w:val="auto"/>
              </w:rPr>
            </w:pPr>
            <w:r>
              <w:rPr>
                <w:rFonts w:ascii="Arial" w:cs="Arial" w:eastAsia="Arial" w:hAnsi="Arial"/>
                <w:sz w:val="18"/>
                <w:szCs w:val="18"/>
                <w:color w:val="auto"/>
              </w:rPr>
              <w:t xml:space="preserve">Not eligible for securitization </w:t>
            </w:r>
            <w:r>
              <w:rPr>
                <w:rFonts w:ascii="Arial" w:cs="Arial" w:eastAsia="Arial" w:hAnsi="Arial"/>
                <w:sz w:val="15"/>
                <w:szCs w:val="15"/>
                <w:color w:val="auto"/>
              </w:rPr>
              <w:t>(1)</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130,138</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146,781</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227,699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251,452</w:t>
            </w:r>
          </w:p>
        </w:tc>
        <w:tc>
          <w:tcPr>
            <w:tcW w:w="80" w:type="dxa"/>
            <w:vAlign w:val="bottom"/>
            <w:shd w:val="clear" w:color="auto" w:fill="CCEEFF"/>
          </w:tcPr>
          <w:p>
            <w:pPr>
              <w:spacing w:after="0"/>
              <w:rPr>
                <w:sz w:val="18"/>
                <w:szCs w:val="18"/>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Total vacation ownership notes receivable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908,587</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920,631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94615</wp:posOffset>
            </wp:positionV>
            <wp:extent cx="9779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68" w:lineRule="exact"/>
        <w:rPr>
          <w:sz w:val="20"/>
          <w:szCs w:val="20"/>
          <w:color w:val="auto"/>
        </w:rPr>
      </w:pPr>
    </w:p>
    <w:p>
      <w:pPr>
        <w:ind w:left="2040" w:right="1440" w:hanging="438"/>
        <w:spacing w:after="0" w:line="277" w:lineRule="auto"/>
        <w:tabs>
          <w:tab w:leader="none" w:pos="2040" w:val="left"/>
        </w:tabs>
        <w:numPr>
          <w:ilvl w:val="0"/>
          <w:numId w:val="4"/>
        </w:numPr>
        <w:rPr>
          <w:rFonts w:ascii="Arial" w:cs="Arial" w:eastAsia="Arial" w:hAnsi="Arial"/>
          <w:sz w:val="15"/>
          <w:szCs w:val="15"/>
          <w:color w:val="auto"/>
        </w:rPr>
      </w:pPr>
      <w:r>
        <w:rPr>
          <w:rFonts w:ascii="Arial" w:cs="Arial" w:eastAsia="Arial" w:hAnsi="Arial"/>
          <w:sz w:val="18"/>
          <w:szCs w:val="18"/>
          <w:color w:val="auto"/>
        </w:rPr>
        <w:t>Refer to Footnote No. 4, “Financial Instruments,” for discussion of eligibility of our vacation ownership notes receivable for securitization.</w:t>
      </w:r>
    </w:p>
    <w:p>
      <w:pPr>
        <w:spacing w:after="0" w:line="143" w:lineRule="exact"/>
        <w:rPr>
          <w:sz w:val="20"/>
          <w:szCs w:val="20"/>
          <w:color w:val="auto"/>
        </w:rPr>
      </w:pPr>
    </w:p>
    <w:p>
      <w:pPr>
        <w:ind w:right="80" w:firstLine="1141"/>
        <w:spacing w:after="0" w:line="277"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non-securitized and securitized vacation ownership notes receivable at March 25, 2016:</w:t>
      </w:r>
    </w:p>
    <w:p>
      <w:pPr>
        <w:spacing w:after="0" w:line="15"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Non-Securitized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Securitized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6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Notes Receivable</w:t>
            </w:r>
          </w:p>
        </w:tc>
        <w:tc>
          <w:tcPr>
            <w:tcW w:w="1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Notes Receivable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52,452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76,658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129,110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87,971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126,136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84,295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108,574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78,000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96,257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76,183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92,417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78,312</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277,781</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356,093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25, 2016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227,699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680,888</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908,587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stated interest rate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12"/>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12"/>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12"/>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Range of stated interest rates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0.0% to 19.5%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4.9% to 19.5%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0.0% to 19.5%</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560" w:firstLine="1141"/>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Statements of Income in the Financing revenues caption. The following table summarizes interest income associated with vacation ownership notes receivable:</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4"/>
                <w:szCs w:val="14"/>
                <w:b w:val="1"/>
                <w:bCs w:val="1"/>
                <w:color w:val="auto"/>
              </w:rPr>
              <w:t>Twelve Weeks Ended</w:t>
            </w:r>
          </w:p>
        </w:tc>
        <w:tc>
          <w:tcPr>
            <w:tcW w:w="60" w:type="dxa"/>
            <w:vAlign w:val="bottom"/>
          </w:tcPr>
          <w:p>
            <w:pPr>
              <w:spacing w:after="0"/>
              <w:rPr>
                <w:sz w:val="14"/>
                <w:szCs w:val="14"/>
                <w:color w:val="auto"/>
              </w:rPr>
            </w:pPr>
          </w:p>
        </w:tc>
      </w:tr>
      <w:tr>
        <w:trPr>
          <w:trHeight w:val="196"/>
        </w:trPr>
        <w:tc>
          <w:tcPr>
            <w:tcW w:w="5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22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rPr>
              <w:t>March 25, 2016</w:t>
            </w:r>
          </w:p>
        </w:tc>
        <w:tc>
          <w:tcPr>
            <w:tcW w:w="120" w:type="dxa"/>
            <w:vAlign w:val="bottom"/>
          </w:tcPr>
          <w:p>
            <w:pPr>
              <w:spacing w:after="0"/>
              <w:rPr>
                <w:sz w:val="17"/>
                <w:szCs w:val="17"/>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27, 2015</w:t>
            </w:r>
          </w:p>
        </w:tc>
      </w:tr>
      <w:tr>
        <w:trPr>
          <w:trHeight w:val="182"/>
        </w:trPr>
        <w:tc>
          <w:tcPr>
            <w:tcW w:w="20" w:type="dxa"/>
            <w:vAlign w:val="bottom"/>
          </w:tcPr>
          <w:p>
            <w:pPr>
              <w:spacing w:after="0"/>
              <w:rPr>
                <w:sz w:val="15"/>
                <w:szCs w:val="15"/>
                <w:color w:val="auto"/>
              </w:rPr>
            </w:pPr>
          </w:p>
        </w:tc>
        <w:tc>
          <w:tcPr>
            <w:tcW w:w="5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1"/>
              </w:rPr>
              <w:t>Interest income associated with vacation ownership notes receivable —</w:t>
            </w:r>
          </w:p>
        </w:tc>
        <w:tc>
          <w:tcPr>
            <w:tcW w:w="3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securitized</w:t>
            </w:r>
          </w:p>
        </w:tc>
        <w:tc>
          <w:tcPr>
            <w:tcW w:w="3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21,191</w:t>
            </w:r>
          </w:p>
        </w:tc>
        <w:tc>
          <w:tcPr>
            <w:tcW w:w="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22,074</w:t>
            </w: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w w:val="91"/>
              </w:rPr>
              <w:t>Interest income associated with vacation ownership notes receivable —</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non-securitized</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6,583</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5,493</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interest income associated with vacation ownership notes</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w:t>
            </w:r>
          </w:p>
        </w:tc>
        <w:tc>
          <w:tcPr>
            <w:tcW w:w="3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27,774</w:t>
            </w:r>
          </w:p>
        </w:tc>
        <w:tc>
          <w:tcPr>
            <w:tcW w:w="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27,567</w:t>
            </w:r>
          </w:p>
        </w:tc>
        <w:tc>
          <w:tcPr>
            <w:tcW w:w="6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1141"/>
        <w:spacing w:after="0" w:line="272" w:lineRule="auto"/>
        <w:rPr>
          <w:sz w:val="20"/>
          <w:szCs w:val="20"/>
          <w:color w:val="auto"/>
        </w:rPr>
      </w:pPr>
      <w:r>
        <w:rPr>
          <w:rFonts w:ascii="Arial" w:cs="Arial" w:eastAsia="Arial" w:hAnsi="Arial"/>
          <w:sz w:val="17"/>
          <w:szCs w:val="17"/>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following table summarizes the activity related to our vacation ownership notes receivable reserve for the twelve weeks ended March 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9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Non-Securitized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74"/>
              <w:spacing w:after="0"/>
              <w:rPr>
                <w:sz w:val="20"/>
                <w:szCs w:val="20"/>
                <w:color w:val="auto"/>
              </w:rPr>
            </w:pPr>
            <w:r>
              <w:rPr>
                <w:rFonts w:ascii="Arial" w:cs="Arial" w:eastAsia="Arial" w:hAnsi="Arial"/>
                <w:sz w:val="14"/>
                <w:szCs w:val="14"/>
                <w:b w:val="1"/>
                <w:bCs w:val="1"/>
                <w:color w:val="auto"/>
                <w:w w:val="90"/>
              </w:rPr>
              <w:t>Securitized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6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Vacation Ownership</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16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Pr>
          <w:p>
            <w:pPr>
              <w:spacing w:after="0"/>
              <w:rPr>
                <w:sz w:val="14"/>
                <w:szCs w:val="14"/>
                <w:color w:val="auto"/>
              </w:rPr>
            </w:pPr>
          </w:p>
        </w:tc>
        <w:tc>
          <w:tcPr>
            <w:tcW w:w="1020" w:type="dxa"/>
            <w:vAlign w:val="bottom"/>
          </w:tcPr>
          <w:p>
            <w:pPr>
              <w:jc w:val="center"/>
              <w:ind w:right="213"/>
              <w:spacing w:after="0"/>
              <w:rPr>
                <w:sz w:val="20"/>
                <w:szCs w:val="20"/>
                <w:color w:val="auto"/>
              </w:rPr>
            </w:pPr>
            <w:r>
              <w:rPr>
                <w:rFonts w:ascii="Arial" w:cs="Arial" w:eastAsia="Arial" w:hAnsi="Arial"/>
                <w:sz w:val="14"/>
                <w:szCs w:val="14"/>
                <w:b w:val="1"/>
                <w:bCs w:val="1"/>
                <w:color w:val="auto"/>
                <w:w w:val="88"/>
              </w:rPr>
              <w:t>Reserve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74"/>
              <w:spacing w:after="0"/>
              <w:rPr>
                <w:sz w:val="20"/>
                <w:szCs w:val="20"/>
                <w:color w:val="auto"/>
              </w:rPr>
            </w:pPr>
            <w:r>
              <w:rPr>
                <w:rFonts w:ascii="Arial" w:cs="Arial" w:eastAsia="Arial" w:hAnsi="Arial"/>
                <w:sz w:val="14"/>
                <w:szCs w:val="14"/>
                <w:b w:val="1"/>
                <w:bCs w:val="1"/>
                <w:color w:val="auto"/>
                <w:w w:val="88"/>
              </w:rPr>
              <w:t>Reserve</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3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55,584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47,655</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103,239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0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3,157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5,194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8,351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Securitizations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(4,044)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4,044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Write-offs</w:t>
            </w:r>
          </w:p>
        </w:tc>
        <w:tc>
          <w:tcPr>
            <w:tcW w:w="30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(6,883)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Defaulted vacation ownership notes receivable repurchase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activity </w:t>
            </w:r>
            <w:r>
              <w:rPr>
                <w:rFonts w:ascii="Arial" w:cs="Arial" w:eastAsia="Arial" w:hAnsi="Arial"/>
                <w:sz w:val="15"/>
                <w:szCs w:val="15"/>
                <w:color w:val="auto"/>
              </w:rPr>
              <w:t>(1)</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7,513</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(7,513)</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 at March 25, 2016</w:t>
            </w:r>
          </w:p>
        </w:tc>
        <w:tc>
          <w:tcPr>
            <w:tcW w:w="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55,327</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49,380</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104,707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137160</wp:posOffset>
            </wp:positionV>
            <wp:extent cx="11404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36" w:lineRule="exact"/>
        <w:rPr>
          <w:sz w:val="20"/>
          <w:szCs w:val="20"/>
          <w:color w:val="auto"/>
        </w:rPr>
      </w:pPr>
    </w:p>
    <w:p>
      <w:pPr>
        <w:ind w:left="1820" w:right="960" w:hanging="448"/>
        <w:spacing w:after="0" w:line="264" w:lineRule="auto"/>
        <w:tabs>
          <w:tab w:leader="none" w:pos="1820" w:val="left"/>
        </w:tabs>
        <w:numPr>
          <w:ilvl w:val="0"/>
          <w:numId w:val="5"/>
        </w:numPr>
        <w:rPr>
          <w:rFonts w:ascii="Arial" w:cs="Arial" w:eastAsia="Arial" w:hAnsi="Arial"/>
          <w:sz w:val="15"/>
          <w:szCs w:val="15"/>
          <w:color w:val="auto"/>
        </w:rPr>
      </w:pPr>
      <w:r>
        <w:rPr>
          <w:rFonts w:ascii="Arial" w:cs="Arial" w:eastAsia="Arial" w:hAnsi="Arial"/>
          <w:sz w:val="18"/>
          <w:szCs w:val="18"/>
          <w:color w:val="auto"/>
        </w:rPr>
        <w:t>Decrease in securitized vacation ownership notes receivable reserve and increase in non-securitized vacation ownership notes receivable reserve was attributable to the transfer of the reserve when we voluntarily repurchased the securitized vacation ownership notes receivable.</w:t>
      </w:r>
    </w:p>
    <w:p>
      <w:pPr>
        <w:spacing w:after="0" w:line="181" w:lineRule="exact"/>
        <w:rPr>
          <w:sz w:val="20"/>
          <w:szCs w:val="20"/>
          <w:color w:val="auto"/>
        </w:rPr>
      </w:pPr>
    </w:p>
    <w:p>
      <w:pPr>
        <w:ind w:firstLine="1141"/>
        <w:spacing w:after="0" w:line="253" w:lineRule="auto"/>
        <w:rPr>
          <w:sz w:val="20"/>
          <w:szCs w:val="20"/>
          <w:color w:val="auto"/>
        </w:rPr>
      </w:pPr>
      <w:r>
        <w:rPr>
          <w:rFonts w:ascii="Arial" w:cs="Arial" w:eastAsia="Arial" w:hAnsi="Arial"/>
          <w:sz w:val="18"/>
          <w:szCs w:val="18"/>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uncollectible vacation ownership notes receivable against the reserve once we receive title to the vacation ownership products through the foreclosure or deed-in-lieu process or, in Europe or Asia Pacific, when revocation is complete. For both non-securitized and securitized vacation ownership notes receivable, we estimated average remaining default rates of 6.81 percent and 6.92 percent as of March 25, 2016 and January 1, 2016, respectively. A 0.5 percentage point increase in the estimated default rate would have resulted in an increase in our allowance for loan losses of $4.7 million as of both March 25, 2016 and January 1, 2016.</w:t>
      </w:r>
    </w:p>
    <w:p>
      <w:pPr>
        <w:spacing w:after="0" w:line="195" w:lineRule="exact"/>
        <w:rPr>
          <w:sz w:val="20"/>
          <w:szCs w:val="20"/>
          <w:color w:val="auto"/>
        </w:rPr>
      </w:pPr>
    </w:p>
    <w:p>
      <w:pPr>
        <w:ind w:right="140" w:firstLine="1141"/>
        <w:spacing w:after="0" w:line="277"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w:t>
      </w:r>
    </w:p>
    <w:p>
      <w:pPr>
        <w:spacing w:after="0" w:line="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Non-Securitized</w:t>
            </w:r>
          </w:p>
        </w:tc>
        <w:tc>
          <w:tcPr>
            <w:tcW w:w="26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Securitized</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5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Vacation Ownership</w:t>
            </w:r>
          </w:p>
        </w:tc>
        <w:tc>
          <w:tcPr>
            <w:tcW w:w="15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Vacation Ownership</w:t>
            </w:r>
          </w:p>
        </w:tc>
        <w:tc>
          <w:tcPr>
            <w:tcW w:w="30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5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Notes Receivable</w:t>
            </w:r>
          </w:p>
        </w:tc>
        <w:tc>
          <w:tcPr>
            <w:tcW w:w="15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Notes Receivable</w:t>
            </w:r>
          </w:p>
        </w:tc>
        <w:tc>
          <w:tcPr>
            <w:tcW w:w="3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Investment in vacation ownership notes receivable on non-accrual</w:t>
            </w: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status at March 25, 2016</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46,694</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10,132</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20" w:type="dxa"/>
            <w:vAlign w:val="bottom"/>
          </w:tcPr>
          <w:p>
            <w:pPr>
              <w:spacing w:after="0" w:line="201" w:lineRule="exact"/>
              <w:rPr>
                <w:sz w:val="20"/>
                <w:szCs w:val="20"/>
                <w:color w:val="auto"/>
              </w:rPr>
            </w:pPr>
            <w:r>
              <w:rPr>
                <w:rFonts w:ascii="Arial" w:cs="Arial" w:eastAsia="Arial" w:hAnsi="Arial"/>
                <w:sz w:val="18"/>
                <w:szCs w:val="18"/>
                <w:color w:val="auto"/>
                <w:w w:val="98"/>
              </w:rPr>
              <w:t>Investment in vacation ownership notes receivable on non-accrual</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status at January 1, 2016</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46,024</w:t>
            </w:r>
          </w:p>
        </w:tc>
        <w:tc>
          <w:tcPr>
            <w:tcW w:w="18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8,717</w:t>
            </w:r>
          </w:p>
        </w:tc>
        <w:tc>
          <w:tcPr>
            <w:tcW w:w="18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54,741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Average investment in vacation ownership notes receivable on non-</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 status during the twelve weeks ended March 25, 2016</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46,359</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20" w:type="dxa"/>
            <w:vAlign w:val="bottom"/>
          </w:tcPr>
          <w:p>
            <w:pPr>
              <w:spacing w:after="0" w:line="201" w:lineRule="exact"/>
              <w:rPr>
                <w:sz w:val="20"/>
                <w:szCs w:val="20"/>
                <w:color w:val="auto"/>
              </w:rPr>
            </w:pPr>
            <w:r>
              <w:rPr>
                <w:rFonts w:ascii="Arial" w:cs="Arial" w:eastAsia="Arial" w:hAnsi="Arial"/>
                <w:sz w:val="18"/>
                <w:szCs w:val="18"/>
                <w:color w:val="auto"/>
                <w:w w:val="96"/>
              </w:rPr>
              <w:t>Average investment in vacation ownership notes receivable on non-</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accrual status during the twelve weeks ended March 27, 2015</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56,974</w:t>
            </w:r>
          </w:p>
        </w:tc>
        <w:tc>
          <w:tcPr>
            <w:tcW w:w="18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9,043</w:t>
            </w:r>
          </w:p>
        </w:tc>
        <w:tc>
          <w:tcPr>
            <w:tcW w:w="18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25, 2016:</w:t>
      </w:r>
    </w:p>
    <w:p>
      <w:pPr>
        <w:spacing w:after="0" w:line="9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93"/>
              <w:spacing w:after="0"/>
              <w:rPr>
                <w:sz w:val="20"/>
                <w:szCs w:val="20"/>
                <w:color w:val="auto"/>
              </w:rPr>
            </w:pPr>
            <w:r>
              <w:rPr>
                <w:rFonts w:ascii="Arial" w:cs="Arial" w:eastAsia="Arial" w:hAnsi="Arial"/>
                <w:sz w:val="14"/>
                <w:szCs w:val="14"/>
                <w:b w:val="1"/>
                <w:bCs w:val="1"/>
                <w:color w:val="auto"/>
                <w:w w:val="91"/>
              </w:rPr>
              <w:t>Non-Securitized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73"/>
              <w:spacing w:after="0"/>
              <w:rPr>
                <w:sz w:val="20"/>
                <w:szCs w:val="20"/>
                <w:color w:val="auto"/>
              </w:rPr>
            </w:pPr>
            <w:r>
              <w:rPr>
                <w:rFonts w:ascii="Arial" w:cs="Arial" w:eastAsia="Arial" w:hAnsi="Arial"/>
                <w:sz w:val="14"/>
                <w:szCs w:val="14"/>
                <w:b w:val="1"/>
                <w:bCs w:val="1"/>
                <w:color w:val="auto"/>
                <w:w w:val="99"/>
              </w:rPr>
              <w:t>Securitized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5"/>
              </w:rPr>
              <w:t>Vacation Ownership</w:t>
            </w:r>
          </w:p>
        </w:tc>
        <w:tc>
          <w:tcPr>
            <w:tcW w:w="160" w:type="dxa"/>
            <w:vAlign w:val="bottom"/>
          </w:tcPr>
          <w:p>
            <w:pPr>
              <w:spacing w:after="0"/>
              <w:rPr>
                <w:sz w:val="12"/>
                <w:szCs w:val="12"/>
                <w:color w:val="auto"/>
              </w:rPr>
            </w:pPr>
          </w:p>
        </w:tc>
        <w:tc>
          <w:tcPr>
            <w:tcW w:w="13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5"/>
              </w:rPr>
              <w:t>Vacation Ownership</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680" w:type="dxa"/>
            <w:vAlign w:val="bottom"/>
          </w:tcPr>
          <w:p>
            <w:pPr>
              <w:spacing w:after="0"/>
              <w:rPr>
                <w:sz w:val="14"/>
                <w:szCs w:val="14"/>
                <w:color w:val="auto"/>
              </w:rPr>
            </w:pPr>
          </w:p>
        </w:tc>
        <w:tc>
          <w:tcPr>
            <w:tcW w:w="136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rPr>
              <w:t>Notes Receivable</w:t>
            </w:r>
          </w:p>
        </w:tc>
        <w:tc>
          <w:tcPr>
            <w:tcW w:w="160" w:type="dxa"/>
            <w:vAlign w:val="bottom"/>
          </w:tcPr>
          <w:p>
            <w:pPr>
              <w:spacing w:after="0"/>
              <w:rPr>
                <w:sz w:val="14"/>
                <w:szCs w:val="14"/>
                <w:color w:val="auto"/>
              </w:rPr>
            </w:pPr>
          </w:p>
        </w:tc>
        <w:tc>
          <w:tcPr>
            <w:tcW w:w="138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Notes Receivable</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31 – 90 days past due</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9,115</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21,003</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30,118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91 – 150 days past due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4,533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8,674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42,161</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1,458</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Total past due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55,809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31,135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86,944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227,217</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699,133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926,350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680" w:type="dxa"/>
            <w:vAlign w:val="bottom"/>
          </w:tcPr>
          <w:p>
            <w:pPr>
              <w:spacing w:after="0"/>
              <w:rPr>
                <w:sz w:val="19"/>
                <w:szCs w:val="19"/>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283,026</w:t>
            </w:r>
          </w:p>
        </w:tc>
        <w:tc>
          <w:tcPr>
            <w:tcW w:w="160" w:type="dxa"/>
            <w:vAlign w:val="bottom"/>
          </w:tcPr>
          <w:p>
            <w:pPr>
              <w:spacing w:after="0"/>
              <w:rPr>
                <w:sz w:val="19"/>
                <w:szCs w:val="19"/>
                <w:color w:val="auto"/>
              </w:rPr>
            </w:pP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730,268</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1,013,294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860" w:type="dxa"/>
            <w:vAlign w:val="bottom"/>
            <w:gridSpan w:val="2"/>
          </w:tcPr>
          <w:p>
            <w:pPr>
              <w:jc w:val="right"/>
              <w:ind w:right="59"/>
              <w:spacing w:after="0"/>
              <w:rPr>
                <w:sz w:val="20"/>
                <w:szCs w:val="20"/>
                <w:color w:val="auto"/>
              </w:rPr>
            </w:pPr>
            <w:r>
              <w:rPr>
                <w:rFonts w:ascii="Arial" w:cs="Arial" w:eastAsia="Arial" w:hAnsi="Arial"/>
                <w:sz w:val="18"/>
                <w:szCs w:val="18"/>
                <w:color w:val="auto"/>
              </w:rPr>
              <w:t>8</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1, 2016:</w:t>
      </w:r>
    </w:p>
    <w:p>
      <w:pPr>
        <w:spacing w:after="0" w:line="96"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1"/>
              </w:rPr>
              <w:t>Non-Securitized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53"/>
              <w:spacing w:after="0"/>
              <w:rPr>
                <w:sz w:val="20"/>
                <w:szCs w:val="20"/>
                <w:color w:val="auto"/>
              </w:rPr>
            </w:pPr>
            <w:r>
              <w:rPr>
                <w:rFonts w:ascii="Arial" w:cs="Arial" w:eastAsia="Arial" w:hAnsi="Arial"/>
                <w:sz w:val="14"/>
                <w:szCs w:val="14"/>
                <w:b w:val="1"/>
                <w:bCs w:val="1"/>
                <w:color w:val="auto"/>
              </w:rPr>
              <w:t>Securitized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5"/>
              </w:rPr>
              <w:t>Vacation Ownership</w:t>
            </w:r>
          </w:p>
        </w:tc>
        <w:tc>
          <w:tcPr>
            <w:tcW w:w="160" w:type="dxa"/>
            <w:vAlign w:val="bottom"/>
          </w:tcPr>
          <w:p>
            <w:pPr>
              <w:spacing w:after="0"/>
              <w:rPr>
                <w:sz w:val="12"/>
                <w:szCs w:val="12"/>
                <w:color w:val="auto"/>
              </w:rPr>
            </w:pPr>
          </w:p>
        </w:tc>
        <w:tc>
          <w:tcPr>
            <w:tcW w:w="13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5"/>
              </w:rPr>
              <w:t>Vacation Ownership</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36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Notes Receivable</w:t>
            </w:r>
          </w:p>
        </w:tc>
        <w:tc>
          <w:tcPr>
            <w:tcW w:w="160" w:type="dxa"/>
            <w:vAlign w:val="bottom"/>
          </w:tcPr>
          <w:p>
            <w:pPr>
              <w:spacing w:after="0"/>
              <w:rPr>
                <w:sz w:val="14"/>
                <w:szCs w:val="14"/>
                <w:color w:val="auto"/>
              </w:rPr>
            </w:pPr>
          </w:p>
        </w:tc>
        <w:tc>
          <w:tcPr>
            <w:tcW w:w="136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rPr>
              <w:t>Notes Receivable</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31 – 90 days past due</w:t>
            </w:r>
          </w:p>
        </w:tc>
        <w:tc>
          <w:tcPr>
            <w:tcW w:w="160" w:type="dxa"/>
            <w:vAlign w:val="bottom"/>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9,981</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21,113</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31,094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91 – 150 days past due</w:t>
            </w:r>
          </w:p>
        </w:tc>
        <w:tc>
          <w:tcPr>
            <w:tcW w:w="160" w:type="dxa"/>
            <w:vAlign w:val="bottom"/>
          </w:tcPr>
          <w:p>
            <w:pPr>
              <w:spacing w:after="0"/>
              <w:rPr>
                <w:sz w:val="18"/>
                <w:szCs w:val="18"/>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4,731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8,590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13,321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41,293</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Total past due</w:t>
            </w:r>
          </w:p>
        </w:tc>
        <w:tc>
          <w:tcPr>
            <w:tcW w:w="16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56,005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29,830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85,835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251,031</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687,004</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938,035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Total vacation ownership notes receivable</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307,036</w:t>
            </w:r>
          </w:p>
        </w:tc>
        <w:tc>
          <w:tcPr>
            <w:tcW w:w="160" w:type="dxa"/>
            <w:vAlign w:val="bottom"/>
          </w:tcPr>
          <w:p>
            <w:pPr>
              <w:spacing w:after="0"/>
              <w:rPr>
                <w:sz w:val="19"/>
                <w:szCs w:val="19"/>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716,834</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1,023,870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121" w:lineRule="exact"/>
        <w:rPr>
          <w:sz w:val="20"/>
          <w:szCs w:val="20"/>
          <w:color w:val="auto"/>
        </w:rPr>
      </w:pPr>
    </w:p>
    <w:p>
      <w:pPr>
        <w:ind w:firstLine="1141"/>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Accounts payable, Advance deposits, and Accrued liabilities, all of which had fair values approximating their carrying amounts due to the short maturities and liquidity of these instruments.</w:t>
      </w:r>
    </w:p>
    <w:p>
      <w:pPr>
        <w:spacing w:after="0" w:line="90" w:lineRule="exact"/>
        <w:rPr>
          <w:sz w:val="20"/>
          <w:szCs w:val="20"/>
          <w:color w:val="auto"/>
        </w:rPr>
      </w:pPr>
    </w:p>
    <w:tbl>
      <w:tblPr>
        <w:tblLayout w:type="fixed"/>
        <w:tblInd w:w="36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2016</w:t>
            </w:r>
          </w:p>
        </w:tc>
        <w:tc>
          <w:tcPr>
            <w:tcW w:w="1140" w:type="dxa"/>
            <w:vAlign w:val="bottom"/>
            <w:gridSpan w:val="3"/>
          </w:tcPr>
          <w:p>
            <w:pPr>
              <w:jc w:val="right"/>
              <w:ind w:right="194"/>
              <w:spacing w:after="0"/>
              <w:rPr>
                <w:sz w:val="20"/>
                <w:szCs w:val="20"/>
                <w:color w:val="auto"/>
              </w:rPr>
            </w:pPr>
            <w:r>
              <w:rPr>
                <w:rFonts w:ascii="Arial" w:cs="Arial" w:eastAsia="Arial" w:hAnsi="Arial"/>
                <w:sz w:val="14"/>
                <w:szCs w:val="14"/>
                <w:b w:val="1"/>
                <w:bCs w:val="1"/>
                <w:color w:val="auto"/>
              </w:rPr>
              <w:t>At March 25,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2016</w:t>
            </w:r>
          </w:p>
        </w:tc>
        <w:tc>
          <w:tcPr>
            <w:tcW w:w="1240" w:type="dxa"/>
            <w:vAlign w:val="bottom"/>
            <w:gridSpan w:val="4"/>
          </w:tcPr>
          <w:p>
            <w:pPr>
              <w:ind w:left="40"/>
              <w:spacing w:after="0"/>
              <w:rPr>
                <w:sz w:val="20"/>
                <w:szCs w:val="20"/>
                <w:color w:val="auto"/>
              </w:rPr>
            </w:pPr>
            <w:r>
              <w:rPr>
                <w:rFonts w:ascii="Arial" w:cs="Arial" w:eastAsia="Arial" w:hAnsi="Arial"/>
                <w:sz w:val="14"/>
                <w:szCs w:val="14"/>
                <w:b w:val="1"/>
                <w:bCs w:val="1"/>
                <w:color w:val="auto"/>
              </w:rPr>
              <w:t>At January 1,</w:t>
            </w:r>
          </w:p>
        </w:tc>
        <w:tc>
          <w:tcPr>
            <w:tcW w:w="0" w:type="dxa"/>
            <w:vAlign w:val="bottom"/>
          </w:tcPr>
          <w:p>
            <w:pPr>
              <w:spacing w:after="0"/>
              <w:rPr>
                <w:sz w:val="1"/>
                <w:szCs w:val="1"/>
                <w:color w:val="auto"/>
              </w:rPr>
            </w:pPr>
          </w:p>
        </w:tc>
      </w:tr>
      <w:tr>
        <w:trPr>
          <w:trHeight w:val="134"/>
        </w:trPr>
        <w:tc>
          <w:tcPr>
            <w:tcW w:w="6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6340" w:type="dxa"/>
            <w:vAlign w:val="bottom"/>
          </w:tcPr>
          <w:p>
            <w:pPr>
              <w:spacing w:after="0"/>
              <w:rPr>
                <w:sz w:val="10"/>
                <w:szCs w:val="10"/>
                <w:color w:val="auto"/>
              </w:rPr>
            </w:pPr>
          </w:p>
        </w:tc>
        <w:tc>
          <w:tcPr>
            <w:tcW w:w="900" w:type="dxa"/>
            <w:vAlign w:val="bottom"/>
            <w:gridSpan w:val="2"/>
          </w:tcPr>
          <w:p>
            <w:pPr>
              <w:jc w:val="right"/>
              <w:ind w:right="93"/>
              <w:spacing w:after="0" w:line="119" w:lineRule="exact"/>
              <w:rPr>
                <w:sz w:val="20"/>
                <w:szCs w:val="20"/>
                <w:color w:val="auto"/>
              </w:rPr>
            </w:pPr>
            <w:r>
              <w:rPr>
                <w:rFonts w:ascii="Arial" w:cs="Arial" w:eastAsia="Arial" w:hAnsi="Arial"/>
                <w:sz w:val="13"/>
                <w:szCs w:val="13"/>
                <w:b w:val="1"/>
                <w:bCs w:val="1"/>
                <w:color w:val="auto"/>
              </w:rPr>
              <w:t>Carrying</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ind w:right="254"/>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0"/>
                <w:szCs w:val="10"/>
                <w:color w:val="auto"/>
              </w:rPr>
            </w:pPr>
          </w:p>
        </w:tc>
        <w:tc>
          <w:tcPr>
            <w:tcW w:w="900" w:type="dxa"/>
            <w:vAlign w:val="bottom"/>
            <w:gridSpan w:val="2"/>
          </w:tcPr>
          <w:p>
            <w:pPr>
              <w:jc w:val="right"/>
              <w:ind w:right="93"/>
              <w:spacing w:after="0" w:line="119" w:lineRule="exact"/>
              <w:rPr>
                <w:sz w:val="20"/>
                <w:szCs w:val="20"/>
                <w:color w:val="auto"/>
              </w:rPr>
            </w:pPr>
            <w:r>
              <w:rPr>
                <w:rFonts w:ascii="Arial" w:cs="Arial" w:eastAsia="Arial" w:hAnsi="Arial"/>
                <w:sz w:val="13"/>
                <w:szCs w:val="13"/>
                <w:b w:val="1"/>
                <w:bCs w:val="1"/>
                <w:color w:val="auto"/>
              </w:rPr>
              <w:t>Carrying</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center"/>
              <w:ind w:right="94"/>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4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4"/>
                <w:szCs w:val="14"/>
                <w:color w:val="auto"/>
              </w:rPr>
            </w:pPr>
          </w:p>
        </w:tc>
        <w:tc>
          <w:tcPr>
            <w:tcW w:w="720" w:type="dxa"/>
            <w:vAlign w:val="bottom"/>
          </w:tcPr>
          <w:p>
            <w:pPr>
              <w:jc w:val="right"/>
              <w:ind w:right="113"/>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Value</w:t>
            </w:r>
            <w:r>
              <w:rPr>
                <w:rFonts w:ascii="Arial" w:cs="Arial" w:eastAsia="Arial" w:hAnsi="Arial"/>
                <w:sz w:val="12"/>
                <w:szCs w:val="12"/>
                <w:b w:val="1"/>
                <w:bCs w:val="1"/>
                <w:color w:val="auto"/>
                <w:w w:val="99"/>
              </w:rPr>
              <w:t>(1)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13"/>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Vacation ownership notes receivable</w:t>
            </w: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Securitized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680,888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813,125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669,179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803,533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Non-securitized</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227,699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248,360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251,452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Total financial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908,587</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1,061,485</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920,631</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1,078,332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Non-recourse debt associated with vacation ownership notes receivable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securitizations, gross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(637,294)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(630,642)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(684,604)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(677,595)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Warehouse credit facility</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(50,729)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(49,288)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debt, gross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Mandatorily redeemable preferred stock of consolidated subsidiary, gross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(41,914)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Total financial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(734,978)</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(728,799)</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(732,615)</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(727,864)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137160</wp:posOffset>
            </wp:positionV>
            <wp:extent cx="10121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36" w:lineRule="exact"/>
        <w:rPr>
          <w:sz w:val="20"/>
          <w:szCs w:val="20"/>
          <w:color w:val="auto"/>
        </w:rPr>
      </w:pPr>
    </w:p>
    <w:p>
      <w:pPr>
        <w:ind w:left="800" w:right="40" w:hanging="454"/>
        <w:spacing w:after="0" w:line="277" w:lineRule="auto"/>
        <w:tabs>
          <w:tab w:leader="none" w:pos="800" w:val="left"/>
        </w:tabs>
        <w:numPr>
          <w:ilvl w:val="0"/>
          <w:numId w:val="6"/>
        </w:numPr>
        <w:rPr>
          <w:rFonts w:ascii="Arial" w:cs="Arial" w:eastAsia="Arial" w:hAnsi="Arial"/>
          <w:sz w:val="15"/>
          <w:szCs w:val="15"/>
          <w:color w:val="auto"/>
        </w:rPr>
      </w:pPr>
      <w:r>
        <w:rPr>
          <w:rFonts w:ascii="Arial" w:cs="Arial" w:eastAsia="Arial" w:hAnsi="Arial"/>
          <w:sz w:val="18"/>
          <w:szCs w:val="18"/>
          <w:color w:val="auto"/>
        </w:rPr>
        <w:t>Fair value of financial instruments, with the exception of derivative instruments, has been determined using Level 3 inputs. Fair value of derivative instruments has been determined using Level 2 inputs.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right="220" w:firstLine="1141"/>
        <w:spacing w:after="0" w:line="279" w:lineRule="auto"/>
        <w:rPr>
          <w:sz w:val="20"/>
          <w:szCs w:val="20"/>
          <w:color w:val="auto"/>
        </w:rPr>
      </w:pPr>
      <w:r>
        <w:rPr>
          <w:rFonts w:ascii="Arial" w:cs="Arial" w:eastAsia="Arial" w:hAnsi="Arial"/>
          <w:sz w:val="17"/>
          <w:szCs w:val="17"/>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63" w:lineRule="exact"/>
        <w:rPr>
          <w:sz w:val="20"/>
          <w:szCs w:val="20"/>
          <w:color w:val="auto"/>
        </w:rPr>
      </w:pPr>
    </w:p>
    <w:p>
      <w:pPr>
        <w:ind w:right="80" w:firstLine="1141"/>
        <w:spacing w:after="0" w:line="255" w:lineRule="auto"/>
        <w:rPr>
          <w:sz w:val="20"/>
          <w:szCs w:val="20"/>
          <w:color w:val="auto"/>
        </w:rPr>
      </w:pPr>
      <w:r>
        <w:rPr>
          <w:rFonts w:ascii="Arial" w:cs="Arial" w:eastAsia="Arial" w:hAnsi="Arial"/>
          <w:sz w:val="18"/>
          <w:szCs w:val="18"/>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Europe or Asia.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1141"/>
        <w:spacing w:after="0" w:line="277" w:lineRule="auto"/>
        <w:rPr>
          <w:sz w:val="20"/>
          <w:szCs w:val="20"/>
          <w:color w:val="auto"/>
        </w:rPr>
      </w:pPr>
      <w:r>
        <w:rPr>
          <w:rFonts w:ascii="Arial" w:cs="Arial" w:eastAsia="Arial" w:hAnsi="Arial"/>
          <w:sz w:val="18"/>
          <w:szCs w:val="18"/>
          <w:color w:val="auto"/>
        </w:rPr>
        <w:t>The following table shows the bifurcation of our non-securitized vacation ownership notes receivable into those eligible and not eligible for securitization based upon the aforementioned eligibility criteria:</w:t>
      </w:r>
    </w:p>
    <w:p>
      <w:pPr>
        <w:spacing w:after="0" w:line="68"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4"/>
          </w:tcPr>
          <w:p>
            <w:pPr>
              <w:jc w:val="right"/>
              <w:ind w:right="538"/>
              <w:spacing w:after="0"/>
              <w:rPr>
                <w:sz w:val="20"/>
                <w:szCs w:val="20"/>
                <w:color w:val="auto"/>
              </w:rPr>
            </w:pPr>
            <w:r>
              <w:rPr>
                <w:rFonts w:ascii="Arial" w:cs="Arial" w:eastAsia="Arial" w:hAnsi="Arial"/>
                <w:sz w:val="14"/>
                <w:szCs w:val="14"/>
                <w:b w:val="1"/>
                <w:bCs w:val="1"/>
                <w:color w:val="auto"/>
              </w:rPr>
              <w:t>At March 25, 2016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5"/>
          </w:tcPr>
          <w:p>
            <w:pPr>
              <w:ind w:left="420"/>
              <w:spacing w:after="0"/>
              <w:rPr>
                <w:sz w:val="20"/>
                <w:szCs w:val="20"/>
                <w:color w:val="auto"/>
              </w:rPr>
            </w:pPr>
            <w:r>
              <w:rPr>
                <w:rFonts w:ascii="Arial" w:cs="Arial" w:eastAsia="Arial" w:hAnsi="Arial"/>
                <w:sz w:val="14"/>
                <w:szCs w:val="14"/>
                <w:b w:val="1"/>
                <w:bCs w:val="1"/>
                <w:color w:val="auto"/>
              </w:rPr>
              <w:t>At January 1, 2016</w:t>
            </w:r>
          </w:p>
        </w:tc>
      </w:tr>
      <w:tr>
        <w:trPr>
          <w:trHeight w:val="119"/>
        </w:trPr>
        <w:tc>
          <w:tcPr>
            <w:tcW w:w="5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0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358"/>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8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58"/>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r>
      <w:tr>
        <w:trPr>
          <w:trHeight w:val="171"/>
        </w:trPr>
        <w:tc>
          <w:tcPr>
            <w:tcW w:w="59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98"/>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Vacation ownership notes receivable</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Eligible for securitization</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97,561</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118,222</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104,671</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128,018</w:t>
            </w:r>
          </w:p>
        </w:tc>
        <w:tc>
          <w:tcPr>
            <w:tcW w:w="60" w:type="dxa"/>
            <w:vAlign w:val="bottom"/>
          </w:tcPr>
          <w:p>
            <w:pPr>
              <w:spacing w:after="0"/>
              <w:rPr>
                <w:sz w:val="18"/>
                <w:szCs w:val="18"/>
                <w:color w:val="auto"/>
              </w:rPr>
            </w:pPr>
          </w:p>
        </w:tc>
      </w:tr>
      <w:tr>
        <w:trPr>
          <w:trHeight w:val="216"/>
        </w:trPr>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 eligible for securitization</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130,138</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130,138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146,781</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146,781</w:t>
            </w:r>
          </w:p>
        </w:tc>
        <w:tc>
          <w:tcPr>
            <w:tcW w:w="60" w:type="dxa"/>
            <w:vAlign w:val="bottom"/>
            <w:shd w:val="clear" w:color="auto" w:fill="CCEEFF"/>
          </w:tcPr>
          <w:p>
            <w:pPr>
              <w:spacing w:after="0"/>
              <w:rPr>
                <w:sz w:val="18"/>
                <w:szCs w:val="18"/>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Total non-securitized</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227,699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248,360</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251,452</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274,799</w:t>
            </w:r>
          </w:p>
        </w:tc>
        <w:tc>
          <w:tcPr>
            <w:tcW w:w="6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1141"/>
        <w:spacing w:after="0" w:line="276" w:lineRule="auto"/>
        <w:rPr>
          <w:sz w:val="20"/>
          <w:szCs w:val="20"/>
          <w:color w:val="auto"/>
        </w:rPr>
      </w:pPr>
      <w:r>
        <w:rPr>
          <w:rFonts w:ascii="Arial" w:cs="Arial" w:eastAsia="Arial" w:hAnsi="Arial"/>
          <w:sz w:val="17"/>
          <w:szCs w:val="17"/>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and loan terms.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 and Warehouse Credit Facility</w:t>
      </w:r>
    </w:p>
    <w:p>
      <w:pPr>
        <w:spacing w:after="0" w:line="117" w:lineRule="exact"/>
        <w:rPr>
          <w:sz w:val="20"/>
          <w:szCs w:val="20"/>
          <w:color w:val="auto"/>
        </w:rPr>
      </w:pPr>
    </w:p>
    <w:p>
      <w:pPr>
        <w:ind w:right="60" w:firstLine="1141"/>
        <w:spacing w:after="0" w:line="293" w:lineRule="auto"/>
        <w:rPr>
          <w:sz w:val="20"/>
          <w:szCs w:val="20"/>
          <w:color w:val="auto"/>
        </w:rPr>
      </w:pPr>
      <w:r>
        <w:rPr>
          <w:rFonts w:ascii="Arial" w:cs="Arial" w:eastAsia="Arial" w:hAnsi="Arial"/>
          <w:sz w:val="16"/>
          <w:szCs w:val="16"/>
          <w:color w:val="auto"/>
        </w:rPr>
        <w:t>We generate cash flow estimates by modeling all bond tranches for our active vacation ownership notes receivable securitization transactions and our non-recourse warehouse credit facility (the “Warehouse Credit Facility”),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Mandatorily Redeemable Preferred Stock of Consolidated Subsidiary</w:t>
      </w:r>
    </w:p>
    <w:p>
      <w:pPr>
        <w:spacing w:after="0" w:line="117" w:lineRule="exact"/>
        <w:rPr>
          <w:sz w:val="20"/>
          <w:szCs w:val="20"/>
          <w:color w:val="auto"/>
        </w:rPr>
      </w:pPr>
    </w:p>
    <w:p>
      <w:pPr>
        <w:ind w:right="100" w:firstLine="1141"/>
        <w:spacing w:after="0" w:line="264" w:lineRule="auto"/>
        <w:rPr>
          <w:sz w:val="20"/>
          <w:szCs w:val="20"/>
          <w:color w:val="auto"/>
        </w:rPr>
      </w:pPr>
      <w:r>
        <w:rPr>
          <w:rFonts w:ascii="Arial" w:cs="Arial" w:eastAsia="Arial" w:hAnsi="Arial"/>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Miami Beach, Florida</w:t>
      </w:r>
    </w:p>
    <w:p>
      <w:pPr>
        <w:spacing w:after="0" w:line="117" w:lineRule="exact"/>
        <w:rPr>
          <w:sz w:val="20"/>
          <w:szCs w:val="20"/>
          <w:color w:val="auto"/>
        </w:rPr>
      </w:pPr>
    </w:p>
    <w:p>
      <w:pPr>
        <w:ind w:firstLine="1141"/>
        <w:spacing w:after="0" w:line="257" w:lineRule="auto"/>
        <w:rPr>
          <w:sz w:val="20"/>
          <w:szCs w:val="20"/>
          <w:color w:val="auto"/>
        </w:rPr>
      </w:pPr>
      <w:r>
        <w:rPr>
          <w:rFonts w:ascii="Arial" w:cs="Arial" w:eastAsia="Arial" w:hAnsi="Arial"/>
          <w:sz w:val="18"/>
          <w:szCs w:val="18"/>
          <w:color w:val="auto"/>
        </w:rPr>
        <w:t>During the first quarter of 2016, we completed the acquisition of an operating property located in the South Beach area of Miami Beach, Florida, for $23.5 million. The acquisition was treated as a business combination, accounted for using the acquisition method of accounting and included within Operating activities on our Cash Flows and presented as Inventory. As consideration for the acquisition, we paid $23.5 million in cash; the value of the acquired property was allocated to inventory. We rebranded this property as Marriott Vacation Club, South Beach and intend to use it in the future in our Marriott Vacation Club Destinations</w:t>
      </w:r>
      <w:r>
        <w:rPr>
          <w:rFonts w:ascii="Arial" w:cs="Arial" w:eastAsia="Arial" w:hAnsi="Arial"/>
          <w:sz w:val="15"/>
          <w:szCs w:val="15"/>
          <w:color w:val="auto"/>
        </w:rPr>
        <w:t>TM</w:t>
      </w:r>
      <w:r>
        <w:rPr>
          <w:rFonts w:ascii="Arial" w:cs="Arial" w:eastAsia="Arial" w:hAnsi="Arial"/>
          <w:sz w:val="18"/>
          <w:szCs w:val="18"/>
          <w:color w:val="auto"/>
        </w:rPr>
        <w:t xml:space="preserve"> (“MVCD”)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Diego, California</w:t>
      </w:r>
    </w:p>
    <w:p>
      <w:pPr>
        <w:spacing w:after="0" w:line="117" w:lineRule="exact"/>
        <w:rPr>
          <w:sz w:val="20"/>
          <w:szCs w:val="20"/>
          <w:color w:val="auto"/>
        </w:rPr>
      </w:pPr>
    </w:p>
    <w:p>
      <w:pPr>
        <w:ind w:firstLine="1141"/>
        <w:spacing w:after="0" w:line="270" w:lineRule="auto"/>
        <w:rPr>
          <w:sz w:val="20"/>
          <w:szCs w:val="20"/>
          <w:color w:val="auto"/>
        </w:rPr>
      </w:pPr>
      <w:r>
        <w:rPr>
          <w:rFonts w:ascii="Arial" w:cs="Arial" w:eastAsia="Arial" w:hAnsi="Arial"/>
          <w:sz w:val="17"/>
          <w:szCs w:val="17"/>
          <w:color w:val="auto"/>
        </w:rPr>
        <w:t>During the first quarter of 2015, we completed the acquisition of an operating property located in San Diego, California, for $55.0 million. The acquisition was treated as a business combination and accounted for using the acquisition method of accounting. As consideration for the acquisition, we paid $55.0 million in cash, which was allocated based on the fair value at the date of acquisition as follows: $54.3 million to property and equipment and $0.7 million to other assets. Fair value was determined using an independent appraisal, which was primarily based on a discounted cash flow model, a Level 3 fair value input. We intend to convert this property, in its entirety, into vacation ownership interests for future use in our MVCD program. In order to ensure consistency with the expected related future cash flow presentation, $46.6 million of the cash purchase price allocated to property and equipment was included as an operating activity in the Purchase of operating property for future conversion to inventory line on our Cash Flows for the twelve weeks ended March 27, 2015. The remaining $7.7 million was included as an investing activity in the Capital expenditures for property and equipment line on our Cash Flows for the twelve weeks ended March 27, 2015, as it was allocated to assets to be used prior to conversion of the property into vacation ownership interests, as well as ancillary and sales center assets to be retained after the conversion.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Marco Island, Florida</w:t>
      </w:r>
    </w:p>
    <w:p>
      <w:pPr>
        <w:spacing w:after="0" w:line="117" w:lineRule="exact"/>
        <w:rPr>
          <w:sz w:val="20"/>
          <w:szCs w:val="20"/>
          <w:color w:val="auto"/>
        </w:rPr>
      </w:pPr>
    </w:p>
    <w:p>
      <w:pPr>
        <w:ind w:right="20" w:firstLine="1141"/>
        <w:spacing w:after="0" w:line="264" w:lineRule="auto"/>
        <w:rPr>
          <w:sz w:val="20"/>
          <w:szCs w:val="20"/>
          <w:color w:val="auto"/>
        </w:rPr>
      </w:pPr>
      <w:r>
        <w:rPr>
          <w:rFonts w:ascii="Arial" w:cs="Arial" w:eastAsia="Arial" w:hAnsi="Arial"/>
          <w:sz w:val="18"/>
          <w:szCs w:val="18"/>
          <w:color w:val="auto"/>
        </w:rPr>
        <w:t>During the first quarter of 2015, we sold real property located in Marco Island, Florida, consisting of $3.1 million of vacation ownership inventory, to a third-party developer. We received consideration consisting of $5.4 million of cash and a note receivable of $0.5 million. We did not recognize any gain or loss on this transaction.</w:t>
      </w:r>
    </w:p>
    <w:p>
      <w:pPr>
        <w:spacing w:after="0" w:line="73" w:lineRule="exact"/>
        <w:rPr>
          <w:sz w:val="20"/>
          <w:szCs w:val="20"/>
          <w:color w:val="auto"/>
        </w:rPr>
      </w:pPr>
    </w:p>
    <w:p>
      <w:pPr>
        <w:ind w:firstLine="1141"/>
        <w:spacing w:after="0" w:line="273" w:lineRule="auto"/>
        <w:rPr>
          <w:sz w:val="20"/>
          <w:szCs w:val="20"/>
          <w:color w:val="auto"/>
        </w:rPr>
      </w:pPr>
      <w:r>
        <w:rPr>
          <w:rFonts w:ascii="Arial" w:cs="Arial" w:eastAsia="Arial" w:hAnsi="Arial"/>
          <w:sz w:val="17"/>
          <w:szCs w:val="17"/>
          <w:color w:val="auto"/>
        </w:rPr>
        <w:t>In accordance with our agreement with the third-party developer, we are obligated to repurchase the completed property from the developer contingent upon the property meeting our brand standards, provided that the third-party developer has not sold the property to another party. In accordance with the authoritative guidance on accounting for sales of real estate, our conditional obligation to repurchase the property constitutes continuing involvement and thus we were unable to account for this transaction as a sale. The property was sold to a variable interest entity for which we are not the primary beneficiary as we do not control the variable interest entity’s development activities and cannot prevent the variable interest entity from selling the property to another party. Accordingly, we have not consolidated the variable interest entity.</w:t>
      </w:r>
    </w:p>
    <w:p>
      <w:pPr>
        <w:spacing w:after="0" w:line="70" w:lineRule="exact"/>
        <w:rPr>
          <w:sz w:val="20"/>
          <w:szCs w:val="20"/>
          <w:color w:val="auto"/>
        </w:rPr>
      </w:pPr>
    </w:p>
    <w:p>
      <w:pPr>
        <w:ind w:right="120" w:firstLine="1141"/>
        <w:spacing w:after="0" w:line="255" w:lineRule="auto"/>
        <w:rPr>
          <w:sz w:val="20"/>
          <w:szCs w:val="20"/>
          <w:color w:val="auto"/>
        </w:rPr>
      </w:pPr>
      <w:r>
        <w:rPr>
          <w:rFonts w:ascii="Arial" w:cs="Arial" w:eastAsia="Arial" w:hAnsi="Arial"/>
          <w:sz w:val="18"/>
          <w:szCs w:val="18"/>
          <w:color w:val="auto"/>
        </w:rPr>
        <w:t>As of March 25, 2016, our Balance Sheet reflects $8.2 million of Other liabilities that relate to the deferral of gain recognition for this transaction, which will reduce our basis in the asset if we repurchase the property. In addition, the note receivable of $0.5 million and other receivables of $0.2 million are included in the Accounts and contracts receivable line on the Balance Sheet as of March 25, 2016. The cash consideration received for the sale of the real property is included in Proceeds from vacation ownership inventory arrangements on our Cash Flows for the twelve weeks ended March 27, 2015. We believe that our maximum exposure to loss as a result of our involvement with this variable interest entity is our interest in the note receivable and the other receivables discussed above as of March 25,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firstLine="1141"/>
        <w:spacing w:after="0" w:line="257" w:lineRule="auto"/>
        <w:rPr>
          <w:sz w:val="20"/>
          <w:szCs w:val="20"/>
          <w:color w:val="auto"/>
        </w:rPr>
      </w:pPr>
      <w:r>
        <w:rPr>
          <w:rFonts w:ascii="Arial" w:cs="Arial" w:eastAsia="Arial" w:hAnsi="Arial"/>
          <w:sz w:val="18"/>
          <w:szCs w:val="18"/>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8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table below illustrates the reconciliation of the earnings and number of shares used in our calculation of basic and diluted earnings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108"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51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00" w:type="dxa"/>
            <w:vAlign w:val="bottom"/>
          </w:tcPr>
          <w:p>
            <w:pPr>
              <w:spacing w:after="0"/>
              <w:rPr>
                <w:sz w:val="14"/>
                <w:szCs w:val="14"/>
                <w:color w:val="auto"/>
              </w:rPr>
            </w:pPr>
          </w:p>
        </w:tc>
        <w:tc>
          <w:tcPr>
            <w:tcW w:w="3140" w:type="dxa"/>
            <w:vAlign w:val="bottom"/>
            <w:gridSpan w:val="5"/>
          </w:tcPr>
          <w:p>
            <w:pPr>
              <w:ind w:left="80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March 25, 2016</w:t>
            </w:r>
            <w:r>
              <w:rPr>
                <w:rFonts w:ascii="Arial" w:cs="Arial" w:eastAsia="Arial" w:hAnsi="Arial"/>
                <w:sz w:val="12"/>
                <w:szCs w:val="12"/>
                <w:b w:val="1"/>
                <w:bCs w:val="1"/>
                <w:color w:val="auto"/>
                <w:w w:val="96"/>
              </w:rPr>
              <w:t>(1)</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4"/>
              </w:rPr>
              <w:t>March 27, 2015</w:t>
            </w:r>
            <w:r>
              <w:rPr>
                <w:rFonts w:ascii="Arial" w:cs="Arial" w:eastAsia="Arial" w:hAnsi="Arial"/>
                <w:sz w:val="12"/>
                <w:szCs w:val="12"/>
                <w:b w:val="1"/>
                <w:bCs w:val="1"/>
                <w:color w:val="auto"/>
                <w:w w:val="94"/>
              </w:rPr>
              <w:t>(2)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Computation of Basic Earnings Per Share</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24,408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Computation of Diluted Earnings Per Share</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24,408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Effect of dilutive shares outstanding</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Employee stock options and SARs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720"/>
              <w:spacing w:after="0"/>
              <w:rPr>
                <w:sz w:val="20"/>
                <w:szCs w:val="20"/>
                <w:color w:val="auto"/>
              </w:rPr>
            </w:pPr>
            <w:r>
              <w:rPr>
                <w:rFonts w:ascii="Arial" w:cs="Arial" w:eastAsia="Arial" w:hAnsi="Arial"/>
                <w:sz w:val="18"/>
                <w:szCs w:val="18"/>
                <w:color w:val="auto"/>
              </w:rPr>
              <w:t>Restricted stock units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for diluted earnings per share</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94615</wp:posOffset>
            </wp:positionV>
            <wp:extent cx="8058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68" w:lineRule="exact"/>
        <w:rPr>
          <w:sz w:val="20"/>
          <w:szCs w:val="20"/>
          <w:color w:val="auto"/>
        </w:rPr>
      </w:pPr>
    </w:p>
    <w:p>
      <w:pPr>
        <w:ind w:left="1760" w:right="1820" w:hanging="266"/>
        <w:spacing w:after="0" w:line="259" w:lineRule="auto"/>
        <w:tabs>
          <w:tab w:leader="none" w:pos="1760" w:val="left"/>
        </w:tabs>
        <w:numPr>
          <w:ilvl w:val="0"/>
          <w:numId w:val="7"/>
        </w:numPr>
        <w:rPr>
          <w:rFonts w:ascii="Arial" w:cs="Arial" w:eastAsia="Arial" w:hAnsi="Arial"/>
          <w:sz w:val="15"/>
          <w:szCs w:val="15"/>
          <w:color w:val="auto"/>
        </w:rPr>
      </w:pPr>
      <w:r>
        <w:rPr>
          <w:rFonts w:ascii="Arial" w:cs="Arial" w:eastAsia="Arial" w:hAnsi="Arial"/>
          <w:sz w:val="18"/>
          <w:szCs w:val="18"/>
          <w:color w:val="auto"/>
        </w:rPr>
        <w:t>The computations of diluted earnings per share exclude approximately 278,000 shares of common stock, the maximum number of shares issuable as of March 25, 2016 upon the vesting of certain performance-based awards, because the performance conditions required for the shares subject to such awards to vest were not achieved by the end of the reporting period.</w:t>
      </w:r>
    </w:p>
    <w:p>
      <w:pPr>
        <w:spacing w:after="0" w:line="11" w:lineRule="exact"/>
        <w:rPr>
          <w:rFonts w:ascii="Arial" w:cs="Arial" w:eastAsia="Arial" w:hAnsi="Arial"/>
          <w:sz w:val="15"/>
          <w:szCs w:val="15"/>
          <w:color w:val="auto"/>
        </w:rPr>
      </w:pPr>
    </w:p>
    <w:p>
      <w:pPr>
        <w:ind w:left="1760" w:right="1820" w:hanging="266"/>
        <w:spacing w:after="0" w:line="259" w:lineRule="auto"/>
        <w:tabs>
          <w:tab w:leader="none" w:pos="1760" w:val="left"/>
        </w:tabs>
        <w:numPr>
          <w:ilvl w:val="0"/>
          <w:numId w:val="7"/>
        </w:numPr>
        <w:rPr>
          <w:rFonts w:ascii="Arial" w:cs="Arial" w:eastAsia="Arial" w:hAnsi="Arial"/>
          <w:sz w:val="15"/>
          <w:szCs w:val="15"/>
          <w:color w:val="auto"/>
        </w:rPr>
      </w:pPr>
      <w:r>
        <w:rPr>
          <w:rFonts w:ascii="Arial" w:cs="Arial" w:eastAsia="Arial" w:hAnsi="Arial"/>
          <w:sz w:val="18"/>
          <w:szCs w:val="18"/>
          <w:color w:val="auto"/>
        </w:rPr>
        <w:t>The computations of diluted earnings per share exclude approximately 203,000 shares of common stock, the maximum number of shares issuable as of March 27, 2015 upon the vesting of certain performance-based awards, because the performance conditions required for the shares subject to such awards to vest were not achieved by the end of the reporting period.</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799"/>
        <w:spacing w:after="0" w:line="259" w:lineRule="auto"/>
        <w:rPr>
          <w:sz w:val="20"/>
          <w:szCs w:val="20"/>
          <w:color w:val="auto"/>
        </w:rPr>
      </w:pPr>
      <w:r>
        <w:rPr>
          <w:rFonts w:ascii="Arial" w:cs="Arial" w:eastAsia="Arial" w:hAnsi="Arial"/>
          <w:sz w:val="18"/>
          <w:szCs w:val="18"/>
          <w:color w:val="auto"/>
        </w:rPr>
        <w:t>In accordance with the applicable accounting guidance for calculating earnings per share, for the twelve weeks ended March 25, 2016, we excluded 194,615 shares underlying stock appreciation rights (“SARs”) that may be settled in shares of common stock, with exercise prices ranging from $61.71 to $77.42, from our calculation of diluted earnings per share because these exercise prices were greater than the average market price for the applicable period.</w:t>
      </w:r>
    </w:p>
    <w:p>
      <w:pPr>
        <w:spacing w:after="0" w:line="79" w:lineRule="exact"/>
        <w:rPr>
          <w:sz w:val="20"/>
          <w:szCs w:val="20"/>
          <w:color w:val="auto"/>
        </w:rPr>
      </w:pPr>
    </w:p>
    <w:p>
      <w:pPr>
        <w:jc w:val="both"/>
        <w:ind w:right="280" w:firstLine="799"/>
        <w:spacing w:after="0" w:line="264" w:lineRule="auto"/>
        <w:rPr>
          <w:sz w:val="20"/>
          <w:szCs w:val="20"/>
          <w:color w:val="auto"/>
        </w:rPr>
      </w:pPr>
      <w:r>
        <w:rPr>
          <w:rFonts w:ascii="Arial" w:cs="Arial" w:eastAsia="Arial" w:hAnsi="Arial"/>
          <w:sz w:val="18"/>
          <w:szCs w:val="18"/>
          <w:color w:val="auto"/>
        </w:rPr>
        <w:t>In addition, for the twelve weeks ended March 27, 2015, we excluded 62,018 shares underlying SARs that may be settled in shares of common stock, with an exercise price of $77.42, from our calculation of diluted earnings per share because this exercise price was greater than the average market price for the applicable period.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22" w:lineRule="exact"/>
        <w:rPr>
          <w:sz w:val="20"/>
          <w:szCs w:val="20"/>
          <w:color w:val="auto"/>
        </w:rPr>
      </w:pPr>
    </w:p>
    <w:tbl>
      <w:tblPr>
        <w:tblLayout w:type="fixed"/>
        <w:tblInd w:w="1040" w:type="dxa"/>
        <w:tblCellMar>
          <w:top w:w="0" w:type="dxa"/>
          <w:left w:w="0" w:type="dxa"/>
          <w:bottom w:w="0" w:type="dxa"/>
          <w:right w:w="0" w:type="dxa"/>
        </w:tblCellMar>
      </w:tblPr>
      <w:tr>
        <w:trPr>
          <w:trHeight w:val="171"/>
        </w:trPr>
        <w:tc>
          <w:tcPr>
            <w:tcW w:w="570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14"/>
                <w:szCs w:val="14"/>
                <w:color w:val="auto"/>
              </w:rPr>
            </w:pPr>
          </w:p>
        </w:tc>
        <w:tc>
          <w:tcPr>
            <w:tcW w:w="1500" w:type="dxa"/>
            <w:vAlign w:val="bottom"/>
          </w:tcPr>
          <w:p>
            <w:pPr>
              <w:jc w:val="right"/>
              <w:ind w:right="193"/>
              <w:spacing w:after="0"/>
              <w:rPr>
                <w:sz w:val="20"/>
                <w:szCs w:val="20"/>
                <w:color w:val="auto"/>
              </w:rPr>
            </w:pPr>
            <w:r>
              <w:rPr>
                <w:rFonts w:ascii="Arial" w:cs="Arial" w:eastAsia="Arial" w:hAnsi="Arial"/>
                <w:sz w:val="14"/>
                <w:szCs w:val="14"/>
                <w:b w:val="1"/>
                <w:bCs w:val="1"/>
                <w:color w:val="auto"/>
              </w:rPr>
              <w:t>At March 25, 2016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At January 1, 2016</w:t>
            </w: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r>
              <w:rPr>
                <w:rFonts w:ascii="Arial" w:cs="Arial" w:eastAsia="Arial" w:hAnsi="Arial"/>
                <w:sz w:val="15"/>
                <w:szCs w:val="15"/>
                <w:color w:val="auto"/>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317,856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332,888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Work-in-progress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29,961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Land and infrastructure</w:t>
            </w:r>
            <w:r>
              <w:rPr>
                <w:rFonts w:ascii="Arial" w:cs="Arial" w:eastAsia="Arial" w:hAnsi="Arial"/>
                <w:sz w:val="15"/>
                <w:szCs w:val="15"/>
                <w:color w:val="auto"/>
              </w:rPr>
              <w:t>(2)</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362,066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331,042</w:t>
            </w:r>
          </w:p>
        </w:tc>
        <w:tc>
          <w:tcPr>
            <w:tcW w:w="60" w:type="dxa"/>
            <w:vAlign w:val="bottom"/>
            <w:shd w:val="clear" w:color="auto" w:fill="CCEEFF"/>
          </w:tcPr>
          <w:p>
            <w:pPr>
              <w:spacing w:after="0"/>
              <w:rPr>
                <w:sz w:val="18"/>
                <w:szCs w:val="18"/>
                <w:color w:val="auto"/>
              </w:rPr>
            </w:pPr>
          </w:p>
        </w:tc>
      </w:tr>
      <w:tr>
        <w:trPr>
          <w:trHeight w:val="223"/>
        </w:trPr>
        <w:tc>
          <w:tcPr>
            <w:tcW w:w="5700" w:type="dxa"/>
            <w:vAlign w:val="bottom"/>
          </w:tcPr>
          <w:p>
            <w:pPr>
              <w:ind w:left="1080"/>
              <w:spacing w:after="0"/>
              <w:rPr>
                <w:sz w:val="20"/>
                <w:szCs w:val="20"/>
                <w:color w:val="auto"/>
              </w:rPr>
            </w:pPr>
            <w:r>
              <w:rPr>
                <w:rFonts w:ascii="Arial" w:cs="Arial" w:eastAsia="Arial" w:hAnsi="Arial"/>
                <w:sz w:val="18"/>
                <w:szCs w:val="18"/>
                <w:color w:val="auto"/>
              </w:rPr>
              <w:t>Real estate inventory</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709,883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663,930</w:t>
            </w:r>
          </w:p>
        </w:tc>
        <w:tc>
          <w:tcPr>
            <w:tcW w:w="6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supplies and retail inventory</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5,313</w:t>
            </w:r>
          </w:p>
        </w:tc>
        <w:tc>
          <w:tcPr>
            <w:tcW w:w="60" w:type="dxa"/>
            <w:vAlign w:val="bottom"/>
            <w:shd w:val="clear" w:color="auto" w:fill="CCEEFF"/>
          </w:tcPr>
          <w:p>
            <w:pPr>
              <w:spacing w:after="0"/>
              <w:rPr>
                <w:sz w:val="18"/>
                <w:szCs w:val="18"/>
                <w:color w:val="auto"/>
              </w:rPr>
            </w:pPr>
          </w:p>
        </w:tc>
      </w:tr>
      <w:tr>
        <w:trPr>
          <w:trHeight w:val="223"/>
        </w:trPr>
        <w:tc>
          <w:tcPr>
            <w:tcW w:w="57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715,072</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669,243</w:t>
            </w:r>
          </w:p>
        </w:tc>
        <w:tc>
          <w:tcPr>
            <w:tcW w:w="6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94615</wp:posOffset>
            </wp:positionV>
            <wp:extent cx="8832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168" w:lineRule="exact"/>
        <w:rPr>
          <w:sz w:val="20"/>
          <w:szCs w:val="20"/>
          <w:color w:val="auto"/>
        </w:rPr>
      </w:pPr>
    </w:p>
    <w:p>
      <w:pPr>
        <w:ind w:left="1320" w:right="1020" w:hanging="279"/>
        <w:spacing w:after="0" w:line="274" w:lineRule="auto"/>
        <w:tabs>
          <w:tab w:leader="none" w:pos="1320" w:val="left"/>
        </w:tabs>
        <w:numPr>
          <w:ilvl w:val="0"/>
          <w:numId w:val="8"/>
        </w:numPr>
        <w:rPr>
          <w:rFonts w:ascii="Arial" w:cs="Arial" w:eastAsia="Arial" w:hAnsi="Arial"/>
          <w:sz w:val="15"/>
          <w:szCs w:val="15"/>
          <w:color w:val="auto"/>
        </w:rPr>
      </w:pPr>
      <w:r>
        <w:rPr>
          <w:rFonts w:ascii="Arial" w:cs="Arial" w:eastAsia="Arial" w:hAnsi="Arial"/>
          <w:sz w:val="18"/>
          <w:szCs w:val="18"/>
          <w:color w:val="auto"/>
        </w:rPr>
        <w:t>Represents completed inventory that is either registered for sale as vacation ownership interests, or unregistered and available for sale in its current form.</w:t>
      </w:r>
    </w:p>
    <w:p>
      <w:pPr>
        <w:ind w:left="1320" w:hanging="279"/>
        <w:spacing w:after="0"/>
        <w:tabs>
          <w:tab w:leader="none" w:pos="132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$70.6 million of inventory related to estimated future foreclosures at March 25, 2016.</w:t>
      </w:r>
    </w:p>
    <w:p>
      <w:pPr>
        <w:spacing w:after="0" w:line="239" w:lineRule="exact"/>
        <w:rPr>
          <w:sz w:val="20"/>
          <w:szCs w:val="20"/>
          <w:color w:val="auto"/>
        </w:rPr>
      </w:pPr>
    </w:p>
    <w:p>
      <w:pPr>
        <w:ind w:right="20" w:firstLine="1141"/>
        <w:spacing w:after="0" w:line="308" w:lineRule="auto"/>
        <w:rPr>
          <w:sz w:val="20"/>
          <w:szCs w:val="20"/>
          <w:color w:val="auto"/>
        </w:rPr>
      </w:pPr>
      <w:r>
        <w:rPr>
          <w:rFonts w:ascii="Arial" w:cs="Arial" w:eastAsia="Arial" w:hAnsi="Arial"/>
          <w:sz w:val="17"/>
          <w:szCs w:val="17"/>
          <w:color w:val="auto"/>
        </w:rPr>
        <w:t>We value vacation ownership and residential products at the lower of cost or fair market value less costs to sell, in accordance with applicable accounting guidance, and we record operating supplies at the lower of cost (using the first-in, first-out method) or net realizable value.</w:t>
      </w:r>
    </w:p>
    <w:p>
      <w:pPr>
        <w:spacing w:after="0" w:line="38" w:lineRule="exact"/>
        <w:rPr>
          <w:sz w:val="20"/>
          <w:szCs w:val="20"/>
          <w:color w:val="auto"/>
        </w:rPr>
      </w:pPr>
    </w:p>
    <w:p>
      <w:pPr>
        <w:ind w:right="260" w:firstLine="1141"/>
        <w:spacing w:after="0" w:line="259" w:lineRule="auto"/>
        <w:rPr>
          <w:sz w:val="20"/>
          <w:szCs w:val="20"/>
          <w:color w:val="auto"/>
        </w:rPr>
      </w:pPr>
      <w:r>
        <w:rPr>
          <w:rFonts w:ascii="Arial" w:cs="Arial" w:eastAsia="Arial" w:hAnsi="Arial"/>
          <w:sz w:val="18"/>
          <w:szCs w:val="18"/>
          <w:color w:val="auto"/>
        </w:rPr>
        <w:t>During the first quarter of 2016, $27.3 million was transferred from Property and equipment to Inventory as we commenced conversion of portions of the operating properties in Surfers Paradise, Australia and San Diego, California. The acquisition of these properties was previously included within Operating Activities on our Cash Flows and presented as Purchase of operating properties for future conversion to inventory within Operating Activities.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CONTINGENCIES AND COMMITMENTS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firstLine="1141"/>
        <w:spacing w:after="0" w:line="257" w:lineRule="auto"/>
        <w:rPr>
          <w:sz w:val="20"/>
          <w:szCs w:val="20"/>
          <w:color w:val="auto"/>
        </w:rPr>
      </w:pPr>
      <w:r>
        <w:rPr>
          <w:rFonts w:ascii="Arial" w:cs="Arial" w:eastAsia="Arial" w:hAnsi="Arial"/>
          <w:sz w:val="18"/>
          <w:szCs w:val="18"/>
          <w:color w:val="auto"/>
        </w:rPr>
        <w:t>We have historically issued guarantees to certain lenders in connection with the provision of third-party financing for our sale of vacation ownership products for the North America and Asia Pacific segments. The terms of these guarantees generally require us to fund if the purchaser fails to pay under the term of its note payable. We are entitled to recover any payments we make to third-party lenders under these guarantees through reacquisition and resale of the financed vacation ownership product. Our commitments under these guarantees expire as the underlying notes mature or are repaid. The terms of the underlying notes extend to 2022.</w:t>
      </w:r>
    </w:p>
    <w:p>
      <w:pPr>
        <w:spacing w:after="0" w:line="80" w:lineRule="exact"/>
        <w:rPr>
          <w:sz w:val="20"/>
          <w:szCs w:val="20"/>
          <w:color w:val="auto"/>
        </w:rPr>
      </w:pPr>
    </w:p>
    <w:p>
      <w:pPr>
        <w:ind w:right="420" w:firstLine="571"/>
        <w:spacing w:after="0" w:line="308" w:lineRule="auto"/>
        <w:rPr>
          <w:sz w:val="20"/>
          <w:szCs w:val="20"/>
          <w:color w:val="auto"/>
        </w:rPr>
      </w:pPr>
      <w:r>
        <w:rPr>
          <w:rFonts w:ascii="Arial" w:cs="Arial" w:eastAsia="Arial" w:hAnsi="Arial"/>
          <w:sz w:val="17"/>
          <w:szCs w:val="17"/>
          <w:color w:val="auto"/>
        </w:rPr>
        <w:t>The following table shows the maximum potential amount of future fundings for financing guarantees where we are the primary obligor and the carrying amount of the liability for expected future fundings, which is included on our Balance Sheet in the Other caption within Liabilities.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Maximum Potential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Liability for 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Amount of Future Fundings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Future Fundings</w:t>
            </w:r>
          </w:p>
        </w:tc>
        <w:tc>
          <w:tcPr>
            <w:tcW w:w="0" w:type="dxa"/>
            <w:vAlign w:val="bottom"/>
          </w:tcPr>
          <w:p>
            <w:pPr>
              <w:spacing w:after="0"/>
              <w:rPr>
                <w:sz w:val="1"/>
                <w:szCs w:val="1"/>
                <w:color w:val="auto"/>
              </w:rPr>
            </w:pPr>
          </w:p>
        </w:tc>
      </w:tr>
      <w:tr>
        <w:trPr>
          <w:trHeight w:val="171"/>
        </w:trPr>
        <w:tc>
          <w:tcPr>
            <w:tcW w:w="4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ind w:right="257"/>
              <w:spacing w:after="0"/>
              <w:rPr>
                <w:sz w:val="20"/>
                <w:szCs w:val="20"/>
                <w:color w:val="auto"/>
              </w:rPr>
            </w:pPr>
            <w:r>
              <w:rPr>
                <w:rFonts w:ascii="Arial" w:cs="Arial" w:eastAsia="Arial" w:hAnsi="Arial"/>
                <w:sz w:val="14"/>
                <w:szCs w:val="14"/>
                <w:b w:val="1"/>
                <w:bCs w:val="1"/>
                <w:color w:val="auto"/>
              </w:rPr>
              <w:t>At March 25, 2016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At March 25,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w:t>
            </w:r>
          </w:p>
        </w:tc>
        <w:tc>
          <w:tcPr>
            <w:tcW w:w="2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Asia Pacific</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4,836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9"/>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Total guarantees where we are the primary obligor</w:t>
            </w:r>
          </w:p>
        </w:tc>
        <w:tc>
          <w:tcPr>
            <w:tcW w:w="2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7,682</w:t>
            </w: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vMerge w:val="restart"/>
          </w:tcPr>
          <w:p>
            <w:pPr>
              <w:jc w:val="right"/>
              <w:ind w:right="19"/>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140" w:type="dxa"/>
            <w:vAlign w:val="bottom"/>
            <w:vMerge w:val="restart"/>
          </w:tcPr>
          <w:p>
            <w:pPr>
              <w:jc w:val="right"/>
              <w:ind w:right="1150"/>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 addition to the guarantees we describe in the preceding paragraphs, as of March 25, 2016, we had the following commitments outstanding:</w:t>
      </w:r>
    </w:p>
    <w:p>
      <w:pPr>
        <w:spacing w:after="0" w:line="154" w:lineRule="exact"/>
        <w:rPr>
          <w:sz w:val="20"/>
          <w:szCs w:val="20"/>
          <w:color w:val="auto"/>
        </w:rPr>
      </w:pPr>
    </w:p>
    <w:p>
      <w:pPr>
        <w:ind w:left="1820" w:hanging="448"/>
        <w:spacing w:after="0" w:line="286" w:lineRule="auto"/>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various contracts for the use of information technology hardware and software that we use in the normal course of business. Our aggregate commitments under these contracts were $26.6 million, of which we expect $9.8 million, $7.0 million, $3.5 million, $1.9 million, $1.7 million and $2.7 million will be paid in 2016, 2017, 2018, 2019, 2020 and thereafter, respectively.</w:t>
      </w:r>
    </w:p>
    <w:p>
      <w:pPr>
        <w:spacing w:after="0" w:line="70" w:lineRule="exact"/>
        <w:rPr>
          <w:rFonts w:ascii="Arial" w:cs="Arial" w:eastAsia="Arial" w:hAnsi="Arial"/>
          <w:sz w:val="17"/>
          <w:szCs w:val="17"/>
          <w:color w:val="auto"/>
        </w:rPr>
      </w:pPr>
    </w:p>
    <w:p>
      <w:pPr>
        <w:ind w:left="1820" w:hanging="448"/>
        <w:spacing w:after="0"/>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commitments of $2.6 million to subsidize vacation ownership associations, which we expect to pay in 2016.</w:t>
      </w:r>
    </w:p>
    <w:p>
      <w:pPr>
        <w:spacing w:after="0" w:line="130" w:lineRule="exact"/>
        <w:rPr>
          <w:rFonts w:ascii="Arial" w:cs="Arial" w:eastAsia="Arial" w:hAnsi="Arial"/>
          <w:sz w:val="18"/>
          <w:szCs w:val="18"/>
          <w:color w:val="auto"/>
        </w:rPr>
      </w:pPr>
    </w:p>
    <w:p>
      <w:pPr>
        <w:ind w:left="1820" w:right="40" w:hanging="448"/>
        <w:spacing w:after="0" w:line="276" w:lineRule="auto"/>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a commitment to purchase an operating property located in New York, New York for $158.5 million. We expect to acquire the units in the property, in their current form, over time, and we expect to make payments for these units of $96.8 million and $61.7 million in 2018 and 2019, respectively. We are currently managing this property, which we have rebranded as Marriott Vacation Club, New York City. In connection with this commitment, we entered into a capital lease arrangement for ancillary and operations space. See Footnote No. 13, “Variable Interest Entities,” for additional information on this transaction.</w:t>
      </w:r>
    </w:p>
    <w:p>
      <w:pPr>
        <w:spacing w:after="0" w:line="77" w:lineRule="exact"/>
        <w:rPr>
          <w:rFonts w:ascii="Arial" w:cs="Arial" w:eastAsia="Arial" w:hAnsi="Arial"/>
          <w:sz w:val="17"/>
          <w:szCs w:val="17"/>
          <w:color w:val="auto"/>
        </w:rPr>
      </w:pPr>
    </w:p>
    <w:p>
      <w:pPr>
        <w:ind w:left="1820" w:right="120" w:hanging="448"/>
        <w:spacing w:after="0" w:line="272" w:lineRule="auto"/>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commitments to purchase vacation ownership units located in two resorts in Bali, Indonesia in two separate transactions, contingent upon completion of construction at agreed upon standards within specified timeframes, for use in our Asia Pacific segment. We expect to complete the acquisition of 51 vacation ownership units in 2017 pursuant to one of the commitments, and to make payments with respect to these units, when specific construction milestones are completed, as follows: $4.7 million in 2016 and $19.0 million in 2017. We expect to complete the acquisition of 88 vacation ownership units in 2019 pursuant to the other commitment, and to make payments with respect to these units, when specific construction milestones are completed, as follows: $7.8 million in 2016, $5.9 million in 2018, and $25.4 million in 2019.</w:t>
      </w:r>
    </w:p>
    <w:p>
      <w:pPr>
        <w:spacing w:after="0" w:line="83" w:lineRule="exact"/>
        <w:rPr>
          <w:rFonts w:ascii="Arial" w:cs="Arial" w:eastAsia="Arial" w:hAnsi="Arial"/>
          <w:sz w:val="17"/>
          <w:szCs w:val="17"/>
          <w:color w:val="auto"/>
        </w:rPr>
      </w:pPr>
    </w:p>
    <w:p>
      <w:pPr>
        <w:ind w:left="1820" w:right="20" w:hanging="448"/>
        <w:spacing w:after="0" w:line="264"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commitment of $137.1 million to purchase vacation ownership units located in Marco Island, Florida, of which we expect $33.3 million, $50.0 million and $53.8 million will be paid in 2017, 2018 and 2019, respectively. See Footnote No. 5, “Acquisitions and Dispositions,” for additional information on this transaction.</w:t>
      </w:r>
    </w:p>
    <w:p>
      <w:pPr>
        <w:spacing w:after="0" w:line="86" w:lineRule="exact"/>
        <w:rPr>
          <w:rFonts w:ascii="Arial" w:cs="Arial" w:eastAsia="Arial" w:hAnsi="Arial"/>
          <w:sz w:val="18"/>
          <w:szCs w:val="18"/>
          <w:color w:val="auto"/>
        </w:rPr>
      </w:pPr>
    </w:p>
    <w:p>
      <w:pPr>
        <w:ind w:left="1820" w:hanging="448"/>
        <w:spacing w:after="0" w:line="270" w:lineRule="auto"/>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a commitment of $38.5 million to purchase vacation ownership units located on the Big Island of Hawaii, for use in our MVCD program, contingent upon the seller subjecting the units to a condominium regime prior to our purchase. We made a deposit of $1.5 million in connection with this commitment in 2014, and we were committed to make the remaining payment of $37.0 million upon satisfaction of the condition that the seller subject the units to a condominium regime. Upon acquisition, we were committed to renovate the units pursuant to a property improvement plan to be agreed upon at a later date. Subsequent to the 2016 first quarter, we entered into a capital efficient arrangement, which amended the terms of our commitment to purchase the units to be contingent upon the renovation of the vacation ownership units. We also loaned the purchaser $0.5 million secured by a subordinated mortgage on the property. We expect to acquire the completed vacation ownership units in 2017 and to pay the purchase price as follows: $27.5 million in 2017, $32.7 million in 2018 and $30.9 million in 2019. Concurrent with this amendment, we purchased space to be converted to a sales center for $3.0 million.</w:t>
      </w:r>
    </w:p>
    <w:p>
      <w:pPr>
        <w:spacing w:after="0" w:line="178" w:lineRule="exact"/>
        <w:rPr>
          <w:sz w:val="20"/>
          <w:szCs w:val="20"/>
          <w:color w:val="auto"/>
        </w:rPr>
      </w:pPr>
    </w:p>
    <w:p>
      <w:pPr>
        <w:ind w:right="160" w:firstLine="1141"/>
        <w:spacing w:after="0" w:line="277" w:lineRule="auto"/>
        <w:rPr>
          <w:sz w:val="20"/>
          <w:szCs w:val="20"/>
          <w:color w:val="auto"/>
        </w:rPr>
      </w:pPr>
      <w:r>
        <w:rPr>
          <w:rFonts w:ascii="Arial" w:cs="Arial" w:eastAsia="Arial" w:hAnsi="Arial"/>
          <w:sz w:val="18"/>
          <w:szCs w:val="18"/>
          <w:color w:val="auto"/>
        </w:rPr>
        <w:t>Surety bonds issued as of March 25, 2016 totaled $57.8 million, the majority of which were requested by federal, state or local governments related to our operations.</w:t>
      </w:r>
    </w:p>
    <w:p>
      <w:pPr>
        <w:spacing w:after="0" w:line="62" w:lineRule="exact"/>
        <w:rPr>
          <w:sz w:val="20"/>
          <w:szCs w:val="20"/>
          <w:color w:val="auto"/>
        </w:rPr>
      </w:pPr>
    </w:p>
    <w:p>
      <w:pPr>
        <w:ind w:right="200" w:firstLine="1141"/>
        <w:spacing w:after="0" w:line="277" w:lineRule="auto"/>
        <w:rPr>
          <w:sz w:val="20"/>
          <w:szCs w:val="20"/>
          <w:color w:val="auto"/>
        </w:rPr>
      </w:pPr>
      <w:r>
        <w:rPr>
          <w:rFonts w:ascii="Arial" w:cs="Arial" w:eastAsia="Arial" w:hAnsi="Arial"/>
          <w:sz w:val="18"/>
          <w:szCs w:val="18"/>
          <w:color w:val="auto"/>
        </w:rPr>
        <w:t>Additionally, as of March 25, 2016, we had $3.3 million of letters of credit outstanding under our $200 million revolving credit facility (the “Revolving Corporate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40" w:firstLine="799"/>
        <w:spacing w:after="0" w:line="270" w:lineRule="auto"/>
        <w:rPr>
          <w:sz w:val="20"/>
          <w:szCs w:val="20"/>
          <w:color w:val="auto"/>
        </w:rPr>
      </w:pPr>
      <w:r>
        <w:rPr>
          <w:rFonts w:ascii="Arial" w:cs="Arial" w:eastAsia="Arial" w:hAnsi="Arial"/>
          <w:sz w:val="17"/>
          <w:szCs w:val="17"/>
          <w:color w:val="auto"/>
        </w:rPr>
        <w:t>In April 2013, Krishna and Sherrie Narayan and other owners of 12 residential units at the resort formerly known as The Ritz-Carlton Residences, Kapalua Bay (“Kapalua Bay”) filed an amended complaint related to a suit originally filed in Circuit Court for Maui County, Hawaii in June 2012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Trade Practices Act. We dispute the material allegations in the amended complaint and continue to defend against this action vigorously. We filed a motion in the Circuit Court to compel arbitration of plaintiffs’ claims. That motion was denied, but on appeal the Hawaii Intermediate Court of Appeals reversed. The Hawaii Supreme Court reversed the decision of the Intermediate Court of Appeals and reinstated the action in Circuit Court, which set the case for trial beginning September 16, 2016. We filed a petition with the United States Supreme Court seeking review of the Hawaii Supreme Court’s decision. On January 11, 2016, the United States Supreme Court issued an order vacating the Hawaii Supreme Court’s decision and remanding the case with instructions to reconsider its ruling in light of a recent U.S. Supreme Court decision reiterating the obligation of courts to enforce arbitration agreements. On January 27, 2016, we filed a motion to stay proceedings in the Circuit Court based on the order of the U.S. Supreme Court. Plaintiffs opposed the motion. The Circuit Court stayed proceedings until May 27, 2016, and set a hearing for that date. Additionally, in 2014, owners of two residential units agreed to release their claims in this action. Given the inherent uncertainties of litigation, we cannot estimate a range of the potential liability, if any, at this time.</w:t>
      </w:r>
    </w:p>
    <w:p>
      <w:pPr>
        <w:spacing w:after="0" w:line="59" w:lineRule="exact"/>
        <w:rPr>
          <w:sz w:val="20"/>
          <w:szCs w:val="20"/>
          <w:color w:val="auto"/>
        </w:rPr>
      </w:pPr>
    </w:p>
    <w:p>
      <w:pPr>
        <w:ind w:right="40" w:firstLine="799"/>
        <w:spacing w:after="0" w:line="286" w:lineRule="auto"/>
        <w:rPr>
          <w:sz w:val="20"/>
          <w:szCs w:val="20"/>
          <w:color w:val="auto"/>
        </w:rPr>
      </w:pPr>
      <w:r>
        <w:rPr>
          <w:rFonts w:ascii="Arial" w:cs="Arial" w:eastAsia="Arial" w:hAnsi="Arial"/>
          <w:sz w:val="16"/>
          <w:szCs w:val="16"/>
          <w:color w:val="auto"/>
        </w:rPr>
        <w:t>In June 2013, Earl C. and Patricia A. Charles, owners of a fractional interest at Kapalua Bay, together with owners of 38 other fractional interests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granted our motion to compel arbitration of the claims asserted by the plaintiffs. Plaintiffs appealed that decision to the Hawaii Intermediate Court of Appeals and also initiated arbitration. On July 24, 2015, the Intermediate Court of Appeals reversed the decision of the Circuit Court and directed that the action be reinstated in the Circuit Court, based on the Hawaii Supreme Court’s decision in the Narayan case discussed above, which has since been vacated by the U.S. Supreme Court. We dispute the material allegations in the amended complaint and intend to defend against this action vigorously. Given the early stages of the action and the inherent uncertainties of litigation, we cannot estimate a range of the potential liability, if any, at this time. Additionally, owners of two fractional interests have since agreed to release their claims in this action, and the owners of another fractional interest, who are not parties to the Charles action, agreed to release similar claims, in each instance for nominal sums.</w:t>
      </w:r>
    </w:p>
    <w:p>
      <w:pPr>
        <w:spacing w:after="0" w:line="64"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color w:val="auto"/>
        </w:rPr>
        <w:t>In August 2014, Michael and Marla Flynn, owners of weeks-based Marriott Vacation Club vacation ownership products at two of our resorts in Hawaii, filed a claim with the American Arbitration Association on behalf of a putative class consisting of themselves and all others similarly situated. The claimants alleged that the introduction of our points-based MVCD program caused an actionable decrease in the value of their vacation ownership interests. The relief sought included compensatory and exemplary damages, restitution, injunctive relief, interest and attorneys’ fees pursuant to applicable timeshare and unfair trade practices acts and common-law theories of breach of contract and breach of an implied covenant of good faith and fair dealing. On March 30, 2015, the arbitrator ruled that the Flynns’ claims are not subject to arbitration, and dismissed the Flynn proceeding. On October 2, 2015, Michael and Marla Flynn, joined by Patrick and Mary Flynn as Trustees of the Flynn Family Trust, filed a civil action in the United States District Court for the District of Hawaii, asserting similar claims and seeking similar relief on behalf of themselves and a putative class consisting of themselves and all others similarly situated. On December 24, 2015, we filed a motion to dismiss. On February 29, 2016, the Court granted the motion in part and denied it in part. On March 24, 2016, plaintiffs filed a motion for leave to amend their complaint. We dispute the material allegations in the complaint and intend to defend against the action vigorously. Given the early stages of the action and the inherent uncertainties of litigation, we cannot estimate a range of potential liability, if any, at this time.</w:t>
      </w:r>
    </w:p>
    <w:p>
      <w:pPr>
        <w:spacing w:after="0" w:line="65" w:lineRule="exact"/>
        <w:rPr>
          <w:sz w:val="20"/>
          <w:szCs w:val="20"/>
          <w:color w:val="auto"/>
        </w:rPr>
      </w:pPr>
    </w:p>
    <w:p>
      <w:pPr>
        <w:ind w:right="120" w:firstLine="799"/>
        <w:spacing w:after="0" w:line="290" w:lineRule="auto"/>
        <w:rPr>
          <w:sz w:val="20"/>
          <w:szCs w:val="20"/>
          <w:color w:val="auto"/>
        </w:rPr>
      </w:pPr>
      <w:r>
        <w:rPr>
          <w:rFonts w:ascii="Arial" w:cs="Arial" w:eastAsia="Arial" w:hAnsi="Arial"/>
          <w:sz w:val="16"/>
          <w:szCs w:val="16"/>
          <w:color w:val="auto"/>
        </w:rPr>
        <w:t>On May 26, 2015, we and certain of our subsidiaries were named as defendants in an action filed in the Superior Court of San Francisco County, California, by William and Sharon Petrick and certain other present and former owners of fractional interests at The Ritz-Carlton Club and Residences, San Francisco (the “RCC San Francisco”). The case is not filed as a putative class action. The plaintiffs allege that the affiliation of the RCC San Francisco with our points-based MVCD program, certain alleged sales practices, and other acts we and the other defendants allegedly took caused an actionable decrease in the value of their fractional interests. The relief sought includes, among other things, compensatory and punitive damages, rescission, and pre- and post-judgment interest. Plaintiffs filed amended complaints on October 9, 2015 and April 25, 2016. On January 22, 2016, we filed a motion to dismiss; the Court has not yet ruled on the motion. We dispute the material allegations in the amended complaint and intend to defend against the action vigorously. Given the early stages of the action and the inherent uncertainties of litigation, we cannot estimate a range of the potential liability, if any, at this time.</w:t>
      </w:r>
    </w:p>
    <w:p>
      <w:pPr>
        <w:spacing w:after="0" w:line="58" w:lineRule="exact"/>
        <w:rPr>
          <w:sz w:val="20"/>
          <w:szCs w:val="20"/>
          <w:color w:val="auto"/>
        </w:rPr>
      </w:pPr>
    </w:p>
    <w:p>
      <w:pPr>
        <w:ind w:right="40" w:firstLine="799"/>
        <w:spacing w:after="0" w:line="272" w:lineRule="auto"/>
        <w:rPr>
          <w:sz w:val="20"/>
          <w:szCs w:val="20"/>
          <w:color w:val="auto"/>
        </w:rPr>
      </w:pPr>
      <w:r>
        <w:rPr>
          <w:rFonts w:ascii="Arial" w:cs="Arial" w:eastAsia="Arial" w:hAnsi="Arial"/>
          <w:sz w:val="17"/>
          <w:szCs w:val="17"/>
          <w:color w:val="auto"/>
        </w:rPr>
        <w:t>On December 31, 2015, we and certain of our subsidiaries were named as defendants in an action filed in the District Court of Pitkin County, Colorado by RCHFU, L.L.C., the owner of a fractional interest at The Ritz-Carlton Club, Aspen Highlands (“RCC-Aspen Highlands”). The case is filed as a putative class action; the plaintiff seeks to represent a class consisting of itself and all others similarly situated. The plaintiff alleges that its fractional interest was devalued by the affiliation of RCC-Aspen Highlands and other Ritz-Carlton Clubs with our points-based MVCD program. The relief sought includes, among other things, unspecified damages, pre- and post-judgment interest, and attorneys’ fees. The complaint has not been served. We dispute the material allegations in the complaint and intend to defend against the action vigorously. Given the early stages of the action and the inherent uncertainties of litigation, we cannot estimate a range of the potential liability, if any, at this time.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60" w:firstLine="1141"/>
        <w:spacing w:after="0" w:line="312" w:lineRule="auto"/>
        <w:rPr>
          <w:sz w:val="20"/>
          <w:szCs w:val="20"/>
          <w:color w:val="auto"/>
        </w:rPr>
      </w:pPr>
      <w:r>
        <w:rPr>
          <w:rFonts w:ascii="Arial" w:cs="Arial" w:eastAsia="Arial" w:hAnsi="Arial"/>
          <w:sz w:val="16"/>
          <w:szCs w:val="16"/>
          <w:color w:val="auto"/>
        </w:rPr>
        <w:t>We estimate the cash outflow associated with completing the phases of our existing portfolio of vacation ownership projects currently under development will be approximately $4.9 million, of which $4.5 million is included within liabilities on our Balance Sheet at March 25, 2016. This estimate is based on our current development plans, which remain subject to change, and we expect the phases currently under development will be completed by 2016.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table provides detail on our debt balances, net of unamortized debt issuance costs:</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0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At March 25, 2016</w:t>
            </w:r>
          </w:p>
        </w:tc>
        <w:tc>
          <w:tcPr>
            <w:tcW w:w="20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January 1, 2016</w:t>
            </w: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15"/>
                <w:szCs w:val="15"/>
                <w:color w:val="auto"/>
              </w:rPr>
              <w:t>(1)</w:t>
            </w:r>
          </w:p>
        </w:tc>
        <w:tc>
          <w:tcPr>
            <w:tcW w:w="3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637,294</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684,604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(9,043)</w:t>
            </w:r>
          </w:p>
        </w:tc>
        <w:tc>
          <w:tcPr>
            <w:tcW w:w="10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629,056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675,561</w:t>
            </w:r>
          </w:p>
        </w:tc>
        <w:tc>
          <w:tcPr>
            <w:tcW w:w="100" w:type="dxa"/>
            <w:vAlign w:val="bottom"/>
            <w:shd w:val="clear" w:color="auto" w:fill="CCEEFF"/>
          </w:tcPr>
          <w:p>
            <w:pPr>
              <w:spacing w:after="0"/>
              <w:rPr>
                <w:sz w:val="18"/>
                <w:szCs w:val="18"/>
                <w:color w:val="auto"/>
              </w:rPr>
            </w:pPr>
          </w:p>
        </w:tc>
      </w:tr>
      <w:tr>
        <w:trPr>
          <w:trHeight w:val="324"/>
        </w:trPr>
        <w:tc>
          <w:tcPr>
            <w:tcW w:w="6700" w:type="dxa"/>
            <w:vAlign w:val="bottom"/>
          </w:tcPr>
          <w:p>
            <w:pPr>
              <w:spacing w:after="0"/>
              <w:rPr>
                <w:sz w:val="20"/>
                <w:szCs w:val="20"/>
                <w:color w:val="auto"/>
              </w:rPr>
            </w:pPr>
            <w:r>
              <w:rPr>
                <w:rFonts w:ascii="Arial" w:cs="Arial" w:eastAsia="Arial" w:hAnsi="Arial"/>
                <w:sz w:val="18"/>
                <w:szCs w:val="18"/>
                <w:color w:val="auto"/>
              </w:rPr>
              <w:t>Warehouse credit facility</w:t>
            </w:r>
            <w:r>
              <w:rPr>
                <w:rFonts w:ascii="Arial" w:cs="Arial" w:eastAsia="Arial" w:hAnsi="Arial"/>
                <w:sz w:val="15"/>
                <w:szCs w:val="15"/>
                <w:color w:val="auto"/>
              </w:rPr>
              <w:t>(2)</w:t>
            </w:r>
          </w:p>
        </w:tc>
        <w:tc>
          <w:tcPr>
            <w:tcW w:w="3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50,729</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r>
              <w:rPr>
                <w:rFonts w:ascii="Arial" w:cs="Arial" w:eastAsia="Arial" w:hAnsi="Arial"/>
                <w:sz w:val="15"/>
                <w:szCs w:val="15"/>
                <w:color w:val="auto"/>
              </w:rPr>
              <w:t>(3)</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4"/>
        </w:trPr>
        <w:tc>
          <w:tcPr>
            <w:tcW w:w="67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49,134</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107"/>
        </w:trPr>
        <w:tc>
          <w:tcPr>
            <w:tcW w:w="6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debt, gross</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4,087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CEEFF"/>
          </w:tcPr>
          <w:p>
            <w:pPr>
              <w:spacing w:after="0"/>
              <w:rPr>
                <w:sz w:val="18"/>
                <w:szCs w:val="18"/>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3,823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3,232</w:t>
            </w:r>
          </w:p>
        </w:tc>
        <w:tc>
          <w:tcPr>
            <w:tcW w:w="100" w:type="dxa"/>
            <w:vAlign w:val="bottom"/>
            <w:shd w:val="clear" w:color="auto" w:fill="CCEEFF"/>
          </w:tcPr>
          <w:p>
            <w:pPr>
              <w:spacing w:after="0"/>
              <w:rPr>
                <w:sz w:val="18"/>
                <w:szCs w:val="18"/>
                <w:color w:val="auto"/>
              </w:rPr>
            </w:pPr>
          </w:p>
        </w:tc>
      </w:tr>
      <w:tr>
        <w:trPr>
          <w:trHeight w:val="324"/>
        </w:trPr>
        <w:tc>
          <w:tcPr>
            <w:tcW w:w="6700" w:type="dxa"/>
            <w:vAlign w:val="bottom"/>
          </w:tcPr>
          <w:p>
            <w:pPr>
              <w:spacing w:after="0"/>
              <w:rPr>
                <w:sz w:val="20"/>
                <w:szCs w:val="20"/>
                <w:color w:val="auto"/>
              </w:rPr>
            </w:pPr>
            <w:r>
              <w:rPr>
                <w:rFonts w:ascii="Arial" w:cs="Arial" w:eastAsia="Arial" w:hAnsi="Arial"/>
                <w:sz w:val="18"/>
                <w:szCs w:val="18"/>
                <w:color w:val="auto"/>
              </w:rPr>
              <w:t>Capital leases</w:t>
            </w:r>
          </w:p>
        </w:tc>
        <w:tc>
          <w:tcPr>
            <w:tcW w:w="3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7,221</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102"/>
        </w:trPr>
        <w:tc>
          <w:tcPr>
            <w:tcW w:w="67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7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689,234</w:t>
            </w:r>
          </w:p>
        </w:tc>
        <w:tc>
          <w:tcPr>
            <w:tcW w:w="58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678,793</w:t>
            </w:r>
          </w:p>
        </w:tc>
        <w:tc>
          <w:tcPr>
            <w:tcW w:w="100" w:type="dxa"/>
            <w:vAlign w:val="bottom"/>
            <w:shd w:val="clear" w:color="auto" w:fill="CCEEFF"/>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94615</wp:posOffset>
            </wp:positionV>
            <wp:extent cx="909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68" w:lineRule="exact"/>
        <w:rPr>
          <w:sz w:val="20"/>
          <w:szCs w:val="20"/>
          <w:color w:val="auto"/>
        </w:rPr>
      </w:pPr>
    </w:p>
    <w:p>
      <w:pPr>
        <w:ind w:left="1240" w:hanging="314"/>
        <w:spacing w:after="0"/>
        <w:tabs>
          <w:tab w:leader="none" w:pos="1240"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Interest rates as of March 25, 2016 range from 2.2% to 6.3% with a weighted average interest rate of 2.6%.</w:t>
      </w:r>
    </w:p>
    <w:p>
      <w:pPr>
        <w:spacing w:after="0" w:line="23" w:lineRule="exact"/>
        <w:rPr>
          <w:rFonts w:ascii="Arial" w:cs="Arial" w:eastAsia="Arial" w:hAnsi="Arial"/>
          <w:sz w:val="15"/>
          <w:szCs w:val="15"/>
          <w:color w:val="auto"/>
        </w:rPr>
      </w:pPr>
    </w:p>
    <w:p>
      <w:pPr>
        <w:ind w:left="1240" w:hanging="314"/>
        <w:spacing w:after="0"/>
        <w:tabs>
          <w:tab w:leader="none" w:pos="124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effective interest rate as of March 25, 2016 is 2.2%.</w:t>
      </w:r>
    </w:p>
    <w:p>
      <w:pPr>
        <w:spacing w:after="0" w:line="9" w:lineRule="exact"/>
        <w:rPr>
          <w:rFonts w:ascii="Arial" w:cs="Arial" w:eastAsia="Arial" w:hAnsi="Arial"/>
          <w:sz w:val="15"/>
          <w:szCs w:val="15"/>
          <w:color w:val="auto"/>
        </w:rPr>
      </w:pPr>
    </w:p>
    <w:p>
      <w:pPr>
        <w:ind w:left="1240" w:right="1220" w:hanging="314"/>
        <w:spacing w:after="0" w:line="261" w:lineRule="auto"/>
        <w:tabs>
          <w:tab w:leader="none" w:pos="1240" w:val="left"/>
        </w:tabs>
        <w:numPr>
          <w:ilvl w:val="0"/>
          <w:numId w:val="10"/>
        </w:numPr>
        <w:rPr>
          <w:rFonts w:ascii="Arial" w:cs="Arial" w:eastAsia="Arial" w:hAnsi="Arial"/>
          <w:sz w:val="15"/>
          <w:szCs w:val="15"/>
          <w:color w:val="auto"/>
        </w:rPr>
      </w:pPr>
      <w:r>
        <w:rPr>
          <w:rFonts w:ascii="Arial" w:cs="Arial" w:eastAsia="Arial" w:hAnsi="Arial"/>
          <w:sz w:val="18"/>
          <w:szCs w:val="18"/>
          <w:color w:val="auto"/>
        </w:rPr>
        <w:t>As no borrowings were outstanding at January 1, 2016, unamortized debt issuance costs of $1.8 million were included in the Other line within Assets on the Balance Sheet.</w:t>
      </w:r>
    </w:p>
    <w:p>
      <w:pPr>
        <w:spacing w:after="0" w:line="184" w:lineRule="exact"/>
        <w:rPr>
          <w:sz w:val="20"/>
          <w:szCs w:val="20"/>
          <w:color w:val="auto"/>
        </w:rPr>
      </w:pPr>
    </w:p>
    <w:p>
      <w:pPr>
        <w:ind w:firstLine="1141"/>
        <w:spacing w:after="0" w:line="255" w:lineRule="auto"/>
        <w:rPr>
          <w:sz w:val="20"/>
          <w:szCs w:val="20"/>
          <w:color w:val="auto"/>
        </w:rPr>
      </w:pPr>
      <w:r>
        <w:rPr>
          <w:rFonts w:ascii="Arial" w:cs="Arial" w:eastAsia="Arial" w:hAnsi="Arial"/>
          <w:sz w:val="18"/>
          <w:szCs w:val="18"/>
          <w:color w:val="auto"/>
        </w:rPr>
        <w:t>See Footnote No. 13, “Variable Interest Entities,” for a discussion of the collateral for the non-recourse debt associated with the securitized vacation ownership notes receivable and the Warehouse Credit Facility. All of our other debt was, and to the extent currently outstanding is, recourse to us but unsecured. The Warehouse Credit Facility currently terminates on November 22, 2017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We generally expect to securitize our vacation ownership notes receivable, including any vacation ownership notes receivable held in the Warehouse Credit Facility, in the ABS market once per year.</w:t>
      </w:r>
    </w:p>
    <w:p>
      <w:pPr>
        <w:spacing w:after="0" w:line="81" w:lineRule="exact"/>
        <w:rPr>
          <w:sz w:val="20"/>
          <w:szCs w:val="20"/>
          <w:color w:val="auto"/>
        </w:rPr>
      </w:pPr>
    </w:p>
    <w:p>
      <w:pPr>
        <w:ind w:right="20" w:firstLine="1141"/>
        <w:spacing w:after="0" w:line="257" w:lineRule="auto"/>
        <w:rPr>
          <w:sz w:val="20"/>
          <w:szCs w:val="20"/>
          <w:color w:val="auto"/>
        </w:rPr>
      </w:pPr>
      <w:r>
        <w:rPr>
          <w:rFonts w:ascii="Arial" w:cs="Arial" w:eastAsia="Arial" w:hAnsi="Arial"/>
          <w:sz w:val="18"/>
          <w:szCs w:val="18"/>
          <w:color w:val="auto"/>
        </w:rPr>
        <w:t>Although no cash borrowings were outstanding as of March 25, 2016 under our Revolving Corporate Credit Facility, any amounts that are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table shows scheduled future principal payments for our debt:</w:t>
      </w:r>
    </w:p>
    <w:p>
      <w:pPr>
        <w:spacing w:after="0" w:line="1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Vacation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0"/>
              </w:rPr>
              <w:t>Warehouse</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3"/>
              </w:rPr>
              <w:t>Ownership</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8"/>
              </w:rPr>
              <w:t>Credit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 xml:space="preserve">Securitizations </w:t>
            </w:r>
            <w:r>
              <w:rPr>
                <w:rFonts w:ascii="Arial" w:cs="Arial" w:eastAsia="Arial" w:hAnsi="Arial"/>
                <w:sz w:val="12"/>
                <w:szCs w:val="12"/>
                <w:b w:val="1"/>
                <w:bCs w:val="1"/>
                <w:color w:val="auto"/>
                <w:w w:val="91"/>
              </w:rPr>
              <w:t>(1)</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9"/>
              </w:rPr>
              <w:t>Facility</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Debt</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Leases</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Principal Payments Year</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2016</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77,830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5"/>
              <w:spacing w:after="0"/>
              <w:rPr>
                <w:sz w:val="20"/>
                <w:szCs w:val="20"/>
                <w:color w:val="auto"/>
              </w:rPr>
            </w:pPr>
            <w:r>
              <w:rPr>
                <w:rFonts w:ascii="Arial" w:cs="Arial" w:eastAsia="Arial" w:hAnsi="Arial"/>
                <w:sz w:val="18"/>
                <w:szCs w:val="18"/>
                <w:color w:val="auto"/>
              </w:rPr>
              <w:t>2,043</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59</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79,932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88,534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2,746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664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91,944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83,942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95"/>
              <w:spacing w:after="0"/>
              <w:rPr>
                <w:sz w:val="20"/>
                <w:szCs w:val="20"/>
                <w:color w:val="auto"/>
              </w:rPr>
            </w:pPr>
            <w:r>
              <w:rPr>
                <w:rFonts w:ascii="Arial" w:cs="Arial" w:eastAsia="Arial" w:hAnsi="Arial"/>
                <w:sz w:val="18"/>
                <w:szCs w:val="18"/>
                <w:color w:val="auto"/>
              </w:rPr>
              <w:t>45,940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7,221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137,172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75,318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75,392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72,607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72,688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239,063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3,140</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242,203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color w:val="auto"/>
              </w:rPr>
              <w:t>Balance at March 25, 2016</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637,294</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50,729</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4,087</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7,221</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699,331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10033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68" w:lineRule="exact"/>
        <w:rPr>
          <w:sz w:val="20"/>
          <w:szCs w:val="20"/>
          <w:color w:val="auto"/>
        </w:rPr>
      </w:pPr>
    </w:p>
    <w:p>
      <w:pPr>
        <w:ind w:left="460" w:right="2320" w:firstLine="7"/>
        <w:spacing w:after="0" w:line="277" w:lineRule="auto"/>
        <w:tabs>
          <w:tab w:leader="none" w:pos="770"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debt associated with our vacation ownership notes receivable securitizations and the Warehouse Credit Facility is non-recourse to us.</w:t>
      </w:r>
    </w:p>
    <w:p>
      <w:pPr>
        <w:spacing w:after="0" w:line="184" w:lineRule="exact"/>
        <w:rPr>
          <w:sz w:val="20"/>
          <w:szCs w:val="20"/>
          <w:color w:val="auto"/>
        </w:rPr>
      </w:pPr>
    </w:p>
    <w:p>
      <w:pPr>
        <w:ind w:right="160" w:firstLine="1141"/>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6" w:lineRule="exact"/>
        <w:rPr>
          <w:sz w:val="20"/>
          <w:szCs w:val="20"/>
          <w:color w:val="auto"/>
        </w:rPr>
      </w:pPr>
    </w:p>
    <w:p>
      <w:pPr>
        <w:ind w:right="160" w:firstLine="1141"/>
        <w:spacing w:after="0" w:line="277" w:lineRule="auto"/>
        <w:rPr>
          <w:sz w:val="20"/>
          <w:szCs w:val="20"/>
          <w:color w:val="auto"/>
        </w:rPr>
      </w:pPr>
      <w:r>
        <w:rPr>
          <w:rFonts w:ascii="Arial" w:cs="Arial" w:eastAsia="Arial" w:hAnsi="Arial"/>
          <w:sz w:val="18"/>
          <w:szCs w:val="18"/>
          <w:color w:val="auto"/>
        </w:rPr>
        <w:t>We paid cash for interest, net of amounts capitalized, of $4.6 million and $6.6 million in the twelve weeks ended March 25, 2016 and March 27,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Associated with Vacation Ownership Notes Receivable Securitizations</w:t>
      </w:r>
    </w:p>
    <w:p>
      <w:pPr>
        <w:spacing w:after="0" w:line="117" w:lineRule="exact"/>
        <w:rPr>
          <w:sz w:val="20"/>
          <w:szCs w:val="20"/>
          <w:color w:val="auto"/>
        </w:rPr>
      </w:pPr>
    </w:p>
    <w:p>
      <w:pPr>
        <w:ind w:right="20" w:firstLine="1141"/>
        <w:spacing w:after="0" w:line="272" w:lineRule="auto"/>
        <w:rPr>
          <w:sz w:val="20"/>
          <w:szCs w:val="20"/>
          <w:color w:val="auto"/>
        </w:rPr>
      </w:pPr>
      <w:r>
        <w:rPr>
          <w:rFonts w:ascii="Arial" w:cs="Arial" w:eastAsia="Arial" w:hAnsi="Arial"/>
          <w:sz w:val="17"/>
          <w:szCs w:val="17"/>
          <w:color w:val="auto"/>
        </w:rPr>
        <w:t>Each of the transactions in which we have securitized vacation ownership notes receivable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twelve weeks ended March 25, 2016 and as of March 25, 2016, no securitized vacation ownership notes receivable pools were out of compliance with the established parameters. As of March 25, 2016, we had 6 securitized vacation ownership notes receivable pools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 Borrowing</w:t>
      </w:r>
    </w:p>
    <w:p>
      <w:pPr>
        <w:spacing w:after="0" w:line="117" w:lineRule="exact"/>
        <w:rPr>
          <w:sz w:val="20"/>
          <w:szCs w:val="20"/>
          <w:color w:val="auto"/>
        </w:rPr>
      </w:pPr>
    </w:p>
    <w:p>
      <w:pPr>
        <w:ind w:right="140" w:firstLine="1141"/>
        <w:spacing w:after="0" w:line="264" w:lineRule="auto"/>
        <w:rPr>
          <w:sz w:val="20"/>
          <w:szCs w:val="20"/>
          <w:color w:val="auto"/>
        </w:rPr>
      </w:pPr>
      <w:r>
        <w:rPr>
          <w:rFonts w:ascii="Arial" w:cs="Arial" w:eastAsia="Arial" w:hAnsi="Arial"/>
          <w:sz w:val="18"/>
          <w:szCs w:val="18"/>
          <w:color w:val="auto"/>
        </w:rPr>
        <w:t>On February 24, 2016, we made a draw on the Warehouse Credit Facility. The carrying amount of the notes receivable securitized was $60.2 million. The advance rate was 85 percent, which resulted in gross proceeds of $51.1 million. Net proceeds were $50.7 million due to the funding of reserve accounts in the amount of $0.4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117" w:lineRule="exact"/>
        <w:rPr>
          <w:sz w:val="20"/>
          <w:szCs w:val="20"/>
          <w:color w:val="auto"/>
        </w:rPr>
      </w:pPr>
    </w:p>
    <w:p>
      <w:pPr>
        <w:ind w:right="480" w:firstLine="1141"/>
        <w:spacing w:after="0" w:line="264" w:lineRule="auto"/>
        <w:rPr>
          <w:sz w:val="20"/>
          <w:szCs w:val="20"/>
          <w:color w:val="auto"/>
        </w:rPr>
      </w:pPr>
      <w:r>
        <w:rPr>
          <w:rFonts w:ascii="Arial" w:cs="Arial" w:eastAsia="Arial" w:hAnsi="Arial"/>
          <w:sz w:val="18"/>
          <w:szCs w:val="18"/>
          <w:color w:val="auto"/>
        </w:rPr>
        <w:t>During the first quarter of 2016, we entered into a capital lease arrangement for ancillary and operations space in connection with the commitment to purchase an operating property located in New York, New York. See Footnote No. 8, “Contingencies and Commitments,” for additional information on this transaction.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MANDATORILY REDEEMABLE PREFERRED STOCK OF CONSOLIDATED SUBSIDIARY</w:t>
      </w:r>
    </w:p>
    <w:p>
      <w:pPr>
        <w:spacing w:after="0" w:line="121" w:lineRule="exact"/>
        <w:rPr>
          <w:sz w:val="20"/>
          <w:szCs w:val="20"/>
          <w:color w:val="auto"/>
        </w:rPr>
      </w:pPr>
    </w:p>
    <w:p>
      <w:pPr>
        <w:ind w:firstLine="1141"/>
        <w:spacing w:after="0" w:line="269" w:lineRule="auto"/>
        <w:rPr>
          <w:sz w:val="20"/>
          <w:szCs w:val="20"/>
          <w:color w:val="auto"/>
        </w:rPr>
      </w:pPr>
      <w:r>
        <w:rPr>
          <w:rFonts w:ascii="Arial" w:cs="Arial" w:eastAsia="Arial" w:hAnsi="Arial"/>
          <w:sz w:val="17"/>
          <w:szCs w:val="17"/>
          <w:color w:val="auto"/>
        </w:rPr>
        <w:t>In October 2011, our subsidiary MVW US Holdings, Inc. (“MVW US Holdings”) issued $40.0 million of its mandatorily redeemable Series A (non-voting) preferred stock to Marriott International as part of Marriott International’s internal reorganization prior to our spin-off from Marriott International. Subsequently, Marriott International sold all of this preferred stock to third-party investors. Until October 2016, the Series A preferred stock will pay an annual cash dividend equal to the five-year U.S. Treasury Rate as of October 19, 2011, plus a spread of 10.958 percent, for a total annual cash dividend rate of 12 percent. In October 2016, if we do not elect to redeem the preferred stock,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(i.e., beginning in October 2016) at par. The Series A preferred stock has an aggregate liquidation preference of $40.0 million plus any accrued and unpaid dividends and an additional premium if liquidation occurs during the first five years after the issuance of the preferred stock. As of March 25, 2016,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1141"/>
        <w:spacing w:after="0" w:line="277" w:lineRule="auto"/>
        <w:rPr>
          <w:sz w:val="20"/>
          <w:szCs w:val="20"/>
          <w:color w:val="auto"/>
        </w:rPr>
      </w:pPr>
      <w:r>
        <w:rPr>
          <w:rFonts w:ascii="Arial" w:cs="Arial" w:eastAsia="Arial" w:hAnsi="Arial"/>
          <w:sz w:val="18"/>
          <w:szCs w:val="18"/>
          <w:color w:val="auto"/>
        </w:rPr>
        <w:t>The following table provides detail on our mandatorily redeemable preferred stock of consolidated subsidiary balance, net of unamortized debt issuance costs: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56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4"/>
                <w:szCs w:val="14"/>
                <w:color w:val="auto"/>
              </w:rPr>
            </w:pPr>
          </w:p>
        </w:tc>
        <w:tc>
          <w:tcPr>
            <w:tcW w:w="1280" w:type="dxa"/>
            <w:vAlign w:val="bottom"/>
          </w:tcPr>
          <w:p>
            <w:pPr>
              <w:jc w:val="right"/>
              <w:ind w:right="54"/>
              <w:spacing w:after="0"/>
              <w:rPr>
                <w:sz w:val="20"/>
                <w:szCs w:val="20"/>
                <w:color w:val="auto"/>
              </w:rPr>
            </w:pPr>
            <w:r>
              <w:rPr>
                <w:rFonts w:ascii="Arial" w:cs="Arial" w:eastAsia="Arial" w:hAnsi="Arial"/>
                <w:sz w:val="14"/>
                <w:szCs w:val="14"/>
                <w:b w:val="1"/>
                <w:bCs w:val="1"/>
                <w:color w:val="auto"/>
                <w:w w:val="94"/>
              </w:rPr>
              <w:t>At March 25, 2016</w:t>
            </w:r>
          </w:p>
        </w:tc>
        <w:tc>
          <w:tcPr>
            <w:tcW w:w="1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At January 1, 2016</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Mandatorily redeemable preferred stock of consolidated subsidiary, gross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40,000</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60" w:type="dxa"/>
            <w:vAlign w:val="bottom"/>
          </w:tcPr>
          <w:p>
            <w:pPr>
              <w:spacing w:after="0"/>
              <w:rPr>
                <w:sz w:val="19"/>
                <w:szCs w:val="19"/>
                <w:color w:val="auto"/>
              </w:rPr>
            </w:pPr>
          </w:p>
        </w:tc>
      </w:tr>
      <w:tr>
        <w:trPr>
          <w:trHeight w:val="216"/>
        </w:trPr>
        <w:tc>
          <w:tcPr>
            <w:tcW w:w="6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39,029</w:t>
            </w:r>
          </w:p>
        </w:tc>
        <w:tc>
          <w:tcPr>
            <w:tcW w:w="6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38,989</w:t>
            </w:r>
          </w:p>
        </w:tc>
        <w:tc>
          <w:tcPr>
            <w:tcW w:w="60" w:type="dxa"/>
            <w:vAlign w:val="bottom"/>
            <w:shd w:val="clear" w:color="auto" w:fill="CCEEFF"/>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121" w:lineRule="exact"/>
        <w:rPr>
          <w:sz w:val="20"/>
          <w:szCs w:val="20"/>
          <w:color w:val="auto"/>
        </w:rPr>
      </w:pPr>
    </w:p>
    <w:p>
      <w:pPr>
        <w:ind w:firstLine="1141"/>
        <w:spacing w:after="0" w:line="276" w:lineRule="auto"/>
        <w:rPr>
          <w:sz w:val="20"/>
          <w:szCs w:val="20"/>
          <w:color w:val="auto"/>
        </w:rPr>
      </w:pPr>
      <w:r>
        <w:rPr>
          <w:rFonts w:ascii="Arial" w:cs="Arial" w:eastAsia="Arial" w:hAnsi="Arial"/>
          <w:sz w:val="17"/>
          <w:szCs w:val="17"/>
          <w:color w:val="auto"/>
        </w:rPr>
        <w:t>Marriott Vacations Worldwide has 100,000,000 authorized shares of common stock, par value of $0.01 per share. At March 25, 2016, there were 36,564,810 shares of Marriott Vacations Worldwide common stock issued, of which 28,393,572 shares were outstanding and 8,171,238 shares were held as treasury stock. At January 1, 2016, there were 36,393,800 shares of Marriott Vacations Worldwide common stock issued, of which 29,549,544 shares were outstanding and 6,844,256 shares were held as treasury stock. Marriott Vacations Worldwide has 2,000,000 authorized shares of preferred stock, par value of $0.01 per share, none of which were issued or outstanding as of March 25, 2016 or January 1, 2016.</w:t>
      </w:r>
    </w:p>
    <w:p>
      <w:pPr>
        <w:spacing w:after="0" w:line="6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table details changes in shareholders’ equity during the twelve weeks ended March 25, 2016:</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86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10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Treasury</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4"/>
              </w:rPr>
              <w:t>Retained</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jc w:val="center"/>
              <w:ind w:left="12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4"/>
                <w:szCs w:val="14"/>
                <w:color w:val="auto"/>
              </w:rPr>
            </w:pPr>
          </w:p>
        </w:tc>
        <w:tc>
          <w:tcPr>
            <w:tcW w:w="1000" w:type="dxa"/>
            <w:vAlign w:val="bottom"/>
          </w:tcPr>
          <w:p>
            <w:pPr>
              <w:jc w:val="right"/>
              <w:ind w:right="254"/>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35"/>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34"/>
              <w:spacing w:after="0"/>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(429,990)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1,150,731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11,381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243,781</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976,267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24,408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Derivative instruments adjustment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Amounts related to share-based compensation</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(73,228)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(8,690)</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Balance at March 25, 2016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 (503,218)</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7"/>
              </w:rPr>
              <w:t>1,149,442</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12,937</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259,499</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919,026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Cost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r>
      <w:tr>
        <w:trPr>
          <w:trHeight w:val="149"/>
        </w:trPr>
        <w:tc>
          <w:tcPr>
            <w:tcW w:w="59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Price Paid</w:t>
            </w:r>
          </w:p>
        </w:tc>
      </w:tr>
      <w:tr>
        <w:trPr>
          <w:trHeight w:val="171"/>
        </w:trPr>
        <w:tc>
          <w:tcPr>
            <w:tcW w:w="594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Repurchased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Repurchased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per Share</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January 1, 2016</w:t>
            </w: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6,854,083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430,609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For the twelve weeks ended March 25, 2016</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1,326,982</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73,228</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As of March 25, 2016</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8,181,065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100" w:type="dxa"/>
            <w:vAlign w:val="bottom"/>
            <w:shd w:val="clear" w:color="auto" w:fill="CCEEFF"/>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1141"/>
        <w:spacing w:after="0" w:line="302" w:lineRule="auto"/>
        <w:rPr>
          <w:sz w:val="20"/>
          <w:szCs w:val="20"/>
          <w:color w:val="auto"/>
        </w:rPr>
      </w:pPr>
      <w:r>
        <w:rPr>
          <w:rFonts w:ascii="Arial" w:cs="Arial" w:eastAsia="Arial" w:hAnsi="Arial"/>
          <w:sz w:val="16"/>
          <w:szCs w:val="16"/>
          <w:color w:val="auto"/>
        </w:rPr>
        <w:t>On February 11, 2016, our Board of Directors approved the repurchase of up to an additional 2,000,000 shares of our common stock under our existing share repurchase program through March 24, 2017. Prior to that authorization, our Board of Directors had authorized the repurchase of an aggregate of up to 8,900,000 shares of our common stock under the share repurchase program since the initiation of the program in October 2013. As of March 25, 2016, 2.7 million shares remained available for repurchase under the authorization approved by our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We declared cash dividends to holders of common stock during the quarter ended March 25, 2016 as follows:</w:t>
      </w:r>
    </w:p>
    <w:p>
      <w:pPr>
        <w:spacing w:after="0" w:line="122"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3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Shareholder Record Date</w:t>
            </w:r>
          </w:p>
        </w:tc>
        <w:tc>
          <w:tcPr>
            <w:tcW w:w="26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Distribution Date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Dividend per Share</w:t>
            </w:r>
          </w:p>
        </w:tc>
      </w:tr>
      <w:tr>
        <w:trPr>
          <w:trHeight w:val="210"/>
        </w:trPr>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11, 2016</w:t>
            </w:r>
          </w:p>
        </w:tc>
        <w:tc>
          <w:tcPr>
            <w:tcW w:w="7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25, 2016</w:t>
            </w:r>
          </w:p>
        </w:tc>
        <w:tc>
          <w:tcPr>
            <w:tcW w:w="7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10, 2016</w:t>
            </w:r>
          </w:p>
        </w:tc>
        <w:tc>
          <w:tcPr>
            <w:tcW w:w="8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rPr>
              <w:t>$ 0.30</w:t>
            </w: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Any future dividend payments will be subject to Board approval, and there can be no assurance that we will pay dividends in the future.</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21" w:lineRule="exact"/>
        <w:rPr>
          <w:sz w:val="20"/>
          <w:szCs w:val="20"/>
          <w:color w:val="auto"/>
        </w:rPr>
      </w:pPr>
    </w:p>
    <w:p>
      <w:pPr>
        <w:ind w:right="260" w:firstLine="1141"/>
        <w:spacing w:after="0" w:line="277" w:lineRule="auto"/>
        <w:rPr>
          <w:sz w:val="20"/>
          <w:szCs w:val="20"/>
          <w:color w:val="auto"/>
        </w:rPr>
      </w:pPr>
      <w:r>
        <w:rPr>
          <w:rFonts w:ascii="Arial" w:cs="Arial" w:eastAsia="Arial" w:hAnsi="Arial"/>
          <w:sz w:val="18"/>
          <w:szCs w:val="18"/>
          <w:color w:val="auto"/>
        </w:rPr>
        <w:t>A total of 6 million shares are authorized for issuance under the Marriott Vacations Worldwide Corporation Stock and Cash Incentive Plan (the “Stock Plan”). As of March 25, 2016, 1.5 million shares were available for grants under the Stock Plan.</w:t>
      </w:r>
    </w:p>
    <w:p>
      <w:pPr>
        <w:spacing w:after="0" w:line="62" w:lineRule="exact"/>
        <w:rPr>
          <w:sz w:val="20"/>
          <w:szCs w:val="20"/>
          <w:color w:val="auto"/>
        </w:rPr>
      </w:pPr>
    </w:p>
    <w:p>
      <w:pPr>
        <w:ind w:right="80" w:firstLine="1141"/>
        <w:spacing w:after="0" w:line="276" w:lineRule="auto"/>
        <w:rPr>
          <w:sz w:val="20"/>
          <w:szCs w:val="20"/>
          <w:color w:val="auto"/>
        </w:rPr>
      </w:pPr>
      <w:r>
        <w:rPr>
          <w:rFonts w:ascii="Arial" w:cs="Arial" w:eastAsia="Arial" w:hAnsi="Arial"/>
          <w:sz w:val="17"/>
          <w:szCs w:val="17"/>
          <w:color w:val="auto"/>
        </w:rPr>
        <w:t>For share-based awards with service-only vesting conditions, we measure compensation expense related to share-based payment transactions with our employees and non-employee directors at fair value on the grant date. With respect to our employees, we recognize this expense on our Statements of Income over the vesting period during which the employees provide service in exchange for the award; with respect to non-employee directors, we recognize this expense on the grant date. For share-based arrangements with performance vesting conditions, we recognize compensation expense once it is probable that the corresponding performance condition will be achieved.</w:t>
      </w:r>
    </w:p>
    <w:p>
      <w:pPr>
        <w:spacing w:after="0" w:line="64" w:lineRule="exact"/>
        <w:rPr>
          <w:sz w:val="20"/>
          <w:szCs w:val="20"/>
          <w:color w:val="auto"/>
        </w:rPr>
      </w:pPr>
    </w:p>
    <w:p>
      <w:pPr>
        <w:ind w:firstLine="1141"/>
        <w:spacing w:after="0" w:line="264" w:lineRule="auto"/>
        <w:rPr>
          <w:sz w:val="20"/>
          <w:szCs w:val="20"/>
          <w:color w:val="auto"/>
        </w:rPr>
      </w:pPr>
      <w:r>
        <w:rPr>
          <w:rFonts w:ascii="Arial" w:cs="Arial" w:eastAsia="Arial" w:hAnsi="Arial"/>
          <w:sz w:val="18"/>
          <w:szCs w:val="18"/>
          <w:color w:val="auto"/>
        </w:rPr>
        <w:t>We recorded share-based compensation expense related to award grants to our officers, directors and employees of $2.5 million and $2.6 million for the twelve weeks ended March 25, 2016 and March 27, 2015, respectively. Our deferred compensation liability related to unvested awards held by our employees totaled $25.9 million and $13.3 million at March 25, 2016 and January 1,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17" w:lineRule="exact"/>
        <w:rPr>
          <w:sz w:val="20"/>
          <w:szCs w:val="20"/>
          <w:color w:val="auto"/>
        </w:rPr>
      </w:pPr>
    </w:p>
    <w:p>
      <w:pPr>
        <w:jc w:val="both"/>
        <w:ind w:right="20" w:firstLine="1141"/>
        <w:spacing w:after="0" w:line="259" w:lineRule="auto"/>
        <w:rPr>
          <w:sz w:val="20"/>
          <w:szCs w:val="20"/>
          <w:color w:val="auto"/>
        </w:rPr>
      </w:pPr>
      <w:r>
        <w:rPr>
          <w:rFonts w:ascii="Arial" w:cs="Arial" w:eastAsia="Arial" w:hAnsi="Arial"/>
          <w:sz w:val="18"/>
          <w:szCs w:val="18"/>
          <w:color w:val="auto"/>
        </w:rPr>
        <w:t>We granted 150,784 RSUs, exclusive of RSUs with performance vesting conditions, to our employees and non-employee directors during the twelve weeks ended March 25, 2016. RSUs granted in the twelve weeks ended March 25, 2016 had a weighted average grant-date fair value of $58.79. RSUs issued to our employees generally vest over four years in annual installments commencing one year after the date of grant. RSUs issued to our non-employee directors vest in full on the date of grant.</w:t>
      </w:r>
    </w:p>
    <w:p>
      <w:pPr>
        <w:spacing w:after="0" w:line="79" w:lineRule="exact"/>
        <w:rPr>
          <w:sz w:val="20"/>
          <w:szCs w:val="20"/>
          <w:color w:val="auto"/>
        </w:rPr>
      </w:pPr>
    </w:p>
    <w:p>
      <w:pPr>
        <w:ind w:right="120" w:firstLine="1141"/>
        <w:spacing w:after="0" w:line="257" w:lineRule="auto"/>
        <w:rPr>
          <w:sz w:val="20"/>
          <w:szCs w:val="20"/>
          <w:color w:val="auto"/>
        </w:rPr>
      </w:pPr>
      <w:r>
        <w:rPr>
          <w:rFonts w:ascii="Arial" w:cs="Arial" w:eastAsia="Arial" w:hAnsi="Arial"/>
          <w:sz w:val="18"/>
          <w:szCs w:val="18"/>
          <w:color w:val="auto"/>
        </w:rPr>
        <w:t>During the twelve weeks ended March 25, 2016 and March 27, 2015, we granted RSUs with performance vesting conditions to members of management. The number of RSUs earned, if any, is determined following the end of a three-year performance period based upon our cumulative achievement over that period of specific quantitative operating financial measures. The maximum number of RSUs that may be earned under the RSUs with performance-based vesting criteria granted during the twelve weeks ended March 25, 2016 and March 27, 2015 was approximately 142,000 and 74,000,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 (“SARs”)</w:t>
      </w:r>
    </w:p>
    <w:p>
      <w:pPr>
        <w:spacing w:after="0" w:line="117" w:lineRule="exact"/>
        <w:rPr>
          <w:sz w:val="20"/>
          <w:szCs w:val="20"/>
          <w:color w:val="auto"/>
        </w:rPr>
      </w:pPr>
    </w:p>
    <w:p>
      <w:pPr>
        <w:ind w:right="80" w:firstLine="1141"/>
        <w:spacing w:after="0" w:line="312" w:lineRule="auto"/>
        <w:rPr>
          <w:sz w:val="20"/>
          <w:szCs w:val="20"/>
          <w:color w:val="auto"/>
        </w:rPr>
      </w:pPr>
      <w:r>
        <w:rPr>
          <w:rFonts w:ascii="Arial" w:cs="Arial" w:eastAsia="Arial" w:hAnsi="Arial"/>
          <w:sz w:val="16"/>
          <w:szCs w:val="16"/>
          <w:color w:val="auto"/>
        </w:rPr>
        <w:t>We granted 132,597 SARs to members of management during the twelve weeks ended March 25, 2016. These SARs had a weighted average grant-date fair value of $16.12 and a weighted average exercise price of $61.71. SARs generally expire ten years after the date of grant and both vest and become exercisable in cumulative installments of one quarter of the grant at the end of each of the first four years following the date of grant.</w:t>
      </w:r>
    </w:p>
    <w:p>
      <w:pPr>
        <w:spacing w:after="0" w:line="39" w:lineRule="exact"/>
        <w:rPr>
          <w:sz w:val="20"/>
          <w:szCs w:val="20"/>
          <w:color w:val="auto"/>
        </w:rPr>
      </w:pPr>
    </w:p>
    <w:p>
      <w:pPr>
        <w:ind w:right="140" w:firstLine="1141"/>
        <w:spacing w:after="0" w:line="257" w:lineRule="auto"/>
        <w:rPr>
          <w:sz w:val="20"/>
          <w:szCs w:val="20"/>
          <w:color w:val="auto"/>
        </w:rPr>
      </w:pPr>
      <w:r>
        <w:rPr>
          <w:rFonts w:ascii="Arial" w:cs="Arial" w:eastAsia="Arial" w:hAnsi="Arial"/>
          <w:sz w:val="18"/>
          <w:szCs w:val="18"/>
          <w:color w:val="auto"/>
        </w:rPr>
        <w:t>We use the Black-Scholes model to estimate the fair value of the SARs granted. For SARs granted under the Stock Plan in the twelve weeks ended March 25, 2016, the expected stock price volatility was calculated based on the historical volatility from the stock prices of a group of identified peer companies. The average expected life was calculated using the simplified method.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8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The following table outlines the assumptions used to estimate the fair value of grants during the twelve weeks ended March 25, 2016:</w:t>
      </w:r>
    </w:p>
    <w:p>
      <w:pPr>
        <w:spacing w:after="0" w:line="251"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Dividend yield</w:t>
            </w:r>
          </w:p>
        </w:tc>
        <w:tc>
          <w:tcPr>
            <w:tcW w:w="228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280" w:type="dxa"/>
            <w:vAlign w:val="bottom"/>
          </w:tcPr>
          <w:p>
            <w:pPr>
              <w:jc w:val="right"/>
              <w:ind w:right="130"/>
              <w:spacing w:after="0"/>
              <w:rPr>
                <w:sz w:val="20"/>
                <w:szCs w:val="20"/>
                <w:color w:val="auto"/>
              </w:rPr>
            </w:pPr>
            <w:r>
              <w:rPr>
                <w:rFonts w:ascii="Arial" w:cs="Arial" w:eastAsia="Arial" w:hAnsi="Arial"/>
                <w:sz w:val="18"/>
                <w:szCs w:val="18"/>
                <w:color w:val="auto"/>
              </w:rPr>
              <w:t>6.25</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VARIABLE INTEREST ENTITIES</w:t>
      </w:r>
    </w:p>
    <w:p>
      <w:pPr>
        <w:spacing w:after="0" w:line="121" w:lineRule="exact"/>
        <w:rPr>
          <w:sz w:val="20"/>
          <w:szCs w:val="20"/>
          <w:color w:val="auto"/>
        </w:rPr>
      </w:pPr>
    </w:p>
    <w:p>
      <w:pPr>
        <w:ind w:right="20" w:firstLine="1141"/>
        <w:spacing w:after="0" w:line="276" w:lineRule="auto"/>
        <w:rPr>
          <w:sz w:val="20"/>
          <w:szCs w:val="20"/>
          <w:color w:val="auto"/>
        </w:rPr>
      </w:pPr>
      <w:r>
        <w:rPr>
          <w:rFonts w:ascii="Arial" w:cs="Arial" w:eastAsia="Arial" w:hAnsi="Arial"/>
          <w:sz w:val="17"/>
          <w:szCs w:val="17"/>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right="40" w:firstLine="1141"/>
        <w:spacing w:after="0" w:line="272" w:lineRule="auto"/>
        <w:rPr>
          <w:sz w:val="20"/>
          <w:szCs w:val="20"/>
          <w:color w:val="auto"/>
        </w:rPr>
      </w:pPr>
      <w:r>
        <w:rPr>
          <w:rFonts w:ascii="Arial" w:cs="Arial" w:eastAsia="Arial" w:hAnsi="Arial"/>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We service the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70" w:lineRule="exact"/>
        <w:rPr>
          <w:sz w:val="20"/>
          <w:szCs w:val="20"/>
          <w:color w:val="auto"/>
        </w:rPr>
      </w:pPr>
    </w:p>
    <w:p>
      <w:pPr>
        <w:ind w:right="20" w:firstLine="1141"/>
        <w:spacing w:after="0" w:line="259" w:lineRule="auto"/>
        <w:rPr>
          <w:sz w:val="20"/>
          <w:szCs w:val="20"/>
          <w:color w:val="auto"/>
        </w:rPr>
      </w:pPr>
      <w:r>
        <w:rPr>
          <w:rFonts w:ascii="Arial" w:cs="Arial" w:eastAsia="Arial" w:hAnsi="Arial"/>
          <w:sz w:val="18"/>
          <w:szCs w:val="18"/>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79"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on our Balance Sheet at March 25, 2016:</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Vacation Ownership</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1"/>
              </w:rPr>
              <w:t>Warehouse Credit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Securitizations</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Facility</w:t>
            </w: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Assets:</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Vacation ownership notes receivable, net of reserves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625,804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55,084</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680,888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23,278</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1,490</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24,768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653,251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56,932</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710,183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Debt</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637,294</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50,729</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688,023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637,559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50,756</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688,315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225" w:lineRule="exact"/>
        <w:rPr>
          <w:sz w:val="20"/>
          <w:szCs w:val="20"/>
          <w:color w:val="auto"/>
        </w:rPr>
      </w:pPr>
    </w:p>
    <w:p>
      <w:pPr>
        <w:ind w:right="420" w:firstLine="1141"/>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twelve weeks ended March 25, 2016:</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Vacation Ownership</w:t>
            </w:r>
          </w:p>
        </w:tc>
        <w:tc>
          <w:tcPr>
            <w:tcW w:w="200" w:type="dxa"/>
            <w:vAlign w:val="bottom"/>
          </w:tcPr>
          <w:p>
            <w:pPr>
              <w:spacing w:after="0"/>
              <w:rPr>
                <w:sz w:val="14"/>
                <w:szCs w:val="14"/>
                <w:color w:val="auto"/>
              </w:rPr>
            </w:pPr>
          </w:p>
        </w:tc>
        <w:tc>
          <w:tcPr>
            <w:tcW w:w="15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Warehouse Credit</w:t>
            </w:r>
          </w:p>
        </w:tc>
        <w:tc>
          <w:tcPr>
            <w:tcW w:w="380" w:type="dxa"/>
            <w:vAlign w:val="bottom"/>
          </w:tcPr>
          <w:p>
            <w:pPr>
              <w:spacing w:after="0"/>
              <w:rPr>
                <w:sz w:val="14"/>
                <w:szCs w:val="14"/>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Securitizations</w:t>
            </w:r>
          </w:p>
        </w:tc>
        <w:tc>
          <w:tcPr>
            <w:tcW w:w="20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Facility</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20,186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1,005</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21,191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3,970</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805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0"/>
                <w:szCs w:val="20"/>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680" w:type="dxa"/>
            <w:vAlign w:val="bottom"/>
          </w:tcPr>
          <w:p>
            <w:pPr>
              <w:spacing w:after="0"/>
              <w:rPr>
                <w:sz w:val="24"/>
                <w:szCs w:val="24"/>
                <w:color w:val="auto"/>
              </w:rPr>
            </w:pPr>
          </w:p>
        </w:tc>
        <w:tc>
          <w:tcPr>
            <w:tcW w:w="1940" w:type="dxa"/>
            <w:vAlign w:val="bottom"/>
          </w:tcPr>
          <w:p>
            <w:pPr>
              <w:jc w:val="right"/>
              <w:ind w:right="31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1141"/>
        <w:spacing w:after="0" w:line="277" w:lineRule="auto"/>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 during the twelve weeks ended March 25, 2016 and March 27, 2015:</w:t>
      </w:r>
    </w:p>
    <w:p>
      <w:pPr>
        <w:spacing w:after="0" w:line="6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4"/>
                <w:szCs w:val="14"/>
                <w:color w:val="auto"/>
              </w:rPr>
            </w:pPr>
          </w:p>
        </w:tc>
        <w:tc>
          <w:tcPr>
            <w:tcW w:w="2840" w:type="dxa"/>
            <w:vAlign w:val="bottom"/>
            <w:gridSpan w:val="5"/>
          </w:tcPr>
          <w:p>
            <w:pPr>
              <w:ind w:left="6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March 25, 2016</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March 27, 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Principal receipts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40,224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48,608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receipts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20,906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Reserve release</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61,291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72,966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Cash outflows: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Principal to investors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(39,939)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w w:val="98"/>
              </w:rPr>
              <w:t>Voluntary repurchases of defaulted vacation ownership notes receivable</w:t>
            </w:r>
          </w:p>
        </w:tc>
        <w:tc>
          <w:tcPr>
            <w:tcW w:w="180" w:type="dxa"/>
            <w:vAlign w:val="bottom"/>
          </w:tcPr>
          <w:p>
            <w:pPr>
              <w:spacing w:after="0"/>
              <w:rPr>
                <w:sz w:val="18"/>
                <w:szCs w:val="18"/>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(7,371)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Voluntary clean-up call</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Interest to investors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(4,323)</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(51,633)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Net Cash Flows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9,658</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The following table shows cash flows between us and the Warehouse Credit Facility variable interest entity during the twelve weeks ended March 25, 2016 and March 27, 2015:</w:t>
      </w:r>
    </w:p>
    <w:p>
      <w:pPr>
        <w:spacing w:after="0" w:line="6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14"/>
                <w:szCs w:val="14"/>
                <w:color w:val="auto"/>
              </w:rPr>
            </w:pPr>
          </w:p>
        </w:tc>
        <w:tc>
          <w:tcPr>
            <w:tcW w:w="2840" w:type="dxa"/>
            <w:vAlign w:val="bottom"/>
            <w:gridSpan w:val="5"/>
          </w:tcPr>
          <w:p>
            <w:pPr>
              <w:ind w:left="62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March 25, 2016</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March 27, 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Proceeds from vacation ownership notes receivable securitizations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51,130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receipts</w:t>
            </w:r>
          </w:p>
        </w:tc>
        <w:tc>
          <w:tcPr>
            <w:tcW w:w="220" w:type="dxa"/>
            <w:vAlign w:val="bottom"/>
          </w:tcPr>
          <w:p>
            <w:pPr>
              <w:spacing w:after="0"/>
              <w:rPr>
                <w:sz w:val="18"/>
                <w:szCs w:val="18"/>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647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Reserve release</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7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52,715</w:t>
            </w: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outflows: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to investors</w:t>
            </w:r>
          </w:p>
        </w:tc>
        <w:tc>
          <w:tcPr>
            <w:tcW w:w="220" w:type="dxa"/>
            <w:vAlign w:val="bottom"/>
          </w:tcPr>
          <w:p>
            <w:pPr>
              <w:spacing w:after="0"/>
              <w:rPr>
                <w:sz w:val="18"/>
                <w:szCs w:val="18"/>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7"/>
              </w:rPr>
              <w:t>Voluntary repurchases of defaulted vacation ownership notes receivable</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to investors</w:t>
            </w:r>
          </w:p>
        </w:tc>
        <w:tc>
          <w:tcPr>
            <w:tcW w:w="220" w:type="dxa"/>
            <w:vAlign w:val="bottom"/>
          </w:tcPr>
          <w:p>
            <w:pPr>
              <w:spacing w:after="0"/>
              <w:rPr>
                <w:sz w:val="18"/>
                <w:szCs w:val="18"/>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ind w:left="720"/>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Funding of restricted cash</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7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(1,174)</w:t>
            </w: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51,541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(336)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799"/>
        <w:spacing w:after="0" w:line="272" w:lineRule="auto"/>
        <w:rPr>
          <w:sz w:val="20"/>
          <w:szCs w:val="20"/>
          <w:color w:val="auto"/>
        </w:rPr>
      </w:pPr>
      <w:r>
        <w:rPr>
          <w:rFonts w:ascii="Arial" w:cs="Arial" w:eastAsia="Arial" w:hAnsi="Arial"/>
          <w:sz w:val="17"/>
          <w:szCs w:val="17"/>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 In addition, we could be required to fund up to an aggregate of $5.0 million upon presentation of demand notes related to certain vacation ownership notes receivable securitization transactions outstanding at March 25, 2016.</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color w:val="auto"/>
        </w:rPr>
        <w:t>We have an equity investment in the Joint Venture, a variable interest entity that previously developed and marketed vacation ownership and residential products in Hawaii. We concluded that the Joint Venture is a variable interest entity because the equity investment at risk is not sufficient to permit it to finance its activities without additional support from other venture parties. We determined that we are not the primary beneficiary of the Joint Venture, as power to direct the activities that most significantly impact its economic performance is shared among the variable interest holders and, therefore, we do not consolidate the Joint Venture. In 2009, we fully impaired our investments in the Joint Venture to zero. At March 25, 2016, we had an accrual of $2.0 million for potential future funding obligations, representing our remaining expected exposure to loss related to our involvement with the Joint Venture exclusive of any future costs that may be incurred pursuant to outstanding litigation matters, including those discussed in Footnote No. 8, “Contingencies and Commitments.”</w:t>
      </w:r>
    </w:p>
    <w:p>
      <w:pPr>
        <w:spacing w:after="0" w:line="84" w:lineRule="exact"/>
        <w:rPr>
          <w:sz w:val="20"/>
          <w:szCs w:val="20"/>
          <w:color w:val="auto"/>
        </w:rPr>
      </w:pPr>
    </w:p>
    <w:p>
      <w:pPr>
        <w:ind w:right="20" w:firstLine="1141"/>
        <w:spacing w:after="0" w:line="254" w:lineRule="auto"/>
        <w:rPr>
          <w:sz w:val="20"/>
          <w:szCs w:val="20"/>
          <w:color w:val="auto"/>
        </w:rPr>
      </w:pPr>
      <w:r>
        <w:rPr>
          <w:rFonts w:ascii="Arial" w:cs="Arial" w:eastAsia="Arial" w:hAnsi="Arial"/>
          <w:sz w:val="18"/>
          <w:szCs w:val="18"/>
          <w:color w:val="auto"/>
        </w:rPr>
        <w:t>We have a commitment to purchase an operating property located in New York, New York, that we currently manage as Marriott Vacation Club, New York City. Refer to Footnote No. 8, “Contingencies and Commitments” for additional information on the commitment. We are required to purchase the completed property from the third party developer unless the developer has sold the property to another party. The property is held by a variable interest entity for which we are not the primary beneficiary as we cannot prevent the variable interest entity from selling the property to another party. Accordingly, we have not consolidated the variable interest entity. As of March 25, 2016, our Balance Sheet reflects a $7.2 million capital lease asset and liability for ancillary and operations space we lease from the variable interest entity. In addition, our Balance Sheet reflects a note receivable of $0.5 million from this variable interest entity, which we believe is our maximum exposure to loss as a result of our involvement with this variable interest entity as of March 25,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SEGMENTS</w:t>
      </w:r>
    </w:p>
    <w:p>
      <w:pPr>
        <w:spacing w:after="0" w:line="121" w:lineRule="exact"/>
        <w:rPr>
          <w:sz w:val="20"/>
          <w:szCs w:val="20"/>
          <w:color w:val="auto"/>
        </w:rPr>
      </w:pPr>
    </w:p>
    <w:p>
      <w:pPr>
        <w:ind w:right="220" w:firstLine="1141"/>
        <w:spacing w:after="0" w:line="381" w:lineRule="auto"/>
        <w:rPr>
          <w:sz w:val="20"/>
          <w:szCs w:val="20"/>
          <w:color w:val="auto"/>
        </w:rPr>
      </w:pPr>
      <w:r>
        <w:rPr>
          <w:rFonts w:ascii="Arial" w:cs="Arial" w:eastAsia="Arial" w:hAnsi="Arial"/>
          <w:sz w:val="15"/>
          <w:szCs w:val="15"/>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6" w:lineRule="exact"/>
        <w:rPr>
          <w:sz w:val="20"/>
          <w:szCs w:val="20"/>
          <w:color w:val="auto"/>
        </w:rPr>
      </w:pPr>
    </w:p>
    <w:p>
      <w:pPr>
        <w:ind w:left="1820" w:right="20" w:hanging="678"/>
        <w:spacing w:after="0" w:line="259"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our North America segment, we develop, market, sell and manage vacation ownership and related products under the Marriott Vacation Club and Grand Residences by Marriott brands. We also develop, market and sell vacation ownership and related products under The Ritz-Carlton Destination Club brand, as well as whole ownership residential products under The Ritz-Carlton Residences brand.</w:t>
      </w:r>
    </w:p>
    <w:p>
      <w:pPr>
        <w:spacing w:after="0" w:line="92" w:lineRule="exact"/>
        <w:rPr>
          <w:rFonts w:ascii="Arial" w:cs="Arial" w:eastAsia="Arial" w:hAnsi="Arial"/>
          <w:sz w:val="18"/>
          <w:szCs w:val="18"/>
          <w:color w:val="auto"/>
        </w:rPr>
      </w:pPr>
    </w:p>
    <w:p>
      <w:pPr>
        <w:ind w:left="1820" w:right="140" w:hanging="678"/>
        <w:spacing w:after="0" w:line="277"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our Europe segment, we are focusing on selling our existing projects and managing existing resorts. We do not have any current plans for new development in this segment.</w:t>
      </w:r>
    </w:p>
    <w:p>
      <w:pPr>
        <w:spacing w:after="0" w:line="75" w:lineRule="exact"/>
        <w:rPr>
          <w:rFonts w:ascii="Arial" w:cs="Arial" w:eastAsia="Arial" w:hAnsi="Arial"/>
          <w:sz w:val="18"/>
          <w:szCs w:val="18"/>
          <w:color w:val="auto"/>
        </w:rPr>
      </w:pPr>
    </w:p>
    <w:p>
      <w:pPr>
        <w:ind w:left="1820" w:right="140" w:hanging="678"/>
        <w:spacing w:after="0" w:line="264"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our Asia Pacific segment, we develop, market, sell and manage the Marriott Vacation Club, Asia Pacific, a right-to-use points program that we specifically designed to appeal to the vacation preferences of the Asian market, as well as a weeks-based right-to-use product.</w:t>
      </w:r>
    </w:p>
    <w:p>
      <w:pPr>
        <w:spacing w:after="0" w:line="73" w:lineRule="exact"/>
        <w:rPr>
          <w:sz w:val="20"/>
          <w:szCs w:val="20"/>
          <w:color w:val="auto"/>
        </w:rPr>
      </w:pPr>
    </w:p>
    <w:p>
      <w:pPr>
        <w:ind w:firstLine="1141"/>
        <w:spacing w:after="0" w:line="276" w:lineRule="auto"/>
        <w:rPr>
          <w:sz w:val="20"/>
          <w:szCs w:val="20"/>
          <w:color w:val="auto"/>
        </w:rPr>
      </w:pPr>
      <w:r>
        <w:rPr>
          <w:rFonts w:ascii="Arial" w:cs="Arial" w:eastAsia="Arial" w:hAnsi="Arial"/>
          <w:sz w:val="17"/>
          <w:szCs w:val="17"/>
          <w:color w:val="auto"/>
        </w:rPr>
        <w:t>We evaluate the performance of our segments based primarily on the results of the segment without allocating corporate expenses or income taxes. We do not allocate corporate interest expense, consumer financing interest expense, other financing expenses or general and administrative expenses to our segments. 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equity in earnings or losses, and other gains or losses that are not allocable to our segments.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1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5"/>
          </w:tcPr>
          <w:p>
            <w:pPr>
              <w:ind w:left="56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3160" w:type="dxa"/>
            <w:vAlign w:val="bottom"/>
            <w:tcBorders>
              <w:bottom w:val="single" w:sz="8" w:color="CCEEFF"/>
            </w:tcBorders>
            <w:vMerge w:val="continue"/>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4"/>
              </w:rPr>
              <w:t>March 25, 2016</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4"/>
              </w:rPr>
              <w:t>March 27, 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385,447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391,928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Europe</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20,099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21,587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19,497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41,365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720"/>
              <w:spacing w:after="0"/>
              <w:rPr>
                <w:sz w:val="20"/>
                <w:szCs w:val="20"/>
                <w:color w:val="auto"/>
              </w:rPr>
            </w:pPr>
            <w:r>
              <w:rPr>
                <w:rFonts w:ascii="Arial" w:cs="Arial" w:eastAsia="Arial" w:hAnsi="Arial"/>
                <w:sz w:val="18"/>
                <w:szCs w:val="18"/>
                <w:color w:val="auto"/>
              </w:rPr>
              <w:t>Total segment revenues</w:t>
            </w: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425,043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454,880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425,043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454,880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20" w:type="dxa"/>
            <w:vAlign w:val="bottom"/>
            <w:vMerge w:val="restart"/>
          </w:tcPr>
          <w:p>
            <w:pPr>
              <w:jc w:val="right"/>
              <w:ind w:right="101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March 25, 2016</w:t>
            </w:r>
          </w:p>
        </w:tc>
        <w:tc>
          <w:tcPr>
            <w:tcW w:w="126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March 27, 2015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89,524</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97,736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720"/>
              <w:spacing w:after="0"/>
              <w:rPr>
                <w:sz w:val="20"/>
                <w:szCs w:val="20"/>
                <w:color w:val="auto"/>
              </w:rPr>
            </w:pPr>
            <w:r>
              <w:rPr>
                <w:rFonts w:ascii="Arial" w:cs="Arial" w:eastAsia="Arial" w:hAnsi="Arial"/>
                <w:sz w:val="18"/>
                <w:szCs w:val="18"/>
                <w:color w:val="auto"/>
              </w:rPr>
              <w:t>Total segment financial results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90,920</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107,193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(50,755)</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(49,850)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(15,757)</w:t>
            </w:r>
          </w:p>
        </w:tc>
        <w:tc>
          <w:tcPr>
            <w:tcW w:w="6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(23,289)</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w:t>
      </w:r>
    </w:p>
    <w:p>
      <w:pPr>
        <w:spacing w:after="0" w:line="338" w:lineRule="exact"/>
        <w:rPr>
          <w:sz w:val="20"/>
          <w:szCs w:val="20"/>
          <w:color w:val="auto"/>
        </w:rPr>
      </w:pPr>
    </w:p>
    <w:tbl>
      <w:tblPr>
        <w:tblLayout w:type="fixed"/>
        <w:tblInd w:w="1260" w:type="dxa"/>
        <w:tblCellMar>
          <w:top w:w="0" w:type="dxa"/>
          <w:left w:w="0" w:type="dxa"/>
          <w:bottom w:w="0" w:type="dxa"/>
          <w:right w:w="0" w:type="dxa"/>
        </w:tblCellMar>
      </w:tblPr>
      <w:tr>
        <w:trPr>
          <w:trHeight w:val="171"/>
        </w:trPr>
        <w:tc>
          <w:tcPr>
            <w:tcW w:w="546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14"/>
                <w:szCs w:val="14"/>
                <w:color w:val="auto"/>
              </w:rPr>
            </w:pPr>
          </w:p>
        </w:tc>
        <w:tc>
          <w:tcPr>
            <w:tcW w:w="136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At March 25, 2016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At January 1, 2016</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1,942,236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1,900,178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75,099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80,839</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145,073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134,661</w:t>
            </w:r>
          </w:p>
        </w:tc>
        <w:tc>
          <w:tcPr>
            <w:tcW w:w="100" w:type="dxa"/>
            <w:vAlign w:val="bottom"/>
            <w:shd w:val="clear" w:color="auto" w:fill="CCEEFF"/>
          </w:tcPr>
          <w:p>
            <w:pPr>
              <w:spacing w:after="0"/>
              <w:rPr>
                <w:sz w:val="18"/>
                <w:szCs w:val="18"/>
                <w:color w:val="auto"/>
              </w:rPr>
            </w:pPr>
          </w:p>
        </w:tc>
      </w:tr>
      <w:tr>
        <w:trPr>
          <w:trHeight w:val="223"/>
        </w:trPr>
        <w:tc>
          <w:tcPr>
            <w:tcW w:w="5460" w:type="dxa"/>
            <w:vAlign w:val="bottom"/>
          </w:tcPr>
          <w:p>
            <w:pPr>
              <w:ind w:left="900"/>
              <w:spacing w:after="0"/>
              <w:rPr>
                <w:sz w:val="20"/>
                <w:szCs w:val="20"/>
                <w:color w:val="auto"/>
              </w:rPr>
            </w:pPr>
            <w:r>
              <w:rPr>
                <w:rFonts w:ascii="Arial" w:cs="Arial" w:eastAsia="Arial" w:hAnsi="Arial"/>
                <w:sz w:val="18"/>
                <w:szCs w:val="18"/>
                <w:color w:val="auto"/>
              </w:rPr>
              <w:t>Total segment assets</w:t>
            </w:r>
          </w:p>
        </w:tc>
        <w:tc>
          <w:tcPr>
            <w:tcW w:w="200" w:type="dxa"/>
            <w:vAlign w:val="bottom"/>
          </w:tcPr>
          <w:p>
            <w:pPr>
              <w:spacing w:after="0"/>
              <w:rPr>
                <w:sz w:val="19"/>
                <w:szCs w:val="19"/>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2,162,408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2,115,678</w:t>
            </w:r>
          </w:p>
        </w:tc>
        <w:tc>
          <w:tcPr>
            <w:tcW w:w="100" w:type="dxa"/>
            <w:vAlign w:val="bottom"/>
          </w:tcPr>
          <w:p>
            <w:pPr>
              <w:spacing w:after="0"/>
              <w:rPr>
                <w:sz w:val="19"/>
                <w:szCs w:val="19"/>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168,377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284,040</w:t>
            </w:r>
          </w:p>
        </w:tc>
        <w:tc>
          <w:tcPr>
            <w:tcW w:w="10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2,330,785</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2,399,718</w:t>
            </w:r>
          </w:p>
        </w:tc>
        <w:tc>
          <w:tcPr>
            <w:tcW w:w="10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the Revolving Corporate Credit Facility</w:t>
      </w:r>
    </w:p>
    <w:p>
      <w:pPr>
        <w:spacing w:after="0" w:line="117" w:lineRule="exact"/>
        <w:rPr>
          <w:sz w:val="20"/>
          <w:szCs w:val="20"/>
          <w:color w:val="auto"/>
        </w:rPr>
      </w:pPr>
    </w:p>
    <w:p>
      <w:pPr>
        <w:ind w:firstLine="1141"/>
        <w:spacing w:after="0" w:line="289" w:lineRule="auto"/>
        <w:rPr>
          <w:sz w:val="20"/>
          <w:szCs w:val="20"/>
          <w:color w:val="auto"/>
        </w:rPr>
      </w:pPr>
      <w:r>
        <w:rPr>
          <w:rFonts w:ascii="Arial" w:cs="Arial" w:eastAsia="Arial" w:hAnsi="Arial"/>
          <w:sz w:val="16"/>
          <w:szCs w:val="16"/>
          <w:color w:val="auto"/>
        </w:rPr>
        <w:t>Subsequent to the first quarter of 2016, we entered into an amendment to the Revolving Corporate Credit Facility. Among other things, the amendment modifies certain of the financial covenants contained in the Revolving Corporate Credit Facility in a manner more favorable to us. The minimum consolidated tangible net worth covenant has been amended to require us to maintain a minimum consolidated tangible net worth (as defined in the Revolving Corporate Credit Facility) equal to the sum of (1) 70 percent, rather than 75 percent, of our relevant baseline net worth and (2) 70 percent, rather than 80 percent, of increases in such net worth resulting from certain equity offerings. In addition, we are required to maintain a ratio of our borrowing base amount (as defined in the Revolving Corporate Credit Facility) to the sum of (1) total extensions of credit under the Revolving Corporate Credit Facility and (2) the excess (if any) of all unrealized losses over all unrealized profits of certain swap agreements, of at least 1 to 1, rather than 1:25 to 1. The amendment also adds certain technical provisions with respect to the impact of European Union bail-in banking legislation on liabilities of certain non-U.S. financial institutions. The other terms of the Revolving Corporate Credit Facility are substantially similar to those in effect prior to the execution of the amendment.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1141"/>
        <w:spacing w:after="0" w:line="255"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81" w:lineRule="exact"/>
        <w:rPr>
          <w:sz w:val="20"/>
          <w:szCs w:val="20"/>
          <w:color w:val="auto"/>
        </w:rPr>
      </w:pPr>
    </w:p>
    <w:p>
      <w:pPr>
        <w:jc w:val="both"/>
        <w:ind w:right="100" w:firstLine="1141"/>
        <w:spacing w:after="0" w:line="286" w:lineRule="auto"/>
        <w:rPr>
          <w:sz w:val="20"/>
          <w:szCs w:val="20"/>
          <w:color w:val="auto"/>
        </w:rPr>
      </w:pPr>
      <w:r>
        <w:rPr>
          <w:rFonts w:ascii="Arial" w:cs="Arial" w:eastAsia="Arial" w:hAnsi="Arial"/>
          <w:sz w:val="17"/>
          <w:szCs w:val="17"/>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on Form 10-Q, except as required by law.</w:t>
      </w:r>
    </w:p>
    <w:p>
      <w:pPr>
        <w:spacing w:after="0" w:line="57" w:lineRule="exact"/>
        <w:rPr>
          <w:sz w:val="20"/>
          <w:szCs w:val="20"/>
          <w:color w:val="auto"/>
        </w:rPr>
      </w:pPr>
    </w:p>
    <w:p>
      <w:pPr>
        <w:ind w:right="40" w:firstLine="1141"/>
        <w:spacing w:after="0" w:line="259" w:lineRule="auto"/>
        <w:rPr>
          <w:sz w:val="20"/>
          <w:szCs w:val="20"/>
          <w:color w:val="auto"/>
        </w:rPr>
      </w:pPr>
      <w:r>
        <w:rPr>
          <w:rFonts w:ascii="Arial" w:cs="Arial" w:eastAsia="Arial" w:hAnsi="Arial"/>
          <w:sz w:val="18"/>
          <w:szCs w:val="18"/>
          <w:color w:val="auto"/>
        </w:rPr>
        <w:t>The risk factors discussed in “Risk Factors” in our most recent Annual Report on Form 10-K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79" w:lineRule="exact"/>
        <w:rPr>
          <w:sz w:val="20"/>
          <w:szCs w:val="20"/>
          <w:color w:val="auto"/>
        </w:rPr>
      </w:pPr>
    </w:p>
    <w:p>
      <w:pPr>
        <w:ind w:firstLine="1141"/>
        <w:spacing w:after="0" w:line="255"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section of this Quarterly Report on Form 10-Q.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180" w:firstLine="1141"/>
        <w:spacing w:after="0" w:line="257" w:lineRule="auto"/>
        <w:rPr>
          <w:sz w:val="20"/>
          <w:szCs w:val="20"/>
          <w:color w:val="auto"/>
        </w:rPr>
      </w:pPr>
      <w:r>
        <w:rPr>
          <w:rFonts w:ascii="Arial" w:cs="Arial" w:eastAsia="Arial" w:hAnsi="Arial"/>
          <w:sz w:val="18"/>
          <w:szCs w:val="18"/>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w:t>
      </w:r>
    </w:p>
    <w:p>
      <w:pPr>
        <w:spacing w:after="0" w:line="80" w:lineRule="exact"/>
        <w:rPr>
          <w:sz w:val="20"/>
          <w:szCs w:val="20"/>
          <w:color w:val="auto"/>
        </w:rPr>
      </w:pPr>
    </w:p>
    <w:p>
      <w:pPr>
        <w:ind w:right="200" w:firstLine="1141"/>
        <w:spacing w:after="0" w:line="259" w:lineRule="auto"/>
        <w:rPr>
          <w:sz w:val="20"/>
          <w:szCs w:val="20"/>
          <w:color w:val="auto"/>
        </w:rPr>
      </w:pPr>
      <w:r>
        <w:rPr>
          <w:rFonts w:ascii="Arial" w:cs="Arial" w:eastAsia="Arial" w:hAnsi="Arial"/>
          <w:sz w:val="18"/>
          <w:szCs w:val="18"/>
          <w:color w:val="auto"/>
        </w:rPr>
        <w:t>Our business is grouped into three reportable segments: North America, Europe and Asia Pacific. As of March 25, 2016, our portfolio consisted of over 60 properties in the United States and eight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7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Below is a summary of significant accounting policies used in our business that will be used in describing our results of operations.</w:t>
      </w:r>
    </w:p>
    <w:p>
      <w:pPr>
        <w:spacing w:after="0" w:line="23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140" w:firstLine="1141"/>
        <w:spacing w:after="0" w:line="264" w:lineRule="auto"/>
        <w:rPr>
          <w:sz w:val="20"/>
          <w:szCs w:val="20"/>
          <w:color w:val="auto"/>
        </w:rPr>
      </w:pPr>
      <w:r>
        <w:rPr>
          <w:rFonts w:ascii="Arial" w:cs="Arial" w:eastAsia="Arial" w:hAnsi="Arial"/>
          <w:sz w:val="18"/>
          <w:szCs w:val="18"/>
          <w:color w:val="auto"/>
        </w:rPr>
        <w:t>We recognize revenues from the sale of vacation ownership products when all of the following conditions exist: a binding sales contract has been executed; the statutory rescission period has expired; the receivable is deemed collectible; and the remainder of our obligations are substantially completed.</w:t>
      </w:r>
    </w:p>
    <w:p>
      <w:pPr>
        <w:spacing w:after="0" w:line="73" w:lineRule="exact"/>
        <w:rPr>
          <w:sz w:val="20"/>
          <w:szCs w:val="20"/>
          <w:color w:val="auto"/>
        </w:rPr>
      </w:pPr>
    </w:p>
    <w:p>
      <w:pPr>
        <w:ind w:right="100" w:firstLine="1141"/>
        <w:spacing w:after="0" w:line="257" w:lineRule="auto"/>
        <w:rPr>
          <w:sz w:val="20"/>
          <w:szCs w:val="20"/>
          <w:color w:val="auto"/>
        </w:rPr>
      </w:pPr>
      <w:r>
        <w:rPr>
          <w:rFonts w:ascii="Arial" w:cs="Arial" w:eastAsia="Arial" w:hAnsi="Arial"/>
          <w:sz w:val="18"/>
          <w:szCs w:val="18"/>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generally up to two years from the date of issuance. Sales incentives are only awarded if the sale is closed.</w:t>
      </w:r>
    </w:p>
    <w:p>
      <w:pPr>
        <w:spacing w:after="0" w:line="80" w:lineRule="exact"/>
        <w:rPr>
          <w:sz w:val="20"/>
          <w:szCs w:val="20"/>
          <w:color w:val="auto"/>
        </w:rPr>
      </w:pPr>
    </w:p>
    <w:p>
      <w:pPr>
        <w:ind w:right="140" w:firstLine="1141"/>
        <w:spacing w:after="0" w:line="286" w:lineRule="auto"/>
        <w:rPr>
          <w:sz w:val="20"/>
          <w:szCs w:val="20"/>
          <w:color w:val="auto"/>
        </w:rPr>
      </w:pPr>
      <w:r>
        <w:rPr>
          <w:rFonts w:ascii="Arial" w:cs="Arial" w:eastAsia="Arial" w:hAnsi="Arial"/>
          <w:sz w:val="17"/>
          <w:szCs w:val="17"/>
          <w:color w:val="auto"/>
        </w:rPr>
        <w:t>As a result of the down 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1141"/>
        <w:spacing w:after="0" w:line="264"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as a reduction of revenues from the sale of vacation ownership products at the time we recognize revenues from a sale.</w:t>
      </w:r>
    </w:p>
    <w:p>
      <w:pPr>
        <w:spacing w:after="0" w:line="73" w:lineRule="exact"/>
        <w:rPr>
          <w:sz w:val="20"/>
          <w:szCs w:val="20"/>
          <w:color w:val="auto"/>
        </w:rPr>
      </w:pPr>
    </w:p>
    <w:p>
      <w:pPr>
        <w:ind w:right="80" w:firstLine="1141"/>
        <w:spacing w:after="0" w:line="257" w:lineRule="auto"/>
        <w:rPr>
          <w:sz w:val="20"/>
          <w:szCs w:val="20"/>
          <w:color w:val="auto"/>
        </w:rPr>
      </w:pPr>
      <w:r>
        <w:rPr>
          <w:rFonts w:ascii="Arial" w:cs="Arial" w:eastAsia="Arial" w:hAnsi="Arial"/>
          <w:sz w:val="18"/>
          <w:szCs w:val="18"/>
          <w:color w:val="auto"/>
        </w:rPr>
        <w:t>We report, on a supplemental basis, contract sales for each of our three segments. Contract sales represent the total amount of vacation ownership product sales under purchase agreements signed during the period where we have received a down payment of at least ten percent of the contract price, reduced by actual rescissions during the period. Contract sales differ from revenues from the sale of vacation ownership products that we report on our Statements of Income due to the requirements for revenue recognition described above. We consider contract sales to be an important operating measure because it reflects the pace of sales in our business.</w:t>
      </w:r>
    </w:p>
    <w:p>
      <w:pPr>
        <w:spacing w:after="0" w:line="80" w:lineRule="exact"/>
        <w:rPr>
          <w:sz w:val="20"/>
          <w:szCs w:val="20"/>
          <w:color w:val="auto"/>
        </w:rPr>
      </w:pPr>
    </w:p>
    <w:p>
      <w:pPr>
        <w:ind w:right="20" w:firstLine="1141"/>
        <w:spacing w:after="0" w:line="255" w:lineRule="auto"/>
        <w:rPr>
          <w:sz w:val="20"/>
          <w:szCs w:val="20"/>
          <w:color w:val="auto"/>
        </w:rPr>
      </w:pPr>
      <w:r>
        <w:rPr>
          <w:rFonts w:ascii="Arial" w:cs="Arial" w:eastAsia="Arial" w:hAnsi="Arial"/>
          <w:sz w:val="18"/>
          <w:szCs w:val="18"/>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on our Statements of Income to true-up costs in that period to those that would have been recorded historically if the revised estimates had been used. These true-ups, which we refer to as product cost true-ups, will have a positive or negative impact on our Statements of Income.</w:t>
      </w:r>
    </w:p>
    <w:p>
      <w:pPr>
        <w:spacing w:after="0" w:line="85" w:lineRule="exact"/>
        <w:rPr>
          <w:sz w:val="20"/>
          <w:szCs w:val="20"/>
          <w:color w:val="auto"/>
        </w:rPr>
      </w:pPr>
    </w:p>
    <w:p>
      <w:pPr>
        <w:ind w:right="60" w:firstLine="1141"/>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ind w:right="240" w:firstLine="1141"/>
        <w:spacing w:after="0" w:line="259" w:lineRule="auto"/>
        <w:rPr>
          <w:sz w:val="20"/>
          <w:szCs w:val="20"/>
          <w:color w:val="auto"/>
        </w:rPr>
      </w:pPr>
      <w:r>
        <w:rPr>
          <w:rFonts w:ascii="Arial" w:cs="Arial" w:eastAsia="Arial" w:hAnsi="Arial"/>
          <w:sz w:val="18"/>
          <w:szCs w:val="18"/>
          <w:color w:val="auto"/>
        </w:rPr>
        <w:t>Our resort management and other services revenues include revenues generated from fees we earn for managing each of our resorts.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79" w:lineRule="exact"/>
        <w:rPr>
          <w:sz w:val="20"/>
          <w:szCs w:val="20"/>
          <w:color w:val="auto"/>
        </w:rPr>
      </w:pPr>
    </w:p>
    <w:p>
      <w:pPr>
        <w:ind w:right="260" w:firstLine="1141"/>
        <w:spacing w:after="0" w:line="259" w:lineRule="auto"/>
        <w:rPr>
          <w:sz w:val="20"/>
          <w:szCs w:val="20"/>
          <w:color w:val="auto"/>
        </w:rPr>
      </w:pPr>
      <w:r>
        <w:rPr>
          <w:rFonts w:ascii="Arial" w:cs="Arial" w:eastAsia="Arial" w:hAnsi="Arial"/>
          <w:sz w:val="18"/>
          <w:szCs w:val="18"/>
          <w:color w:val="auto"/>
        </w:rPr>
        <w:t>We provide day-to-day management services, including housekeeping services, operation of reservation systems, maintenance, and certain accounting and administrative services for property owners’ associations. We receive compensation for these management services; this compensation is generally based on either a percentage of budgeted costs to operate the resorts or a fixed fee arrangement. We earn these fees regardless of usage or occupancy.</w:t>
      </w:r>
    </w:p>
    <w:p>
      <w:pPr>
        <w:spacing w:after="0" w:line="79" w:lineRule="exact"/>
        <w:rPr>
          <w:sz w:val="20"/>
          <w:szCs w:val="20"/>
          <w:color w:val="auto"/>
        </w:rPr>
      </w:pPr>
    </w:p>
    <w:p>
      <w:pPr>
        <w:ind w:right="60" w:firstLine="1141"/>
        <w:spacing w:after="0" w:line="264" w:lineRule="auto"/>
        <w:rPr>
          <w:sz w:val="20"/>
          <w:szCs w:val="20"/>
          <w:color w:val="auto"/>
        </w:rPr>
      </w:pPr>
      <w:r>
        <w:rPr>
          <w:rFonts w:ascii="Arial" w:cs="Arial" w:eastAsia="Arial" w:hAnsi="Arial"/>
          <w:sz w:val="18"/>
          <w:szCs w:val="18"/>
          <w:color w:val="auto"/>
        </w:rPr>
        <w:t>Resort management and other services expenses include costs to operate the food and beverage and other ancillary operations and overall customer support services, including reservations, certain transaction-based expenses relating to external exchange service providers and settlement expenses from the sale of vacation ownership products.</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400" w:firstLine="1141"/>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58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w w:val="94"/>
              </w:rPr>
              <w:t>Twelve Weeks Ended</w:t>
            </w:r>
          </w:p>
        </w:tc>
        <w:tc>
          <w:tcPr>
            <w:tcW w:w="1160" w:type="dxa"/>
            <w:vAlign w:val="bottom"/>
            <w:tcBorders>
              <w:bottom w:val="single" w:sz="8" w:color="auto"/>
            </w:tcBorders>
          </w:tcPr>
          <w:p>
            <w:pPr>
              <w:spacing w:after="0"/>
              <w:rPr>
                <w:sz w:val="14"/>
                <w:szCs w:val="14"/>
                <w:color w:val="auto"/>
              </w:rPr>
            </w:pPr>
          </w:p>
        </w:tc>
      </w:tr>
      <w:tr>
        <w:trPr>
          <w:trHeight w:val="180"/>
        </w:trPr>
        <w:tc>
          <w:tcPr>
            <w:tcW w:w="5840" w:type="dxa"/>
            <w:vAlign w:val="bottom"/>
          </w:tcPr>
          <w:p>
            <w:pPr>
              <w:spacing w:after="0"/>
              <w:rPr>
                <w:sz w:val="15"/>
                <w:szCs w:val="15"/>
                <w:color w:val="auto"/>
              </w:rPr>
            </w:pPr>
          </w:p>
        </w:tc>
        <w:tc>
          <w:tcPr>
            <w:tcW w:w="2580" w:type="dxa"/>
            <w:vAlign w:val="bottom"/>
            <w:gridSpan w:val="3"/>
          </w:tcPr>
          <w:p>
            <w:pPr>
              <w:ind w:left="720"/>
              <w:spacing w:after="0"/>
              <w:rPr>
                <w:sz w:val="20"/>
                <w:szCs w:val="20"/>
                <w:color w:val="auto"/>
              </w:rPr>
            </w:pPr>
            <w:r>
              <w:rPr>
                <w:rFonts w:ascii="Arial" w:cs="Arial" w:eastAsia="Arial" w:hAnsi="Arial"/>
                <w:sz w:val="14"/>
                <w:szCs w:val="14"/>
                <w:b w:val="1"/>
                <w:bCs w:val="1"/>
                <w:color w:val="auto"/>
              </w:rPr>
              <w:t>March 25, 2016</w:t>
            </w:r>
          </w:p>
        </w:tc>
        <w:tc>
          <w:tcPr>
            <w:tcW w:w="1160" w:type="dxa"/>
            <w:vAlign w:val="bottom"/>
          </w:tcPr>
          <w:p>
            <w:pPr>
              <w:jc w:val="right"/>
              <w:ind w:right="59"/>
              <w:spacing w:after="0"/>
              <w:rPr>
                <w:sz w:val="20"/>
                <w:szCs w:val="20"/>
                <w:color w:val="auto"/>
              </w:rPr>
            </w:pPr>
            <w:r>
              <w:rPr>
                <w:rFonts w:ascii="Arial" w:cs="Arial" w:eastAsia="Arial" w:hAnsi="Arial"/>
                <w:sz w:val="14"/>
                <w:szCs w:val="14"/>
                <w:b w:val="1"/>
                <w:bCs w:val="1"/>
                <w:color w:val="auto"/>
              </w:rPr>
              <w:t>March 27, 2015</w:t>
            </w:r>
          </w:p>
        </w:tc>
      </w:tr>
      <w:tr>
        <w:trPr>
          <w:trHeight w:val="111"/>
        </w:trPr>
        <w:tc>
          <w:tcPr>
            <w:tcW w:w="5840" w:type="dxa"/>
            <w:vAlign w:val="bottom"/>
            <w:tcBorders>
              <w:bottom w:val="single" w:sz="8" w:color="CCEEFF"/>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Average FICO score</w:t>
            </w:r>
          </w:p>
        </w:tc>
        <w:tc>
          <w:tcPr>
            <w:tcW w:w="182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728</w:t>
            </w:r>
          </w:p>
        </w:tc>
      </w:tr>
    </w:tbl>
    <w:p>
      <w:pPr>
        <w:spacing w:after="0" w:line="94" w:lineRule="exact"/>
        <w:rPr>
          <w:sz w:val="20"/>
          <w:szCs w:val="20"/>
          <w:color w:val="auto"/>
        </w:rPr>
      </w:pPr>
    </w:p>
    <w:p>
      <w:pPr>
        <w:ind w:right="60" w:firstLine="1141"/>
        <w:spacing w:after="0" w:line="259" w:lineRule="auto"/>
        <w:rPr>
          <w:sz w:val="20"/>
          <w:szCs w:val="20"/>
          <w:color w:val="auto"/>
        </w:rPr>
      </w:pPr>
      <w:r>
        <w:rPr>
          <w:rFonts w:ascii="Arial" w:cs="Arial" w:eastAsia="Arial" w:hAnsi="Arial"/>
          <w:sz w:val="18"/>
          <w:szCs w:val="18"/>
          <w:color w:val="auto"/>
        </w:rPr>
        <w:t>The typical financing agreement provides for monthly payments of principal and interest with the principal balance of the loan fully amortizing over the term of the related vacation ownership note receivable, which is generally ten years. The interest income earned from the financing arrangements is earned on an accrual basis on the principal balance outstanding over the life of the arrangement and is recorded as Financing revenues on our Statements of Income.</w:t>
      </w:r>
    </w:p>
    <w:p>
      <w:pPr>
        <w:spacing w:after="0" w:line="79" w:lineRule="exact"/>
        <w:rPr>
          <w:sz w:val="20"/>
          <w:szCs w:val="20"/>
          <w:color w:val="auto"/>
        </w:rPr>
      </w:pPr>
    </w:p>
    <w:p>
      <w:pPr>
        <w:ind w:right="20" w:firstLine="1141"/>
        <w:spacing w:after="0" w:line="270" w:lineRule="auto"/>
        <w:rPr>
          <w:sz w:val="20"/>
          <w:szCs w:val="20"/>
          <w:color w:val="auto"/>
        </w:rPr>
      </w:pPr>
      <w:r>
        <w:rPr>
          <w:rFonts w:ascii="Arial" w:cs="Arial" w:eastAsia="Arial" w:hAnsi="Arial"/>
          <w:sz w:val="17"/>
          <w:szCs w:val="17"/>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Due to weakened economic conditions and our elimination of historical financing incentive programs, the percentage of customers choosing to finance their vacation ownership purchase with us (which we refer to as “financing propensity”) declined significantly through 2009 and then remained stable at 40 to 45 percent through early 2015. In the first half of 2015, we implemented new programs to help increase financing propensity. We expect that interest income will continue to increase as new originations of vacation ownership notes receivable from growth in the business as well as the impact of higher financing propensity levels begin to outpace the decline in principal of our existing vacation ownership notes receivable portfolio.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1141"/>
        <w:spacing w:after="0" w:line="257" w:lineRule="auto"/>
        <w:rPr>
          <w:sz w:val="20"/>
          <w:szCs w:val="20"/>
          <w:color w:val="auto"/>
        </w:rPr>
      </w:pPr>
      <w:r>
        <w:rPr>
          <w:rFonts w:ascii="Arial" w:cs="Arial" w:eastAsia="Arial" w:hAnsi="Arial"/>
          <w:sz w:val="18"/>
          <w:szCs w:val="18"/>
          <w:color w:val="auto"/>
        </w:rPr>
        <w:t>In the event of a default, we generally have the right to foreclose on or revoke the mortgaged vacation ownership interest. We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on our Statements of Income. Historical default rates, which represent defaults as a percentage of each year’s beginning gross vacation ownership notes receivable balance, were as follows:</w:t>
      </w:r>
    </w:p>
    <w:p>
      <w:pPr>
        <w:spacing w:after="0" w:line="8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56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w w:val="94"/>
              </w:rPr>
              <w:t>Twelve Weeks Ended</w:t>
            </w:r>
          </w:p>
        </w:tc>
        <w:tc>
          <w:tcPr>
            <w:tcW w:w="1160" w:type="dxa"/>
            <w:vAlign w:val="bottom"/>
            <w:tcBorders>
              <w:bottom w:val="single" w:sz="8" w:color="auto"/>
            </w:tcBorders>
          </w:tcPr>
          <w:p>
            <w:pPr>
              <w:spacing w:after="0"/>
              <w:rPr>
                <w:sz w:val="14"/>
                <w:szCs w:val="14"/>
                <w:color w:val="auto"/>
              </w:rPr>
            </w:pPr>
          </w:p>
        </w:tc>
      </w:tr>
      <w:tr>
        <w:trPr>
          <w:trHeight w:val="180"/>
        </w:trPr>
        <w:tc>
          <w:tcPr>
            <w:tcW w:w="5860" w:type="dxa"/>
            <w:vAlign w:val="bottom"/>
          </w:tcPr>
          <w:p>
            <w:pPr>
              <w:spacing w:after="0"/>
              <w:rPr>
                <w:sz w:val="15"/>
                <w:szCs w:val="15"/>
                <w:color w:val="auto"/>
              </w:rPr>
            </w:pPr>
          </w:p>
        </w:tc>
        <w:tc>
          <w:tcPr>
            <w:tcW w:w="2560" w:type="dxa"/>
            <w:vAlign w:val="bottom"/>
            <w:gridSpan w:val="3"/>
          </w:tcPr>
          <w:p>
            <w:pPr>
              <w:ind w:left="720"/>
              <w:spacing w:after="0"/>
              <w:rPr>
                <w:sz w:val="20"/>
                <w:szCs w:val="20"/>
                <w:color w:val="auto"/>
              </w:rPr>
            </w:pPr>
            <w:r>
              <w:rPr>
                <w:rFonts w:ascii="Arial" w:cs="Arial" w:eastAsia="Arial" w:hAnsi="Arial"/>
                <w:sz w:val="14"/>
                <w:szCs w:val="14"/>
                <w:b w:val="1"/>
                <w:bCs w:val="1"/>
                <w:color w:val="auto"/>
              </w:rPr>
              <w:t>March 25, 2016</w:t>
            </w:r>
          </w:p>
        </w:tc>
        <w:tc>
          <w:tcPr>
            <w:tcW w:w="1160" w:type="dxa"/>
            <w:vAlign w:val="bottom"/>
          </w:tcPr>
          <w:p>
            <w:pPr>
              <w:ind w:left="60"/>
              <w:spacing w:after="0"/>
              <w:rPr>
                <w:sz w:val="20"/>
                <w:szCs w:val="20"/>
                <w:color w:val="auto"/>
              </w:rPr>
            </w:pPr>
            <w:r>
              <w:rPr>
                <w:rFonts w:ascii="Arial" w:cs="Arial" w:eastAsia="Arial" w:hAnsi="Arial"/>
                <w:sz w:val="14"/>
                <w:szCs w:val="14"/>
                <w:b w:val="1"/>
                <w:bCs w:val="1"/>
                <w:color w:val="auto"/>
              </w:rPr>
              <w:t>March 27, 2015</w:t>
            </w:r>
          </w:p>
        </w:tc>
      </w:tr>
      <w:tr>
        <w:trPr>
          <w:trHeight w:val="111"/>
        </w:trPr>
        <w:tc>
          <w:tcPr>
            <w:tcW w:w="5860" w:type="dxa"/>
            <w:vAlign w:val="bottom"/>
            <w:tcBorders>
              <w:bottom w:val="single" w:sz="8" w:color="CCEEFF"/>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Historical default rates</w:t>
            </w:r>
          </w:p>
        </w:tc>
        <w:tc>
          <w:tcPr>
            <w:tcW w:w="1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0.9%</w:t>
            </w: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240" w:firstLine="1141"/>
        <w:spacing w:after="0" w:line="264" w:lineRule="auto"/>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 We obtain rental inventory from unsold inventory and inventory we control because owners have elected alternative usage options offered through our vacation ownership programs.</w:t>
      </w:r>
    </w:p>
    <w:p>
      <w:pPr>
        <w:spacing w:after="0" w:line="73" w:lineRule="exact"/>
        <w:rPr>
          <w:sz w:val="20"/>
          <w:szCs w:val="20"/>
          <w:color w:val="auto"/>
        </w:rPr>
      </w:pPr>
    </w:p>
    <w:p>
      <w:pPr>
        <w:ind w:right="160" w:firstLine="1141"/>
        <w:spacing w:after="0" w:line="264" w:lineRule="auto"/>
        <w:rPr>
          <w:sz w:val="20"/>
          <w:szCs w:val="20"/>
          <w:color w:val="auto"/>
        </w:rPr>
      </w:pPr>
      <w:r>
        <w:rPr>
          <w:rFonts w:ascii="Arial" w:cs="Arial" w:eastAsia="Arial" w:hAnsi="Arial"/>
          <w:sz w:val="18"/>
          <w:szCs w:val="18"/>
          <w:color w:val="auto"/>
        </w:rPr>
        <w:t>Rental revenues are primarily the revenues we earn from renting this inventory. We also recognize rental revenue from the utilization of plus points under the Marriott Vacation Club Destinations</w:t>
      </w:r>
      <w:r>
        <w:rPr>
          <w:rFonts w:ascii="Arial" w:cs="Arial" w:eastAsia="Arial" w:hAnsi="Arial"/>
          <w:sz w:val="15"/>
          <w:szCs w:val="15"/>
          <w:color w:val="auto"/>
        </w:rPr>
        <w:t>TM</w:t>
      </w:r>
      <w:r>
        <w:rPr>
          <w:rFonts w:ascii="Arial" w:cs="Arial" w:eastAsia="Arial" w:hAnsi="Arial"/>
          <w:sz w:val="18"/>
          <w:szCs w:val="18"/>
          <w:color w:val="auto"/>
        </w:rPr>
        <w:t xml:space="preserve"> (“MVCD”) program when those points are redeemed for rental stays at one of our resorts or upon expiration of the points.</w:t>
      </w:r>
    </w:p>
    <w:p>
      <w:pPr>
        <w:spacing w:after="0" w:line="7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Rental expenses include:</w:t>
      </w:r>
    </w:p>
    <w:p>
      <w:pPr>
        <w:spacing w:after="0" w:line="131" w:lineRule="exact"/>
        <w:rPr>
          <w:sz w:val="20"/>
          <w:szCs w:val="20"/>
          <w:color w:val="auto"/>
        </w:rPr>
      </w:pPr>
    </w:p>
    <w:p>
      <w:pPr>
        <w:ind w:left="1820" w:hanging="448"/>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30" w:lineRule="exact"/>
        <w:rPr>
          <w:rFonts w:ascii="Arial" w:cs="Arial" w:eastAsia="Arial" w:hAnsi="Arial"/>
          <w:sz w:val="18"/>
          <w:szCs w:val="18"/>
          <w:color w:val="auto"/>
        </w:rPr>
      </w:pPr>
    </w:p>
    <w:p>
      <w:pPr>
        <w:ind w:left="1820" w:right="660" w:hanging="448"/>
        <w:spacing w:after="0" w:line="277"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Rewards Points and offerings available as part of the Explorer Collection, for owners who elect to exchange their inventory;</w:t>
      </w:r>
    </w:p>
    <w:p>
      <w:pPr>
        <w:spacing w:after="0" w:line="75" w:lineRule="exact"/>
        <w:rPr>
          <w:rFonts w:ascii="Arial" w:cs="Arial" w:eastAsia="Arial" w:hAnsi="Arial"/>
          <w:sz w:val="18"/>
          <w:szCs w:val="18"/>
          <w:color w:val="auto"/>
        </w:rPr>
      </w:pPr>
    </w:p>
    <w:p>
      <w:pPr>
        <w:ind w:left="1820" w:right="160" w:hanging="448"/>
        <w:spacing w:after="0" w:line="277"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75" w:lineRule="exact"/>
        <w:rPr>
          <w:rFonts w:ascii="Arial" w:cs="Arial" w:eastAsia="Arial" w:hAnsi="Arial"/>
          <w:sz w:val="18"/>
          <w:szCs w:val="18"/>
          <w:color w:val="auto"/>
        </w:rPr>
      </w:pPr>
    </w:p>
    <w:p>
      <w:pPr>
        <w:ind w:left="1820" w:hanging="448"/>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the MVCD program.</w:t>
      </w:r>
    </w:p>
    <w:p>
      <w:pPr>
        <w:spacing w:after="0" w:line="117" w:lineRule="exact"/>
        <w:rPr>
          <w:sz w:val="20"/>
          <w:szCs w:val="20"/>
          <w:color w:val="auto"/>
        </w:rPr>
      </w:pPr>
    </w:p>
    <w:p>
      <w:pPr>
        <w:ind w:firstLine="1141"/>
        <w:spacing w:after="0" w:line="254" w:lineRule="auto"/>
        <w:rPr>
          <w:sz w:val="20"/>
          <w:szCs w:val="20"/>
          <w:color w:val="auto"/>
        </w:rPr>
      </w:pPr>
      <w:r>
        <w:rPr>
          <w:rFonts w:ascii="Arial" w:cs="Arial" w:eastAsia="Arial" w:hAnsi="Arial"/>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180" w:firstLine="1141"/>
        <w:spacing w:after="0" w:line="302" w:lineRule="auto"/>
        <w:rPr>
          <w:sz w:val="20"/>
          <w:szCs w:val="20"/>
          <w:color w:val="auto"/>
        </w:rPr>
      </w:pPr>
      <w:r>
        <w:rPr>
          <w:rFonts w:ascii="Arial" w:cs="Arial" w:eastAsia="Arial" w:hAnsi="Arial"/>
          <w:sz w:val="16"/>
          <w:szCs w:val="16"/>
          <w:color w:val="auto"/>
        </w:rPr>
        <w:t>Cost reimbursements include direct and indirect costs that property owners’ associations reimburse to us. In accordance with the accounting guidance for “gross versus net” presentation, we record these revenues and expenses on a gross basis. We recognize cost reimbursements when we incur the related reimbursable costs. These costs primarily consist of payroll and payroll related expenses for management of the property owners’ associations and other services we provide where we are the employer. Cost reimbursements consist of actual expenses with no added margin.</w:t>
      </w:r>
    </w:p>
    <w:p>
      <w:pPr>
        <w:spacing w:after="0" w:line="114"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Consumer Financing Interest Expense</w:t>
      </w:r>
    </w:p>
    <w:p>
      <w:pPr>
        <w:spacing w:after="0" w:line="117" w:lineRule="exact"/>
        <w:rPr>
          <w:sz w:val="20"/>
          <w:szCs w:val="20"/>
          <w:color w:val="auto"/>
        </w:rPr>
      </w:pPr>
    </w:p>
    <w:p>
      <w:pPr>
        <w:ind w:right="40" w:firstLine="1141"/>
        <w:spacing w:after="0" w:line="279" w:lineRule="auto"/>
        <w:rPr>
          <w:sz w:val="20"/>
          <w:szCs w:val="20"/>
          <w:color w:val="auto"/>
        </w:rPr>
      </w:pPr>
      <w:r>
        <w:rPr>
          <w:rFonts w:ascii="Arial" w:cs="Arial" w:eastAsia="Arial" w:hAnsi="Arial"/>
          <w:sz w:val="17"/>
          <w:szCs w:val="17"/>
          <w:color w:val="auto"/>
        </w:rPr>
        <w:t>Consumer financing interest expense represents interest expense associated with the debt from our non-recourse warehouse credit facility (the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that is generally non-recourse to us.</w:t>
      </w:r>
    </w:p>
    <w:p>
      <w:pPr>
        <w:spacing w:after="0" w:line="13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31" w:lineRule="exact"/>
        <w:rPr>
          <w:sz w:val="20"/>
          <w:szCs w:val="20"/>
          <w:color w:val="auto"/>
        </w:rPr>
      </w:pPr>
    </w:p>
    <w:p>
      <w:pPr>
        <w:ind w:left="1820" w:hanging="448"/>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30" w:lineRule="exact"/>
        <w:rPr>
          <w:rFonts w:ascii="Arial" w:cs="Arial" w:eastAsia="Arial" w:hAnsi="Arial"/>
          <w:sz w:val="18"/>
          <w:szCs w:val="18"/>
          <w:color w:val="auto"/>
        </w:rPr>
      </w:pPr>
    </w:p>
    <w:p>
      <w:pPr>
        <w:ind w:left="1820" w:hanging="448"/>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130" w:lineRule="exact"/>
        <w:rPr>
          <w:rFonts w:ascii="Arial" w:cs="Arial" w:eastAsia="Arial" w:hAnsi="Arial"/>
          <w:sz w:val="18"/>
          <w:szCs w:val="18"/>
          <w:color w:val="auto"/>
        </w:rPr>
      </w:pPr>
    </w:p>
    <w:p>
      <w:pPr>
        <w:ind w:left="1820" w:hanging="448"/>
        <w:spacing w:after="0" w:line="259"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contract sales, excluding fractional and residential sales, telesales and other 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Rounding</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Percentage changes presented in our public filings are calculated using whole dollars.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21" w:lineRule="exact"/>
        <w:rPr>
          <w:sz w:val="20"/>
          <w:szCs w:val="20"/>
          <w:color w:val="auto"/>
        </w:rPr>
      </w:pPr>
    </w:p>
    <w:p>
      <w:pPr>
        <w:ind w:firstLine="1141"/>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twelve weeks ended March 25, 2016, compared to the twelve weeks ended March 27, 2015.</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gridSpan w:val="5"/>
          </w:tcPr>
          <w:p>
            <w:pPr>
              <w:ind w:left="68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3820" w:type="dxa"/>
            <w:vAlign w:val="bottom"/>
            <w:gridSpan w:val="2"/>
            <w:vMerge w:val="continue"/>
          </w:tcPr>
          <w:p>
            <w:pPr>
              <w:spacing w:after="0"/>
              <w:rPr>
                <w:sz w:val="12"/>
                <w:szCs w:val="12"/>
                <w:color w:val="auto"/>
              </w:rPr>
            </w:pPr>
          </w:p>
        </w:tc>
        <w:tc>
          <w:tcPr>
            <w:tcW w:w="20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4"/>
              </w:rPr>
              <w:t>March 25, 2016</w:t>
            </w: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6"/>
              </w:rPr>
              <w:t>March 27, 2015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Sale of vacation ownership products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138,369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183,906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69,629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64,417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Financing</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29,224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29,052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80,288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76,199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Cost reimbursements</w:t>
            </w:r>
          </w:p>
        </w:tc>
        <w:tc>
          <w:tcPr>
            <w:tcW w:w="2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107,533</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101,306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revenues</w:t>
            </w:r>
          </w:p>
        </w:tc>
        <w:tc>
          <w:tcPr>
            <w:tcW w:w="20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425,043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454,880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vacation ownership products</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35,617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64,962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Marketing and sales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78,412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79,995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45,797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42,409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Financing</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4,629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4,905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64,660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60,158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25,297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22,777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Reversal of litigation expense</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Organizational and separation related</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financing interest</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5,362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Royalty fee</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13,357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reimbursements</w:t>
            </w:r>
          </w:p>
        </w:tc>
        <w:tc>
          <w:tcPr>
            <w:tcW w:w="20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107,533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101,306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2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380,361</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395,463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and other income</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(1,982)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(2,542)</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700"/>
              <w:spacing w:after="0"/>
              <w:rPr>
                <w:sz w:val="20"/>
                <w:szCs w:val="20"/>
                <w:color w:val="auto"/>
              </w:rPr>
            </w:pPr>
            <w:r>
              <w:rPr>
                <w:rFonts w:ascii="Arial" w:cs="Arial" w:eastAsia="Arial" w:hAnsi="Arial"/>
                <w:sz w:val="18"/>
                <w:szCs w:val="18"/>
                <w:color w:val="auto"/>
              </w:rPr>
              <w:t>Income before income taxes</w:t>
            </w: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40,165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57,343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(15,757)</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700"/>
              <w:spacing w:after="0"/>
              <w:rPr>
                <w:sz w:val="20"/>
                <w:szCs w:val="20"/>
                <w:color w:val="auto"/>
              </w:rPr>
            </w:pPr>
            <w:r>
              <w:rPr>
                <w:rFonts w:ascii="Arial" w:cs="Arial" w:eastAsia="Arial" w:hAnsi="Arial"/>
                <w:sz w:val="18"/>
                <w:szCs w:val="18"/>
                <w:color w:val="auto"/>
              </w:rPr>
              <w:t>Net income</w:t>
            </w:r>
          </w:p>
        </w:tc>
        <w:tc>
          <w:tcPr>
            <w:tcW w:w="204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24,408</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34,054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40" w:type="dxa"/>
            <w:vAlign w:val="bottom"/>
            <w:vMerge w:val="restart"/>
          </w:tcPr>
          <w:p>
            <w:pPr>
              <w:jc w:val="right"/>
              <w:ind w:right="1110"/>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March 25, 2016</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March 27, 2015</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North America</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139,650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155,993</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(16,343)</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16"/>
        </w:trPr>
        <w:tc>
          <w:tcPr>
            <w:tcW w:w="5500" w:type="dxa"/>
            <w:vAlign w:val="bottom"/>
          </w:tcPr>
          <w:p>
            <w:pPr>
              <w:ind w:left="54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4,418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5,298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(880)</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Asia Pacific</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767</w:t>
            </w:r>
          </w:p>
        </w:tc>
        <w:tc>
          <w:tcPr>
            <w:tcW w:w="11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24"/>
        </w:trPr>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153,494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169,950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(16,456)</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67"/>
        </w:trPr>
        <w:tc>
          <w:tcPr>
            <w:tcW w:w="5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540"/>
              <w:spacing w:after="0"/>
              <w:rPr>
                <w:sz w:val="20"/>
                <w:szCs w:val="20"/>
                <w:color w:val="auto"/>
              </w:rPr>
            </w:pPr>
            <w:r>
              <w:rPr>
                <w:rFonts w:ascii="Arial" w:cs="Arial" w:eastAsia="Arial" w:hAnsi="Arial"/>
                <w:sz w:val="18"/>
                <w:szCs w:val="18"/>
                <w:color w:val="auto"/>
              </w:rPr>
              <w:t>Asia Pacific</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28,420</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(28,420)</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contract sales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153,494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198,370</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(44,876)</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5"/>
              </w:rPr>
              <w:t>(23%)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1141"/>
        <w:spacing w:after="0" w:line="286" w:lineRule="auto"/>
        <w:rPr>
          <w:sz w:val="20"/>
          <w:szCs w:val="20"/>
          <w:color w:val="auto"/>
        </w:rPr>
      </w:pPr>
      <w:r>
        <w:rPr>
          <w:rFonts w:ascii="Arial" w:cs="Arial" w:eastAsia="Arial" w:hAnsi="Arial"/>
          <w:sz w:val="17"/>
          <w:szCs w:val="17"/>
          <w:color w:val="auto"/>
        </w:rPr>
        <w:t>The decrease in contract sales reflected a $16.3 million decrease in vacation ownership sales in our North America segment, a $0.9 million decrease in vacation ownership sales in our Europe segment and a $0.7 million increase in vacation ownership sales in our Asia Pacific segment. These decreases, as well as the decrease in residential sales, are described within the discussions of our segment results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0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March 25, 2016</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March 27, 2015</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153,494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198,370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Reportability</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(1,513)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2,299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540"/>
              <w:spacing w:after="0"/>
              <w:rPr>
                <w:sz w:val="20"/>
                <w:szCs w:val="20"/>
                <w:color w:val="auto"/>
              </w:rPr>
            </w:pPr>
            <w:r>
              <w:rPr>
                <w:rFonts w:ascii="Arial" w:cs="Arial" w:eastAsia="Arial" w:hAnsi="Arial"/>
                <w:sz w:val="18"/>
                <w:szCs w:val="18"/>
                <w:color w:val="auto"/>
              </w:rPr>
              <w:t>Sales reserve</w:t>
            </w:r>
          </w:p>
        </w:tc>
        <w:tc>
          <w:tcPr>
            <w:tcW w:w="220" w:type="dxa"/>
            <w:vAlign w:val="bottom"/>
          </w:tcPr>
          <w:p>
            <w:pPr>
              <w:spacing w:after="0"/>
              <w:rPr>
                <w:sz w:val="18"/>
                <w:szCs w:val="18"/>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(8,223)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(8,367)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(7,688)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(4,584)</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138,369</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183,906</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(45,537)</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(25%)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188595</wp:posOffset>
            </wp:positionV>
            <wp:extent cx="10890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17" w:lineRule="exact"/>
        <w:rPr>
          <w:sz w:val="20"/>
          <w:szCs w:val="20"/>
          <w:color w:val="auto"/>
        </w:rPr>
      </w:pPr>
    </w:p>
    <w:p>
      <w:pPr>
        <w:ind w:left="800" w:hanging="454"/>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117" w:lineRule="exact"/>
        <w:rPr>
          <w:sz w:val="20"/>
          <w:szCs w:val="20"/>
          <w:color w:val="auto"/>
        </w:rPr>
      </w:pPr>
    </w:p>
    <w:p>
      <w:pPr>
        <w:ind w:right="60" w:firstLine="1141"/>
        <w:spacing w:after="0" w:line="255" w:lineRule="auto"/>
        <w:rPr>
          <w:sz w:val="20"/>
          <w:szCs w:val="20"/>
          <w:color w:val="auto"/>
        </w:rPr>
      </w:pPr>
      <w:r>
        <w:rPr>
          <w:rFonts w:ascii="Arial" w:cs="Arial" w:eastAsia="Arial" w:hAnsi="Arial"/>
          <w:sz w:val="18"/>
          <w:szCs w:val="18"/>
          <w:color w:val="auto"/>
        </w:rPr>
        <w:t>Revenue reportability had a $0.8 million positive impact in the current period, compared to a $1.5 million negative impact in the prior year comparable period, due to fewer sales being in the rescission period as of the end of the current period and an increase in the amount of sales meeting the down payment requirement for revenue reportability prior to the end of the current period. The increase in the amount of sales meeting the down payment requirement for revenue reportability was due to an increase in the down payment requirements in our North America segment compared to the prior year comparable period. The increase in down payment requirements occurred while achieving a 14.8 percentage point increase in financing propensity in the first quarter of 2016 compared to the prior year comparable period.</w:t>
      </w:r>
    </w:p>
    <w:p>
      <w:pPr>
        <w:spacing w:after="0" w:line="85" w:lineRule="exact"/>
        <w:rPr>
          <w:sz w:val="20"/>
          <w:szCs w:val="20"/>
          <w:color w:val="auto"/>
        </w:rPr>
      </w:pPr>
    </w:p>
    <w:p>
      <w:pPr>
        <w:ind w:right="20" w:firstLine="1141"/>
        <w:spacing w:after="0" w:line="342" w:lineRule="auto"/>
        <w:rPr>
          <w:sz w:val="20"/>
          <w:szCs w:val="20"/>
          <w:color w:val="auto"/>
        </w:rPr>
      </w:pPr>
      <w:r>
        <w:rPr>
          <w:rFonts w:ascii="Arial" w:cs="Arial" w:eastAsia="Arial" w:hAnsi="Arial"/>
          <w:sz w:val="16"/>
          <w:szCs w:val="16"/>
          <w:color w:val="auto"/>
        </w:rPr>
        <w:t>The lower sales reserve reflects the lower vacation ownership contract sales volume and higher reserves required in our Europe and Asia Pacific segments in the prior year comparable period, partially offset by an increase in our North America segment due to the increase in financing propensity.</w:t>
      </w:r>
    </w:p>
    <w:p>
      <w:pPr>
        <w:spacing w:after="0" w:line="16" w:lineRule="exact"/>
        <w:rPr>
          <w:sz w:val="20"/>
          <w:szCs w:val="20"/>
          <w:color w:val="auto"/>
        </w:rPr>
      </w:pPr>
    </w:p>
    <w:p>
      <w:pPr>
        <w:ind w:right="120" w:firstLine="1141"/>
        <w:spacing w:after="0" w:line="277" w:lineRule="auto"/>
        <w:rPr>
          <w:sz w:val="20"/>
          <w:szCs w:val="20"/>
          <w:color w:val="auto"/>
        </w:rPr>
      </w:pPr>
      <w:r>
        <w:rPr>
          <w:rFonts w:ascii="Arial" w:cs="Arial" w:eastAsia="Arial" w:hAnsi="Arial"/>
          <w:sz w:val="18"/>
          <w:szCs w:val="18"/>
          <w:color w:val="auto"/>
        </w:rPr>
        <w:t>The increase in other adjustments for sales incentives that will not be recognized as sale of vacation ownership products revenue is driven by an increase in the utilization of plus points as a sales incentive in our North America segment in the first quarter of 2016.</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9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24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March 25, 2016</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March 27, 2015</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138,369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183,906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(45,537)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(25%)</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(35,617)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(64,962)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29,345</w:t>
            </w:r>
          </w:p>
        </w:tc>
        <w:tc>
          <w:tcPr>
            <w:tcW w:w="118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45%</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(78,412)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(79,995)</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1,583</w:t>
            </w:r>
          </w:p>
        </w:tc>
        <w:tc>
          <w:tcPr>
            <w:tcW w:w="11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Development margin</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24,340</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38,949</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(14,609)</w:t>
            </w:r>
          </w:p>
        </w:tc>
        <w:tc>
          <w:tcPr>
            <w:tcW w:w="1180" w:type="dxa"/>
            <w:vAlign w:val="bottom"/>
            <w:gridSpan w:val="2"/>
          </w:tcPr>
          <w:p>
            <w:pPr>
              <w:jc w:val="center"/>
              <w:ind w:left="110"/>
              <w:spacing w:after="0"/>
              <w:rPr>
                <w:sz w:val="20"/>
                <w:szCs w:val="20"/>
                <w:color w:val="auto"/>
              </w:rPr>
            </w:pPr>
            <w:r>
              <w:rPr>
                <w:rFonts w:ascii="Arial" w:cs="Arial" w:eastAsia="Arial" w:hAnsi="Arial"/>
                <w:sz w:val="18"/>
                <w:szCs w:val="18"/>
                <w:color w:val="auto"/>
                <w:w w:val="95"/>
              </w:rPr>
              <w:t>(38%)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 pts)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31" w:lineRule="exact"/>
        <w:rPr>
          <w:sz w:val="20"/>
          <w:szCs w:val="20"/>
          <w:color w:val="auto"/>
        </w:rPr>
      </w:pPr>
    </w:p>
    <w:p>
      <w:pPr>
        <w:ind w:left="2280" w:right="60" w:hanging="449"/>
        <w:spacing w:after="0" w:line="255" w:lineRule="auto"/>
        <w:tabs>
          <w:tab w:leader="none" w:pos="2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$9.5 million from lower vacation ownership contract sales volume net of direct variable expenses (i.e., cost of vacation ownership products and marketing and sales), including $7.0 million from lower vacation ownership contract sales, $2.4 million from higher marketing and sales costs due to investment in new programs to help generate future incremental tour volumes, and $2.3 million from higher usage of plus points as a sales incentive in our North America segment, which resulted in more revenue being deferred that will be recognized as rental revenue when those points are redeemed for rental stays at one of our resorts or upon expiration of the points, partially offset by $2.2 million from a favorable mix of lower cost real estate inventory being sold;</w:t>
      </w:r>
    </w:p>
    <w:p>
      <w:pPr>
        <w:spacing w:after="0" w:line="94" w:lineRule="exact"/>
        <w:rPr>
          <w:rFonts w:ascii="Arial" w:cs="Arial" w:eastAsia="Arial" w:hAnsi="Arial"/>
          <w:sz w:val="18"/>
          <w:szCs w:val="18"/>
          <w:color w:val="auto"/>
        </w:rPr>
      </w:pPr>
    </w:p>
    <w:p>
      <w:pPr>
        <w:ind w:left="2280" w:right="60" w:hanging="449"/>
        <w:spacing w:after="0" w:line="342" w:lineRule="auto"/>
        <w:tabs>
          <w:tab w:leader="none" w:pos="2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$5.9 million from lower residential contract sales (no residential sales in the twelve weeks ended March 25, 2016 compared to $5.9 million from the sale of residential inventory in our Asia Pacific segment in the prior year comparable period); and</w:t>
      </w:r>
    </w:p>
    <w:p>
      <w:pPr>
        <w:spacing w:after="0" w:line="29" w:lineRule="exact"/>
        <w:rPr>
          <w:rFonts w:ascii="Arial" w:cs="Arial" w:eastAsia="Arial" w:hAnsi="Arial"/>
          <w:sz w:val="16"/>
          <w:szCs w:val="16"/>
          <w:color w:val="auto"/>
        </w:rPr>
      </w:pPr>
    </w:p>
    <w:p>
      <w:pPr>
        <w:ind w:left="2280" w:right="180" w:hanging="449"/>
        <w:spacing w:after="0" w:line="277" w:lineRule="auto"/>
        <w:tabs>
          <w:tab w:leader="none" w:pos="2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$1.1 million of pre-opening and startup expenses in our Asia Pacific and North America segments in advance of the opening of new sales locations later in 2016.</w:t>
      </w:r>
    </w:p>
    <w:p>
      <w:pPr>
        <w:spacing w:after="0" w:line="62" w:lineRule="exact"/>
        <w:rPr>
          <w:sz w:val="20"/>
          <w:szCs w:val="20"/>
          <w:color w:val="auto"/>
        </w:rPr>
      </w:pPr>
    </w:p>
    <w:p>
      <w:pPr>
        <w:ind w:firstLine="1141"/>
        <w:spacing w:after="0" w:line="264" w:lineRule="auto"/>
        <w:rPr>
          <w:sz w:val="20"/>
          <w:szCs w:val="20"/>
          <w:color w:val="auto"/>
        </w:rPr>
      </w:pPr>
      <w:r>
        <w:rPr>
          <w:rFonts w:ascii="Arial" w:cs="Arial" w:eastAsia="Arial" w:hAnsi="Arial"/>
          <w:sz w:val="18"/>
          <w:szCs w:val="18"/>
          <w:color w:val="auto"/>
        </w:rPr>
        <w:t>These decreases were partially offset by $1.4 million from higher revenue reportability compared to the prior year comparable period and $0.5 million from higher favorable product cost true-ups ($3.2 million in the twelve weeks ended March 25, 2016 compared to $2.7 million in the prior year comparable period).</w:t>
      </w:r>
    </w:p>
    <w:p>
      <w:pPr>
        <w:spacing w:after="0" w:line="73" w:lineRule="exact"/>
        <w:rPr>
          <w:sz w:val="20"/>
          <w:szCs w:val="20"/>
          <w:color w:val="auto"/>
        </w:rPr>
      </w:pPr>
    </w:p>
    <w:p>
      <w:pPr>
        <w:ind w:right="60" w:firstLine="1141"/>
        <w:spacing w:after="0" w:line="293" w:lineRule="auto"/>
        <w:rPr>
          <w:sz w:val="20"/>
          <w:szCs w:val="20"/>
          <w:color w:val="auto"/>
        </w:rPr>
      </w:pPr>
      <w:r>
        <w:rPr>
          <w:rFonts w:ascii="Arial" w:cs="Arial" w:eastAsia="Arial" w:hAnsi="Arial"/>
          <w:sz w:val="16"/>
          <w:szCs w:val="16"/>
          <w:color w:val="auto"/>
        </w:rPr>
        <w:t>The 3.6 percentage point decline in the development margin percentage reflected a 2.6 percentage point decline due to an inability to leverage fixed costs on lower vacation ownership contract sales, a 2.2 percentage point decline due to higher marketing and sales spending (including a 0.7 percentage point impact from the pre-opening and startup expenses in advance of opening new sales locations), and a 1.1 percentage point decline from the higher usage of plus points as a sales incentive. These declines were partially offset by a 1.4 percentage point increase due to a favorable mix of lower cost vacation ownership real estate inventory being sold in the twelve weeks ended March 25, 2016, a 0.6 percentage point increase due to the favorable revenue reportability year-over-year and a 0.3 percentage point increase due to the higher favorable product cost true-up activity year-over-year.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March 25, 2016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March 27, 2015</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18,440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17,580</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860</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51,189</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46,837</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4,352</w:t>
            </w:r>
          </w:p>
        </w:tc>
        <w:tc>
          <w:tcPr>
            <w:tcW w:w="1100" w:type="dxa"/>
            <w:vAlign w:val="bottom"/>
            <w:gridSpan w:val="2"/>
          </w:tcPr>
          <w:p>
            <w:pPr>
              <w:jc w:val="right"/>
              <w:ind w:right="279"/>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69,629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64,417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5,212</w:t>
            </w:r>
          </w:p>
        </w:tc>
        <w:tc>
          <w:tcPr>
            <w:tcW w:w="110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(45,797)</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(42,409)</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(3,388)</w:t>
            </w:r>
          </w:p>
        </w:tc>
        <w:tc>
          <w:tcPr>
            <w:tcW w:w="1100" w:type="dxa"/>
            <w:vAlign w:val="bottom"/>
            <w:gridSpan w:val="2"/>
          </w:tcPr>
          <w:p>
            <w:pPr>
              <w:jc w:val="right"/>
              <w:ind w:right="21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23,832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22,008</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1,824</w:t>
            </w:r>
          </w:p>
        </w:tc>
        <w:tc>
          <w:tcPr>
            <w:tcW w:w="110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700" w:type="dxa"/>
            <w:vAlign w:val="bottom"/>
            <w:gridSpan w:val="2"/>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240" w:type="dxa"/>
            <w:vAlign w:val="bottom"/>
          </w:tcPr>
          <w:p>
            <w:pPr>
              <w:spacing w:after="0"/>
              <w:rPr>
                <w:sz w:val="24"/>
                <w:szCs w:val="24"/>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ind w:left="380"/>
              <w:spacing w:after="0"/>
              <w:rPr>
                <w:sz w:val="20"/>
                <w:szCs w:val="20"/>
                <w:color w:val="auto"/>
              </w:rPr>
            </w:pPr>
            <w:r>
              <w:rPr>
                <w:rFonts w:ascii="Arial" w:cs="Arial" w:eastAsia="Arial" w:hAnsi="Arial"/>
                <w:sz w:val="18"/>
                <w:szCs w:val="18"/>
                <w:color w:val="auto"/>
              </w:rPr>
              <w:t>0.0 pts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1141"/>
        <w:spacing w:after="0" w:line="264" w:lineRule="auto"/>
        <w:rPr>
          <w:sz w:val="20"/>
          <w:szCs w:val="20"/>
          <w:color w:val="auto"/>
        </w:rPr>
      </w:pPr>
      <w:r>
        <w:rPr>
          <w:rFonts w:ascii="Arial" w:cs="Arial" w:eastAsia="Arial" w:hAnsi="Arial"/>
          <w:sz w:val="18"/>
          <w:szCs w:val="18"/>
          <w:color w:val="auto"/>
        </w:rPr>
        <w:t>The increase in resort management and other services revenues reflected $3.5 million of higher ancillary revenues, $1.0 million of additional annual club dues earned in connection with the MVCD program due to the cumulative increase in owners enrolled in the program, $0.9 million of higher management fees (net of $0.1 million negative foreign exchange impact in our Europe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segment) and $0.4 million of higher resales commission and other revenues. These increases were partially offset by $0.4 million of lower brand fees due to fewer closings and $0.2 million of lower settlement fees due to a decrease in the number of contracts closed, in each case, compared to the first quarter of 2015. The increase in ancillary revenues included $2.7 million of ancillary revenues at our operating property in Australia, $0.5 million of ancillary revenues at the property we manage in New York and a $0.3 million increase in ancillary revenues from food and beverage and golf offerings at our existing resorts.</w:t>
      </w:r>
    </w:p>
    <w:p>
      <w:pPr>
        <w:spacing w:after="0" w:line="46" w:lineRule="exact"/>
        <w:rPr>
          <w:sz w:val="20"/>
          <w:szCs w:val="20"/>
          <w:color w:val="auto"/>
        </w:rPr>
      </w:pPr>
    </w:p>
    <w:p>
      <w:pPr>
        <w:ind w:right="180" w:firstLine="1141"/>
        <w:spacing w:after="0" w:line="312" w:lineRule="auto"/>
        <w:rPr>
          <w:sz w:val="20"/>
          <w:szCs w:val="20"/>
          <w:color w:val="auto"/>
        </w:rPr>
      </w:pPr>
      <w:r>
        <w:rPr>
          <w:rFonts w:ascii="Arial" w:cs="Arial" w:eastAsia="Arial" w:hAnsi="Arial"/>
          <w:sz w:val="16"/>
          <w:szCs w:val="16"/>
          <w:color w:val="auto"/>
        </w:rPr>
        <w:t>The improvement in the resort management and other services margin reflected the changes in revenue, partially offset by $3.4 million of higher expenses, including $2.4 million from the operation of the ancillary businesses at the operating property in Australia, $0.7 million from the operation of the ancillary businesses at the property we manage in New York and $0.3 million increase in other expenses in the twelve weeks ended March 25,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0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w w:val="98"/>
              </w:rPr>
              <w:t>March 25, 2016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98"/>
              </w:rPr>
              <w:t>March 27, 2015</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27,774</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27,567</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207</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1,450</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1,485</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w:t>
            </w:r>
          </w:p>
        </w:tc>
        <w:tc>
          <w:tcPr>
            <w:tcW w:w="122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29,224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29,052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172</w:t>
            </w:r>
          </w:p>
        </w:tc>
        <w:tc>
          <w:tcPr>
            <w:tcW w:w="12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Financing expenses</w:t>
            </w:r>
          </w:p>
        </w:tc>
        <w:tc>
          <w:tcPr>
            <w:tcW w:w="240" w:type="dxa"/>
            <w:vAlign w:val="bottom"/>
          </w:tcPr>
          <w:p>
            <w:pPr>
              <w:spacing w:after="0"/>
              <w:rPr>
                <w:sz w:val="18"/>
                <w:szCs w:val="18"/>
                <w:color w:val="auto"/>
              </w:rPr>
            </w:pPr>
          </w:p>
        </w:tc>
        <w:tc>
          <w:tcPr>
            <w:tcW w:w="1300" w:type="dxa"/>
            <w:vAlign w:val="bottom"/>
          </w:tcPr>
          <w:p>
            <w:pPr>
              <w:ind w:left="680"/>
              <w:spacing w:after="0"/>
              <w:rPr>
                <w:sz w:val="20"/>
                <w:szCs w:val="20"/>
                <w:color w:val="auto"/>
              </w:rPr>
            </w:pPr>
            <w:r>
              <w:rPr>
                <w:rFonts w:ascii="Arial" w:cs="Arial" w:eastAsia="Arial" w:hAnsi="Arial"/>
                <w:sz w:val="18"/>
                <w:szCs w:val="18"/>
                <w:color w:val="auto"/>
              </w:rPr>
              <w:t>(4,629)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276</w:t>
            </w:r>
          </w:p>
        </w:tc>
        <w:tc>
          <w:tcPr>
            <w:tcW w:w="122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(5,362)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659</w:t>
            </w:r>
          </w:p>
        </w:tc>
        <w:tc>
          <w:tcPr>
            <w:tcW w:w="12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Financing margin</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19,233</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18,126</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1,107</w:t>
            </w:r>
          </w:p>
        </w:tc>
        <w:tc>
          <w:tcPr>
            <w:tcW w:w="122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Financing propensity</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58.5%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40" w:firstLine="1141"/>
        <w:spacing w:after="0" w:line="308" w:lineRule="auto"/>
        <w:rPr>
          <w:sz w:val="20"/>
          <w:szCs w:val="20"/>
          <w:color w:val="auto"/>
        </w:rPr>
      </w:pPr>
      <w:r>
        <w:rPr>
          <w:rFonts w:ascii="Arial" w:cs="Arial" w:eastAsia="Arial" w:hAnsi="Arial"/>
          <w:sz w:val="17"/>
          <w:szCs w:val="17"/>
          <w:color w:val="auto"/>
        </w:rPr>
        <w:t>The increase in financing revenues was due to a slight increase in the weighted average coupon rate of our vacation ownership notes receivable, partially offset by a $0.8 million decline in the average gross vacation ownership notes receivable balance.</w:t>
      </w:r>
    </w:p>
    <w:p>
      <w:pPr>
        <w:spacing w:after="0" w:line="38" w:lineRule="exact"/>
        <w:rPr>
          <w:sz w:val="20"/>
          <w:szCs w:val="20"/>
          <w:color w:val="auto"/>
        </w:rPr>
      </w:pPr>
    </w:p>
    <w:p>
      <w:pPr>
        <w:ind w:right="60" w:firstLine="1141"/>
        <w:spacing w:after="0" w:line="257" w:lineRule="auto"/>
        <w:rPr>
          <w:sz w:val="20"/>
          <w:szCs w:val="20"/>
          <w:color w:val="auto"/>
        </w:rPr>
      </w:pPr>
      <w:r>
        <w:rPr>
          <w:rFonts w:ascii="Arial" w:cs="Arial" w:eastAsia="Arial" w:hAnsi="Arial"/>
          <w:sz w:val="18"/>
          <w:szCs w:val="18"/>
          <w:color w:val="auto"/>
        </w:rPr>
        <w:t>The increase in financing margin reflects the higher financing revenues, as well as lower consumer financing interest expense and lower other expenses. The lower consumer financing interest expense was due to a lower average interest rate on the outstanding debt balances, partially offset by a higher average outstanding debt balance.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80" w:lineRule="exact"/>
        <w:rPr>
          <w:sz w:val="20"/>
          <w:szCs w:val="20"/>
          <w:color w:val="auto"/>
        </w:rPr>
      </w:pPr>
    </w:p>
    <w:p>
      <w:pPr>
        <w:ind w:right="100" w:firstLine="1141"/>
        <w:spacing w:after="0" w:line="259" w:lineRule="auto"/>
        <w:rPr>
          <w:sz w:val="20"/>
          <w:szCs w:val="20"/>
          <w:color w:val="auto"/>
        </w:rPr>
      </w:pPr>
      <w:r>
        <w:rPr>
          <w:rFonts w:ascii="Arial" w:cs="Arial" w:eastAsia="Arial" w:hAnsi="Arial"/>
          <w:sz w:val="18"/>
          <w:szCs w:val="18"/>
          <w:color w:val="auto"/>
        </w:rPr>
        <w:t>The increase in financing propensity resulted from new programs implemented in the first half of 2015 to help increase financing propensity above the 40 to 45 percent rate that the company has averaged in recent years. As a result of these programs, we expect that interest income will continue to increase as new originations of vacation ownership notes receivable outpace the decline in principal of existing vacation ownership notes receivables. We are targeting higher financing propensity for our fiscal year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March 25, 2016</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March 27, 2015</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80,288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76,199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4,089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Unsold maintenance fees — upscale</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(13,982)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(12,043)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(1,939)</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Unsold maintenance fees — luxury</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1,899</w:t>
            </w:r>
          </w:p>
        </w:tc>
        <w:tc>
          <w:tcPr>
            <w:tcW w:w="9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8"/>
              </w:rPr>
              <w:t>79%</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(14,493)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(14,453)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rental expenses</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(45,705)</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9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1"/>
              </w:rPr>
              <w:t>(10%)</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Rental margin</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15,628</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16,041</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pts)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24"/>
                <w:szCs w:val="2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March 25, 2016</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March 27, 2015</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292,649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296,710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228.80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226.15</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2.65</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 pts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0890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1" w:lineRule="exact"/>
        <w:rPr>
          <w:sz w:val="20"/>
          <w:szCs w:val="20"/>
          <w:color w:val="auto"/>
        </w:rPr>
      </w:pPr>
    </w:p>
    <w:p>
      <w:pPr>
        <w:ind w:left="5620" w:right="5500" w:hanging="5612"/>
        <w:spacing w:after="0" w:line="536" w:lineRule="auto"/>
        <w:tabs>
          <w:tab w:leader="none" w:pos="450" w:val="left"/>
        </w:tabs>
        <w:numPr>
          <w:ilvl w:val="0"/>
          <w:numId w:val="17"/>
        </w:numPr>
        <w:rPr>
          <w:rFonts w:ascii="Arial" w:cs="Arial" w:eastAsia="Arial" w:hAnsi="Arial"/>
          <w:sz w:val="14"/>
          <w:szCs w:val="14"/>
          <w:color w:val="auto"/>
        </w:rPr>
      </w:pPr>
      <w:r>
        <w:rPr>
          <w:rFonts w:ascii="Arial" w:cs="Arial" w:eastAsia="Arial" w:hAnsi="Arial"/>
          <w:sz w:val="16"/>
          <w:szCs w:val="16"/>
          <w:color w:val="auto"/>
        </w:rPr>
        <w:t>Transient keys rented exclude those obtained through the use of plus points. 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1141"/>
        <w:spacing w:after="0" w:line="297" w:lineRule="auto"/>
        <w:rPr>
          <w:sz w:val="20"/>
          <w:szCs w:val="20"/>
          <w:color w:val="auto"/>
        </w:rPr>
      </w:pPr>
      <w:r>
        <w:rPr>
          <w:rFonts w:ascii="Arial" w:cs="Arial" w:eastAsia="Arial" w:hAnsi="Arial"/>
          <w:sz w:val="16"/>
          <w:szCs w:val="16"/>
          <w:color w:val="auto"/>
        </w:rPr>
        <w:t>The increase in rental revenues was due to $3.1 million of revenue from the operation of the property in Australia acquired during the third quarter of 2015, a company-wide 1 percent increase in average transient rate ($0.8 million), $0.4 million of additional revenue from the operation of the property in San Diego acquired in the first quarter of 2015, $0.4 million of higher plus points revenue (which is recognized upon utilization of plus points for stays at our resorts or upon expiration of the points) and a $0.3 million increase in preview keys and other revenue, partially offset by a company-wide 1 percent decrease in transient keys rented ($0.9 million) primarily due to a 3 percent decrease in available keys as well as the increase in preview keys.</w:t>
      </w:r>
    </w:p>
    <w:p>
      <w:pPr>
        <w:spacing w:after="0" w:line="50" w:lineRule="exact"/>
        <w:rPr>
          <w:sz w:val="20"/>
          <w:szCs w:val="20"/>
          <w:color w:val="auto"/>
        </w:rPr>
      </w:pPr>
    </w:p>
    <w:p>
      <w:pPr>
        <w:ind w:firstLine="1141"/>
        <w:spacing w:after="0" w:line="259" w:lineRule="auto"/>
        <w:rPr>
          <w:sz w:val="20"/>
          <w:szCs w:val="20"/>
          <w:color w:val="auto"/>
        </w:rPr>
      </w:pPr>
      <w:r>
        <w:rPr>
          <w:rFonts w:ascii="Arial" w:cs="Arial" w:eastAsia="Arial" w:hAnsi="Arial"/>
          <w:sz w:val="18"/>
          <w:szCs w:val="18"/>
          <w:color w:val="auto"/>
        </w:rPr>
        <w:t>The decrease in rental margin reflected $0.8 million of lower rental revenues net of direct variable expenses (such as housekeeping), expenses incurred due to owners choosing alternative usage options, and unsold maintenance fees, partially offset by the $0.4 million increase in plus points revenue. The results of our operating property in Australia were break-even in the first quarter of 2016 and there was no impact on rental margin from the operation of the property in San Diego compared to the prior year comparable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17" w:lineRule="exact"/>
        <w:rPr>
          <w:sz w:val="20"/>
          <w:szCs w:val="20"/>
          <w:color w:val="auto"/>
        </w:rPr>
      </w:pPr>
    </w:p>
    <w:p>
      <w:pPr>
        <w:ind w:right="60" w:firstLine="1141"/>
        <w:spacing w:after="0" w:line="264" w:lineRule="auto"/>
        <w:rPr>
          <w:sz w:val="20"/>
          <w:szCs w:val="20"/>
          <w:color w:val="auto"/>
        </w:rPr>
      </w:pPr>
      <w:r>
        <w:rPr>
          <w:rFonts w:ascii="Arial" w:cs="Arial" w:eastAsia="Arial" w:hAnsi="Arial"/>
          <w:sz w:val="18"/>
          <w:szCs w:val="18"/>
          <w:color w:val="auto"/>
        </w:rPr>
        <w:t>Cost reimbursements increased $6.2 million, or 6 percent, over the prior year comparable period, reflecting an increase of $5.6 million due to higher costs and $1.2 million due to additional managed unit weeks in the twelve weeks ended March 25, 2016, partially offset by a $0.6 million negative impact from foreign exchange rates in our Europe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17" w:lineRule="exact"/>
        <w:rPr>
          <w:sz w:val="20"/>
          <w:szCs w:val="20"/>
          <w:color w:val="auto"/>
        </w:rPr>
      </w:pPr>
    </w:p>
    <w:p>
      <w:pPr>
        <w:ind w:right="380" w:firstLine="1141"/>
        <w:spacing w:after="0" w:line="277" w:lineRule="auto"/>
        <w:rPr>
          <w:sz w:val="20"/>
          <w:szCs w:val="20"/>
          <w:color w:val="auto"/>
        </w:rPr>
      </w:pPr>
      <w:r>
        <w:rPr>
          <w:rFonts w:ascii="Arial" w:cs="Arial" w:eastAsia="Arial" w:hAnsi="Arial"/>
          <w:sz w:val="18"/>
          <w:szCs w:val="18"/>
          <w:color w:val="auto"/>
        </w:rPr>
        <w:t>General and administrative expenses increased $2.5 million (from $22.8 million to $25.3 million) and were driven by higher information technology project costs and inflationary cost increases.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17" w:lineRule="exact"/>
        <w:rPr>
          <w:sz w:val="20"/>
          <w:szCs w:val="20"/>
          <w:color w:val="auto"/>
        </w:rPr>
      </w:pPr>
    </w:p>
    <w:p>
      <w:pPr>
        <w:ind w:right="340" w:firstLine="1141"/>
        <w:spacing w:after="0" w:line="264" w:lineRule="auto"/>
        <w:rPr>
          <w:sz w:val="20"/>
          <w:szCs w:val="20"/>
          <w:color w:val="auto"/>
        </w:rPr>
      </w:pPr>
      <w:r>
        <w:rPr>
          <w:rFonts w:ascii="Arial" w:cs="Arial" w:eastAsia="Arial" w:hAnsi="Arial"/>
          <w:sz w:val="18"/>
          <w:szCs w:val="18"/>
          <w:color w:val="auto"/>
        </w:rPr>
        <w:t>Royalty fee expense increased $0.4 million in the twelve weeks ended March 25, 2016 (from $13.0 million to $13.4 million) due to an increase in initial sales of our real estate inventory, which carry a higher royalty fee as compared to sales of pre-owned inventory (two percent versus one percent).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17" w:lineRule="exact"/>
        <w:rPr>
          <w:sz w:val="20"/>
          <w:szCs w:val="20"/>
          <w:color w:val="auto"/>
        </w:rPr>
      </w:pPr>
    </w:p>
    <w:p>
      <w:pPr>
        <w:ind w:right="20" w:firstLine="1141"/>
        <w:spacing w:after="0" w:line="259" w:lineRule="auto"/>
        <w:rPr>
          <w:sz w:val="20"/>
          <w:szCs w:val="20"/>
          <w:color w:val="auto"/>
        </w:rPr>
      </w:pPr>
      <w:r>
        <w:rPr>
          <w:rFonts w:ascii="Arial" w:cs="Arial" w:eastAsia="Arial" w:hAnsi="Arial"/>
          <w:sz w:val="18"/>
          <w:szCs w:val="18"/>
          <w:color w:val="auto"/>
        </w:rPr>
        <w:t>Interest expense decreased $1.0 million (from $3.0 million to $2.0 million) due to the decline in expense associated with our liability for the Marriott Rewards customer loyalty program under our Marriott Rewards Affiliation Agreement with Marriott International, Inc. (“Marriott International”). Due to the payoff of the liability associated with the Marriott Rewards customer loyalty program at the end of 2015, we will not incur further interest expense associated with this liability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17" w:lineRule="exact"/>
        <w:rPr>
          <w:sz w:val="20"/>
          <w:szCs w:val="20"/>
          <w:color w:val="auto"/>
        </w:rPr>
      </w:pPr>
    </w:p>
    <w:p>
      <w:pPr>
        <w:ind w:firstLine="1141"/>
        <w:spacing w:after="0" w:line="257" w:lineRule="auto"/>
        <w:rPr>
          <w:sz w:val="20"/>
          <w:szCs w:val="20"/>
          <w:color w:val="auto"/>
        </w:rPr>
      </w:pPr>
      <w:r>
        <w:rPr>
          <w:rFonts w:ascii="Arial" w:cs="Arial" w:eastAsia="Arial" w:hAnsi="Arial"/>
          <w:sz w:val="18"/>
          <w:szCs w:val="18"/>
          <w:color w:val="auto"/>
        </w:rPr>
        <w:t>During the first quarter of 2016, we incurred $2.3 million of costs associated with the acquisition of an operating property in the South Beach area of Miami Beach and the anticipated future acquisition of an operating property in New York, and $0.2 million of transaction related costs associated with the anticipated sale of the portion of the operating property located in Surfers Paradise, Australia that we do not intend to convert to timeshare. See Footnote No. 5, “Acquisitions and Dispositions” and Footnote No. 8, “Contingencies and Commitments,” to our Financial Statements for further information related to these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17" w:lineRule="exact"/>
        <w:rPr>
          <w:sz w:val="20"/>
          <w:szCs w:val="20"/>
          <w:color w:val="auto"/>
        </w:rPr>
      </w:pPr>
    </w:p>
    <w:p>
      <w:pPr>
        <w:ind w:right="400" w:firstLine="1141"/>
        <w:spacing w:after="0" w:line="277" w:lineRule="auto"/>
        <w:rPr>
          <w:sz w:val="20"/>
          <w:szCs w:val="20"/>
          <w:color w:val="auto"/>
        </w:rPr>
      </w:pPr>
      <w:r>
        <w:rPr>
          <w:rFonts w:ascii="Arial" w:cs="Arial" w:eastAsia="Arial" w:hAnsi="Arial"/>
          <w:sz w:val="18"/>
          <w:szCs w:val="18"/>
          <w:color w:val="auto"/>
        </w:rPr>
        <w:t>Our provision for income taxes decreased $7.5 million (from $23.3 million to $15.8 million) from the prior year comparable period. The decrease was primarily due to a decline in U.S. income in the twelve weeks ended March 25, 2016.</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right="100" w:firstLine="1141"/>
        <w:spacing w:after="0" w:line="257" w:lineRule="auto"/>
        <w:rPr>
          <w:sz w:val="20"/>
          <w:szCs w:val="20"/>
          <w:color w:val="auto"/>
        </w:rPr>
      </w:pPr>
      <w:r>
        <w:rPr>
          <w:rFonts w:ascii="Arial" w:cs="Arial" w:eastAsia="Arial" w:hAnsi="Arial"/>
          <w:sz w:val="18"/>
          <w:szCs w:val="18"/>
          <w:color w:val="auto"/>
        </w:rPr>
        <w:t>EBITDA, a financial measure that is not prescribed or authorized by GAAP, is defined as earnings, or net income, before interest expense (excluding consumer financing interest expense), provision for income taxes, depreciation and amortization. For purposes of our EBITDA calculation, we do not adjust for consumer financing interest expense because the associated debt is secured by vacation ownership notes receivable that have been sold to bankruptcy remote special purpose entities and is generally non-recourse to us. Further, we consider consumer financing interest expense to be an operating expense of our business.</w:t>
      </w:r>
    </w:p>
    <w:p>
      <w:pPr>
        <w:spacing w:after="0" w:line="80" w:lineRule="exact"/>
        <w:rPr>
          <w:sz w:val="20"/>
          <w:szCs w:val="20"/>
          <w:color w:val="auto"/>
        </w:rPr>
      </w:pPr>
    </w:p>
    <w:p>
      <w:pPr>
        <w:ind w:right="120" w:firstLine="1141"/>
        <w:spacing w:after="0" w:line="253" w:lineRule="auto"/>
        <w:rPr>
          <w:sz w:val="20"/>
          <w:szCs w:val="20"/>
          <w:color w:val="auto"/>
        </w:rPr>
      </w:pPr>
      <w:r>
        <w:rPr>
          <w:rFonts w:ascii="Arial" w:cs="Arial" w:eastAsia="Arial" w:hAnsi="Arial"/>
          <w:sz w:val="18"/>
          <w:szCs w:val="18"/>
          <w:color w:val="auto"/>
        </w:rPr>
        <w:t>We consider EBITDA to be an indicator of operating performance, and we use it to measure our ability to service debt, fund capital expenditures and expand our business. We also use it,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89" w:lineRule="exact"/>
        <w:rPr>
          <w:sz w:val="20"/>
          <w:szCs w:val="20"/>
          <w:color w:val="auto"/>
        </w:rPr>
      </w:pPr>
    </w:p>
    <w:p>
      <w:pPr>
        <w:ind w:firstLine="1141"/>
        <w:spacing w:after="0" w:line="255" w:lineRule="auto"/>
        <w:rPr>
          <w:sz w:val="20"/>
          <w:szCs w:val="20"/>
          <w:color w:val="auto"/>
        </w:rPr>
      </w:pPr>
      <w:r>
        <w:rPr>
          <w:rFonts w:ascii="Arial" w:cs="Arial" w:eastAsia="Arial" w:hAnsi="Arial"/>
          <w:sz w:val="18"/>
          <w:szCs w:val="18"/>
          <w:color w:val="auto"/>
        </w:rPr>
        <w:t>We also evaluate “Adjusted EBITDA”, which is EBITDA as defined above, with additional adjustments for certain items described below, such as acquisition-related costs, organizational and separation related costs and gain from the sale of excess inventory, and which excludes non-cash share-based compensation expense to address considerable variability among companies in recording compensation expense because companies use share-based payment awards differently, both in the type and quantity of awards granted. We evaluate Adjusted EBITDA as an indicator of operating performance because it allows for period-over-period comparisons of our on-going core operations before the impact of the excluded items. Together, EBITDA and Adjusted EBITDA facilitate our comparison of results from our on-going core operations before the impact of these items with results from other vacation ownership companies.</w:t>
      </w:r>
    </w:p>
    <w:p>
      <w:pPr>
        <w:spacing w:after="0" w:line="81" w:lineRule="exact"/>
        <w:rPr>
          <w:sz w:val="20"/>
          <w:szCs w:val="20"/>
          <w:color w:val="auto"/>
        </w:rPr>
      </w:pPr>
    </w:p>
    <w:p>
      <w:pPr>
        <w:ind w:right="80" w:firstLine="1141"/>
        <w:spacing w:after="0" w:line="279" w:lineRule="auto"/>
        <w:rPr>
          <w:sz w:val="20"/>
          <w:szCs w:val="20"/>
          <w:color w:val="auto"/>
        </w:rPr>
      </w:pPr>
      <w:r>
        <w:rPr>
          <w:rFonts w:ascii="Arial" w:cs="Arial" w:eastAsia="Arial" w:hAnsi="Arial"/>
          <w:sz w:val="17"/>
          <w:szCs w:val="17"/>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which is the most directly comparable GAAP financial measure.</w:t>
      </w:r>
    </w:p>
    <w:p>
      <w:pPr>
        <w:spacing w:after="0" w:line="6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9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4"/>
                <w:szCs w:val="14"/>
                <w:color w:val="auto"/>
              </w:rPr>
            </w:pPr>
          </w:p>
        </w:tc>
        <w:tc>
          <w:tcPr>
            <w:tcW w:w="3520" w:type="dxa"/>
            <w:vAlign w:val="bottom"/>
            <w:gridSpan w:val="5"/>
          </w:tcPr>
          <w:p>
            <w:pPr>
              <w:ind w:left="98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8"/>
              </w:rPr>
              <w:t>March 25, 2016</w:t>
            </w:r>
          </w:p>
        </w:tc>
        <w:tc>
          <w:tcPr>
            <w:tcW w:w="8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8"/>
              </w:rPr>
              <w:t>March 27, 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24,408</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1,982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15,757</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5,125</w:t>
            </w:r>
          </w:p>
        </w:tc>
        <w:tc>
          <w:tcPr>
            <w:tcW w:w="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EBITDA</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47,272</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64,382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18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2,524</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2,643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Certain items</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1,795</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90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51,591</w:t>
            </w:r>
          </w:p>
        </w:tc>
        <w:tc>
          <w:tcPr>
            <w:tcW w:w="8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1141"/>
        <w:spacing w:after="0" w:line="264" w:lineRule="auto"/>
        <w:rPr>
          <w:sz w:val="20"/>
          <w:szCs w:val="20"/>
          <w:color w:val="auto"/>
        </w:rPr>
      </w:pPr>
      <w:r>
        <w:rPr>
          <w:rFonts w:ascii="Arial" w:cs="Arial" w:eastAsia="Arial" w:hAnsi="Arial"/>
          <w:sz w:val="18"/>
          <w:szCs w:val="18"/>
          <w:color w:val="auto"/>
        </w:rPr>
        <w:t>The certain items for the twelve weeks ended March 25, 2016 consisted of $2.6 million of transaction costs associated with acquisitions, $0.5 million in profit from the operations of the property we acquired in Australia in 2015 that we intend to sell and a $0.3 million reversal of litigation expense. These exclusions increased EBITDA by $1.8 million.</w:t>
      </w:r>
    </w:p>
    <w:p>
      <w:pPr>
        <w:spacing w:after="0" w:line="73" w:lineRule="exact"/>
        <w:rPr>
          <w:sz w:val="20"/>
          <w:szCs w:val="20"/>
          <w:color w:val="auto"/>
        </w:rPr>
      </w:pPr>
    </w:p>
    <w:p>
      <w:pPr>
        <w:ind w:right="100" w:firstLine="1141"/>
        <w:spacing w:after="0" w:line="259" w:lineRule="auto"/>
        <w:rPr>
          <w:sz w:val="20"/>
          <w:szCs w:val="20"/>
          <w:color w:val="auto"/>
        </w:rPr>
      </w:pPr>
      <w:r>
        <w:rPr>
          <w:rFonts w:ascii="Arial" w:cs="Arial" w:eastAsia="Arial" w:hAnsi="Arial"/>
          <w:sz w:val="18"/>
          <w:szCs w:val="18"/>
          <w:color w:val="auto"/>
        </w:rPr>
        <w:t>The certain items for the twelve weeks ended March 27, 2015 consisted of $5.9 million of development profit from the disposition of units in Macau as whole ownership residential units rather than through our Marriott Vacation Club, Asia Pacific points program, a $0.9 million gain associated with the sale of a golf course and adjacent undeveloped land, and a $0.3 million reversal of litigation expense, and $0.2 million of organizational and separation related costs. These exclusions decreased EBITDA by $6.9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260" w:firstLine="1141"/>
        <w:spacing w:after="0" w:line="277" w:lineRule="auto"/>
        <w:rPr>
          <w:sz w:val="20"/>
          <w:szCs w:val="20"/>
          <w:color w:val="auto"/>
        </w:rPr>
      </w:pPr>
      <w:r>
        <w:rPr>
          <w:rFonts w:ascii="Arial" w:cs="Arial" w:eastAsia="Arial" w:hAnsi="Arial"/>
          <w:sz w:val="18"/>
          <w:szCs w:val="18"/>
          <w:color w:val="auto"/>
        </w:rPr>
        <w:t>Our business is grouped into three reportable business segments: North America, Europe and Asia Pacific. See Footnote No. 14, “Business Segments,” to our Financial Statements for further information on our segments.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17" w:lineRule="exact"/>
        <w:rPr>
          <w:sz w:val="20"/>
          <w:szCs w:val="20"/>
          <w:color w:val="auto"/>
        </w:rPr>
      </w:pPr>
    </w:p>
    <w:p>
      <w:pPr>
        <w:ind w:right="140" w:firstLine="1141"/>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North America segment for the twelve weeks ended March 25, 2016, compared to the twelve weeks ended March 27, 2015.</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520" w:type="dxa"/>
            <w:vAlign w:val="bottom"/>
            <w:gridSpan w:val="3"/>
            <w:vMerge w:val="restart"/>
          </w:tcPr>
          <w:p>
            <w:pPr>
              <w:ind w:left="1380"/>
              <w:spacing w:after="0"/>
              <w:rPr>
                <w:sz w:val="20"/>
                <w:szCs w:val="20"/>
                <w:color w:val="auto"/>
              </w:rPr>
            </w:pPr>
            <w:r>
              <w:rPr>
                <w:rFonts w:ascii="Arial" w:cs="Arial" w:eastAsia="Arial" w:hAnsi="Arial"/>
                <w:sz w:val="14"/>
                <w:szCs w:val="14"/>
                <w:b w:val="1"/>
                <w:bCs w:val="1"/>
                <w:i w:val="1"/>
                <w:iCs w:val="1"/>
                <w:color w:val="auto"/>
              </w:rPr>
              <w:t>($ in thousands)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w w:val="90"/>
              </w:rPr>
              <w:t>Twelve Weeks Ended</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5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March 25, 2016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5"/>
          </w:tcPr>
          <w:p>
            <w:pPr>
              <w:jc w:val="right"/>
              <w:ind w:right="211"/>
              <w:spacing w:after="0" w:line="142" w:lineRule="exact"/>
              <w:rPr>
                <w:sz w:val="20"/>
                <w:szCs w:val="20"/>
                <w:color w:val="auto"/>
              </w:rPr>
            </w:pPr>
            <w:r>
              <w:rPr>
                <w:rFonts w:ascii="Arial" w:cs="Arial" w:eastAsia="Arial" w:hAnsi="Arial"/>
                <w:sz w:val="14"/>
                <w:szCs w:val="14"/>
                <w:b w:val="1"/>
                <w:bCs w:val="1"/>
                <w:color w:val="auto"/>
              </w:rPr>
              <w:t>March 27, 2015</w:t>
            </w:r>
          </w:p>
        </w:tc>
        <w:tc>
          <w:tcPr>
            <w:tcW w:w="3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gridSpan w:val="2"/>
          </w:tcPr>
          <w:p>
            <w:pPr>
              <w:ind w:left="360"/>
              <w:spacing w:after="0"/>
              <w:rPr>
                <w:sz w:val="20"/>
                <w:szCs w:val="20"/>
                <w:color w:val="auto"/>
              </w:rPr>
            </w:pPr>
            <w:r>
              <w:rPr>
                <w:rFonts w:ascii="Arial" w:cs="Arial" w:eastAsia="Arial" w:hAnsi="Arial"/>
                <w:sz w:val="18"/>
                <w:szCs w:val="18"/>
                <w:color w:val="auto"/>
                <w:w w:val="95"/>
              </w:rPr>
              <w:t>Sale of vacation ownership products</w:t>
            </w:r>
          </w:p>
        </w:tc>
        <w:tc>
          <w:tcPr>
            <w:tcW w:w="16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124,684</w:t>
            </w:r>
          </w:p>
        </w:tc>
        <w:tc>
          <w:tcPr>
            <w:tcW w:w="680" w:type="dxa"/>
            <w:vAlign w:val="bottom"/>
            <w:gridSpan w:val="3"/>
          </w:tcPr>
          <w:p>
            <w:pPr>
              <w:jc w:val="right"/>
              <w:ind w:right="2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141,728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7"/>
              </w:rPr>
              <w:t>Resort management and other services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58,575</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gridSpan w:val="2"/>
          </w:tcPr>
          <w:p>
            <w:pPr>
              <w:ind w:left="360"/>
              <w:spacing w:after="0"/>
              <w:rPr>
                <w:sz w:val="20"/>
                <w:szCs w:val="20"/>
                <w:color w:val="auto"/>
              </w:rPr>
            </w:pPr>
            <w:r>
              <w:rPr>
                <w:rFonts w:ascii="Arial" w:cs="Arial" w:eastAsia="Arial" w:hAnsi="Arial"/>
                <w:sz w:val="18"/>
                <w:szCs w:val="18"/>
                <w:color w:val="auto"/>
              </w:rPr>
              <w:t>Financing</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27,056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71,715</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140" w:type="dxa"/>
            <w:vAlign w:val="bottom"/>
            <w:gridSpan w:val="2"/>
          </w:tcPr>
          <w:p>
            <w:pPr>
              <w:ind w:left="360"/>
              <w:spacing w:after="0"/>
              <w:rPr>
                <w:sz w:val="20"/>
                <w:szCs w:val="20"/>
                <w:color w:val="auto"/>
              </w:rPr>
            </w:pPr>
            <w:r>
              <w:rPr>
                <w:rFonts w:ascii="Arial" w:cs="Arial" w:eastAsia="Arial" w:hAnsi="Arial"/>
                <w:sz w:val="18"/>
                <w:szCs w:val="18"/>
                <w:color w:val="auto"/>
              </w:rPr>
              <w:t>Cost reimbursements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99,182</w:t>
            </w:r>
          </w:p>
        </w:tc>
        <w:tc>
          <w:tcPr>
            <w:tcW w:w="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92,854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385,447</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391,928</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520" w:type="dxa"/>
            <w:vAlign w:val="bottom"/>
            <w:gridSpan w:val="3"/>
          </w:tcPr>
          <w:p>
            <w:pPr>
              <w:ind w:left="1380"/>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5"/>
              </w:rPr>
              <w:t>Cost of vacation ownership products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40,501</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gridSpan w:val="2"/>
          </w:tcPr>
          <w:p>
            <w:pPr>
              <w:ind w:left="360"/>
              <w:spacing w:after="0"/>
              <w:rPr>
                <w:sz w:val="20"/>
                <w:szCs w:val="20"/>
                <w:color w:val="auto"/>
              </w:rPr>
            </w:pPr>
            <w:r>
              <w:rPr>
                <w:rFonts w:ascii="Arial" w:cs="Arial" w:eastAsia="Arial" w:hAnsi="Arial"/>
                <w:sz w:val="18"/>
                <w:szCs w:val="18"/>
                <w:color w:val="auto"/>
              </w:rPr>
              <w:t>Marketing and sales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69,017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7"/>
              </w:rPr>
              <w:t>Resort management and other services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36,968</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gridSpan w:val="2"/>
          </w:tcPr>
          <w:p>
            <w:pPr>
              <w:ind w:left="36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55,956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54,611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Reversal of litigation expense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gridSpan w:val="2"/>
          </w:tcPr>
          <w:p>
            <w:pPr>
              <w:ind w:left="360"/>
              <w:spacing w:after="0"/>
              <w:rPr>
                <w:sz w:val="20"/>
                <w:szCs w:val="20"/>
                <w:color w:val="auto"/>
              </w:rPr>
            </w:pPr>
            <w:r>
              <w:rPr>
                <w:rFonts w:ascii="Arial" w:cs="Arial" w:eastAsia="Arial" w:hAnsi="Arial"/>
                <w:sz w:val="18"/>
                <w:szCs w:val="18"/>
                <w:color w:val="auto"/>
                <w:w w:val="91"/>
              </w:rPr>
              <w:t>Organizational and separation related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140" w:type="dxa"/>
            <w:vAlign w:val="bottom"/>
            <w:gridSpan w:val="2"/>
          </w:tcPr>
          <w:p>
            <w:pPr>
              <w:ind w:left="360"/>
              <w:spacing w:after="0"/>
              <w:rPr>
                <w:sz w:val="20"/>
                <w:szCs w:val="20"/>
                <w:color w:val="auto"/>
              </w:rPr>
            </w:pPr>
            <w:r>
              <w:rPr>
                <w:rFonts w:ascii="Arial" w:cs="Arial" w:eastAsia="Arial" w:hAnsi="Arial"/>
                <w:sz w:val="18"/>
                <w:szCs w:val="18"/>
                <w:color w:val="auto"/>
              </w:rPr>
              <w:t>Cost reimbursements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99,182</w:t>
            </w:r>
          </w:p>
        </w:tc>
        <w:tc>
          <w:tcPr>
            <w:tcW w:w="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92,854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293,650</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295,088</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140" w:type="dxa"/>
            <w:vAlign w:val="bottom"/>
            <w:gridSpan w:val="2"/>
          </w:tcPr>
          <w:p>
            <w:pPr>
              <w:ind w:left="360"/>
              <w:spacing w:after="0"/>
              <w:rPr>
                <w:sz w:val="20"/>
                <w:szCs w:val="20"/>
                <w:color w:val="auto"/>
              </w:rPr>
            </w:pPr>
            <w:r>
              <w:rPr>
                <w:rFonts w:ascii="Arial" w:cs="Arial" w:eastAsia="Arial" w:hAnsi="Arial"/>
                <w:sz w:val="18"/>
                <w:szCs w:val="18"/>
                <w:color w:val="auto"/>
              </w:rPr>
              <w:t>Gains and other income</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140" w:type="dxa"/>
            <w:vAlign w:val="bottom"/>
            <w:gridSpan w:val="2"/>
          </w:tcPr>
          <w:p>
            <w:pPr>
              <w:ind w:left="720"/>
              <w:spacing w:after="0"/>
              <w:rPr>
                <w:sz w:val="20"/>
                <w:szCs w:val="20"/>
                <w:color w:val="auto"/>
              </w:rPr>
            </w:pPr>
            <w:r>
              <w:rPr>
                <w:rFonts w:ascii="Arial" w:cs="Arial" w:eastAsia="Arial" w:hAnsi="Arial"/>
                <w:sz w:val="18"/>
                <w:szCs w:val="18"/>
                <w:color w:val="auto"/>
              </w:rPr>
              <w:t>Segment financial results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89,524</w:t>
            </w:r>
          </w:p>
        </w:tc>
        <w:tc>
          <w:tcPr>
            <w:tcW w:w="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97,736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8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4520" w:type="dxa"/>
            <w:vAlign w:val="bottom"/>
            <w:gridSpan w:val="3"/>
          </w:tcPr>
          <w:p>
            <w:pPr>
              <w:ind w:left="680"/>
              <w:spacing w:after="0"/>
              <w:rPr>
                <w:sz w:val="20"/>
                <w:szCs w:val="20"/>
                <w:color w:val="auto"/>
              </w:rPr>
            </w:pPr>
            <w:r>
              <w:rPr>
                <w:rFonts w:ascii="Arial" w:cs="Arial" w:eastAsia="Arial" w:hAnsi="Arial"/>
                <w:sz w:val="18"/>
                <w:szCs w:val="18"/>
                <w:i w:val="1"/>
                <w:iCs w:val="1"/>
                <w:color w:val="auto"/>
              </w:rPr>
              <w:t>Twelve Weeks Ended March 25, 2016</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3"/>
            <w:vMerge w:val="restart"/>
          </w:tcPr>
          <w:p>
            <w:pPr>
              <w:ind w:left="460"/>
              <w:spacing w:after="0"/>
              <w:rPr>
                <w:sz w:val="20"/>
                <w:szCs w:val="20"/>
                <w:color w:val="auto"/>
              </w:rPr>
            </w:pPr>
            <w:r>
              <w:rPr>
                <w:rFonts w:ascii="Arial" w:cs="Arial" w:eastAsia="Arial" w:hAnsi="Arial"/>
                <w:sz w:val="14"/>
                <w:szCs w:val="14"/>
                <w:b w:val="1"/>
                <w:bCs w:val="1"/>
                <w:i w:val="1"/>
                <w:iCs w:val="1"/>
                <w:color w:val="auto"/>
              </w:rPr>
              <w:t>($ in thousands)</w:t>
            </w: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Twelve Weeks Ended</w:t>
            </w: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23"/>
                <w:szCs w:val="23"/>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4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March 25, 2016</w:t>
            </w:r>
          </w:p>
        </w:tc>
        <w:tc>
          <w:tcPr>
            <w:tcW w:w="1780" w:type="dxa"/>
            <w:vAlign w:val="bottom"/>
            <w:gridSpan w:val="4"/>
          </w:tcPr>
          <w:p>
            <w:pPr>
              <w:jc w:val="right"/>
              <w:ind w:right="339"/>
              <w:spacing w:after="0" w:line="142" w:lineRule="exact"/>
              <w:rPr>
                <w:sz w:val="20"/>
                <w:szCs w:val="20"/>
                <w:color w:val="auto"/>
              </w:rPr>
            </w:pPr>
            <w:r>
              <w:rPr>
                <w:rFonts w:ascii="Arial" w:cs="Arial" w:eastAsia="Arial" w:hAnsi="Arial"/>
                <w:sz w:val="14"/>
                <w:szCs w:val="14"/>
                <w:b w:val="1"/>
                <w:bCs w:val="1"/>
                <w:color w:val="auto"/>
              </w:rPr>
              <w:t>March 27, 2015</w:t>
            </w:r>
          </w:p>
        </w:tc>
        <w:tc>
          <w:tcPr>
            <w:tcW w:w="2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440" w:type="dxa"/>
            <w:vAlign w:val="bottom"/>
            <w:gridSpan w:val="2"/>
          </w:tcPr>
          <w:p>
            <w:pPr>
              <w:ind w:left="360"/>
              <w:spacing w:after="0"/>
              <w:rPr>
                <w:sz w:val="20"/>
                <w:szCs w:val="20"/>
                <w:color w:val="auto"/>
              </w:rPr>
            </w:pPr>
            <w:r>
              <w:rPr>
                <w:rFonts w:ascii="Arial" w:cs="Arial" w:eastAsia="Arial" w:hAnsi="Arial"/>
                <w:sz w:val="18"/>
                <w:szCs w:val="18"/>
                <w:color w:val="auto"/>
              </w:rPr>
              <w:t>Vacation ownership</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139,650</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color w:val="auto"/>
                <w:w w:val="86"/>
              </w:rPr>
              <w:t>155,993</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(16,343)</w:t>
            </w:r>
          </w:p>
        </w:tc>
        <w:tc>
          <w:tcPr>
            <w:tcW w:w="108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86"/>
              </w:rPr>
              <w:t>155,993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(16,343)</w:t>
            </w:r>
          </w:p>
        </w:tc>
        <w:tc>
          <w:tcPr>
            <w:tcW w:w="10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1141"/>
        <w:spacing w:after="0" w:line="264" w:lineRule="auto"/>
        <w:rPr>
          <w:sz w:val="20"/>
          <w:szCs w:val="20"/>
          <w:color w:val="auto"/>
        </w:rPr>
      </w:pPr>
      <w:r>
        <w:rPr>
          <w:rFonts w:ascii="Arial" w:cs="Arial" w:eastAsia="Arial" w:hAnsi="Arial"/>
          <w:sz w:val="18"/>
          <w:szCs w:val="18"/>
          <w:color w:val="auto"/>
        </w:rPr>
        <w:t>The decrease in North America vacation ownership contract sales reflected a $12.0 million decrease in sales at on-site sales locations, a $2.8 million decrease in sales at off-site (non tour-based) sales locations and a $1.5 million decrease in fractional sales as we continue to sell through remaining luxury inventory.</w:t>
      </w:r>
    </w:p>
    <w:p>
      <w:pPr>
        <w:spacing w:after="0" w:line="73" w:lineRule="exact"/>
        <w:rPr>
          <w:sz w:val="20"/>
          <w:szCs w:val="20"/>
          <w:color w:val="auto"/>
        </w:rPr>
      </w:pPr>
    </w:p>
    <w:p>
      <w:pPr>
        <w:ind w:firstLine="1141"/>
        <w:spacing w:after="0" w:line="289" w:lineRule="auto"/>
        <w:rPr>
          <w:sz w:val="20"/>
          <w:szCs w:val="20"/>
          <w:color w:val="auto"/>
        </w:rPr>
      </w:pPr>
      <w:r>
        <w:rPr>
          <w:rFonts w:ascii="Arial" w:cs="Arial" w:eastAsia="Arial" w:hAnsi="Arial"/>
          <w:sz w:val="16"/>
          <w:szCs w:val="16"/>
          <w:color w:val="auto"/>
        </w:rPr>
        <w:t>The decrease in sales at North America on-site locations is primarily driven by an increase in sales in the prior year comparable period as a result of enhancements during that period to our owner recognition levels that created a near-term incentive for existing owners to purchase additional points at that time. The decrease in sales at on-site sales locations reflected a 4.0 percent decrease in the number of tours and a 3.9 percent decrease in VPG to $3,496 in the twelve weeks ended March 25, 2016 from $3,640 in the prior year comparable period. The decrease in VPG resulted from a 2.0 percentage point decrease in closing efficiency, partially offset by an increase in the number of points sold per contract due to a shift in the mix of sales towards more first time buyers who, on average, purchase more points per contract than existing owners, and higher pricing. The decrease in the number of tours was driven by fewer existing owner tours, which was also due to enhancements in the prior period to our owner recognition levels that created a near-term incentive for existing owners to take a tour in the prior year comparable period. The sales at North America off-site locations were negatively impacted in part by the strength of the U.S. dollar, primarily in Latin America, a trend that has been impacting our results since the third quarter of 2015.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4"/>
          </w:tcPr>
          <w:p>
            <w:pPr>
              <w:jc w:val="right"/>
              <w:ind w:right="1133"/>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March 25, 2016</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March 27, 2015</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139,650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155,993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(16,343)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3,532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(7,406)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(6,334)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(1,072)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3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(3,161)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124,684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141,728</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(17,044)</w:t>
            </w:r>
          </w:p>
        </w:tc>
        <w:tc>
          <w:tcPr>
            <w:tcW w:w="112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9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60" w:firstLine="1141"/>
        <w:spacing w:after="0" w:line="257" w:lineRule="auto"/>
        <w:rPr>
          <w:sz w:val="20"/>
          <w:szCs w:val="20"/>
          <w:color w:val="auto"/>
        </w:rPr>
      </w:pPr>
      <w:r>
        <w:rPr>
          <w:rFonts w:ascii="Arial" w:cs="Arial" w:eastAsia="Arial" w:hAnsi="Arial"/>
          <w:sz w:val="18"/>
          <w:szCs w:val="18"/>
          <w:color w:val="auto"/>
        </w:rPr>
        <w:t>Revenue reportability improved due to fewer sales being in the rescission period as of the end of the current period and an increase in the amount of sales meeting the down payment requirement for revenue reportability prior to the end of the current period. The increase in the amount of sales meeting the down payment requirement for revenue reportability was due to an increase in the down payment requirements compared to the prior year comparable period. The increase in down payment requirements occurred while achieving a 15.4 percentage point increase in financing propensity in the first quarter of 2016 compared to the prior year comparable period.</w:t>
      </w:r>
    </w:p>
    <w:p>
      <w:pPr>
        <w:spacing w:after="0" w:line="80" w:lineRule="exact"/>
        <w:rPr>
          <w:sz w:val="20"/>
          <w:szCs w:val="20"/>
          <w:color w:val="auto"/>
        </w:rPr>
      </w:pPr>
    </w:p>
    <w:p>
      <w:pPr>
        <w:ind w:right="500" w:firstLine="1141"/>
        <w:spacing w:after="0" w:line="277" w:lineRule="auto"/>
        <w:rPr>
          <w:sz w:val="20"/>
          <w:szCs w:val="20"/>
          <w:color w:val="auto"/>
        </w:rPr>
      </w:pPr>
      <w:r>
        <w:rPr>
          <w:rFonts w:ascii="Arial" w:cs="Arial" w:eastAsia="Arial" w:hAnsi="Arial"/>
          <w:sz w:val="18"/>
          <w:szCs w:val="18"/>
          <w:color w:val="auto"/>
        </w:rPr>
        <w:t>The higher sales reserve reflects an increase in the rate due to the increase in financing propensity, partially offset by the lower vacation ownership contract sales volume.</w:t>
      </w:r>
    </w:p>
    <w:p>
      <w:pPr>
        <w:spacing w:after="0" w:line="62" w:lineRule="exact"/>
        <w:rPr>
          <w:sz w:val="20"/>
          <w:szCs w:val="20"/>
          <w:color w:val="auto"/>
        </w:rPr>
      </w:pPr>
    </w:p>
    <w:p>
      <w:pPr>
        <w:ind w:right="120" w:firstLine="1141"/>
        <w:spacing w:after="0" w:line="277" w:lineRule="auto"/>
        <w:rPr>
          <w:sz w:val="20"/>
          <w:szCs w:val="20"/>
          <w:color w:val="auto"/>
        </w:rPr>
      </w:pPr>
      <w:r>
        <w:rPr>
          <w:rFonts w:ascii="Arial" w:cs="Arial" w:eastAsia="Arial" w:hAnsi="Arial"/>
          <w:sz w:val="18"/>
          <w:szCs w:val="18"/>
          <w:color w:val="auto"/>
        </w:rPr>
        <w:t>The increase in other adjustments for sales incentives that will not be recognized as sale of vacation ownership products revenue is driven by an increase in the utilization of plus points as a sales incentive in our North America segment in the first quarter of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4"/>
          </w:tcPr>
          <w:p>
            <w:pPr>
              <w:jc w:val="right"/>
              <w:ind w:right="1253"/>
              <w:spacing w:after="0"/>
              <w:rPr>
                <w:sz w:val="20"/>
                <w:szCs w:val="20"/>
                <w:color w:val="auto"/>
              </w:rPr>
            </w:pPr>
            <w:r>
              <w:rPr>
                <w:rFonts w:ascii="Arial" w:cs="Arial" w:eastAsia="Arial" w:hAnsi="Arial"/>
                <w:sz w:val="14"/>
                <w:szCs w:val="14"/>
                <w:b w:val="1"/>
                <w:bCs w:val="1"/>
                <w:color w:val="auto"/>
              </w:rPr>
              <w:t>Twelve Weeks Ended</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March 25, 2016</w:t>
            </w: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March 27, 2015</w:t>
            </w:r>
          </w:p>
        </w:tc>
        <w:tc>
          <w:tcPr>
            <w:tcW w:w="3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124,684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141,728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(17,044)</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(30,662)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(40,501)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9,839</w:t>
            </w:r>
          </w:p>
        </w:tc>
        <w:tc>
          <w:tcPr>
            <w:tcW w:w="1300" w:type="dxa"/>
            <w:vAlign w:val="bottom"/>
            <w:gridSpan w:val="2"/>
          </w:tcPr>
          <w:p>
            <w:pPr>
              <w:jc w:val="center"/>
              <w:ind w:left="270"/>
              <w:spacing w:after="0"/>
              <w:rPr>
                <w:sz w:val="20"/>
                <w:szCs w:val="20"/>
                <w:color w:val="auto"/>
              </w:rPr>
            </w:pPr>
            <w:r>
              <w:rPr>
                <w:rFonts w:ascii="Arial" w:cs="Arial" w:eastAsia="Arial" w:hAnsi="Arial"/>
                <w:sz w:val="18"/>
                <w:szCs w:val="18"/>
                <w:color w:val="auto"/>
                <w:w w:val="94"/>
              </w:rPr>
              <w:t>24%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3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(68,315)</w:t>
            </w:r>
          </w:p>
        </w:tc>
        <w:tc>
          <w:tcPr>
            <w:tcW w:w="3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(69,017)</w:t>
            </w:r>
          </w:p>
        </w:tc>
        <w:tc>
          <w:tcPr>
            <w:tcW w:w="3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702</w:t>
            </w:r>
          </w:p>
        </w:tc>
        <w:tc>
          <w:tcPr>
            <w:tcW w:w="130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Development margin</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25,707</w:t>
            </w:r>
          </w:p>
        </w:tc>
        <w:tc>
          <w:tcPr>
            <w:tcW w:w="340" w:type="dxa"/>
            <w:vAlign w:val="bottom"/>
          </w:tcPr>
          <w:p>
            <w:pPr>
              <w:spacing w:after="0"/>
              <w:rPr>
                <w:sz w:val="19"/>
                <w:szCs w:val="19"/>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32,210</w:t>
            </w:r>
          </w:p>
        </w:tc>
        <w:tc>
          <w:tcPr>
            <w:tcW w:w="34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(6,503)</w:t>
            </w:r>
          </w:p>
        </w:tc>
        <w:tc>
          <w:tcPr>
            <w:tcW w:w="1300" w:type="dxa"/>
            <w:vAlign w:val="bottom"/>
            <w:gridSpan w:val="2"/>
          </w:tcPr>
          <w:p>
            <w:pPr>
              <w:jc w:val="center"/>
              <w:ind w:left="270"/>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pts)</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31" w:lineRule="exact"/>
        <w:rPr>
          <w:sz w:val="20"/>
          <w:szCs w:val="20"/>
          <w:color w:val="auto"/>
        </w:rPr>
      </w:pPr>
    </w:p>
    <w:p>
      <w:pPr>
        <w:ind w:left="2280" w:right="60" w:hanging="449"/>
        <w:spacing w:after="0" w:line="293" w:lineRule="auto"/>
        <w:tabs>
          <w:tab w:leader="none" w:pos="2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$9.9 million from lower vacation ownership contract sales volume net of direct variable expenses (i.e., cost of vacation ownership products and marketing and sales), including $7.1 million from lower vacation ownership contract sales, $2.8 million from higher marketing and sales costs due to investment in new programs to help generate future incremental tour volumes, and $2.3 million from higher usage of plus points as a sales incentive which resulted in more revenue being deferred that will be recognized as rental revenue when those points are redeemed for rental stays at one of our resorts or upon expiration of the points, partially offset by $2.3 million from a favorable mix of lower cost real estate inventory being sold;</w:t>
      </w:r>
    </w:p>
    <w:p>
      <w:pPr>
        <w:spacing w:after="0" w:line="70" w:lineRule="exact"/>
        <w:rPr>
          <w:rFonts w:ascii="Arial" w:cs="Arial" w:eastAsia="Arial" w:hAnsi="Arial"/>
          <w:sz w:val="16"/>
          <w:szCs w:val="16"/>
          <w:color w:val="auto"/>
        </w:rPr>
      </w:pPr>
    </w:p>
    <w:p>
      <w:pPr>
        <w:ind w:left="2280" w:hanging="449"/>
        <w:spacing w:after="0"/>
        <w:tabs>
          <w:tab w:leader="none" w:pos="2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$1.2 million from higher sales reserve activity in the current period due to the increase in financing propensity; and</w:t>
      </w:r>
    </w:p>
    <w:p>
      <w:pPr>
        <w:spacing w:after="0" w:line="130" w:lineRule="exact"/>
        <w:rPr>
          <w:rFonts w:ascii="Arial" w:cs="Arial" w:eastAsia="Arial" w:hAnsi="Arial"/>
          <w:sz w:val="18"/>
          <w:szCs w:val="18"/>
          <w:color w:val="auto"/>
        </w:rPr>
      </w:pPr>
    </w:p>
    <w:p>
      <w:pPr>
        <w:ind w:left="2280" w:hanging="449"/>
        <w:spacing w:after="0"/>
        <w:tabs>
          <w:tab w:leader="none" w:pos="2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$0.3 million of pre-opening and startup expenses incurred for new sales locations scheduled to open later in 2016.</w:t>
      </w:r>
    </w:p>
    <w:p>
      <w:pPr>
        <w:spacing w:after="0" w:line="117" w:lineRule="exact"/>
        <w:rPr>
          <w:sz w:val="20"/>
          <w:szCs w:val="20"/>
          <w:color w:val="auto"/>
        </w:rPr>
      </w:pPr>
    </w:p>
    <w:p>
      <w:pPr>
        <w:jc w:val="both"/>
        <w:ind w:right="340" w:firstLine="1141"/>
        <w:spacing w:after="0" w:line="264" w:lineRule="auto"/>
        <w:rPr>
          <w:sz w:val="20"/>
          <w:szCs w:val="20"/>
          <w:color w:val="auto"/>
        </w:rPr>
      </w:pPr>
      <w:r>
        <w:rPr>
          <w:rFonts w:ascii="Arial" w:cs="Arial" w:eastAsia="Arial" w:hAnsi="Arial"/>
          <w:sz w:val="18"/>
          <w:szCs w:val="18"/>
          <w:color w:val="auto"/>
        </w:rPr>
        <w:t>These decreases were partially offset by $2.3 million from higher favorable product cost true-ups ($3.3 million in the twelve weeks ended March 25, 2016 compared to $1.0 million in the prior year comparable period), $2.2 million from higher revenue reportability compared to the prior year comparable period and $0.4 million from lower other development expenses.</w:t>
      </w:r>
    </w:p>
    <w:p>
      <w:pPr>
        <w:spacing w:after="0" w:line="73" w:lineRule="exact"/>
        <w:rPr>
          <w:sz w:val="20"/>
          <w:szCs w:val="20"/>
          <w:color w:val="auto"/>
        </w:rPr>
      </w:pPr>
    </w:p>
    <w:p>
      <w:pPr>
        <w:ind w:right="60" w:firstLine="1141"/>
        <w:spacing w:after="0" w:line="277" w:lineRule="auto"/>
        <w:rPr>
          <w:sz w:val="20"/>
          <w:szCs w:val="20"/>
          <w:color w:val="auto"/>
        </w:rPr>
      </w:pPr>
      <w:r>
        <w:rPr>
          <w:rFonts w:ascii="Arial" w:cs="Arial" w:eastAsia="Arial" w:hAnsi="Arial"/>
          <w:sz w:val="18"/>
          <w:szCs w:val="18"/>
          <w:color w:val="auto"/>
        </w:rPr>
        <w:t>The 2.1 percentage point decline in the development margin percentage reflected a 2.8 percentage point decline due to an inability to leverage fixed costs on lower vacation ownership contract sales, a 2.1 percentage point decline due to the higher marketing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and sales spending (including a 0.2 percentage point impact from the pre-opening and startup expenses in advance of opening new sales locations), a 1.1 percentage point decline from the higher usage of plus points as a sales incentive, and a 0.6 percentage point decline from the higher sales reserve rate. These declines were partially offset by a 1.6 percentage point increase due to a favorable mix of lower cost vacation ownership real estate inventory being sold in the twelve weeks ended March 25, 2016, a 1.6 percentage point increase due to the higher favorable product cost true-up activity year-over-year and a 1.0 percentage point increase due to the favorable revenue reportability year-over-year and a 0.3 percentage point increase from lower other development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March 25, 2016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March 27, 2015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16,463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15,568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895</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45,202</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43,007</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2,195</w:t>
            </w:r>
          </w:p>
        </w:tc>
        <w:tc>
          <w:tcPr>
            <w:tcW w:w="1100" w:type="dxa"/>
            <w:vAlign w:val="bottom"/>
            <w:gridSpan w:val="2"/>
          </w:tcPr>
          <w:p>
            <w:pPr>
              <w:jc w:val="right"/>
              <w:ind w:right="27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61,665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58,575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3,090</w:t>
            </w:r>
          </w:p>
        </w:tc>
        <w:tc>
          <w:tcPr>
            <w:tcW w:w="110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(38,152)</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(36,968)</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(1,184)</w:t>
            </w:r>
          </w:p>
        </w:tc>
        <w:tc>
          <w:tcPr>
            <w:tcW w:w="1100" w:type="dxa"/>
            <w:vAlign w:val="bottom"/>
            <w:gridSpan w:val="2"/>
          </w:tcPr>
          <w:p>
            <w:pPr>
              <w:jc w:val="right"/>
              <w:ind w:right="21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23,513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21,607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1,906</w:t>
            </w:r>
          </w:p>
        </w:tc>
        <w:tc>
          <w:tcPr>
            <w:tcW w:w="110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percentage</w:t>
            </w:r>
          </w:p>
        </w:tc>
        <w:tc>
          <w:tcPr>
            <w:tcW w:w="260" w:type="dxa"/>
            <w:vAlign w:val="bottom"/>
          </w:tcPr>
          <w:p>
            <w:pPr>
              <w:spacing w:after="0"/>
              <w:rPr>
                <w:sz w:val="20"/>
                <w:szCs w:val="20"/>
                <w:color w:val="auto"/>
              </w:rPr>
            </w:pP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rPr>
              <w:t>1.2 pts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1141"/>
        <w:spacing w:after="0" w:line="255" w:lineRule="auto"/>
        <w:rPr>
          <w:sz w:val="20"/>
          <w:szCs w:val="20"/>
          <w:color w:val="auto"/>
        </w:rPr>
      </w:pPr>
      <w:r>
        <w:rPr>
          <w:rFonts w:ascii="Arial" w:cs="Arial" w:eastAsia="Arial" w:hAnsi="Arial"/>
          <w:sz w:val="18"/>
          <w:szCs w:val="18"/>
          <w:color w:val="auto"/>
        </w:rPr>
        <w:t>The increase in resort management and other services revenues reflected $1.3 million of higher ancillary revenues, $1.0 million of additional annual club dues earned in connection with the MVCD program due to the cumulative increase in owners enrolled in the program, $0.9 million of higher management fees and $0.5 million of higher resales commission and other revenues. These increases were partially offset by $0.4 million of lower brand fees due to fewer closings and $0.2 million of lower settlement fees due to a decrease in the number of contracts closed. The increase in ancillary revenues included a $0.8 million increase in ancillary revenues from food and beverage and golf offerings at our existing resorts and $0.5 million of ancillary revenues at the property which we manage in New York.</w:t>
      </w:r>
    </w:p>
    <w:p>
      <w:pPr>
        <w:spacing w:after="0" w:line="85" w:lineRule="exact"/>
        <w:rPr>
          <w:sz w:val="20"/>
          <w:szCs w:val="20"/>
          <w:color w:val="auto"/>
        </w:rPr>
      </w:pPr>
    </w:p>
    <w:p>
      <w:pPr>
        <w:jc w:val="both"/>
        <w:ind w:right="380" w:firstLine="1141"/>
        <w:spacing w:after="0" w:line="264" w:lineRule="auto"/>
        <w:rPr>
          <w:sz w:val="20"/>
          <w:szCs w:val="20"/>
          <w:color w:val="auto"/>
        </w:rPr>
      </w:pPr>
      <w:r>
        <w:rPr>
          <w:rFonts w:ascii="Arial" w:cs="Arial" w:eastAsia="Arial" w:hAnsi="Arial"/>
          <w:sz w:val="18"/>
          <w:szCs w:val="18"/>
          <w:color w:val="auto"/>
        </w:rPr>
        <w:t>The improvement in the resort management and other services margin reflected the changes in revenue, partially offset by $1.2 million of higher expenses, including $0.7 million from the operation of the ancillary businesses at the property we manage in New York and $0.5 million of higher other expenses in the twelve weeks ended March 25,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4"/>
          </w:tcPr>
          <w:p>
            <w:pPr>
              <w:jc w:val="right"/>
              <w:ind w:right="1014"/>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rPr>
              <w:t>March 25, 2016</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March 27, 2015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25,993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25,609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384</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1,415</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1,447</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(32)</w:t>
            </w:r>
          </w:p>
        </w:tc>
        <w:tc>
          <w:tcPr>
            <w:tcW w:w="1140" w:type="dxa"/>
            <w:vAlign w:val="bottom"/>
            <w:gridSpan w:val="2"/>
          </w:tcPr>
          <w:p>
            <w:pPr>
              <w:jc w:val="right"/>
              <w:ind w:right="21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27,408</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27,056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352</w:t>
            </w:r>
          </w:p>
        </w:tc>
        <w:tc>
          <w:tcPr>
            <w:tcW w:w="114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56.9%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1141"/>
        <w:spacing w:after="0" w:line="257" w:lineRule="auto"/>
        <w:rPr>
          <w:sz w:val="20"/>
          <w:szCs w:val="20"/>
          <w:color w:val="auto"/>
        </w:rPr>
      </w:pPr>
      <w:r>
        <w:rPr>
          <w:rFonts w:ascii="Arial" w:cs="Arial" w:eastAsia="Arial" w:hAnsi="Arial"/>
          <w:sz w:val="18"/>
          <w:szCs w:val="18"/>
          <w:color w:val="auto"/>
        </w:rPr>
        <w:t>The increase in financing revenues was due to a slight increase in the average gross vacation ownership notes receivable balance. The increase in financing propensity resulted from new programs implemented in the first half of 2015 to help increase financing propensity above the 40 to 45 percent rate that the company has averaged in recent years. As a result of these programs, we expect that interest income will continue to increase as new originations of vacation ownership notes receivable outpace the decline in principal of existing vacation ownership notes receivables. We are targeting higher financing propensity for our fiscal year 2016.</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ind w:left="860"/>
              <w:spacing w:after="0"/>
              <w:rPr>
                <w:sz w:val="20"/>
                <w:szCs w:val="20"/>
                <w:color w:val="auto"/>
              </w:rPr>
            </w:pPr>
            <w:r>
              <w:rPr>
                <w:rFonts w:ascii="Arial" w:cs="Arial" w:eastAsia="Arial" w:hAnsi="Arial"/>
                <w:sz w:val="14"/>
                <w:szCs w:val="14"/>
                <w:b w:val="1"/>
                <w:bCs w:val="1"/>
                <w:color w:val="auto"/>
              </w:rPr>
              <w:t>Twelve Weeks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2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March 25, 2016</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March 27, 2015</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72,508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71,715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Unsold maintenance fees — upscale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(2,080)</w:t>
            </w:r>
          </w:p>
        </w:tc>
        <w:tc>
          <w:tcPr>
            <w:tcW w:w="1120" w:type="dxa"/>
            <w:vAlign w:val="bottom"/>
            <w:gridSpan w:val="3"/>
          </w:tcPr>
          <w:p>
            <w:pPr>
              <w:jc w:val="center"/>
              <w:ind w:left="90"/>
              <w:spacing w:after="0"/>
              <w:rPr>
                <w:sz w:val="20"/>
                <w:szCs w:val="20"/>
                <w:color w:val="auto"/>
              </w:rPr>
            </w:pPr>
            <w:r>
              <w:rPr>
                <w:rFonts w:ascii="Arial" w:cs="Arial" w:eastAsia="Arial" w:hAnsi="Arial"/>
                <w:sz w:val="18"/>
                <w:szCs w:val="18"/>
                <w:color w:val="auto"/>
                <w:w w:val="95"/>
              </w:rPr>
              <w:t>(19%)</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94"/>
              </w:rPr>
              <w:t>79%</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(13,346)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1120" w:type="dxa"/>
            <w:vAlign w:val="bottom"/>
            <w:gridSpan w:val="3"/>
          </w:tcPr>
          <w:p>
            <w:pPr>
              <w:jc w:val="center"/>
              <w:ind w:left="7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rental expenses</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(41,265)</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w:t>
            </w:r>
          </w:p>
        </w:tc>
        <w:tc>
          <w:tcPr>
            <w:tcW w:w="112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Rental margin</w:t>
            </w: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16,552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17,104</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auto"/>
            </w:tcBorders>
          </w:tcPr>
          <w:p>
            <w:pPr>
              <w:spacing w:after="0"/>
              <w:rPr>
                <w:sz w:val="19"/>
                <w:szCs w:val="19"/>
                <w:color w:val="auto"/>
              </w:rPr>
            </w:pPr>
          </w:p>
        </w:tc>
        <w:tc>
          <w:tcPr>
            <w:tcW w:w="1120" w:type="dxa"/>
            <w:vAlign w:val="bottom"/>
            <w:gridSpan w:val="3"/>
          </w:tcPr>
          <w:p>
            <w:pPr>
              <w:jc w:val="center"/>
              <w:ind w:left="7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 pts)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gridSpan w:val="7"/>
          </w:tcPr>
          <w:p>
            <w:pPr>
              <w:ind w:left="860"/>
              <w:spacing w:after="0"/>
              <w:rPr>
                <w:sz w:val="20"/>
                <w:szCs w:val="20"/>
                <w:color w:val="auto"/>
              </w:rPr>
            </w:pPr>
            <w:r>
              <w:rPr>
                <w:rFonts w:ascii="Arial" w:cs="Arial" w:eastAsia="Arial" w:hAnsi="Arial"/>
                <w:sz w:val="14"/>
                <w:szCs w:val="14"/>
                <w:b w:val="1"/>
                <w:bCs w:val="1"/>
                <w:color w:val="auto"/>
              </w:rPr>
              <w:t>Twelve Weeks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March 25, 2016</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March 27, 2015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274,371</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279,761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(5,390)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229.83</w:t>
            </w:r>
          </w:p>
        </w:tc>
        <w:tc>
          <w:tcPr>
            <w:tcW w:w="4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226.03</w:t>
            </w:r>
          </w:p>
        </w:tc>
        <w:tc>
          <w:tcPr>
            <w:tcW w:w="40" w:type="dxa"/>
            <w:vAlign w:val="bottom"/>
          </w:tcPr>
          <w:p>
            <w:pPr>
              <w:spacing w:after="0"/>
              <w:rPr>
                <w:sz w:val="18"/>
                <w:szCs w:val="18"/>
                <w:color w:val="auto"/>
              </w:rPr>
            </w:pP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1120" w:type="dxa"/>
            <w:vAlign w:val="bottom"/>
            <w:gridSpan w:val="3"/>
          </w:tcPr>
          <w:p>
            <w:pPr>
              <w:jc w:val="right"/>
              <w:ind w:right="34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90.4%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 pts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0890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76"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225" w:lineRule="exact"/>
        <w:rPr>
          <w:sz w:val="20"/>
          <w:szCs w:val="20"/>
          <w:color w:val="auto"/>
        </w:rPr>
      </w:pPr>
    </w:p>
    <w:p>
      <w:pPr>
        <w:ind w:right="100" w:firstLine="1141"/>
        <w:spacing w:after="0" w:line="257" w:lineRule="auto"/>
        <w:rPr>
          <w:sz w:val="20"/>
          <w:szCs w:val="20"/>
          <w:color w:val="auto"/>
        </w:rPr>
      </w:pPr>
      <w:r>
        <w:rPr>
          <w:rFonts w:ascii="Arial" w:cs="Arial" w:eastAsia="Arial" w:hAnsi="Arial"/>
          <w:sz w:val="18"/>
          <w:szCs w:val="18"/>
          <w:color w:val="auto"/>
        </w:rPr>
        <w:t>The increase in rental revenues was due to a 2 percent increase in average transient rate ($1.0 million), $0.4 million of additional revenue from the operation of the property in San Diego acquired in the first quarter of 2015, $0.4 million of higher plus points revenue (which is recognized upon utilization of plus points for stays at our resorts or upon expiration of the points) and a $0.2 million increase in preview keys and other revenue, partially offset by a 2 percent decrease in transient keys rented ($1.2 million) primarily due to a 2 percent decrease in available keys as well as the increase in preview keys.</w:t>
      </w:r>
    </w:p>
    <w:p>
      <w:pPr>
        <w:spacing w:after="0" w:line="188" w:lineRule="exact"/>
        <w:rPr>
          <w:sz w:val="20"/>
          <w:szCs w:val="20"/>
          <w:color w:val="auto"/>
        </w:rPr>
      </w:pPr>
    </w:p>
    <w:p>
      <w:pPr>
        <w:ind w:right="40" w:firstLine="1141"/>
        <w:spacing w:after="0" w:line="286" w:lineRule="auto"/>
        <w:rPr>
          <w:sz w:val="20"/>
          <w:szCs w:val="20"/>
          <w:color w:val="auto"/>
        </w:rPr>
      </w:pPr>
      <w:r>
        <w:rPr>
          <w:rFonts w:ascii="Arial" w:cs="Arial" w:eastAsia="Arial" w:hAnsi="Arial"/>
          <w:sz w:val="17"/>
          <w:szCs w:val="17"/>
          <w:color w:val="auto"/>
        </w:rPr>
        <w:t>The decrease in rental margin reflected $1.0 million of lower rental revenues net of direct variable expenses (such as housekeeping), expenses incurred due to owners choosing alternative usage options, and unsold maintenance fees, partially offset by the $0.4 million increase in plus points revenue. There was no impact on rental margin from the operation of the property in San Diego compared to the prior year comparable period.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17" w:lineRule="exact"/>
        <w:rPr>
          <w:sz w:val="20"/>
          <w:szCs w:val="20"/>
          <w:color w:val="auto"/>
        </w:rPr>
      </w:pPr>
    </w:p>
    <w:p>
      <w:pPr>
        <w:ind w:right="20" w:firstLine="1141"/>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Europe segment for the twelve weeks ended March 25, 2016, compared to the twelve weeks ended March 27, 2015.</w:t>
      </w:r>
    </w:p>
    <w:p>
      <w:pPr>
        <w:spacing w:after="0" w:line="68"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4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14"/>
                <w:szCs w:val="14"/>
                <w:color w:val="auto"/>
              </w:rPr>
            </w:pPr>
          </w:p>
        </w:tc>
        <w:tc>
          <w:tcPr>
            <w:tcW w:w="3140" w:type="dxa"/>
            <w:vAlign w:val="bottom"/>
            <w:gridSpan w:val="5"/>
          </w:tcPr>
          <w:p>
            <w:pPr>
              <w:ind w:left="76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4420" w:type="dxa"/>
            <w:vAlign w:val="bottom"/>
            <w:tcBorders>
              <w:bottom w:val="single" w:sz="8" w:color="CCEEFF"/>
            </w:tcBorders>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March 25, 2016</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March 27, 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5,160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4,467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20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7,478</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20,099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20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3,886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4,093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2,916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7,478</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19,713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18"/>
                <w:szCs w:val="18"/>
                <w:color w:val="auto"/>
              </w:rPr>
              <w:t>Gains and other income</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Segment financial results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386</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1141"/>
        <w:spacing w:after="0" w:line="277" w:lineRule="auto"/>
        <w:rPr>
          <w:sz w:val="20"/>
          <w:szCs w:val="20"/>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936"/>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March 25, 2016</w:t>
            </w: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March 27, 2015</w:t>
            </w: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4,418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(880)</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4,418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(880)</w:t>
            </w:r>
          </w:p>
        </w:tc>
        <w:tc>
          <w:tcPr>
            <w:tcW w:w="13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firstLine="1141"/>
        <w:spacing w:after="0" w:line="264" w:lineRule="auto"/>
        <w:rPr>
          <w:sz w:val="20"/>
          <w:szCs w:val="20"/>
          <w:color w:val="auto"/>
        </w:rPr>
      </w:pPr>
      <w:r>
        <w:rPr>
          <w:rFonts w:ascii="Arial" w:cs="Arial" w:eastAsia="Arial" w:hAnsi="Arial"/>
          <w:sz w:val="18"/>
          <w:szCs w:val="18"/>
          <w:color w:val="auto"/>
        </w:rPr>
        <w:t>The decrease in Europe vacation ownership contract sales was due to $1.4 million of lower fractional sales due to the near sell-out of developer inventory in 2015 and a decrease of $0.2 million due to the changes in foreign exchange rates, partially offset by $0.5 million of higher sales, primarily from our Middle East locations.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March 25, 2016</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March 27, 2015</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4,418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5,298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Revenue recognition adjustments: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965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1,768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260" w:type="dxa"/>
            <w:vAlign w:val="bottom"/>
          </w:tcPr>
          <w:p>
            <w:pPr>
              <w:spacing w:after="0"/>
              <w:rPr>
                <w:sz w:val="18"/>
                <w:szCs w:val="18"/>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882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5,160</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5,900</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(740)</w:t>
            </w:r>
          </w:p>
        </w:tc>
        <w:tc>
          <w:tcPr>
            <w:tcW w:w="112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117" w:lineRule="exact"/>
        <w:rPr>
          <w:sz w:val="20"/>
          <w:szCs w:val="20"/>
          <w:color w:val="auto"/>
        </w:rPr>
      </w:pPr>
    </w:p>
    <w:p>
      <w:pPr>
        <w:ind w:right="60" w:firstLine="1141"/>
        <w:spacing w:after="0" w:line="279" w:lineRule="auto"/>
        <w:rPr>
          <w:sz w:val="20"/>
          <w:szCs w:val="20"/>
          <w:color w:val="auto"/>
        </w:rPr>
      </w:pPr>
      <w:r>
        <w:rPr>
          <w:rFonts w:ascii="Arial" w:cs="Arial" w:eastAsia="Arial" w:hAnsi="Arial"/>
          <w:sz w:val="17"/>
          <w:szCs w:val="17"/>
          <w:color w:val="auto"/>
        </w:rPr>
        <w:t>Revenue reportability had a smaller favorable impact in the current period compared to the prior year comparable period because fewer sales met the down payment requirement for revenue recognition purposes prior to the end of the current period compared to the prior year comparable period. The decrease in the sales reserve is due to an unfavorable adjustment to the reserve in the prior year comparable period, along with a favorable adjustment to the reserve in the current period, as well as the lower contract sales volume in the current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Twelve Weeks Ended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64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March 25, 2016</w:t>
            </w: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8"/>
              </w:rPr>
              <w:t>March 27, 2015</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w:t>
            </w:r>
          </w:p>
        </w:tc>
        <w:tc>
          <w:tcPr>
            <w:tcW w:w="1120" w:type="dxa"/>
            <w:vAlign w:val="bottom"/>
            <w:gridSpan w:val="2"/>
          </w:tcPr>
          <w:p>
            <w:pPr>
              <w:jc w:val="right"/>
              <w:ind w:right="159"/>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1,535</w:t>
            </w:r>
          </w:p>
        </w:tc>
        <w:tc>
          <w:tcPr>
            <w:tcW w:w="112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Development margin</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356</w:t>
            </w:r>
          </w:p>
        </w:tc>
        <w:tc>
          <w:tcPr>
            <w:tcW w:w="1120" w:type="dxa"/>
            <w:vAlign w:val="bottom"/>
            <w:gridSpan w:val="2"/>
          </w:tcPr>
          <w:p>
            <w:pPr>
              <w:jc w:val="right"/>
              <w:ind w:right="219"/>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 pts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1141"/>
        <w:spacing w:after="0" w:line="276" w:lineRule="auto"/>
        <w:rPr>
          <w:sz w:val="20"/>
          <w:szCs w:val="20"/>
          <w:color w:val="auto"/>
        </w:rPr>
      </w:pPr>
      <w:r>
        <w:rPr>
          <w:rFonts w:ascii="Arial" w:cs="Arial" w:eastAsia="Arial" w:hAnsi="Arial"/>
          <w:sz w:val="17"/>
          <w:szCs w:val="17"/>
          <w:color w:val="auto"/>
        </w:rPr>
        <w:t>The increase in development margin reflected $1.0 million from the lower vacation ownership contract sales volume net of lower direct variable expenses (i.e., cost of vacation ownership products and marketing and sales) due to lower marketing and sales costs and a favorable mix of lower cost vacation ownership real estate inventory being sold, as well as $0.6 million from the year over year change in the sales reserve, partially offset by $0.7 million from lower product cost true-ups ($0.5 million unfavorable true-up in the twelve weeks ended March 25, 2016 compared to a $0.2 million favorable true-up in the prior year comparable period) and $0.5 million from the lower revenue reportability year-over-year.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 Pacific</w:t>
      </w:r>
    </w:p>
    <w:p>
      <w:pPr>
        <w:spacing w:after="0" w:line="117" w:lineRule="exact"/>
        <w:rPr>
          <w:sz w:val="20"/>
          <w:szCs w:val="20"/>
          <w:color w:val="auto"/>
        </w:rPr>
      </w:pPr>
    </w:p>
    <w:p>
      <w:pPr>
        <w:ind w:right="100" w:firstLine="1141"/>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Asia Pacific segment for the twelve weeks ended March 25, 2016, compared to the twelve weeks ended March 27, 2015.</w:t>
      </w:r>
    </w:p>
    <w:p>
      <w:pPr>
        <w:spacing w:after="0" w:line="68"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6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60" w:type="dxa"/>
            <w:vAlign w:val="bottom"/>
          </w:tcPr>
          <w:p>
            <w:pPr>
              <w:spacing w:after="0"/>
              <w:rPr>
                <w:sz w:val="14"/>
                <w:szCs w:val="14"/>
                <w:color w:val="auto"/>
              </w:rPr>
            </w:pPr>
          </w:p>
        </w:tc>
        <w:tc>
          <w:tcPr>
            <w:tcW w:w="2940" w:type="dxa"/>
            <w:vAlign w:val="bottom"/>
            <w:gridSpan w:val="5"/>
          </w:tcPr>
          <w:p>
            <w:pPr>
              <w:ind w:left="70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8"/>
              </w:rPr>
              <w:t>March 25, 2016</w:t>
            </w:r>
          </w:p>
        </w:tc>
        <w:tc>
          <w:tcPr>
            <w:tcW w:w="1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March 27, 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8,525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36,278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16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19,497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16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6,211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5,788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18,279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360"/>
              <w:spacing w:after="0"/>
              <w:rPr>
                <w:sz w:val="20"/>
                <w:szCs w:val="20"/>
                <w:color w:val="auto"/>
              </w:rPr>
            </w:pPr>
            <w:r>
              <w:rPr>
                <w:rFonts w:ascii="Arial" w:cs="Arial" w:eastAsia="Arial" w:hAnsi="Arial"/>
                <w:sz w:val="18"/>
                <w:szCs w:val="18"/>
                <w:color w:val="auto"/>
              </w:rPr>
              <w:t>Gains and other income</w:t>
            </w:r>
          </w:p>
        </w:tc>
        <w:tc>
          <w:tcPr>
            <w:tcW w:w="16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720"/>
              <w:spacing w:after="0"/>
              <w:rPr>
                <w:sz w:val="20"/>
                <w:szCs w:val="20"/>
                <w:color w:val="auto"/>
              </w:rPr>
            </w:pPr>
            <w:r>
              <w:rPr>
                <w:rFonts w:ascii="Arial" w:cs="Arial" w:eastAsia="Arial" w:hAnsi="Arial"/>
                <w:sz w:val="18"/>
                <w:szCs w:val="18"/>
                <w:color w:val="auto"/>
              </w:rPr>
              <w:t>Segment financial results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1141"/>
        <w:spacing w:after="0" w:line="271" w:lineRule="auto"/>
        <w:rPr>
          <w:sz w:val="20"/>
          <w:szCs w:val="20"/>
          <w:color w:val="auto"/>
        </w:rPr>
      </w:pPr>
      <w:r>
        <w:rPr>
          <w:rFonts w:ascii="Arial" w:cs="Arial" w:eastAsia="Arial" w:hAnsi="Arial"/>
          <w:sz w:val="17"/>
          <w:szCs w:val="17"/>
          <w:color w:val="auto"/>
        </w:rPr>
        <w:t>In our Asia Pacific segment, we continue to identify opportunities for development margin improvement. Our on-site sales locations are more efficient sales channels than our off-site sales locations and we plan to focus on future inventory acquisitions with strong on-site sales locations. Due to operational constraints, regulatory conditions and certain other conditions related to our 18 units in Macau, we decided not to sell these units through our Marriott Vacation Club, Asia Pacific points program, and instead disposed of the units as whole ownership residential units during the first quarter of 2015. In the third quarter of 2015, we reinvested the proceeds from this disposition into the purchase of an operating property located in Surfers Paradise, Australia. We have commenced conversion of a portion of this property into vacation ownership inventory, the completed portion of which has been contributed to our new Marriott Vacation Club Destinations, Australia program. We intend to sell the portion of this operating property that we do not intend to convert to timeshare to a third party. We began selling from this new location at the end of the first quarter of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March 25,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March 25, 2016</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March 27, 2015</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9,426</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8,659</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767</w:t>
            </w:r>
          </w:p>
        </w:tc>
        <w:tc>
          <w:tcPr>
            <w:tcW w:w="126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28,420</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(28,420)</w:t>
            </w:r>
          </w:p>
        </w:tc>
        <w:tc>
          <w:tcPr>
            <w:tcW w:w="12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23"/>
        </w:trPr>
        <w:tc>
          <w:tcPr>
            <w:tcW w:w="5200" w:type="dxa"/>
            <w:vAlign w:val="bottom"/>
          </w:tcPr>
          <w:p>
            <w:pPr>
              <w:ind w:left="720"/>
              <w:spacing w:after="0"/>
              <w:rPr>
                <w:sz w:val="20"/>
                <w:szCs w:val="20"/>
                <w:color w:val="auto"/>
              </w:rPr>
            </w:pPr>
            <w:r>
              <w:rPr>
                <w:rFonts w:ascii="Arial" w:cs="Arial" w:eastAsia="Arial" w:hAnsi="Arial"/>
                <w:sz w:val="18"/>
                <w:szCs w:val="18"/>
                <w:color w:val="auto"/>
              </w:rPr>
              <w:t>Total contract sales</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9,426</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37,079</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(27,653)</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(75%)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1141"/>
        <w:spacing w:after="0" w:line="312" w:lineRule="auto"/>
        <w:rPr>
          <w:sz w:val="20"/>
          <w:szCs w:val="20"/>
          <w:color w:val="auto"/>
        </w:rPr>
      </w:pPr>
      <w:r>
        <w:rPr>
          <w:rFonts w:ascii="Arial" w:cs="Arial" w:eastAsia="Arial" w:hAnsi="Arial"/>
          <w:sz w:val="16"/>
          <w:szCs w:val="16"/>
          <w:color w:val="auto"/>
        </w:rPr>
        <w:t>The increase in Asia Pacific vacation ownership contract sales was driven by a 6 percent increase in VPG and a 3 percent increase in tours. These increases were both driven by an increase in sales to existing owners. The decrease in Asia Pacific residential sales is due to the bulk sale of 18 whole ownership residential units in Macau during the first quarter of 2015 for $28.4 million, following which no residential inventory remained in this segment.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March 25, 2016</w:t>
            </w: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March 27, 2015</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9,426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(27,653)</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(430)</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240" w:type="dxa"/>
            <w:vAlign w:val="bottom"/>
          </w:tcPr>
          <w:p>
            <w:pPr>
              <w:spacing w:after="0"/>
              <w:rPr>
                <w:sz w:val="18"/>
                <w:szCs w:val="18"/>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8,525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(27,753)</w:t>
            </w:r>
          </w:p>
        </w:tc>
        <w:tc>
          <w:tcPr>
            <w:tcW w:w="140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(77%)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90"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80" w:firstLine="1141"/>
        <w:spacing w:after="0" w:line="277" w:lineRule="auto"/>
        <w:rPr>
          <w:sz w:val="20"/>
          <w:szCs w:val="20"/>
          <w:color w:val="auto"/>
        </w:rPr>
      </w:pPr>
      <w:r>
        <w:rPr>
          <w:rFonts w:ascii="Arial" w:cs="Arial" w:eastAsia="Arial" w:hAnsi="Arial"/>
          <w:sz w:val="18"/>
          <w:szCs w:val="18"/>
          <w:color w:val="auto"/>
        </w:rPr>
        <w:t>The decrease in the sales reserve is due to an unfavorable adjustment to the reserve in the prior year comparable period, partially offset by the higher vacation ownership contract sales volume in the current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4"/>
                <w:szCs w:val="14"/>
                <w:color w:val="auto"/>
              </w:rPr>
            </w:pPr>
          </w:p>
        </w:tc>
        <w:tc>
          <w:tcPr>
            <w:tcW w:w="12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8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March 25, 2016</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March 27, 2015</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8,525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36,278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(27,753)</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80" w:type="dxa"/>
            <w:vAlign w:val="bottom"/>
          </w:tcPr>
          <w:p>
            <w:pPr>
              <w:spacing w:after="0"/>
              <w:rPr>
                <w:sz w:val="18"/>
                <w:szCs w:val="18"/>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(1,709)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20,287</w:t>
            </w:r>
          </w:p>
        </w:tc>
        <w:tc>
          <w:tcPr>
            <w:tcW w:w="1360" w:type="dxa"/>
            <w:vAlign w:val="bottom"/>
            <w:gridSpan w:val="2"/>
          </w:tcPr>
          <w:p>
            <w:pPr>
              <w:jc w:val="right"/>
              <w:ind w:right="359"/>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(6,211)</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3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Development margin</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605</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8,725</w:t>
            </w:r>
          </w:p>
        </w:tc>
        <w:tc>
          <w:tcPr>
            <w:tcW w:w="180" w:type="dxa"/>
            <w:vAlign w:val="bottom"/>
          </w:tcPr>
          <w:p>
            <w:pPr>
              <w:spacing w:after="0"/>
              <w:rPr>
                <w:sz w:val="19"/>
                <w:szCs w:val="19"/>
                <w:color w:val="auto"/>
              </w:rPr>
            </w:pP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(8,120)</w:t>
            </w:r>
          </w:p>
        </w:tc>
        <w:tc>
          <w:tcPr>
            <w:tcW w:w="1360" w:type="dxa"/>
            <w:vAlign w:val="bottom"/>
            <w:gridSpan w:val="2"/>
          </w:tcPr>
          <w:p>
            <w:pPr>
              <w:jc w:val="right"/>
              <w:ind w:right="299"/>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(17.0 pts)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31" w:lineRule="exact"/>
        <w:rPr>
          <w:sz w:val="20"/>
          <w:szCs w:val="20"/>
          <w:color w:val="auto"/>
        </w:rPr>
      </w:pPr>
    </w:p>
    <w:p>
      <w:pPr>
        <w:ind w:left="2280" w:right="60" w:hanging="449"/>
        <w:spacing w:after="0" w:line="277" w:lineRule="auto"/>
        <w:tabs>
          <w:tab w:leader="none" w:pos="2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$5.9 million from lower residential contract sales (no residential sales in the twelve weeks ended March 25, 2016 compared to $5.9 million from the sale of residential inventory in the prior year comparable period);</w:t>
      </w:r>
    </w:p>
    <w:p>
      <w:pPr>
        <w:spacing w:after="0" w:line="75" w:lineRule="exact"/>
        <w:rPr>
          <w:rFonts w:ascii="Arial" w:cs="Arial" w:eastAsia="Arial" w:hAnsi="Arial"/>
          <w:sz w:val="18"/>
          <w:szCs w:val="18"/>
          <w:color w:val="auto"/>
        </w:rPr>
      </w:pPr>
    </w:p>
    <w:p>
      <w:pPr>
        <w:ind w:left="2280" w:right="60" w:hanging="449"/>
        <w:spacing w:after="0" w:line="277" w:lineRule="auto"/>
        <w:tabs>
          <w:tab w:leader="none" w:pos="2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$1.1 million from lower favorable product cost true-ups ($0.4 million in the twelve weeks ended March 25, 2016 compared to $1.5 million in the prior year comparable period);</w:t>
      </w:r>
    </w:p>
    <w:p>
      <w:pPr>
        <w:spacing w:after="0" w:line="75" w:lineRule="exact"/>
        <w:rPr>
          <w:rFonts w:ascii="Arial" w:cs="Arial" w:eastAsia="Arial" w:hAnsi="Arial"/>
          <w:sz w:val="18"/>
          <w:szCs w:val="18"/>
          <w:color w:val="auto"/>
        </w:rPr>
      </w:pPr>
    </w:p>
    <w:p>
      <w:pPr>
        <w:ind w:left="2280" w:right="260" w:hanging="449"/>
        <w:spacing w:after="0" w:line="277" w:lineRule="auto"/>
        <w:tabs>
          <w:tab w:leader="none" w:pos="2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$0.8 million of pre-opening and startup expenses in advance of opening the new sales location in Australia at the end of the first quarter of 2016;</w:t>
      </w:r>
    </w:p>
    <w:p>
      <w:pPr>
        <w:spacing w:after="0" w:line="75" w:lineRule="exact"/>
        <w:rPr>
          <w:rFonts w:ascii="Arial" w:cs="Arial" w:eastAsia="Arial" w:hAnsi="Arial"/>
          <w:sz w:val="18"/>
          <w:szCs w:val="18"/>
          <w:color w:val="auto"/>
        </w:rPr>
      </w:pPr>
    </w:p>
    <w:p>
      <w:pPr>
        <w:ind w:left="2280" w:right="60" w:hanging="449"/>
        <w:spacing w:after="0" w:line="264" w:lineRule="auto"/>
        <w:tabs>
          <w:tab w:leader="none" w:pos="2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$0.3 million from the higher sales volume net of higher direct variable expenses (i.e., cost of vacation ownership products and marketing and sales) due to an increase in marketing and sales costs and a higher average cost of real estate inventory being sold; and</w:t>
      </w:r>
    </w:p>
    <w:p>
      <w:pPr>
        <w:spacing w:after="0" w:line="86" w:lineRule="exact"/>
        <w:rPr>
          <w:rFonts w:ascii="Arial" w:cs="Arial" w:eastAsia="Arial" w:hAnsi="Arial"/>
          <w:sz w:val="18"/>
          <w:szCs w:val="18"/>
          <w:color w:val="auto"/>
        </w:rPr>
      </w:pPr>
    </w:p>
    <w:p>
      <w:pPr>
        <w:ind w:left="2280" w:hanging="449"/>
        <w:spacing w:after="0"/>
        <w:tabs>
          <w:tab w:leader="none" w:pos="2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$0.3 million from lower revenue reportability compared to the prior year comparable period.</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The decreases were partially offset by $0.3 million from the lower sales reserve activity compared to the prior year comparable period.</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March 25, 2016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March 27, 2015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559</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2,953</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2,649</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3,497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863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2,634</w:t>
            </w:r>
          </w:p>
        </w:tc>
        <w:tc>
          <w:tcPr>
            <w:tcW w:w="12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(850)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(2,702)</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c>
          <w:tcPr>
            <w:tcW w:w="12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(523%)</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percentage</w:t>
            </w:r>
          </w:p>
        </w:tc>
        <w:tc>
          <w:tcPr>
            <w:tcW w:w="22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(3.1 pts)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60" w:firstLine="1141"/>
        <w:spacing w:after="0" w:line="277" w:lineRule="auto"/>
        <w:rPr>
          <w:sz w:val="20"/>
          <w:szCs w:val="20"/>
          <w:color w:val="auto"/>
        </w:rPr>
      </w:pPr>
      <w:r>
        <w:rPr>
          <w:rFonts w:ascii="Arial" w:cs="Arial" w:eastAsia="Arial" w:hAnsi="Arial"/>
          <w:sz w:val="18"/>
          <w:szCs w:val="18"/>
          <w:color w:val="auto"/>
        </w:rPr>
        <w:t>The increase in resort management and other services revenues reflected $2.7 million of ancillary revenues at the operating property in Australia acquired in the third quarter of 2015.</w:t>
      </w:r>
    </w:p>
    <w:p>
      <w:pPr>
        <w:spacing w:after="0" w:line="62" w:lineRule="exact"/>
        <w:rPr>
          <w:sz w:val="20"/>
          <w:szCs w:val="20"/>
          <w:color w:val="auto"/>
        </w:rPr>
      </w:pPr>
    </w:p>
    <w:p>
      <w:pPr>
        <w:ind w:right="60" w:firstLine="1141"/>
        <w:spacing w:after="0" w:line="277" w:lineRule="auto"/>
        <w:rPr>
          <w:sz w:val="20"/>
          <w:szCs w:val="20"/>
          <w:color w:val="auto"/>
        </w:rPr>
      </w:pPr>
      <w:r>
        <w:rPr>
          <w:rFonts w:ascii="Arial" w:cs="Arial" w:eastAsia="Arial" w:hAnsi="Arial"/>
          <w:sz w:val="18"/>
          <w:szCs w:val="18"/>
          <w:color w:val="auto"/>
        </w:rPr>
        <w:t>The decline in the resort management and other services margin reflected spending in support of future growth in the business, partially offset by $0.3 million of profit at our operating property in Australia.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March 25,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March 25, 2016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March 27, 2015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5,621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2,352</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3,269</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Rental expenses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(5,788)</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(2,496)</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(3,292)</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Rental margin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2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5"/>
              </w:rPr>
              <w:t>(16%)</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Rental margin percentage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3.1 pts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The increase in rental revenues and rental expenses was due to the operation of the property in Australia acquired in the third quarter of 2015. The rental margin was unchanged from the prior year comparable period. The results of our operating property in Australia were break-even in the first quarter of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98"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14"/>
                <w:szCs w:val="14"/>
                <w:color w:val="auto"/>
              </w:rPr>
            </w:pPr>
          </w:p>
        </w:tc>
        <w:tc>
          <w:tcPr>
            <w:tcW w:w="3060" w:type="dxa"/>
            <w:vAlign w:val="bottom"/>
            <w:gridSpan w:val="5"/>
          </w:tcPr>
          <w:p>
            <w:pPr>
              <w:ind w:left="7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4500" w:type="dxa"/>
            <w:vAlign w:val="bottom"/>
            <w:tcBorders>
              <w:bottom w:val="single" w:sz="8" w:color="CCEEFF"/>
            </w:tcBorders>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March 25, 2016</w:t>
            </w:r>
          </w:p>
        </w:tc>
        <w:tc>
          <w:tcPr>
            <w:tcW w:w="1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March 27, 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Cost of vacation ownership products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1,955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4,629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25,297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22,777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Organizational and separation related</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Consumer financing interest</w:t>
            </w:r>
          </w:p>
        </w:tc>
        <w:tc>
          <w:tcPr>
            <w:tcW w:w="200" w:type="dxa"/>
            <w:vAlign w:val="bottom"/>
          </w:tcPr>
          <w:p>
            <w:pPr>
              <w:spacing w:after="0"/>
              <w:rPr>
                <w:sz w:val="18"/>
                <w:szCs w:val="18"/>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5,362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6,021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11,476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11,507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48,719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46,876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financial results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(50,755)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1141"/>
        <w:spacing w:after="0" w:line="259" w:lineRule="auto"/>
        <w:rPr>
          <w:sz w:val="20"/>
          <w:szCs w:val="20"/>
          <w:color w:val="auto"/>
        </w:rPr>
      </w:pPr>
      <w:r>
        <w:rPr>
          <w:rFonts w:ascii="Arial" w:cs="Arial" w:eastAsia="Arial" w:hAnsi="Arial"/>
          <w:sz w:val="18"/>
          <w:szCs w:val="18"/>
          <w:color w:val="auto"/>
        </w:rPr>
        <w:t>Corporate and Other consists of results not specifically attributable to an individual segment, including expenses in support of our financing operations, non-capitalizable development expenses incurred to support overall company development, company-wide general and administrative costs, corporate interest expense, consumer financing interest expense and the fixed royalty fee payable under the license agreements that we entered into with Marriott International in connection with our spin-off from Marriott International.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Expenses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Twelve Weeks Ended March 25, 2016</w:t>
      </w:r>
    </w:p>
    <w:p>
      <w:pPr>
        <w:spacing w:after="0" w:line="117" w:lineRule="exact"/>
        <w:rPr>
          <w:sz w:val="20"/>
          <w:szCs w:val="20"/>
          <w:color w:val="auto"/>
        </w:rPr>
      </w:pPr>
    </w:p>
    <w:p>
      <w:pPr>
        <w:ind w:right="200" w:firstLine="1141"/>
        <w:spacing w:after="0" w:line="259" w:lineRule="auto"/>
        <w:rPr>
          <w:sz w:val="20"/>
          <w:szCs w:val="20"/>
          <w:color w:val="auto"/>
        </w:rPr>
      </w:pPr>
      <w:r>
        <w:rPr>
          <w:rFonts w:ascii="Arial" w:cs="Arial" w:eastAsia="Arial" w:hAnsi="Arial"/>
          <w:sz w:val="18"/>
          <w:szCs w:val="18"/>
          <w:color w:val="auto"/>
        </w:rPr>
        <w:t>Total expenses increased $1.8 million from the prior year comparable period. The $1.8 million increase resulted from $2.5 million of higher general and administrative expenses and $0.3 million of higher cost of vacation ownership products expenses due to higher non-capitalizable project expenses, partially offset by $0.7 million of lower consumer financing interest expense, $0.3 million of lower financing expenses and $0.1 million of prior year organizational and separation related expenses.</w:t>
      </w:r>
    </w:p>
    <w:p>
      <w:pPr>
        <w:spacing w:after="0" w:line="7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General and administrative expenses increased $2.5 million and were driven by higher information technology project costs and inflationary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increases.</w:t>
      </w:r>
    </w:p>
    <w:p>
      <w:pPr>
        <w:spacing w:after="0" w:line="103" w:lineRule="exact"/>
        <w:rPr>
          <w:sz w:val="20"/>
          <w:szCs w:val="20"/>
          <w:color w:val="auto"/>
        </w:rPr>
      </w:pPr>
    </w:p>
    <w:p>
      <w:pPr>
        <w:ind w:right="320" w:firstLine="1141"/>
        <w:spacing w:after="0" w:line="259" w:lineRule="auto"/>
        <w:rPr>
          <w:sz w:val="20"/>
          <w:szCs w:val="20"/>
          <w:color w:val="auto"/>
        </w:rPr>
      </w:pPr>
      <w:r>
        <w:rPr>
          <w:rFonts w:ascii="Arial" w:cs="Arial" w:eastAsia="Arial" w:hAnsi="Arial"/>
          <w:sz w:val="18"/>
          <w:szCs w:val="18"/>
          <w:color w:val="auto"/>
        </w:rPr>
        <w:t>The $0.7 million decline in consumer financing interest expense was due to a lower average interest rate on the outstanding debt balances, partially offset by a higher average outstanding debt balance.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1141"/>
        <w:spacing w:after="0" w:line="277" w:lineRule="auto"/>
        <w:rPr>
          <w:sz w:val="20"/>
          <w:szCs w:val="20"/>
          <w:color w:val="auto"/>
        </w:rPr>
      </w:pPr>
      <w:r>
        <w:rPr>
          <w:rFonts w:ascii="Arial" w:cs="Arial" w:eastAsia="Arial" w:hAnsi="Arial"/>
          <w:sz w:val="18"/>
          <w:szCs w:val="18"/>
          <w:color w:val="auto"/>
        </w:rPr>
        <w:t>See Footnote No. 1, “Summary of Significant Accounting Policies,” to our Financial Statements for a discussion of recently issued accounting pronouncements, including information on new accounting standards and the future adoption of such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1141"/>
        <w:spacing w:after="0" w:line="272" w:lineRule="auto"/>
        <w:rPr>
          <w:sz w:val="20"/>
          <w:szCs w:val="20"/>
          <w:color w:val="auto"/>
        </w:rPr>
      </w:pPr>
      <w:r>
        <w:rPr>
          <w:rFonts w:ascii="Arial" w:cs="Arial" w:eastAsia="Arial" w:hAnsi="Arial"/>
          <w:sz w:val="17"/>
          <w:szCs w:val="17"/>
          <w:color w:val="auto"/>
        </w:rPr>
        <w:t>Our capital needs are supported by cash on hand ($106.6 million at the end of the first quarter of 2016), cash generated from operations, our ability to raise capital through securitizations in the ABS market and, to the extent necessary, funds available under the Warehouse Credit Facility and the Revolving Corporate Credit Facility. We believe these sources of capital will be adequate to meet our short-term and long-term liquidity requirements, finance our long-term growth plans, satisfy debt service requirements, and fulfill other cash requirements. At the end of the first quarter of 2016, $688.0 million of the $699.3 million of total gross debt outstanding was non-recourse debt associated with vacation ownership notes receivable securitizations. In addition, we have $40.0 million of gross mandatorily redeemable preferred stock of a consolidated subsidiary that we are not required to redeem until October 2021. However, we expect to exercise our option to redeem the preferred stock at par in October 2016.</w:t>
      </w:r>
    </w:p>
    <w:p>
      <w:pPr>
        <w:spacing w:after="0" w:line="70" w:lineRule="exact"/>
        <w:rPr>
          <w:sz w:val="20"/>
          <w:szCs w:val="20"/>
          <w:color w:val="auto"/>
        </w:rPr>
      </w:pPr>
    </w:p>
    <w:p>
      <w:pPr>
        <w:jc w:val="both"/>
        <w:ind w:right="60" w:firstLine="1141"/>
        <w:spacing w:after="0" w:line="286" w:lineRule="auto"/>
        <w:rPr>
          <w:sz w:val="20"/>
          <w:szCs w:val="20"/>
          <w:color w:val="auto"/>
        </w:rPr>
      </w:pPr>
      <w:r>
        <w:rPr>
          <w:rFonts w:ascii="Arial" w:cs="Arial" w:eastAsia="Arial" w:hAnsi="Arial"/>
          <w:sz w:val="17"/>
          <w:szCs w:val="17"/>
          <w:color w:val="auto"/>
        </w:rPr>
        <w:t>At the end of the first quarter of 2016, we had $709.9 million of real estate inventory on hand, comprised of $317.8 million of finished goods, $30.0 million of work-in-progress and $362.1 million of land and infrastructure. We expect to continue to sell excess Ritz-Carlton branded inventory through the MVCD program or bulk sale transactions in order to generate incremental cash and reduce related carrying costs.</w:t>
      </w:r>
    </w:p>
    <w:p>
      <w:pPr>
        <w:spacing w:after="0" w:line="57" w:lineRule="exact"/>
        <w:rPr>
          <w:sz w:val="20"/>
          <w:szCs w:val="20"/>
          <w:color w:val="auto"/>
        </w:rPr>
      </w:pPr>
    </w:p>
    <w:p>
      <w:pPr>
        <w:ind w:right="60" w:firstLine="1141"/>
        <w:spacing w:after="0" w:line="273" w:lineRule="auto"/>
        <w:rPr>
          <w:sz w:val="20"/>
          <w:szCs w:val="20"/>
          <w:color w:val="auto"/>
        </w:rPr>
      </w:pPr>
      <w:r>
        <w:rPr>
          <w:rFonts w:ascii="Arial" w:cs="Arial" w:eastAsia="Arial" w:hAnsi="Arial"/>
          <w:sz w:val="17"/>
          <w:szCs w:val="17"/>
          <w:color w:val="auto"/>
        </w:rPr>
        <w:t>Our vacation ownership product offerings allow us to utilize our real estate inventory efficiently. The majority of our sales are of a points-based product,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real estate inventory acquisitions with the pace of sales of vacation ownership products.</w:t>
      </w:r>
    </w:p>
    <w:p>
      <w:pPr>
        <w:spacing w:after="0" w:line="70" w:lineRule="exact"/>
        <w:rPr>
          <w:sz w:val="20"/>
          <w:szCs w:val="20"/>
          <w:color w:val="auto"/>
        </w:rPr>
      </w:pPr>
    </w:p>
    <w:p>
      <w:pPr>
        <w:ind w:right="220" w:firstLine="1141"/>
        <w:spacing w:after="0" w:line="259" w:lineRule="auto"/>
        <w:rPr>
          <w:sz w:val="20"/>
          <w:szCs w:val="20"/>
          <w:color w:val="auto"/>
        </w:rPr>
      </w:pPr>
      <w:r>
        <w:rPr>
          <w:rFonts w:ascii="Arial" w:cs="Arial" w:eastAsia="Arial" w:hAnsi="Arial"/>
          <w:sz w:val="18"/>
          <w:szCs w:val="18"/>
          <w:color w:val="auto"/>
        </w:rPr>
        <w:t>We are selectively pursuing growth opportunities in North America and Asia by targeting high-quality inventory that would allow us to add desirable new destinations to our system with new on-site sales locations through transactions that limit our up-front capital investment and allow us to purchase finished inventory closer to the time it is needed for sale. These capital efficient deals may consist of the development of new inventory, or the conversion of previously built units by third parties, just prior to sale.</w:t>
      </w:r>
    </w:p>
    <w:p>
      <w:pPr>
        <w:spacing w:after="0" w:line="79" w:lineRule="exact"/>
        <w:rPr>
          <w:sz w:val="20"/>
          <w:szCs w:val="20"/>
          <w:color w:val="auto"/>
        </w:rPr>
      </w:pPr>
    </w:p>
    <w:p>
      <w:pPr>
        <w:ind w:right="180" w:firstLine="1141"/>
        <w:spacing w:after="0" w:line="277" w:lineRule="auto"/>
        <w:rPr>
          <w:sz w:val="20"/>
          <w:szCs w:val="20"/>
          <w:color w:val="auto"/>
        </w:rPr>
      </w:pPr>
      <w:r>
        <w:rPr>
          <w:rFonts w:ascii="Arial" w:cs="Arial" w:eastAsia="Arial" w:hAnsi="Arial"/>
          <w:sz w:val="18"/>
          <w:szCs w:val="18"/>
          <w:color w:val="auto"/>
        </w:rPr>
        <w:t>We intend for our capital allocation strategy to strike a balance between enhancing our operations and using our capital to provide returns to our shareholders through programs such as share repurchase programs and payment of dividends.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1141"/>
        <w:spacing w:after="0" w:line="308" w:lineRule="auto"/>
        <w:rPr>
          <w:sz w:val="20"/>
          <w:szCs w:val="20"/>
          <w:color w:val="auto"/>
        </w:rPr>
      </w:pPr>
      <w:r>
        <w:rPr>
          <w:rFonts w:ascii="Arial" w:cs="Arial" w:eastAsia="Arial" w:hAnsi="Arial"/>
          <w:sz w:val="17"/>
          <w:szCs w:val="17"/>
          <w:color w:val="auto"/>
        </w:rPr>
        <w:t>During the twelve weeks ended March 25, 2016, we had a net decrease in cash and cash equivalents of $70.4 million compared to a net decrease of $74.3 million during the twelve weeks ended March 27, 2015. The following table summarizes these changes:</w:t>
      </w:r>
    </w:p>
    <w:p>
      <w:pPr>
        <w:spacing w:after="0" w:line="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14"/>
                <w:szCs w:val="14"/>
                <w:color w:val="auto"/>
              </w:rPr>
            </w:pPr>
          </w:p>
        </w:tc>
        <w:tc>
          <w:tcPr>
            <w:tcW w:w="3060" w:type="dxa"/>
            <w:vAlign w:val="bottom"/>
            <w:gridSpan w:val="5"/>
          </w:tcPr>
          <w:p>
            <w:pPr>
              <w:ind w:left="7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7220" w:type="dxa"/>
            <w:vAlign w:val="bottom"/>
            <w:tcBorders>
              <w:bottom w:val="single" w:sz="8" w:color="CCEEFF"/>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March 25, 2016</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March 27, 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9,878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32,069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9,811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8"/>
                <w:szCs w:val="18"/>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(90,667)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change in exchange rates on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(70,448)</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140"/>
        <w:spacing w:after="0"/>
        <w:rPr>
          <w:sz w:val="20"/>
          <w:szCs w:val="20"/>
          <w:color w:val="auto"/>
        </w:rPr>
      </w:pPr>
      <w:r>
        <w:rPr>
          <w:rFonts w:ascii="Arial" w:cs="Arial" w:eastAsia="Arial" w:hAnsi="Arial"/>
          <w:sz w:val="18"/>
          <w:szCs w:val="18"/>
          <w:i w:val="1"/>
          <w:iCs w:val="1"/>
          <w:u w:val="single" w:color="auto"/>
          <w:color w:val="auto"/>
        </w:rPr>
        <w:t>Cash from Operating Activities</w:t>
      </w:r>
    </w:p>
    <w:p>
      <w:pPr>
        <w:spacing w:after="0" w:line="117" w:lineRule="exact"/>
        <w:rPr>
          <w:sz w:val="20"/>
          <w:szCs w:val="20"/>
          <w:color w:val="auto"/>
        </w:rPr>
      </w:pPr>
    </w:p>
    <w:p>
      <w:pPr>
        <w:ind w:firstLine="1141"/>
        <w:spacing w:after="0" w:line="259"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the acquisition of additional inventory and funding our working capital needs.</w:t>
      </w:r>
    </w:p>
    <w:p>
      <w:pPr>
        <w:spacing w:after="0" w:line="79" w:lineRule="exact"/>
        <w:rPr>
          <w:sz w:val="20"/>
          <w:szCs w:val="20"/>
          <w:color w:val="auto"/>
        </w:rPr>
      </w:pPr>
    </w:p>
    <w:p>
      <w:pPr>
        <w:ind w:right="40" w:firstLine="1141"/>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of sales contracts for vacation ownership products, financing propensity and cash outlays for real estate inventory acquisition and development.</w:t>
      </w:r>
    </w:p>
    <w:p>
      <w:pPr>
        <w:spacing w:after="0" w:line="80" w:lineRule="exact"/>
        <w:rPr>
          <w:sz w:val="20"/>
          <w:szCs w:val="20"/>
          <w:color w:val="auto"/>
        </w:rPr>
      </w:pPr>
    </w:p>
    <w:p>
      <w:pPr>
        <w:ind w:right="180" w:firstLine="1141"/>
        <w:spacing w:after="0" w:line="276" w:lineRule="auto"/>
        <w:rPr>
          <w:sz w:val="20"/>
          <w:szCs w:val="20"/>
          <w:color w:val="auto"/>
        </w:rPr>
      </w:pPr>
      <w:r>
        <w:rPr>
          <w:rFonts w:ascii="Arial" w:cs="Arial" w:eastAsia="Arial" w:hAnsi="Arial"/>
          <w:sz w:val="17"/>
          <w:szCs w:val="17"/>
          <w:color w:val="auto"/>
        </w:rPr>
        <w:t>In the twelve weeks ended March 25, 2016, we generated $9.9 million of cash flows from operating activities, compared to $32.1 million in the twelve weeks ended March 27, 2015. Excluding the impact of changes in net income and adjustments for non-cash items, the decrease in cash flows reflects higher financing propensity due to the new financing program implemented in the second quarter of 2015, lower collections due to the reduction in the portfolio of outstanding vacation ownership notes receivable and timing of payments to property owners’ associations for maintenance fees collected on their behalf partially offset by lower payments on the liability for the Marriott Rewards customer loyalty program.</w:t>
      </w:r>
    </w:p>
    <w:p>
      <w:pPr>
        <w:spacing w:after="0" w:line="6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In the twelve weeks ended March 27, 2015, we recorded residential contract sales of $28.4 million associated with the sale of 18 units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03" w:lineRule="exact"/>
        <w:rPr>
          <w:sz w:val="20"/>
          <w:szCs w:val="20"/>
          <w:color w:val="auto"/>
        </w:rPr>
      </w:pPr>
    </w:p>
    <w:p>
      <w:pPr>
        <w:ind w:right="660" w:firstLine="1141"/>
        <w:spacing w:after="0" w:line="277" w:lineRule="auto"/>
        <w:rPr>
          <w:sz w:val="20"/>
          <w:szCs w:val="20"/>
          <w:color w:val="auto"/>
        </w:rPr>
      </w:pPr>
      <w:r>
        <w:rPr>
          <w:rFonts w:ascii="Arial" w:cs="Arial" w:eastAsia="Arial" w:hAnsi="Arial"/>
          <w:sz w:val="18"/>
          <w:szCs w:val="18"/>
          <w:color w:val="auto"/>
        </w:rPr>
        <w:t>In addition to net income and adjustments for non-cash items, the following operating activities are key drivers of our cash flow from operating activities:</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Real Estate Inventory Spending In Excess of Cost of Sales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14"/>
                <w:szCs w:val="14"/>
                <w:color w:val="auto"/>
              </w:rPr>
            </w:pPr>
          </w:p>
        </w:tc>
        <w:tc>
          <w:tcPr>
            <w:tcW w:w="3060" w:type="dxa"/>
            <w:vAlign w:val="bottom"/>
            <w:gridSpan w:val="5"/>
          </w:tcPr>
          <w:p>
            <w:pPr>
              <w:ind w:left="7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7220" w:type="dxa"/>
            <w:vAlign w:val="bottom"/>
            <w:tcBorders>
              <w:bottom w:val="single" w:sz="8" w:color="CCEEFF"/>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March 25, 2016</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March 27, 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Real estate inventory spending</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(48,126)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Purchase of operating property for future conversion to inventory</w:t>
            </w:r>
          </w:p>
        </w:tc>
        <w:tc>
          <w:tcPr>
            <w:tcW w:w="220" w:type="dxa"/>
            <w:vAlign w:val="bottom"/>
          </w:tcPr>
          <w:p>
            <w:pPr>
              <w:spacing w:after="0"/>
              <w:rPr>
                <w:sz w:val="18"/>
                <w:szCs w:val="18"/>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(46,614)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Real estate inventory costs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33,014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Real estate inventory spending in excess of cost of sales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(15,112)</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1141"/>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Statements of Income related to sale of vacation ownership products (a non-cash item).</w:t>
      </w:r>
    </w:p>
    <w:p>
      <w:pPr>
        <w:spacing w:after="0" w:line="16" w:lineRule="exact"/>
        <w:rPr>
          <w:sz w:val="20"/>
          <w:szCs w:val="20"/>
          <w:color w:val="auto"/>
        </w:rPr>
      </w:pPr>
    </w:p>
    <w:p>
      <w:pPr>
        <w:ind w:right="20" w:firstLine="1141"/>
        <w:spacing w:after="0" w:line="279" w:lineRule="auto"/>
        <w:rPr>
          <w:sz w:val="20"/>
          <w:szCs w:val="20"/>
          <w:color w:val="auto"/>
        </w:rPr>
      </w:pPr>
      <w:r>
        <w:rPr>
          <w:rFonts w:ascii="Arial" w:cs="Arial" w:eastAsia="Arial" w:hAnsi="Arial"/>
          <w:sz w:val="17"/>
          <w:szCs w:val="17"/>
          <w:color w:val="auto"/>
        </w:rPr>
        <w:t>Our real estate inventory spending exceeded real estate inventory costs in the twelve weeks ended March 25, 2016, as a result of our opportunistic acquisition efforts. Real estate inventory spending included $23.5 million for the acquisition of an operating property located in the South Beach area of Miami Beach, Florida. We intend to convert this property, in its entirety, into vacation ownership interests for future use in our MVCD program. See Footnote No. 5, “Acquisitions and Dispositions,” to our Financial Statements for additional information regarding this transaction.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1141"/>
        <w:spacing w:after="0" w:line="255" w:lineRule="auto"/>
        <w:rPr>
          <w:sz w:val="20"/>
          <w:szCs w:val="20"/>
          <w:color w:val="auto"/>
        </w:rPr>
      </w:pPr>
      <w:r>
        <w:rPr>
          <w:rFonts w:ascii="Arial" w:cs="Arial" w:eastAsia="Arial" w:hAnsi="Arial"/>
          <w:sz w:val="18"/>
          <w:szCs w:val="18"/>
          <w:color w:val="auto"/>
        </w:rPr>
        <w:t>During the twelve weeks ended March 27, 2015, we capitalized on the opportunity to add a premier destination to our portfolio through the acquisition of an operating property in San Diego, California. In order to ensure consistency with the expected related future cash flow presentation, $46.6 million of the cash purchase price allocated to property and equipment was included as an operating activity in the Purchase of operating property for future conversion to inventory line on our Cash Flows. See Footnote No. 5, “Acquisitions and Dispositions,” to our Financial Statements for additional information regarding this transaction. In the twelve weeks ended March 25, 2016, we began conversion of this property into vacation ownership interests for future use in our MVCD program.</w:t>
      </w:r>
    </w:p>
    <w:p>
      <w:pPr>
        <w:spacing w:after="0" w:line="8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Real estate inventory costs for the twelve weeks ended March 27, 2015 included $21.6 million related to the sale of the residential units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03" w:lineRule="exact"/>
        <w:rPr>
          <w:sz w:val="20"/>
          <w:szCs w:val="20"/>
          <w:color w:val="auto"/>
        </w:rPr>
      </w:pPr>
    </w:p>
    <w:p>
      <w:pPr>
        <w:jc w:val="both"/>
        <w:ind w:right="140" w:firstLine="1141"/>
        <w:spacing w:after="0" w:line="264"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Notes Receivable Collections in Excess of New Mortgages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14"/>
                <w:szCs w:val="14"/>
                <w:color w:val="auto"/>
              </w:rPr>
            </w:pPr>
          </w:p>
        </w:tc>
        <w:tc>
          <w:tcPr>
            <w:tcW w:w="3340" w:type="dxa"/>
            <w:vAlign w:val="bottom"/>
            <w:gridSpan w:val="5"/>
          </w:tcPr>
          <w:p>
            <w:pPr>
              <w:ind w:left="8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7820" w:type="dxa"/>
            <w:vAlign w:val="bottom"/>
            <w:tcBorders>
              <w:bottom w:val="single" w:sz="8" w:color="CCEEFF"/>
            </w:tcBorders>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March 25, 2016</w:t>
            </w:r>
          </w:p>
        </w:tc>
        <w:tc>
          <w:tcPr>
            <w:tcW w:w="1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March 27, 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collections — non-securitized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19,376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ind w:left="574"/>
              <w:spacing w:after="0"/>
              <w:rPr>
                <w:sz w:val="20"/>
                <w:szCs w:val="20"/>
                <w:color w:val="auto"/>
              </w:rPr>
            </w:pPr>
            <w:r>
              <w:rPr>
                <w:rFonts w:ascii="Arial" w:cs="Arial" w:eastAsia="Arial" w:hAnsi="Arial"/>
                <w:sz w:val="18"/>
                <w:szCs w:val="18"/>
                <w:color w:val="auto"/>
                <w:w w:val="90"/>
              </w:rPr>
              <w:t>19,074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Vacation ownership notes receivable collections — securitized</w:t>
            </w:r>
          </w:p>
        </w:tc>
        <w:tc>
          <w:tcPr>
            <w:tcW w:w="26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41,156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left="574"/>
              <w:spacing w:after="0"/>
              <w:rPr>
                <w:sz w:val="20"/>
                <w:szCs w:val="20"/>
                <w:color w:val="auto"/>
              </w:rPr>
            </w:pPr>
            <w:r>
              <w:rPr>
                <w:rFonts w:ascii="Arial" w:cs="Arial" w:eastAsia="Arial" w:hAnsi="Arial"/>
                <w:sz w:val="18"/>
                <w:szCs w:val="18"/>
                <w:color w:val="auto"/>
                <w:w w:val="90"/>
              </w:rPr>
              <w:t>48,444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originations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(57,524)</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ind w:left="534"/>
              <w:spacing w:after="0"/>
              <w:rPr>
                <w:sz w:val="20"/>
                <w:szCs w:val="20"/>
                <w:color w:val="auto"/>
              </w:rPr>
            </w:pPr>
            <w:r>
              <w:rPr>
                <w:rFonts w:ascii="Arial" w:cs="Arial" w:eastAsia="Arial" w:hAnsi="Arial"/>
                <w:sz w:val="18"/>
                <w:szCs w:val="18"/>
                <w:color w:val="auto"/>
                <w:w w:val="92"/>
              </w:rPr>
              <w:t>(48,946)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Vacation ownership notes receivable collections in excess of originations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3,008</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center"/>
              <w:ind w:left="574"/>
              <w:spacing w:after="0"/>
              <w:rPr>
                <w:sz w:val="20"/>
                <w:szCs w:val="20"/>
                <w:color w:val="auto"/>
              </w:rPr>
            </w:pPr>
            <w:r>
              <w:rPr>
                <w:rFonts w:ascii="Arial" w:cs="Arial" w:eastAsia="Arial" w:hAnsi="Arial"/>
                <w:sz w:val="18"/>
                <w:szCs w:val="18"/>
                <w:color w:val="auto"/>
                <w:w w:val="90"/>
              </w:rPr>
              <w:t>18,572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1141"/>
        <w:spacing w:after="0" w:line="286" w:lineRule="auto"/>
        <w:rPr>
          <w:sz w:val="20"/>
          <w:szCs w:val="20"/>
          <w:color w:val="auto"/>
        </w:rPr>
      </w:pPr>
      <w:r>
        <w:rPr>
          <w:rFonts w:ascii="Arial" w:cs="Arial" w:eastAsia="Arial" w:hAnsi="Arial"/>
          <w:sz w:val="16"/>
          <w:szCs w:val="16"/>
          <w:color w:val="auto"/>
        </w:rPr>
        <w:t>Vacation ownership notes receivable collections include principal from non-securitized and securitized vacation ownership notes receivable. Vacation ownership notes receivable collections declined during the twelve weeks ended March 25, 2016 as compared to the twelve weeks ended March 27, 2015 due to the reduction in the portfolio of outstanding vacation ownership notes receivable. Vacation ownership notes receivable originations in the twelve weeks ended March 25, 2016 increased due to an increase in financing propensity to 58.5 percent for the twelve weeks ended March 25, 2016 compared to</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43.8 percent for the twelve weeks ended March 27, 2015 due to a new financing incentive program implemented in our North America segment in the second quarter of 2015. Given the success of this program to date, we expect financing propensity levels to remain higher than the 40 to 45 percent that we have been averaging in recent years.</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8"/>
          <w:szCs w:val="18"/>
          <w:i w:val="1"/>
          <w:iCs w:val="1"/>
          <w:u w:val="single" w:color="auto"/>
          <w:color w:val="auto"/>
        </w:rPr>
        <w:t>Cash from Investing Activities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14"/>
                <w:szCs w:val="14"/>
                <w:color w:val="auto"/>
              </w:rPr>
            </w:pPr>
          </w:p>
        </w:tc>
        <w:tc>
          <w:tcPr>
            <w:tcW w:w="3340" w:type="dxa"/>
            <w:vAlign w:val="bottom"/>
            <w:gridSpan w:val="5"/>
          </w:tcPr>
          <w:p>
            <w:pPr>
              <w:ind w:left="86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7820" w:type="dxa"/>
            <w:vAlign w:val="bottom"/>
            <w:tcBorders>
              <w:bottom w:val="single" w:sz="8" w:color="CCEEFF"/>
            </w:tcBorders>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March 25, 2016</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March 27, 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26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16,133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47,103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Dispositions, net</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tcPr>
          <w:p>
            <w:pPr>
              <w:ind w:left="90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9,811</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36,738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right="560" w:firstLine="1141"/>
        <w:spacing w:after="0" w:line="277"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w:t>
      </w:r>
    </w:p>
    <w:p>
      <w:pPr>
        <w:spacing w:after="0" w:line="62" w:lineRule="exact"/>
        <w:rPr>
          <w:sz w:val="20"/>
          <w:szCs w:val="20"/>
          <w:color w:val="auto"/>
        </w:rPr>
      </w:pPr>
    </w:p>
    <w:p>
      <w:pPr>
        <w:jc w:val="both"/>
        <w:ind w:right="140" w:firstLine="1141"/>
        <w:spacing w:after="0" w:line="342" w:lineRule="auto"/>
        <w:rPr>
          <w:sz w:val="20"/>
          <w:szCs w:val="20"/>
          <w:color w:val="auto"/>
        </w:rPr>
      </w:pPr>
      <w:r>
        <w:rPr>
          <w:rFonts w:ascii="Arial" w:cs="Arial" w:eastAsia="Arial" w:hAnsi="Arial"/>
          <w:sz w:val="16"/>
          <w:szCs w:val="16"/>
          <w:color w:val="auto"/>
        </w:rPr>
        <w:t>In the twelve weeks ended March 25, 2016, capital expenditures for property and equipment of $6.3 million included $4.7 million to support business operations (including $0.9 million for ancillary and operations assets and $3.8 million for sales location) and $1.6 million for technology spending.</w:t>
      </w:r>
    </w:p>
    <w:p>
      <w:pPr>
        <w:spacing w:after="0" w:line="16" w:lineRule="exact"/>
        <w:rPr>
          <w:sz w:val="20"/>
          <w:szCs w:val="20"/>
          <w:color w:val="auto"/>
        </w:rPr>
      </w:pPr>
    </w:p>
    <w:p>
      <w:pPr>
        <w:ind w:right="40" w:firstLine="1141"/>
        <w:spacing w:after="0" w:line="257" w:lineRule="auto"/>
        <w:rPr>
          <w:sz w:val="20"/>
          <w:szCs w:val="20"/>
          <w:color w:val="auto"/>
        </w:rPr>
      </w:pPr>
      <w:r>
        <w:rPr>
          <w:rFonts w:ascii="Arial" w:cs="Arial" w:eastAsia="Arial" w:hAnsi="Arial"/>
          <w:sz w:val="18"/>
          <w:szCs w:val="18"/>
          <w:color w:val="auto"/>
        </w:rPr>
        <w:t>In the twelve weeks ended March 27, 2015, capital expenditures for property and equipment of $10.6 million included $9.3 million to support business operations (including $8.5 million for ancillary and operations assets and $0.8 million for sales locations other than the operating property in San Diego, California), and $1.3 million for technology spending. The capital expenditures for ancillary and operations assets included $7.7 million associated with the purchase price allocation for the operating property in San Diego, California. See Footnote No. 5, “Acquisitions and Dispositions,” to our Financial Statements for additional information regarding the San Diego transaction.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Decrease in Restricted Cash</w:t>
      </w:r>
    </w:p>
    <w:p>
      <w:pPr>
        <w:spacing w:after="0" w:line="117" w:lineRule="exact"/>
        <w:rPr>
          <w:sz w:val="20"/>
          <w:szCs w:val="20"/>
          <w:color w:val="auto"/>
        </w:rPr>
      </w:pPr>
    </w:p>
    <w:p>
      <w:pPr>
        <w:jc w:val="both"/>
        <w:ind w:right="540" w:firstLine="1141"/>
        <w:spacing w:after="0" w:line="259" w:lineRule="auto"/>
        <w:rPr>
          <w:sz w:val="20"/>
          <w:szCs w:val="20"/>
          <w:color w:val="auto"/>
        </w:rPr>
      </w:pPr>
      <w:r>
        <w:rPr>
          <w:rFonts w:ascii="Arial" w:cs="Arial" w:eastAsia="Arial" w:hAnsi="Arial"/>
          <w:sz w:val="18"/>
          <w:szCs w:val="18"/>
          <w:color w:val="auto"/>
        </w:rPr>
        <w:t>Restricted cash primarily consists of cash held in reserve accounts related to vacation ownership notes receivable securitizations, cash collected for maintenance fees to be remitted to property owners’ associations and deposits received, primarily associated with tour package sales and vacation ownership product sales that are held in escrow until the associated contract has closed or the period in which it can be rescinded has expired, depending on applicable legal requirements.</w:t>
      </w:r>
    </w:p>
    <w:p>
      <w:pPr>
        <w:spacing w:after="0" w:line="79" w:lineRule="exact"/>
        <w:rPr>
          <w:sz w:val="20"/>
          <w:szCs w:val="20"/>
          <w:color w:val="auto"/>
        </w:rPr>
      </w:pPr>
    </w:p>
    <w:p>
      <w:pPr>
        <w:ind w:firstLine="1141"/>
        <w:spacing w:after="0" w:line="279" w:lineRule="auto"/>
        <w:rPr>
          <w:sz w:val="20"/>
          <w:szCs w:val="20"/>
          <w:color w:val="auto"/>
        </w:rPr>
      </w:pPr>
      <w:r>
        <w:rPr>
          <w:rFonts w:ascii="Arial" w:cs="Arial" w:eastAsia="Arial" w:hAnsi="Arial"/>
          <w:sz w:val="17"/>
          <w:szCs w:val="17"/>
          <w:color w:val="auto"/>
        </w:rPr>
        <w:t>The decrease in restricted cash in the twelve weeks ended March 25, 2016 reflected $17.5 million of higher cash distributions for maintenance fees remitted to certain property owners’ associations subsequent to the end of 2015, $2.1 million of higher cash distributed to investors in connection with securitized vacation ownership notes receivable subsequent to the end of 2015 and a $0.5 million decrease in property refurbishment reserves for the Surfers Paradise property, partially offset by a $4.0 million increase in cash associated with vacation ownership sales held in escrow.</w:t>
      </w:r>
    </w:p>
    <w:p>
      <w:pPr>
        <w:spacing w:after="0" w:line="63" w:lineRule="exact"/>
        <w:rPr>
          <w:sz w:val="20"/>
          <w:szCs w:val="20"/>
          <w:color w:val="auto"/>
        </w:rPr>
      </w:pPr>
    </w:p>
    <w:p>
      <w:pPr>
        <w:ind w:firstLine="1141"/>
        <w:spacing w:after="0" w:line="257" w:lineRule="auto"/>
        <w:rPr>
          <w:sz w:val="20"/>
          <w:szCs w:val="20"/>
          <w:color w:val="auto"/>
        </w:rPr>
      </w:pPr>
      <w:r>
        <w:rPr>
          <w:rFonts w:ascii="Arial" w:cs="Arial" w:eastAsia="Arial" w:hAnsi="Arial"/>
          <w:sz w:val="18"/>
          <w:szCs w:val="18"/>
          <w:color w:val="auto"/>
        </w:rPr>
        <w:t>The decrease in restricted cash in the twelve weeks ended March 27, 2015 reflected $48.0 million of higher cash distributions for maintenance fees remitted to certain property owners’ associations subsequent to the end of 2014, $6.6 million of higher cash distributed to investors in connection with securitized vacation ownership notes receivable subsequent to the end of 2014 and a $0.1 million decrease in funds required to be held in escrow to guarantee our credit card business in the Asia Pacific segment, partially offset by a $6.8 million increase in cash associated with vacation ownership sales held in escrow.</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8"/>
          <w:szCs w:val="18"/>
          <w:i w:val="1"/>
          <w:iCs w:val="1"/>
          <w:u w:val="single" w:color="auto"/>
          <w:color w:val="auto"/>
        </w:rPr>
        <w:t>Cash from Financing Activities</w:t>
      </w:r>
    </w:p>
    <w:p>
      <w:pPr>
        <w:spacing w:after="0" w:line="122"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70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14"/>
                <w:szCs w:val="14"/>
                <w:color w:val="auto"/>
              </w:rPr>
            </w:pPr>
          </w:p>
        </w:tc>
        <w:tc>
          <w:tcPr>
            <w:tcW w:w="3300" w:type="dxa"/>
            <w:vAlign w:val="bottom"/>
            <w:gridSpan w:val="5"/>
          </w:tcPr>
          <w:p>
            <w:pPr>
              <w:ind w:left="8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42"/>
        </w:trPr>
        <w:tc>
          <w:tcPr>
            <w:tcW w:w="7040" w:type="dxa"/>
            <w:vAlign w:val="bottom"/>
            <w:tcBorders>
              <w:bottom w:val="single" w:sz="8" w:color="CCEEFF"/>
            </w:tcBorders>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March 25, 2016</w:t>
            </w: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March 27, 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Borrowings from securitization transactions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51,130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Repayment of debt related to securitizations</w:t>
            </w:r>
          </w:p>
        </w:tc>
        <w:tc>
          <w:tcPr>
            <w:tcW w:w="260" w:type="dxa"/>
            <w:vAlign w:val="bottom"/>
          </w:tcPr>
          <w:p>
            <w:pPr>
              <w:spacing w:after="0"/>
              <w:rPr>
                <w:sz w:val="18"/>
                <w:szCs w:val="18"/>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(47,711)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(78,811)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vacation ownership inventory arrangement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260" w:type="dxa"/>
            <w:vAlign w:val="bottom"/>
          </w:tcPr>
          <w:p>
            <w:pPr>
              <w:spacing w:after="0"/>
              <w:rPr>
                <w:sz w:val="18"/>
                <w:szCs w:val="18"/>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(73,228)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(51,281)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(17,585)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Proceeds from stock option exercises</w:t>
            </w:r>
          </w:p>
        </w:tc>
        <w:tc>
          <w:tcPr>
            <w:tcW w:w="26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Payment of withholding taxes on vesting of restricted stock units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(3,864)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(90,667)</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Borrowings from / Repayments of Debt Related to Securitization Transactions</w:t>
      </w:r>
    </w:p>
    <w:p>
      <w:pPr>
        <w:spacing w:after="0" w:line="117" w:lineRule="exact"/>
        <w:rPr>
          <w:sz w:val="20"/>
          <w:szCs w:val="20"/>
          <w:color w:val="auto"/>
        </w:rPr>
      </w:pPr>
    </w:p>
    <w:p>
      <w:pPr>
        <w:ind w:right="160" w:firstLine="1141"/>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9" w:lineRule="exact"/>
        <w:rPr>
          <w:sz w:val="20"/>
          <w:szCs w:val="20"/>
          <w:color w:val="auto"/>
        </w:rPr>
      </w:pPr>
    </w:p>
    <w:p>
      <w:pPr>
        <w:ind w:right="120" w:firstLine="1141"/>
        <w:spacing w:after="0" w:line="259" w:lineRule="auto"/>
        <w:rPr>
          <w:sz w:val="20"/>
          <w:szCs w:val="20"/>
          <w:color w:val="auto"/>
        </w:rPr>
      </w:pPr>
      <w:r>
        <w:rPr>
          <w:rFonts w:ascii="Arial" w:cs="Arial" w:eastAsia="Arial" w:hAnsi="Arial"/>
          <w:sz w:val="18"/>
          <w:szCs w:val="18"/>
          <w:color w:val="auto"/>
        </w:rPr>
        <w:t>On February 24, 2016, we made a draw on the Warehouse Credit Facility. The carrying amount of the notes receivable securitized was $60.2 million. The advance rate was 85 percent, which resulted in gross proceeds of $51.1 million. Net proceeds were $50.7 million due to the funding of reserve accounts in the amount of $0.4 million. At March 25, 2016, $50.7 million was outstanding under the Warehouse Credit Facility and $102.3 million of gross vacation ownership notes receivable were eligible for securitization.</w:t>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Proceeds from Vacation Ownership Inventory Arrangement</w:t>
      </w:r>
    </w:p>
    <w:p>
      <w:pPr>
        <w:spacing w:after="0" w:line="117" w:lineRule="exact"/>
        <w:rPr>
          <w:sz w:val="20"/>
          <w:szCs w:val="20"/>
          <w:color w:val="auto"/>
        </w:rPr>
      </w:pPr>
    </w:p>
    <w:p>
      <w:pPr>
        <w:ind w:right="100" w:firstLine="1141"/>
        <w:spacing w:after="0" w:line="271" w:lineRule="auto"/>
        <w:rPr>
          <w:sz w:val="20"/>
          <w:szCs w:val="20"/>
          <w:color w:val="auto"/>
        </w:rPr>
      </w:pPr>
      <w:r>
        <w:rPr>
          <w:rFonts w:ascii="Arial" w:cs="Arial" w:eastAsia="Arial" w:hAnsi="Arial"/>
          <w:sz w:val="17"/>
          <w:szCs w:val="17"/>
          <w:color w:val="auto"/>
        </w:rPr>
        <w:t>In connection with our initiative of pursuing growth opportunities in ways that optimize the timing of our capital investments, including working with third parties to develop new inventory or convert previously built units to be sold to us close to when we need such inventory for sale, we sold real property located in Marco Island, Florida during the first quarter of 2015 to a third-party developer. Pursuant to this transaction, we are obligated to repurchase the completed property from the developer contingent upon the property meeting our brand standards and provided that the third-party developer has not sold the property to another party. As discussed in Footnote No. 5, “Acquisitions and Dispositions,” to our Financial Statements, we received cash proceeds of $5.4 million upon the sale of this real property. In accordance with the authoritative guidance on accounting for sales of real estate, our conditional obligation to repurchase the property constitutes continuing involvement and thus we were unable to account for this transaction as a sale, and as such have recorded these proceeds as a financing activity.</w:t>
      </w:r>
    </w:p>
    <w:p>
      <w:pPr>
        <w:spacing w:after="0" w:line="179"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right="320" w:firstLine="1141"/>
        <w:spacing w:after="0" w:line="264" w:lineRule="auto"/>
        <w:rPr>
          <w:sz w:val="20"/>
          <w:szCs w:val="20"/>
          <w:color w:val="auto"/>
        </w:rPr>
      </w:pPr>
      <w:r>
        <w:rPr>
          <w:rFonts w:ascii="Arial" w:cs="Arial" w:eastAsia="Arial" w:hAnsi="Arial"/>
          <w:sz w:val="18"/>
          <w:szCs w:val="18"/>
          <w:color w:val="auto"/>
        </w:rPr>
        <w:t>During the twelve weeks ended March 25, 2016, we repurchased 1,326,982 shares of our common stock at an average price of $55.18 per share for a total of $73.2 million. See Footnote No. 11, “Shareholders’ Equity,” to our Financial Statements for further information related to our share repurchase program.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80" w:firstLine="1141"/>
        <w:spacing w:after="0" w:line="264" w:lineRule="auto"/>
        <w:rPr>
          <w:sz w:val="20"/>
          <w:szCs w:val="20"/>
          <w:color w:val="auto"/>
        </w:rPr>
      </w:pPr>
      <w:r>
        <w:rPr>
          <w:rFonts w:ascii="Arial" w:cs="Arial" w:eastAsia="Arial" w:hAnsi="Arial"/>
          <w:sz w:val="18"/>
          <w:szCs w:val="18"/>
          <w:color w:val="auto"/>
        </w:rPr>
        <w:t>On December 8, 2015, our Board of Directors declared a quarterly dividend of $0.30 per share to shareholders of record as of December 21, 2015, which we paid on January 6, 2016. Also, on February 11, 2016, our Board of Directors declared a quarterly dividend of $0.30 per share to shareholders of record as of February 25, 2016, which we paid on March 10, 2016.</w:t>
      </w:r>
    </w:p>
    <w:p>
      <w:pPr>
        <w:spacing w:after="0" w:line="73" w:lineRule="exact"/>
        <w:rPr>
          <w:sz w:val="20"/>
          <w:szCs w:val="20"/>
          <w:color w:val="auto"/>
        </w:rPr>
      </w:pPr>
    </w:p>
    <w:p>
      <w:pPr>
        <w:ind w:right="100" w:firstLine="1141"/>
        <w:spacing w:after="0" w:line="276" w:lineRule="auto"/>
        <w:rPr>
          <w:sz w:val="20"/>
          <w:szCs w:val="20"/>
          <w:color w:val="auto"/>
        </w:rPr>
      </w:pPr>
      <w:r>
        <w:rPr>
          <w:rFonts w:ascii="Arial" w:cs="Arial" w:eastAsia="Arial" w:hAnsi="Arial"/>
          <w:sz w:val="17"/>
          <w:szCs w:val="17"/>
          <w:color w:val="auto"/>
        </w:rPr>
        <w:t>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Revolving Corporate Credit Facility contains restrictions on our ability to pay dividends, and the terms of agreements governing debt that we may incur in the future may also limit or prohibit dividend payments. Accordingly, there can be no assurance that we will pay dividends in the future at the same rate or at all.</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right="80" w:firstLine="1141"/>
        <w:spacing w:after="0" w:line="271" w:lineRule="auto"/>
        <w:rPr>
          <w:sz w:val="20"/>
          <w:szCs w:val="20"/>
          <w:color w:val="auto"/>
        </w:rPr>
      </w:pPr>
      <w:r>
        <w:rPr>
          <w:rFonts w:ascii="Arial" w:cs="Arial" w:eastAsia="Arial" w:hAnsi="Arial"/>
          <w:sz w:val="17"/>
          <w:szCs w:val="17"/>
          <w:color w:val="auto"/>
        </w:rPr>
        <w:t>There have been no significant changes to our “Contractual Obligations and Off-Balance Sheet Arrangements” as reported in “Management’s Discussion and Analysis of Financial Condition and Results of Operations,” in our Annual Report on Form 10-K for the year ended January 1, 2016, other than those discussed below. As of March 25, 2016, debt, net increased by $10.4 million to $689.2 million compared to $678.8 million at January 1, 2016, mainly due to $50.7 million of net proceeds drawn on the Warehouse Credit Facility and $7.2 million related to non-cash acquisitions of property via capital leases, partially offset by a decrease of $47.3 million related to repayments of non-recourse gross debt associated with vacation ownership notes receivable securitizations. As of March 25, 2016, future debt payments to be paid out of collections from our vacation ownership notes receivable, including principal and interest, totaled $755.8 million and are due as follows: $92.5 million in 2016; $105.5 million in 2017; $141.8 million in 2018; $84.2 million in 2019; $79.5 million in 2020; and $252.3 million thereafter.</w:t>
      </w:r>
    </w:p>
    <w:p>
      <w:pPr>
        <w:spacing w:after="0" w:line="71" w:lineRule="exact"/>
        <w:rPr>
          <w:sz w:val="20"/>
          <w:szCs w:val="20"/>
          <w:color w:val="auto"/>
        </w:rPr>
      </w:pPr>
    </w:p>
    <w:p>
      <w:pPr>
        <w:ind w:right="200" w:firstLine="1141"/>
        <w:spacing w:after="0" w:line="277" w:lineRule="auto"/>
        <w:rPr>
          <w:sz w:val="20"/>
          <w:szCs w:val="20"/>
          <w:color w:val="auto"/>
        </w:rPr>
      </w:pPr>
      <w:r>
        <w:rPr>
          <w:rFonts w:ascii="Arial" w:cs="Arial" w:eastAsia="Arial" w:hAnsi="Arial"/>
          <w:sz w:val="18"/>
          <w:szCs w:val="18"/>
          <w:color w:val="auto"/>
        </w:rPr>
        <w:t>We expect to exercise our option to redeem the mandatorily redeemable preferred stock of a consolidated subsidiary at par in October 2016, although we are not required to redeem it until October 2021.</w:t>
      </w:r>
    </w:p>
    <w:p>
      <w:pPr>
        <w:spacing w:after="0" w:line="62" w:lineRule="exact"/>
        <w:rPr>
          <w:sz w:val="20"/>
          <w:szCs w:val="20"/>
          <w:color w:val="auto"/>
        </w:rPr>
      </w:pPr>
    </w:p>
    <w:p>
      <w:pPr>
        <w:ind w:right="120" w:firstLine="1141"/>
        <w:spacing w:after="0" w:line="273" w:lineRule="auto"/>
        <w:rPr>
          <w:sz w:val="20"/>
          <w:szCs w:val="20"/>
          <w:color w:val="auto"/>
        </w:rPr>
      </w:pPr>
      <w:r>
        <w:rPr>
          <w:rFonts w:ascii="Arial" w:cs="Arial" w:eastAsia="Arial" w:hAnsi="Arial"/>
          <w:sz w:val="17"/>
          <w:szCs w:val="17"/>
          <w:color w:val="auto"/>
        </w:rPr>
        <w:t>We have commitments to purchase vacation ownership units located in two resorts in Bali, Indonesia in two separate transactions, contingent upon completion of construction at agreed upon standards within specified timeframes, for use in our Asia Pacific segment. We expect to complete the acquisition of 51 vacation ownership units in 2017 pursuant to one of the commitments, and to make payments with respect to these units, when specific construction milestones are completed as follows: $4.7 million in 2016 and $19.0 million in 2017. We expect to complete the acquisition of 88 vacation ownership units in 2019 pursuant to the other commitment, and to make payments with respect to these units, when specific construction milestones are completed, as follows: $7.8 million in 2016, $5.9 million in 2018, and $25.4 million in 2019.</w:t>
      </w:r>
    </w:p>
    <w:p>
      <w:pPr>
        <w:spacing w:after="0" w:line="70" w:lineRule="exact"/>
        <w:rPr>
          <w:sz w:val="20"/>
          <w:szCs w:val="20"/>
          <w:color w:val="auto"/>
        </w:rPr>
      </w:pPr>
    </w:p>
    <w:p>
      <w:pPr>
        <w:ind w:right="120" w:firstLine="1141"/>
        <w:spacing w:after="0" w:line="259" w:lineRule="auto"/>
        <w:rPr>
          <w:sz w:val="20"/>
          <w:szCs w:val="20"/>
          <w:color w:val="auto"/>
        </w:rPr>
      </w:pPr>
      <w:r>
        <w:rPr>
          <w:rFonts w:ascii="Arial" w:cs="Arial" w:eastAsia="Arial" w:hAnsi="Arial"/>
          <w:sz w:val="18"/>
          <w:szCs w:val="18"/>
          <w:color w:val="auto"/>
        </w:rPr>
        <w:t>We have a commitment to purchase an operating property located in New York, New York for $158.5 million. We expect to acquire the units in the property, in their current form, over time, and we expect to make payments for these units of $96.8 million and $61.7 million in 2018 and 2019, respectively. See Footnote No. 8, “Contingencies and Commitments,” and Footnote No. 13, “Variable Interest Entities,” to our Financial Statements for additional information on this transaction.</w:t>
      </w:r>
    </w:p>
    <w:p>
      <w:pPr>
        <w:spacing w:after="0" w:line="79" w:lineRule="exact"/>
        <w:rPr>
          <w:sz w:val="20"/>
          <w:szCs w:val="20"/>
          <w:color w:val="auto"/>
        </w:rPr>
      </w:pPr>
    </w:p>
    <w:p>
      <w:pPr>
        <w:ind w:firstLine="1141"/>
        <w:spacing w:after="0" w:line="286" w:lineRule="auto"/>
        <w:rPr>
          <w:sz w:val="20"/>
          <w:szCs w:val="20"/>
          <w:color w:val="auto"/>
        </w:rPr>
      </w:pPr>
      <w:r>
        <w:rPr>
          <w:rFonts w:ascii="Arial" w:cs="Arial" w:eastAsia="Arial" w:hAnsi="Arial"/>
          <w:sz w:val="16"/>
          <w:szCs w:val="16"/>
          <w:color w:val="auto"/>
        </w:rPr>
        <w:t>We have historically issued guarantees to certain lenders in connection with the provision of third-party financing for our sales of vacation ownership products. The terms of these guarantees generally require us to fund if the purchaser fails to pay under the terms of its note payable. We are entitled to recover any payments we make to third-party lenders under these guarantees through reacquisition and resale of the vacation ownership product. Our commitments under these guarantees expire as the underlying notes mature or are repaid. Our maximum exposure under such guarantees as of March 25,</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2016 in the Asia Pacific and North America segments was $4.8 million and $2.9 million, respectively. The terms of the underlying debt to third-party lenders extend to 2022.</w:t>
      </w:r>
    </w:p>
    <w:p>
      <w:pPr>
        <w:spacing w:after="0" w:line="76" w:lineRule="exact"/>
        <w:rPr>
          <w:sz w:val="20"/>
          <w:szCs w:val="20"/>
          <w:color w:val="auto"/>
        </w:rPr>
      </w:pPr>
    </w:p>
    <w:p>
      <w:pPr>
        <w:ind w:firstLine="1141"/>
        <w:spacing w:after="0" w:line="277" w:lineRule="auto"/>
        <w:rPr>
          <w:sz w:val="20"/>
          <w:szCs w:val="20"/>
          <w:color w:val="auto"/>
        </w:rPr>
      </w:pPr>
      <w:r>
        <w:rPr>
          <w:rFonts w:ascii="Arial" w:cs="Arial" w:eastAsia="Arial" w:hAnsi="Arial"/>
          <w:sz w:val="18"/>
          <w:szCs w:val="18"/>
          <w:color w:val="auto"/>
        </w:rPr>
        <w:t>For additional information on these guarantees and the circumstances under which they were entered into, see the “Guarantees” caption within Footnote No. 8, “Contingencies and Commitments,” to our Financial Statements.</w:t>
      </w:r>
    </w:p>
    <w:p>
      <w:pPr>
        <w:spacing w:after="0" w:line="62" w:lineRule="exact"/>
        <w:rPr>
          <w:sz w:val="20"/>
          <w:szCs w:val="20"/>
          <w:color w:val="auto"/>
        </w:rPr>
      </w:pPr>
    </w:p>
    <w:p>
      <w:pPr>
        <w:ind w:right="140" w:firstLine="1141"/>
        <w:spacing w:after="0" w:line="264" w:lineRule="auto"/>
        <w:rPr>
          <w:sz w:val="20"/>
          <w:szCs w:val="20"/>
          <w:color w:val="auto"/>
        </w:rPr>
      </w:pPr>
      <w:r>
        <w:rPr>
          <w:rFonts w:ascii="Arial" w:cs="Arial" w:eastAsia="Arial" w:hAnsi="Arial"/>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0" w:firstLine="1141"/>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79" w:lineRule="exact"/>
        <w:rPr>
          <w:sz w:val="20"/>
          <w:szCs w:val="20"/>
          <w:color w:val="auto"/>
        </w:rPr>
      </w:pPr>
    </w:p>
    <w:p>
      <w:pPr>
        <w:ind w:right="80" w:firstLine="1141"/>
        <w:spacing w:after="0" w:line="264"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 We have discussed</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Our exposure to market risk has not changed materially from that disclosed in our Annual Report on Form 10-K for the year ended January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35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40" w:firstLine="1141"/>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169"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00" w:firstLine="1141"/>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1141"/>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No. 8,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3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20" w:firstLine="1141"/>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I, Item 1A of our Annual Report on Form 10-K for the fiscal year ended January 1, 2016.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2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Total Number</w:t>
            </w:r>
          </w:p>
        </w:tc>
        <w:tc>
          <w:tcPr>
            <w:tcW w:w="160" w:type="dxa"/>
            <w:vAlign w:val="bottom"/>
          </w:tcPr>
          <w:p>
            <w:pPr>
              <w:spacing w:after="0"/>
              <w:rPr>
                <w:sz w:val="12"/>
                <w:szCs w:val="12"/>
                <w:color w:val="auto"/>
              </w:rPr>
            </w:pPr>
          </w:p>
        </w:tc>
        <w:tc>
          <w:tcPr>
            <w:tcW w:w="10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2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20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Price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2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800" w:type="dxa"/>
            <w:vAlign w:val="bottom"/>
            <w:gridSpan w:val="2"/>
            <w:vMerge w:val="continue"/>
          </w:tcPr>
          <w:p>
            <w:pPr>
              <w:spacing w:after="0"/>
              <w:rPr>
                <w:sz w:val="14"/>
                <w:szCs w:val="14"/>
                <w:color w:val="auto"/>
              </w:rPr>
            </w:pPr>
          </w:p>
        </w:tc>
        <w:tc>
          <w:tcPr>
            <w:tcW w:w="1200" w:type="dxa"/>
            <w:vAlign w:val="bottom"/>
          </w:tcPr>
          <w:p>
            <w:pPr>
              <w:jc w:val="right"/>
              <w:ind w:right="238"/>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per Share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2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10"/>
        </w:trPr>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2016 – January 29, 2016</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475,000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50.54</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475,000</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1,570,917</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January 30, 2016 – February 26, 2016</w:t>
            </w:r>
          </w:p>
        </w:tc>
        <w:tc>
          <w:tcPr>
            <w:tcW w:w="1200" w:type="dxa"/>
            <w:vAlign w:val="bottom"/>
          </w:tcPr>
          <w:p>
            <w:pPr>
              <w:jc w:val="right"/>
              <w:ind w:right="158"/>
              <w:spacing w:after="0"/>
              <w:rPr>
                <w:sz w:val="20"/>
                <w:szCs w:val="20"/>
                <w:color w:val="auto"/>
              </w:rPr>
            </w:pPr>
            <w:r>
              <w:rPr>
                <w:rFonts w:ascii="Arial" w:cs="Arial" w:eastAsia="Arial" w:hAnsi="Arial"/>
                <w:sz w:val="18"/>
                <w:szCs w:val="18"/>
                <w:color w:val="auto"/>
              </w:rPr>
              <w:t>474,965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51.99</w:t>
            </w:r>
          </w:p>
        </w:tc>
        <w:tc>
          <w:tcPr>
            <w:tcW w:w="120" w:type="dxa"/>
            <w:vAlign w:val="bottom"/>
          </w:tcPr>
          <w:p>
            <w:pPr>
              <w:spacing w:after="0"/>
              <w:rPr>
                <w:sz w:val="18"/>
                <w:szCs w:val="18"/>
                <w:color w:val="auto"/>
              </w:rPr>
            </w:pPr>
          </w:p>
        </w:tc>
        <w:tc>
          <w:tcPr>
            <w:tcW w:w="1260" w:type="dxa"/>
            <w:vAlign w:val="bottom"/>
          </w:tcPr>
          <w:p>
            <w:pPr>
              <w:jc w:val="right"/>
              <w:ind w:right="141"/>
              <w:spacing w:after="0"/>
              <w:rPr>
                <w:sz w:val="20"/>
                <w:szCs w:val="20"/>
                <w:color w:val="auto"/>
              </w:rPr>
            </w:pPr>
            <w:r>
              <w:rPr>
                <w:rFonts w:ascii="Arial" w:cs="Arial" w:eastAsia="Arial" w:hAnsi="Arial"/>
                <w:sz w:val="18"/>
                <w:szCs w:val="18"/>
                <w:color w:val="auto"/>
              </w:rPr>
              <w:t>474,965</w:t>
            </w:r>
          </w:p>
        </w:tc>
        <w:tc>
          <w:tcPr>
            <w:tcW w:w="20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3,095,952</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27, 2016 – March 25, 2016</w:t>
            </w:r>
          </w:p>
        </w:tc>
        <w:tc>
          <w:tcPr>
            <w:tcW w:w="120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377,017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65.06</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377,017</w:t>
            </w:r>
          </w:p>
        </w:tc>
        <w:tc>
          <w:tcPr>
            <w:tcW w:w="20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2,718,935</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1,326,982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55.18</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8"/>
                <w:szCs w:val="18"/>
                <w:color w:val="auto"/>
              </w:rPr>
              <w:t>1,326,982</w:t>
            </w:r>
          </w:p>
        </w:tc>
        <w:tc>
          <w:tcPr>
            <w:tcW w:w="20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2,718,935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90" w:lineRule="exact"/>
        <w:rPr>
          <w:sz w:val="20"/>
          <w:szCs w:val="20"/>
          <w:color w:val="auto"/>
        </w:rPr>
      </w:pPr>
    </w:p>
    <w:p>
      <w:pPr>
        <w:jc w:val="both"/>
        <w:ind w:left="460" w:right="80" w:hanging="452"/>
        <w:spacing w:after="0" w:line="312"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6"/>
          <w:szCs w:val="16"/>
          <w:color w:val="auto"/>
        </w:rPr>
        <w:t>On February 11, 2016, our Board of Directors approved the repurchase of up to an additional 2,000,000 shares of our common stock under our existing share repurchase program prior to March 24, 2017. Prior to that authorization, our Board of Directors had authorized the repurchase of an aggregate of up to 8,900,000 shares of our common stock under the share repurchase program since the initiation of the program in October 2013.</w:t>
      </w:r>
    </w:p>
    <w:p>
      <w:pPr>
        <w:spacing w:after="0" w:line="1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800" w:firstLine="1141"/>
        <w:spacing w:after="0" w:line="277" w:lineRule="auto"/>
        <w:rPr>
          <w:sz w:val="20"/>
          <w:szCs w:val="20"/>
          <w:color w:val="auto"/>
        </w:rPr>
      </w:pPr>
      <w:r>
        <w:rPr>
          <w:rFonts w:ascii="Arial" w:cs="Arial" w:eastAsia="Arial" w:hAnsi="Arial"/>
          <w:sz w:val="18"/>
          <w:szCs w:val="18"/>
          <w:color w:val="auto"/>
        </w:rPr>
        <w:t>Exhibits filed or furnished as a part of this Quarterly Report on Form 10-Q are listed on the Index to Exhibits on page E-1, which is incorporated by reference 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1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MARRIOTT VACATIONS WORLDWIDE CORPORATION</w:t>
      </w:r>
    </w:p>
    <w:p>
      <w:pPr>
        <w:spacing w:after="0" w:line="225" w:lineRule="exact"/>
        <w:rPr>
          <w:sz w:val="20"/>
          <w:szCs w:val="20"/>
          <w:color w:val="auto"/>
        </w:rPr>
      </w:pPr>
    </w:p>
    <w:p>
      <w:pPr>
        <w:spacing w:after="0"/>
        <w:tabs>
          <w:tab w:leader="none" w:pos="6500" w:val="left"/>
        </w:tabs>
        <w:rPr>
          <w:sz w:val="20"/>
          <w:szCs w:val="20"/>
          <w:color w:val="auto"/>
        </w:rPr>
      </w:pPr>
      <w:r>
        <w:rPr>
          <w:rFonts w:ascii="Arial" w:cs="Arial" w:eastAsia="Arial" w:hAnsi="Arial"/>
          <w:sz w:val="18"/>
          <w:szCs w:val="18"/>
          <w:color w:val="auto"/>
        </w:rPr>
        <w:t>April 28, 2016</w:t>
      </w:r>
      <w:r>
        <w:rPr>
          <w:sz w:val="20"/>
          <w:szCs w:val="20"/>
          <w:color w:val="auto"/>
        </w:rPr>
        <w:tab/>
      </w:r>
      <w:r>
        <w:rPr>
          <w:rFonts w:ascii="Arial" w:cs="Arial" w:eastAsia="Arial" w:hAnsi="Arial"/>
          <w:sz w:val="15"/>
          <w:szCs w:val="15"/>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Executive Vice President and Chief Financial Officer</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60"/>
          </w:cols>
          <w:pgMar w:left="24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20"/>
          </w:cols>
          <w:pgMar w:left="240" w:top="459" w:right="239" w:bottom="1440" w:gutter="0" w:footer="0" w:header="0"/>
        </w:sectPr>
      </w:pPr>
    </w:p>
    <w:p>
      <w:pPr>
        <w:spacing w:after="0" w:line="248" w:lineRule="exact"/>
        <w:rPr>
          <w:sz w:val="20"/>
          <w:szCs w:val="20"/>
          <w:color w:val="auto"/>
        </w:rPr>
      </w:pPr>
    </w:p>
    <w:p>
      <w:pPr>
        <w:jc w:val="center"/>
        <w:ind w:left="16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1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657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484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15240</wp:posOffset>
            </wp:positionV>
            <wp:extent cx="64401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40170" cy="8890"/>
                    </a:xfrm>
                    <a:prstGeom prst="rect">
                      <a:avLst/>
                    </a:prstGeom>
                    <a:noFill/>
                  </pic:spPr>
                </pic:pic>
              </a:graphicData>
            </a:graphic>
          </wp:anchor>
        </w:drawing>
      </w:r>
    </w:p>
    <w:p>
      <w:pPr>
        <w:spacing w:after="0" w:line="11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Restated Certificate of Incorporation of Marriott Vacations Worldwide Corporation (incorporated by reference to Exhibit 3.1 to the Company’s Current Report on Form 8-K filed on November 22, 2011).</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Restated Bylaws of Marriott Vacations Worldwide Corporation (incorporated by reference to Exhibit 3.2 to the Company’s Current Report on Form 8-K filed on November 22, 2011).</w:t>
      </w:r>
    </w:p>
    <w:p>
      <w:pPr>
        <w:spacing w:after="0" w:line="62" w:lineRule="exact"/>
        <w:rPr>
          <w:sz w:val="20"/>
          <w:szCs w:val="20"/>
          <w:color w:val="auto"/>
        </w:rPr>
      </w:pPr>
    </w:p>
    <w:p>
      <w:pPr>
        <w:sectPr>
          <w:pgSz w:w="11900" w:h="16838" w:orient="portrait"/>
          <w:cols w:equalWidth="0" w:num="2">
            <w:col w:w="740" w:space="420"/>
            <w:col w:w="10260"/>
          </w:cols>
          <w:pgMar w:left="240" w:top="459" w:right="239" w:bottom="1440" w:gutter="0" w:footer="0" w:header="0"/>
          <w:type w:val="continuous"/>
        </w:sectPr>
      </w:pPr>
    </w:p>
    <w:tbl>
      <w:tblPr>
        <w:tblLayout w:type="fixed"/>
        <w:tblInd w:w="200" w:type="dxa"/>
        <w:tblCellMar>
          <w:top w:w="0" w:type="dxa"/>
          <w:left w:w="0" w:type="dxa"/>
          <w:bottom w:w="0" w:type="dxa"/>
          <w:right w:w="0" w:type="dxa"/>
        </w:tblCellMar>
      </w:tblPr>
      <w:tr>
        <w:trPr>
          <w:trHeight w:val="216"/>
        </w:trPr>
        <w:tc>
          <w:tcPr>
            <w:tcW w:w="82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10300" w:type="dxa"/>
            <w:vAlign w:val="bottom"/>
          </w:tcPr>
          <w:p>
            <w:pPr>
              <w:ind w:left="140"/>
              <w:spacing w:after="0"/>
              <w:rPr>
                <w:sz w:val="20"/>
                <w:szCs w:val="20"/>
                <w:color w:val="auto"/>
              </w:rPr>
            </w:pPr>
            <w:r>
              <w:rPr>
                <w:rFonts w:ascii="Arial" w:cs="Arial" w:eastAsia="Arial" w:hAnsi="Arial"/>
                <w:sz w:val="18"/>
                <w:szCs w:val="18"/>
                <w:color w:val="auto"/>
                <w:w w:val="97"/>
              </w:rPr>
              <w:t>Second Amendment, dated as of April 1, 2016, to the Second Amended and Restated Credit Agreement, among Marriott Vacations</w:t>
            </w:r>
          </w:p>
        </w:tc>
      </w:tr>
      <w:tr>
        <w:trPr>
          <w:trHeight w:val="216"/>
        </w:trPr>
        <w:tc>
          <w:tcPr>
            <w:tcW w:w="820" w:type="dxa"/>
            <w:vAlign w:val="bottom"/>
          </w:tcPr>
          <w:p>
            <w:pPr>
              <w:spacing w:after="0"/>
              <w:rPr>
                <w:sz w:val="18"/>
                <w:szCs w:val="18"/>
                <w:color w:val="auto"/>
              </w:rPr>
            </w:pPr>
          </w:p>
        </w:tc>
        <w:tc>
          <w:tcPr>
            <w:tcW w:w="10300" w:type="dxa"/>
            <w:vAlign w:val="bottom"/>
          </w:tcPr>
          <w:p>
            <w:pPr>
              <w:ind w:left="140"/>
              <w:spacing w:after="0"/>
              <w:rPr>
                <w:sz w:val="20"/>
                <w:szCs w:val="20"/>
                <w:color w:val="auto"/>
              </w:rPr>
            </w:pPr>
            <w:r>
              <w:rPr>
                <w:rFonts w:ascii="Arial" w:cs="Arial" w:eastAsia="Arial" w:hAnsi="Arial"/>
                <w:sz w:val="18"/>
                <w:szCs w:val="18"/>
                <w:color w:val="auto"/>
                <w:w w:val="95"/>
              </w:rPr>
              <w:t>Worldwide Corporation, Marriott Ownership Resorts, Inc., the several banks and other financial institutions or entities from time to time</w:t>
            </w:r>
          </w:p>
        </w:tc>
      </w:tr>
      <w:tr>
        <w:trPr>
          <w:trHeight w:val="216"/>
        </w:trPr>
        <w:tc>
          <w:tcPr>
            <w:tcW w:w="820" w:type="dxa"/>
            <w:vAlign w:val="bottom"/>
          </w:tcPr>
          <w:p>
            <w:pPr>
              <w:spacing w:after="0"/>
              <w:rPr>
                <w:sz w:val="18"/>
                <w:szCs w:val="18"/>
                <w:color w:val="auto"/>
              </w:rPr>
            </w:pPr>
          </w:p>
        </w:tc>
        <w:tc>
          <w:tcPr>
            <w:tcW w:w="10300" w:type="dxa"/>
            <w:vAlign w:val="bottom"/>
          </w:tcPr>
          <w:p>
            <w:pPr>
              <w:ind w:left="140"/>
              <w:spacing w:after="0"/>
              <w:rPr>
                <w:sz w:val="20"/>
                <w:szCs w:val="20"/>
                <w:color w:val="auto"/>
              </w:rPr>
            </w:pPr>
            <w:r>
              <w:rPr>
                <w:rFonts w:ascii="Arial" w:cs="Arial" w:eastAsia="Arial" w:hAnsi="Arial"/>
                <w:sz w:val="18"/>
                <w:szCs w:val="18"/>
                <w:color w:val="auto"/>
                <w:w w:val="94"/>
              </w:rPr>
              <w:t>parties thereto, JPMorgan Chase Bank, N.A., as administrative agent, Bank of America, N.A. and Deutsche Bank Securities Inc., as co-</w:t>
            </w:r>
          </w:p>
        </w:tc>
      </w:tr>
      <w:tr>
        <w:trPr>
          <w:trHeight w:val="216"/>
        </w:trPr>
        <w:tc>
          <w:tcPr>
            <w:tcW w:w="820" w:type="dxa"/>
            <w:vAlign w:val="bottom"/>
          </w:tcPr>
          <w:p>
            <w:pPr>
              <w:spacing w:after="0"/>
              <w:rPr>
                <w:sz w:val="18"/>
                <w:szCs w:val="18"/>
                <w:color w:val="auto"/>
              </w:rPr>
            </w:pPr>
          </w:p>
        </w:tc>
        <w:tc>
          <w:tcPr>
            <w:tcW w:w="10300" w:type="dxa"/>
            <w:vAlign w:val="bottom"/>
          </w:tcPr>
          <w:p>
            <w:pPr>
              <w:ind w:left="140"/>
              <w:spacing w:after="0"/>
              <w:rPr>
                <w:sz w:val="20"/>
                <w:szCs w:val="20"/>
                <w:color w:val="auto"/>
              </w:rPr>
            </w:pPr>
            <w:r>
              <w:rPr>
                <w:rFonts w:ascii="Arial" w:cs="Arial" w:eastAsia="Arial" w:hAnsi="Arial"/>
                <w:sz w:val="18"/>
                <w:szCs w:val="18"/>
                <w:color w:val="auto"/>
                <w:w w:val="90"/>
              </w:rPr>
              <w:t>syndication agents, and Bank of America, N.A. and Deutsche Bank Securities Inc., as co-documentation agents (incorporated by reference to</w:t>
            </w:r>
          </w:p>
        </w:tc>
      </w:tr>
      <w:tr>
        <w:trPr>
          <w:trHeight w:val="230"/>
        </w:trPr>
        <w:tc>
          <w:tcPr>
            <w:tcW w:w="820" w:type="dxa"/>
            <w:vAlign w:val="bottom"/>
          </w:tcPr>
          <w:p>
            <w:pPr>
              <w:spacing w:after="0"/>
              <w:rPr>
                <w:sz w:val="20"/>
                <w:szCs w:val="20"/>
                <w:color w:val="auto"/>
              </w:rPr>
            </w:pPr>
          </w:p>
        </w:tc>
        <w:tc>
          <w:tcPr>
            <w:tcW w:w="10300" w:type="dxa"/>
            <w:vAlign w:val="bottom"/>
          </w:tcPr>
          <w:p>
            <w:pPr>
              <w:ind w:left="140"/>
              <w:spacing w:after="0"/>
              <w:rPr>
                <w:sz w:val="20"/>
                <w:szCs w:val="20"/>
                <w:color w:val="auto"/>
              </w:rPr>
            </w:pPr>
            <w:r>
              <w:rPr>
                <w:rFonts w:ascii="Arial" w:cs="Arial" w:eastAsia="Arial" w:hAnsi="Arial"/>
                <w:sz w:val="18"/>
                <w:szCs w:val="18"/>
                <w:color w:val="auto"/>
              </w:rPr>
              <w:t>Exhibit 10.1 to the Company’s Current Report on Form 8-K filed on April 7, 2016).</w:t>
            </w:r>
          </w:p>
        </w:tc>
      </w:tr>
      <w:tr>
        <w:trPr>
          <w:trHeight w:val="324"/>
        </w:trPr>
        <w:tc>
          <w:tcPr>
            <w:tcW w:w="820" w:type="dxa"/>
            <w:vAlign w:val="bottom"/>
          </w:tcPr>
          <w:p>
            <w:pPr>
              <w:jc w:val="right"/>
              <w:ind w:right="190"/>
              <w:spacing w:after="0"/>
              <w:rPr>
                <w:sz w:val="20"/>
                <w:szCs w:val="20"/>
                <w:color w:val="auto"/>
              </w:rPr>
            </w:pPr>
            <w:r>
              <w:rPr>
                <w:rFonts w:ascii="Arial" w:cs="Arial" w:eastAsia="Arial" w:hAnsi="Arial"/>
                <w:sz w:val="18"/>
                <w:szCs w:val="18"/>
                <w:color w:val="auto"/>
              </w:rPr>
              <w:t>31.1</w:t>
            </w:r>
          </w:p>
        </w:tc>
        <w:tc>
          <w:tcPr>
            <w:tcW w:w="10300" w:type="dxa"/>
            <w:vAlign w:val="bottom"/>
          </w:tcPr>
          <w:p>
            <w:pPr>
              <w:ind w:left="1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820" w:type="dxa"/>
            <w:vAlign w:val="bottom"/>
          </w:tcPr>
          <w:p>
            <w:pPr>
              <w:jc w:val="right"/>
              <w:ind w:right="190"/>
              <w:spacing w:after="0"/>
              <w:rPr>
                <w:sz w:val="20"/>
                <w:szCs w:val="20"/>
                <w:color w:val="auto"/>
              </w:rPr>
            </w:pPr>
            <w:r>
              <w:rPr>
                <w:rFonts w:ascii="Arial" w:cs="Arial" w:eastAsia="Arial" w:hAnsi="Arial"/>
                <w:sz w:val="18"/>
                <w:szCs w:val="18"/>
                <w:color w:val="auto"/>
              </w:rPr>
              <w:t>31.2</w:t>
            </w:r>
          </w:p>
        </w:tc>
        <w:tc>
          <w:tcPr>
            <w:tcW w:w="1030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24"/>
        </w:trPr>
        <w:tc>
          <w:tcPr>
            <w:tcW w:w="820" w:type="dxa"/>
            <w:vAlign w:val="bottom"/>
          </w:tcPr>
          <w:p>
            <w:pPr>
              <w:jc w:val="right"/>
              <w:ind w:right="190"/>
              <w:spacing w:after="0"/>
              <w:rPr>
                <w:sz w:val="20"/>
                <w:szCs w:val="20"/>
                <w:color w:val="auto"/>
              </w:rPr>
            </w:pPr>
            <w:r>
              <w:rPr>
                <w:rFonts w:ascii="Arial" w:cs="Arial" w:eastAsia="Arial" w:hAnsi="Arial"/>
                <w:sz w:val="18"/>
                <w:szCs w:val="18"/>
                <w:color w:val="auto"/>
              </w:rPr>
              <w:t>32.1</w:t>
            </w:r>
          </w:p>
        </w:tc>
        <w:tc>
          <w:tcPr>
            <w:tcW w:w="10300" w:type="dxa"/>
            <w:vAlign w:val="bottom"/>
          </w:tcPr>
          <w:p>
            <w:pPr>
              <w:ind w:left="140"/>
              <w:spacing w:after="0"/>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tc>
      </w:tr>
      <w:tr>
        <w:trPr>
          <w:trHeight w:val="324"/>
        </w:trPr>
        <w:tc>
          <w:tcPr>
            <w:tcW w:w="820" w:type="dxa"/>
            <w:vAlign w:val="bottom"/>
          </w:tcPr>
          <w:p>
            <w:pPr>
              <w:jc w:val="right"/>
              <w:ind w:right="190"/>
              <w:spacing w:after="0"/>
              <w:rPr>
                <w:sz w:val="20"/>
                <w:szCs w:val="20"/>
                <w:color w:val="auto"/>
              </w:rPr>
            </w:pPr>
            <w:r>
              <w:rPr>
                <w:rFonts w:ascii="Arial" w:cs="Arial" w:eastAsia="Arial" w:hAnsi="Arial"/>
                <w:sz w:val="18"/>
                <w:szCs w:val="18"/>
                <w:color w:val="auto"/>
              </w:rPr>
              <w:t>32.2</w:t>
            </w:r>
          </w:p>
        </w:tc>
        <w:tc>
          <w:tcPr>
            <w:tcW w:w="1030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tc>
      </w:tr>
      <w:tr>
        <w:trPr>
          <w:trHeight w:val="32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2"/>
              </w:rPr>
              <w:t>101.INS</w:t>
            </w:r>
          </w:p>
        </w:tc>
        <w:tc>
          <w:tcPr>
            <w:tcW w:w="103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32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3"/>
              </w:rPr>
              <w:t>101.SCH</w:t>
            </w:r>
          </w:p>
        </w:tc>
        <w:tc>
          <w:tcPr>
            <w:tcW w:w="103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7"/>
              </w:rPr>
              <w:t>101.CAL</w:t>
            </w:r>
          </w:p>
        </w:tc>
        <w:tc>
          <w:tcPr>
            <w:tcW w:w="1030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0"/>
              </w:rPr>
              <w:t>101.DEF</w:t>
            </w:r>
          </w:p>
        </w:tc>
        <w:tc>
          <w:tcPr>
            <w:tcW w:w="1030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8"/>
              </w:rPr>
              <w:t>101.LAB</w:t>
            </w:r>
          </w:p>
        </w:tc>
        <w:tc>
          <w:tcPr>
            <w:tcW w:w="1030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101.PRE</w:t>
            </w:r>
          </w:p>
        </w:tc>
        <w:tc>
          <w:tcPr>
            <w:tcW w:w="1030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attached the following documents formatted in XBRL (Extensible Business Reporting Language) as Exhibit 101 to this report: (i) the Interim Consolidated Statements of Income for the twelve weeks ended March 25, 2016 and March 27, 2015, respectively; (ii) the Interim Consolidated Statements of Comprehensive Income for the twelve weeks ended March 25, 2016 and March 27, 2015, respectively; (iii) the Interim Consolidated Balance Sheets at March 25, 2016 and January 1, 2016; and (iv) the Interim Consolidated Statements of Cash Flows for the twelve weeks ended March 25, 2016 and March 27, 2015, respectively.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459" w:right="2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31"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30"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580" w:right="360" w:hanging="572"/>
        <w:spacing w:after="0" w:line="264"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140" w:right="60" w:hanging="565"/>
        <w:spacing w:after="0" w:line="264"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40" w:right="380" w:hanging="565"/>
        <w:spacing w:after="0" w:line="264"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40" w:right="60" w:hanging="565"/>
        <w:spacing w:after="0" w:line="264"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right="80" w:hanging="572"/>
        <w:spacing w:after="0" w:line="308" w:lineRule="auto"/>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40" w:right="800" w:hanging="565"/>
        <w:spacing w:after="0" w:line="342" w:lineRule="auto"/>
        <w:tabs>
          <w:tab w:leader="none" w:pos="11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40" w:right="480" w:hanging="565"/>
        <w:spacing w:after="0" w:line="277"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31"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30"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580" w:right="360" w:hanging="572"/>
        <w:spacing w:after="0" w:line="264"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140" w:right="60" w:hanging="565"/>
        <w:spacing w:after="0" w:line="264" w:lineRule="auto"/>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40" w:right="380" w:hanging="565"/>
        <w:spacing w:after="0" w:line="264" w:lineRule="auto"/>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40" w:right="60" w:hanging="565"/>
        <w:spacing w:after="0" w:line="264" w:lineRule="auto"/>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right="80" w:hanging="572"/>
        <w:spacing w:after="0" w:line="308" w:lineRule="auto"/>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40" w:right="800" w:hanging="565"/>
        <w:spacing w:after="0" w:line="342" w:lineRule="auto"/>
        <w:tabs>
          <w:tab w:leader="none" w:pos="11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40" w:right="480" w:hanging="565"/>
        <w:spacing w:after="0" w:line="277" w:lineRule="auto"/>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31" w:lineRule="exact"/>
        <w:rPr>
          <w:sz w:val="20"/>
          <w:szCs w:val="20"/>
          <w:color w:val="auto"/>
        </w:rPr>
      </w:pPr>
    </w:p>
    <w:p>
      <w:pPr>
        <w:ind w:left="580" w:right="820" w:hanging="572"/>
        <w:spacing w:after="0" w:line="308"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25, 2016 (the “Quarterly Report”), fully complies with the requirements of section 13(a) or 15(d) of the Securities Exchange Act of 1934 (15 U.S.C. 78m or 78o(d)); and</w:t>
      </w:r>
    </w:p>
    <w:p>
      <w:pPr>
        <w:spacing w:after="0" w:line="51" w:lineRule="exact"/>
        <w:rPr>
          <w:rFonts w:ascii="Arial" w:cs="Arial" w:eastAsia="Arial" w:hAnsi="Arial"/>
          <w:sz w:val="17"/>
          <w:szCs w:val="17"/>
          <w:color w:val="auto"/>
        </w:rPr>
      </w:pPr>
    </w:p>
    <w:p>
      <w:pPr>
        <w:ind w:left="580" w:right="500" w:hanging="572"/>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28, 2016</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 John E. Geller, Jr., Executive Vice President and Chief Financial Officer of Marriott Vacations Worldwide Corporation (the “Company”) certify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16" w:lineRule="exact"/>
        <w:rPr>
          <w:sz w:val="20"/>
          <w:szCs w:val="20"/>
          <w:color w:val="auto"/>
        </w:rPr>
      </w:pPr>
    </w:p>
    <w:p>
      <w:pPr>
        <w:ind w:left="580" w:right="820" w:hanging="572"/>
        <w:spacing w:after="0" w:line="308"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25, 2016 (the “Quarterly Report”), fully complies with the requirements of section 13(a) or 15(d) of the Securities Exchange Act of 1934 (15 U.S.C. 78m or 78o(d)); and</w:t>
      </w:r>
    </w:p>
    <w:p>
      <w:pPr>
        <w:spacing w:after="0" w:line="51" w:lineRule="exact"/>
        <w:rPr>
          <w:rFonts w:ascii="Arial" w:cs="Arial" w:eastAsia="Arial" w:hAnsi="Arial"/>
          <w:sz w:val="17"/>
          <w:szCs w:val="17"/>
          <w:color w:val="auto"/>
        </w:rPr>
      </w:pPr>
    </w:p>
    <w:p>
      <w:pPr>
        <w:ind w:left="580" w:right="500" w:hanging="572"/>
        <w:spacing w:after="0" w:line="277"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28, 2016</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4"/>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2019-12-29T11:30:44Z</dcterms:created>
  <dcterms:modified xsi:type="dcterms:W3CDTF">2019-12-29T11:30:44Z</dcterms:modified>
</cp:coreProperties>
</file>