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60"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2023</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50"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5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19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76"/>
        </w:trPr>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720" w:type="dxa"/>
            <w:vAlign w:val="bottom"/>
            <w:gridSpan w:val="8"/>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Commission File No. 001-35219</w:t>
            </w:r>
          </w:p>
        </w:tc>
        <w:tc>
          <w:tcPr>
            <w:tcW w:w="19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88"/>
        </w:trPr>
        <w:tc>
          <w:tcPr>
            <w:tcW w:w="2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2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gridSpan w:val="4"/>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gridSpan w:val="3"/>
          </w:tcPr>
          <w:p>
            <w:pPr>
              <w:spacing w:after="0"/>
              <w:rPr>
                <w:sz w:val="7"/>
                <w:szCs w:val="7"/>
                <w:color w:val="auto"/>
              </w:rPr>
            </w:pPr>
          </w:p>
        </w:tc>
        <w:tc>
          <w:tcPr>
            <w:tcW w:w="1760" w:type="dxa"/>
            <w:vAlign w:val="bottom"/>
          </w:tcPr>
          <w:p>
            <w:pPr>
              <w:spacing w:after="0"/>
              <w:rPr>
                <w:sz w:val="7"/>
                <w:szCs w:val="7"/>
                <w:color w:val="auto"/>
              </w:rPr>
            </w:pPr>
          </w:p>
        </w:tc>
      </w:tr>
      <w:tr>
        <w:trPr>
          <w:trHeight w:val="543"/>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760"/>
              <w:spacing w:after="0"/>
              <w:rPr>
                <w:sz w:val="20"/>
                <w:szCs w:val="20"/>
                <w:color w:val="auto"/>
              </w:rPr>
            </w:pPr>
            <w:r>
              <w:rPr>
                <w:rFonts w:ascii="Times New Roman" w:cs="Times New Roman" w:eastAsia="Times New Roman" w:hAnsi="Times New Roman"/>
                <w:sz w:val="31"/>
                <w:szCs w:val="31"/>
                <w:b w:val="1"/>
                <w:bCs w:val="1"/>
                <w:color w:val="auto"/>
                <w:w w:val="98"/>
              </w:rPr>
              <w:t>Marriott Vacations Worldwide Corporation</w:t>
            </w:r>
          </w:p>
        </w:tc>
      </w:tr>
      <w:tr>
        <w:trPr>
          <w:trHeight w:val="179"/>
        </w:trPr>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5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13"/>
        </w:trPr>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2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r>
      <w:tr>
        <w:trPr>
          <w:trHeight w:val="454"/>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20" w:type="dxa"/>
            <w:vAlign w:val="bottom"/>
            <w:gridSpan w:val="5"/>
          </w:tcPr>
          <w:p>
            <w:pPr>
              <w:jc w:val="center"/>
              <w:ind w:right="122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jc w:val="right"/>
              <w:ind w:right="902"/>
              <w:spacing w:after="0"/>
              <w:rPr>
                <w:sz w:val="20"/>
                <w:szCs w:val="20"/>
                <w:color w:val="auto"/>
              </w:rPr>
            </w:pPr>
            <w:r>
              <w:rPr>
                <w:rFonts w:ascii="Times New Roman" w:cs="Times New Roman" w:eastAsia="Times New Roman" w:hAnsi="Times New Roman"/>
                <w:sz w:val="17"/>
                <w:szCs w:val="17"/>
                <w:b w:val="1"/>
                <w:bCs w:val="1"/>
                <w:color w:val="auto"/>
              </w:rPr>
              <w:t>45-2598330</w:t>
            </w:r>
          </w:p>
        </w:tc>
        <w:tc>
          <w:tcPr>
            <w:tcW w:w="1760" w:type="dxa"/>
            <w:vAlign w:val="bottom"/>
          </w:tcPr>
          <w:p>
            <w:pPr>
              <w:spacing w:after="0"/>
              <w:rPr>
                <w:sz w:val="24"/>
                <w:szCs w:val="24"/>
                <w:color w:val="auto"/>
              </w:rPr>
            </w:pPr>
          </w:p>
        </w:tc>
      </w:tr>
      <w:tr>
        <w:trPr>
          <w:trHeight w:val="179"/>
        </w:trPr>
        <w:tc>
          <w:tcPr>
            <w:tcW w:w="240" w:type="dxa"/>
            <w:vAlign w:val="bottom"/>
          </w:tcPr>
          <w:p>
            <w:pPr>
              <w:spacing w:after="0"/>
              <w:rPr>
                <w:sz w:val="15"/>
                <w:szCs w:val="15"/>
                <w:color w:val="auto"/>
              </w:rPr>
            </w:pPr>
          </w:p>
        </w:tc>
        <w:tc>
          <w:tcPr>
            <w:tcW w:w="6180" w:type="dxa"/>
            <w:vAlign w:val="bottom"/>
            <w:gridSpan w:val="6"/>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 incorporation or organization)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80" w:type="dxa"/>
            <w:vAlign w:val="bottom"/>
            <w:gridSpan w:val="5"/>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268"/>
        </w:trPr>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4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7812 Palm Parkway</w:t>
            </w:r>
          </w:p>
        </w:tc>
        <w:tc>
          <w:tcPr>
            <w:tcW w:w="258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Orlando  FL</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102"/>
              <w:spacing w:after="0"/>
              <w:rPr>
                <w:sz w:val="20"/>
                <w:szCs w:val="20"/>
                <w:color w:val="auto"/>
              </w:rPr>
            </w:pPr>
            <w:r>
              <w:rPr>
                <w:rFonts w:ascii="Times New Roman" w:cs="Times New Roman" w:eastAsia="Times New Roman" w:hAnsi="Times New Roman"/>
                <w:sz w:val="17"/>
                <w:szCs w:val="17"/>
                <w:b w:val="1"/>
                <w:bCs w:val="1"/>
                <w:color w:val="auto"/>
              </w:rPr>
              <w:t>32836</w:t>
            </w:r>
          </w:p>
        </w:tc>
        <w:tc>
          <w:tcPr>
            <w:tcW w:w="1760" w:type="dxa"/>
            <w:vAlign w:val="bottom"/>
          </w:tcPr>
          <w:p>
            <w:pPr>
              <w:spacing w:after="0"/>
              <w:rPr>
                <w:sz w:val="23"/>
                <w:szCs w:val="23"/>
                <w:color w:val="auto"/>
              </w:rPr>
            </w:pPr>
          </w:p>
        </w:tc>
      </w:tr>
      <w:tr>
        <w:trPr>
          <w:trHeight w:val="179"/>
        </w:trPr>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5"/>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80" w:type="dxa"/>
            <w:vAlign w:val="bottom"/>
            <w:gridSpan w:val="2"/>
          </w:tcPr>
          <w:p>
            <w:pPr>
              <w:jc w:val="center"/>
              <w:ind w:right="2620"/>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77"/>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78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(407) 206-6000</w:t>
            </w:r>
          </w:p>
        </w:tc>
      </w:tr>
      <w:tr>
        <w:trPr>
          <w:trHeight w:val="262"/>
        </w:trPr>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 registered pursuant to Section 12(b) of the Act:</w:t>
            </w:r>
          </w:p>
        </w:tc>
        <w:tc>
          <w:tcPr>
            <w:tcW w:w="19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90"/>
        </w:trPr>
        <w:tc>
          <w:tcPr>
            <w:tcW w:w="240" w:type="dxa"/>
            <w:vAlign w:val="bottom"/>
          </w:tcPr>
          <w:p>
            <w:pPr>
              <w:spacing w:after="0"/>
              <w:rPr>
                <w:sz w:val="24"/>
                <w:szCs w:val="24"/>
                <w:color w:val="auto"/>
              </w:rPr>
            </w:pPr>
          </w:p>
        </w:tc>
        <w:tc>
          <w:tcPr>
            <w:tcW w:w="3600" w:type="dxa"/>
            <w:vAlign w:val="bottom"/>
            <w:tcBorders>
              <w:bottom w:val="single" w:sz="8" w:color="auto"/>
            </w:tcBorders>
            <w:gridSpan w:val="2"/>
          </w:tcPr>
          <w:p>
            <w:pPr>
              <w:jc w:val="center"/>
              <w:ind w:left="706"/>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gridSpan w:val="2"/>
          </w:tcPr>
          <w:p>
            <w:pPr>
              <w:jc w:val="center"/>
              <w:ind w:left="223"/>
              <w:spacing w:after="0"/>
              <w:rPr>
                <w:sz w:val="20"/>
                <w:szCs w:val="20"/>
                <w:color w:val="auto"/>
              </w:rPr>
            </w:pPr>
            <w:r>
              <w:rPr>
                <w:rFonts w:ascii="Times New Roman" w:cs="Times New Roman" w:eastAsia="Times New Roman" w:hAnsi="Times New Roman"/>
                <w:sz w:val="15"/>
                <w:szCs w:val="15"/>
                <w:b w:val="1"/>
                <w:bCs w:val="1"/>
                <w:color w:val="auto"/>
                <w:w w:val="99"/>
              </w:rPr>
              <w:t>Trading Symbol(s)</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5"/>
        </w:trPr>
        <w:tc>
          <w:tcPr>
            <w:tcW w:w="240" w:type="dxa"/>
            <w:vAlign w:val="bottom"/>
          </w:tcPr>
          <w:p>
            <w:pPr>
              <w:spacing w:after="0"/>
              <w:rPr>
                <w:sz w:val="16"/>
                <w:szCs w:val="16"/>
                <w:color w:val="auto"/>
              </w:rPr>
            </w:pPr>
          </w:p>
        </w:tc>
        <w:tc>
          <w:tcPr>
            <w:tcW w:w="3600" w:type="dxa"/>
            <w:vAlign w:val="bottom"/>
            <w:gridSpan w:val="2"/>
          </w:tcPr>
          <w:p>
            <w:pPr>
              <w:jc w:val="center"/>
              <w:ind w:left="706"/>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VAC</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8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88"/>
        </w:trPr>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20" w:type="dxa"/>
            <w:vAlign w:val="bottom"/>
            <w:gridSpan w:val="1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12(g) of the Act: NONE</w:t>
            </w:r>
          </w:p>
        </w:tc>
      </w:tr>
      <w:tr>
        <w:trPr>
          <w:trHeight w:val="75"/>
        </w:trPr>
        <w:tc>
          <w:tcPr>
            <w:tcW w:w="2000" w:type="dxa"/>
            <w:vAlign w:val="bottom"/>
            <w:gridSpan w:val="2"/>
          </w:tcPr>
          <w:p>
            <w:pPr>
              <w:spacing w:after="0"/>
              <w:rPr>
                <w:sz w:val="6"/>
                <w:szCs w:val="6"/>
                <w:color w:val="auto"/>
              </w:rPr>
            </w:pPr>
          </w:p>
        </w:tc>
        <w:tc>
          <w:tcPr>
            <w:tcW w:w="5340" w:type="dxa"/>
            <w:vAlign w:val="bottom"/>
            <w:tcBorders>
              <w:bottom w:val="single" w:sz="8" w:color="auto"/>
            </w:tcBorders>
            <w:gridSpan w:val="10"/>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760" w:type="dxa"/>
            <w:vAlign w:val="bottom"/>
          </w:tcPr>
          <w:p>
            <w:pPr>
              <w:spacing w:after="0"/>
              <w:rPr>
                <w:sz w:val="6"/>
                <w:szCs w:val="6"/>
                <w:color w:val="auto"/>
              </w:rPr>
            </w:pPr>
          </w:p>
        </w:tc>
      </w:tr>
      <w:tr>
        <w:trPr>
          <w:trHeight w:val="303"/>
        </w:trPr>
        <w:tc>
          <w:tcPr>
            <w:tcW w:w="7340" w:type="dxa"/>
            <w:vAlign w:val="bottom"/>
            <w:gridSpan w:val="12"/>
          </w:tcPr>
          <w:p>
            <w:pPr>
              <w:jc w:val="center"/>
              <w:ind w:right="14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3680" w:type="dxa"/>
            <w:vAlign w:val="bottom"/>
            <w:gridSpan w:val="2"/>
          </w:tcPr>
          <w:p>
            <w:pPr>
              <w:jc w:val="center"/>
              <w:ind w:right="268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r>
        <w:trPr>
          <w:trHeight w:val="258"/>
        </w:trPr>
        <w:tc>
          <w:tcPr>
            <w:tcW w:w="734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3680" w:type="dxa"/>
            <w:vAlign w:val="bottom"/>
            <w:gridSpan w:val="2"/>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spacing w:after="0" w:line="20" w:lineRule="exact"/>
        <w:rPr>
          <w:sz w:val="24"/>
          <w:szCs w:val="24"/>
          <w:color w:val="auto"/>
        </w:rPr>
      </w:pPr>
    </w:p>
    <w:p>
      <w:pPr>
        <w:ind w:right="28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14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80" w:type="dxa"/>
            <w:vAlign w:val="bottom"/>
            <w:vMerge w:val="restart"/>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tcPr>
          <w:p>
            <w:pPr>
              <w:ind w:left="234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80" w:type="dxa"/>
            <w:vAlign w:val="bottom"/>
            <w:vMerge w:val="continue"/>
          </w:tcPr>
          <w:p>
            <w:pPr>
              <w:spacing w:after="0"/>
              <w:rPr>
                <w:sz w:val="10"/>
                <w:szCs w:val="10"/>
                <w:color w:val="auto"/>
              </w:rPr>
            </w:pPr>
          </w:p>
        </w:tc>
        <w:tc>
          <w:tcPr>
            <w:tcW w:w="4420" w:type="dxa"/>
            <w:vAlign w:val="bottom"/>
            <w:vMerge w:val="restart"/>
          </w:tcPr>
          <w:p>
            <w:pPr>
              <w:ind w:left="23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80" w:type="dxa"/>
            <w:vAlign w:val="bottom"/>
            <w:vMerge w:val="continue"/>
          </w:tcPr>
          <w:p>
            <w:pPr>
              <w:spacing w:after="0"/>
              <w:rPr>
                <w:sz w:val="15"/>
                <w:szCs w:val="15"/>
                <w:color w:val="auto"/>
              </w:rPr>
            </w:pPr>
          </w:p>
        </w:tc>
        <w:tc>
          <w:tcPr>
            <w:tcW w:w="2780" w:type="dxa"/>
            <w:vAlign w:val="bottom"/>
            <w:vMerge w:val="restart"/>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420" w:type="dxa"/>
            <w:vAlign w:val="bottom"/>
            <w:vMerge w:val="continue"/>
          </w:tcPr>
          <w:p>
            <w:pPr>
              <w:spacing w:after="0"/>
              <w:rPr>
                <w:sz w:val="15"/>
                <w:szCs w:val="15"/>
                <w:color w:val="auto"/>
              </w:rPr>
            </w:pP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4420" w:type="dxa"/>
            <w:vAlign w:val="bottom"/>
            <w:vMerge w:val="restart"/>
          </w:tcPr>
          <w:p>
            <w:pPr>
              <w:ind w:left="2340"/>
              <w:spacing w:after="0"/>
              <w:rPr>
                <w:sz w:val="20"/>
                <w:szCs w:val="20"/>
                <w:color w:val="auto"/>
              </w:rPr>
            </w:pPr>
            <w:r>
              <w:rPr>
                <w:rFonts w:ascii="Times New Roman" w:cs="Times New Roman" w:eastAsia="Times New Roman" w:hAnsi="Times New Roman"/>
                <w:sz w:val="15"/>
                <w:szCs w:val="15"/>
                <w:color w:val="auto"/>
              </w:rPr>
              <w:t>Emerging growth company</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20" w:type="dxa"/>
            <w:vAlign w:val="bottom"/>
            <w:vMerge w:val="continue"/>
          </w:tcPr>
          <w:p>
            <w:pPr>
              <w:spacing w:after="0"/>
              <w:rPr>
                <w:sz w:val="15"/>
                <w:szCs w:val="15"/>
                <w:color w:val="auto"/>
              </w:rPr>
            </w:pPr>
          </w:p>
        </w:tc>
        <w:tc>
          <w:tcPr>
            <w:tcW w:w="560" w:type="dxa"/>
            <w:vAlign w:val="bottom"/>
            <w:vMerge w:val="restart"/>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ind w:right="560"/>
        <w:spacing w:after="0" w:line="20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1" w:lineRule="exact"/>
        <w:rPr>
          <w:sz w:val="24"/>
          <w:szCs w:val="24"/>
          <w:color w:val="auto"/>
        </w:rPr>
      </w:pPr>
    </w:p>
    <w:p>
      <w:pPr>
        <w:ind w:right="18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60"/>
        <w:spacing w:after="0" w:line="207"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8" w:lineRule="exact"/>
        <w:rPr>
          <w:sz w:val="24"/>
          <w:szCs w:val="24"/>
          <w:color w:val="auto"/>
        </w:rPr>
      </w:pPr>
    </w:p>
    <w:p>
      <w:pPr>
        <w:ind w:right="180"/>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3" w:lineRule="exact"/>
        <w:tabs>
          <w:tab w:leader="none" w:pos="6460" w:val="left"/>
          <w:tab w:leader="none" w:pos="70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65"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The aggregate market value of shares of common stock held by non-affiliates at June 30, 2023, was $4,420,874,607. There were 35,179,815 shares of common stock outstanding as of February 21, 2024.</w:t>
      </w:r>
    </w:p>
    <w:p>
      <w:pPr>
        <w:spacing w:after="0" w:line="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Portions of the Proxy Statement prepared for the 2024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363855</wp:posOffset>
            </wp:positionV>
            <wp:extent cx="716534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 w:name="page2"/>
    <w:bookmarkEnd w:id="1"/>
    <w:tbl>
      <w:tblPr>
        <w:tblLayout w:type="fixed"/>
        <w:tblInd w:w="360" w:type="dxa"/>
        <w:tblCellMar>
          <w:top w:w="0" w:type="dxa"/>
          <w:left w:w="0" w:type="dxa"/>
          <w:bottom w:w="0" w:type="dxa"/>
          <w:right w:w="0" w:type="dxa"/>
        </w:tblCellMar>
      </w:tblPr>
      <w:tr>
        <w:trPr>
          <w:trHeight w:val="226"/>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20" w:type="dxa"/>
            <w:vAlign w:val="bottom"/>
            <w:gridSpan w:val="12"/>
          </w:tcPr>
          <w:p>
            <w:pPr>
              <w:ind w:left="8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842"/>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6"/>
              </w:rPr>
              <w:t>Part I.</w:t>
            </w:r>
          </w:p>
        </w:tc>
        <w:tc>
          <w:tcPr>
            <w:tcW w:w="800" w:type="dxa"/>
            <w:vAlign w:val="bottom"/>
            <w:gridSpan w:val="10"/>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400" w:type="dxa"/>
            <w:vAlign w:val="bottom"/>
            <w:gridSpan w:val="6"/>
          </w:tcPr>
          <w:p>
            <w:pPr>
              <w:spacing w:after="0"/>
              <w:rPr>
                <w:sz w:val="20"/>
                <w:szCs w:val="20"/>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Business</w:t>
            </w: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1A.</w:t>
            </w:r>
          </w:p>
        </w:tc>
        <w:tc>
          <w:tcPr>
            <w:tcW w:w="260" w:type="dxa"/>
            <w:vAlign w:val="bottom"/>
          </w:tcPr>
          <w:p>
            <w:pPr>
              <w:spacing w:after="0"/>
              <w:rPr>
                <w:sz w:val="20"/>
                <w:szCs w:val="20"/>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5400" w:type="dxa"/>
            <w:vAlign w:val="bottom"/>
            <w:gridSpan w:val="21"/>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1B.</w:t>
            </w:r>
          </w:p>
        </w:tc>
        <w:tc>
          <w:tcPr>
            <w:tcW w:w="280" w:type="dxa"/>
            <w:vAlign w:val="bottom"/>
            <w:gridSpan w:val="2"/>
          </w:tcPr>
          <w:p>
            <w:pPr>
              <w:spacing w:after="0"/>
              <w:rPr>
                <w:sz w:val="20"/>
                <w:szCs w:val="20"/>
                <w:color w:val="auto"/>
              </w:rPr>
            </w:pPr>
          </w:p>
        </w:tc>
        <w:tc>
          <w:tcPr>
            <w:tcW w:w="1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w w:val="99"/>
              </w:rPr>
              <w:t>Unresolved Staff Comments</w:t>
            </w:r>
          </w:p>
        </w:tc>
        <w:tc>
          <w:tcPr>
            <w:tcW w:w="4320" w:type="dxa"/>
            <w:vAlign w:val="bottom"/>
            <w:gridSpan w:val="12"/>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1C.</w:t>
            </w:r>
          </w:p>
        </w:tc>
        <w:tc>
          <w:tcPr>
            <w:tcW w:w="300" w:type="dxa"/>
            <w:vAlign w:val="bottom"/>
            <w:gridSpan w:val="3"/>
          </w:tcPr>
          <w:p>
            <w:pPr>
              <w:spacing w:after="0"/>
              <w:rPr>
                <w:sz w:val="20"/>
                <w:szCs w:val="20"/>
                <w:color w:val="auto"/>
              </w:rPr>
            </w:pPr>
          </w:p>
        </w:tc>
        <w:tc>
          <w:tcPr>
            <w:tcW w:w="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Cybersecurity</w:t>
            </w:r>
          </w:p>
        </w:tc>
        <w:tc>
          <w:tcPr>
            <w:tcW w:w="5300" w:type="dxa"/>
            <w:vAlign w:val="bottom"/>
            <w:gridSpan w:val="20"/>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400" w:type="dxa"/>
            <w:vAlign w:val="bottom"/>
            <w:gridSpan w:val="6"/>
          </w:tcPr>
          <w:p>
            <w:pPr>
              <w:spacing w:after="0"/>
              <w:rPr>
                <w:sz w:val="20"/>
                <w:szCs w:val="20"/>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Properties</w:t>
            </w: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60" w:type="dxa"/>
            <w:vAlign w:val="bottom"/>
            <w:tcBorders>
              <w:bottom w:val="single" w:sz="8" w:color="0000FF"/>
            </w:tcBorders>
          </w:tcPr>
          <w:p>
            <w:pPr>
              <w:spacing w:after="0"/>
              <w:rPr>
                <w:sz w:val="20"/>
                <w:szCs w:val="20"/>
                <w:color w:val="auto"/>
              </w:rPr>
            </w:pPr>
          </w:p>
        </w:tc>
        <w:tc>
          <w:tcPr>
            <w:tcW w:w="340" w:type="dxa"/>
            <w:vAlign w:val="bottom"/>
            <w:gridSpan w:val="5"/>
          </w:tcPr>
          <w:p>
            <w:pPr>
              <w:spacing w:after="0"/>
              <w:rPr>
                <w:sz w:val="20"/>
                <w:szCs w:val="20"/>
                <w:color w:val="auto"/>
              </w:rPr>
            </w:pPr>
          </w:p>
        </w:tc>
        <w:tc>
          <w:tcPr>
            <w:tcW w:w="1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Legal Proceedings</w:t>
            </w:r>
          </w:p>
        </w:tc>
        <w:tc>
          <w:tcPr>
            <w:tcW w:w="5000" w:type="dxa"/>
            <w:vAlign w:val="bottom"/>
            <w:gridSpan w:val="18"/>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400" w:type="dxa"/>
            <w:vAlign w:val="bottom"/>
            <w:gridSpan w:val="6"/>
          </w:tcPr>
          <w:p>
            <w:pPr>
              <w:spacing w:after="0"/>
              <w:rPr>
                <w:sz w:val="20"/>
                <w:szCs w:val="20"/>
                <w:color w:val="auto"/>
              </w:rPr>
            </w:pPr>
          </w:p>
        </w:tc>
        <w:tc>
          <w:tcPr>
            <w:tcW w:w="1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Mine Safety Disclosures</w:t>
            </w:r>
          </w:p>
        </w:tc>
        <w:tc>
          <w:tcPr>
            <w:tcW w:w="4580" w:type="dxa"/>
            <w:vAlign w:val="bottom"/>
            <w:gridSpan w:val="14"/>
          </w:tcPr>
          <w:p>
            <w:pPr>
              <w:spacing w:after="0"/>
              <w:rPr>
                <w:sz w:val="20"/>
                <w:szCs w:val="20"/>
                <w:color w:val="auto"/>
              </w:rPr>
            </w:pPr>
          </w:p>
        </w:tc>
      </w:tr>
      <w:tr>
        <w:trPr>
          <w:trHeight w:val="287"/>
        </w:trPr>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7"/>
              </w:rPr>
              <w:t>Part II.</w:t>
            </w:r>
          </w:p>
        </w:tc>
        <w:tc>
          <w:tcPr>
            <w:tcW w:w="74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9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Item 5.</w:t>
            </w: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w w:val="99"/>
              </w:rPr>
              <w:t>Market for Registrant’s Common Equity, Related Stockholder Matters and Issuer Purchases</w:t>
            </w:r>
          </w:p>
        </w:tc>
      </w:tr>
      <w:tr>
        <w:trPr>
          <w:trHeight w:val="146"/>
        </w:trPr>
        <w:tc>
          <w:tcPr>
            <w:tcW w:w="30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40" w:type="dxa"/>
            <w:vAlign w:val="bottom"/>
            <w:tcBorders>
              <w:top w:val="single" w:sz="8" w:color="0000FF"/>
            </w:tcBorders>
            <w:gridSpan w:val="24"/>
          </w:tcPr>
          <w:p>
            <w:pPr>
              <w:spacing w:after="0" w:line="146" w:lineRule="exact"/>
              <w:rPr>
                <w:sz w:val="20"/>
                <w:szCs w:val="20"/>
                <w:color w:val="auto"/>
              </w:rPr>
            </w:pPr>
            <w:r>
              <w:rPr>
                <w:rFonts w:ascii="Times New Roman" w:cs="Times New Roman" w:eastAsia="Times New Roman" w:hAnsi="Times New Roman"/>
                <w:sz w:val="16"/>
                <w:szCs w:val="16"/>
                <w:color w:val="0000FF"/>
              </w:rPr>
              <w:t>of Equity Securities</w:t>
            </w:r>
          </w:p>
        </w:tc>
        <w:tc>
          <w:tcPr>
            <w:tcW w:w="20" w:type="dxa"/>
            <w:vAlign w:val="bottom"/>
          </w:tcPr>
          <w:p>
            <w:pPr>
              <w:spacing w:after="0"/>
              <w:rPr>
                <w:sz w:val="12"/>
                <w:szCs w:val="12"/>
                <w:color w:val="auto"/>
              </w:rPr>
            </w:pPr>
          </w:p>
        </w:tc>
      </w:tr>
      <w:tr>
        <w:trPr>
          <w:trHeight w:val="223"/>
        </w:trPr>
        <w:tc>
          <w:tcPr>
            <w:tcW w:w="300" w:type="dxa"/>
            <w:vAlign w:val="bottom"/>
          </w:tcPr>
          <w:p>
            <w:pPr>
              <w:spacing w:after="0"/>
              <w:rPr>
                <w:sz w:val="19"/>
                <w:szCs w:val="19"/>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400" w:type="dxa"/>
            <w:vAlign w:val="bottom"/>
            <w:gridSpan w:val="6"/>
          </w:tcPr>
          <w:p>
            <w:pPr>
              <w:spacing w:after="0"/>
              <w:rPr>
                <w:sz w:val="19"/>
                <w:szCs w:val="19"/>
                <w:color w:val="auto"/>
              </w:rPr>
            </w:pPr>
          </w:p>
        </w:tc>
        <w:tc>
          <w:tcPr>
            <w:tcW w:w="13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Reserved</w:t>
            </w:r>
          </w:p>
        </w:tc>
        <w:tc>
          <w:tcPr>
            <w:tcW w:w="4920" w:type="dxa"/>
            <w:vAlign w:val="bottom"/>
            <w:gridSpan w:val="17"/>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7.</w:t>
            </w:r>
          </w:p>
        </w:tc>
        <w:tc>
          <w:tcPr>
            <w:tcW w:w="60" w:type="dxa"/>
            <w:vAlign w:val="bottom"/>
          </w:tcPr>
          <w:p>
            <w:pPr>
              <w:spacing w:after="0"/>
              <w:rPr>
                <w:sz w:val="20"/>
                <w:szCs w:val="20"/>
                <w:color w:val="auto"/>
              </w:rPr>
            </w:pPr>
          </w:p>
        </w:tc>
        <w:tc>
          <w:tcPr>
            <w:tcW w:w="340" w:type="dxa"/>
            <w:vAlign w:val="bottom"/>
            <w:gridSpan w:val="5"/>
          </w:tcPr>
          <w:p>
            <w:pPr>
              <w:spacing w:after="0"/>
              <w:rPr>
                <w:sz w:val="20"/>
                <w:szCs w:val="20"/>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7A.</w:t>
            </w:r>
          </w:p>
        </w:tc>
        <w:tc>
          <w:tcPr>
            <w:tcW w:w="260" w:type="dxa"/>
            <w:vAlign w:val="bottom"/>
          </w:tcPr>
          <w:p>
            <w:pPr>
              <w:spacing w:after="0"/>
              <w:rPr>
                <w:sz w:val="20"/>
                <w:szCs w:val="20"/>
                <w:color w:val="auto"/>
              </w:rPr>
            </w:pPr>
          </w:p>
        </w:tc>
        <w:tc>
          <w:tcPr>
            <w:tcW w:w="4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w w:val="99"/>
              </w:rPr>
              <w:t>Quantitative and Qualitative Disclosures About Market Risk</w:t>
            </w:r>
          </w:p>
        </w:tc>
        <w:tc>
          <w:tcPr>
            <w:tcW w:w="2140" w:type="dxa"/>
            <w:vAlign w:val="bottom"/>
            <w:gridSpan w:val="7"/>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8.</w:t>
            </w:r>
          </w:p>
        </w:tc>
        <w:tc>
          <w:tcPr>
            <w:tcW w:w="340" w:type="dxa"/>
            <w:vAlign w:val="bottom"/>
            <w:gridSpan w:val="5"/>
          </w:tcPr>
          <w:p>
            <w:pPr>
              <w:spacing w:after="0"/>
              <w:rPr>
                <w:sz w:val="20"/>
                <w:szCs w:val="20"/>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9.</w:t>
            </w:r>
          </w:p>
        </w:tc>
        <w:tc>
          <w:tcPr>
            <w:tcW w:w="60" w:type="dxa"/>
            <w:vAlign w:val="bottom"/>
          </w:tcPr>
          <w:p>
            <w:pPr>
              <w:spacing w:after="0"/>
              <w:rPr>
                <w:sz w:val="20"/>
                <w:szCs w:val="20"/>
                <w:color w:val="auto"/>
              </w:rPr>
            </w:pPr>
          </w:p>
        </w:tc>
        <w:tc>
          <w:tcPr>
            <w:tcW w:w="340" w:type="dxa"/>
            <w:vAlign w:val="bottom"/>
            <w:gridSpan w:val="5"/>
          </w:tcPr>
          <w:p>
            <w:pPr>
              <w:spacing w:after="0"/>
              <w:rPr>
                <w:sz w:val="20"/>
                <w:szCs w:val="20"/>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9A.</w:t>
            </w:r>
          </w:p>
        </w:tc>
        <w:tc>
          <w:tcPr>
            <w:tcW w:w="260" w:type="dxa"/>
            <w:vAlign w:val="bottom"/>
          </w:tcPr>
          <w:p>
            <w:pPr>
              <w:spacing w:after="0"/>
              <w:rPr>
                <w:sz w:val="20"/>
                <w:szCs w:val="20"/>
                <w:color w:val="auto"/>
              </w:rPr>
            </w:pPr>
          </w:p>
        </w:tc>
        <w:tc>
          <w:tcPr>
            <w:tcW w:w="1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4580" w:type="dxa"/>
            <w:vAlign w:val="bottom"/>
            <w:gridSpan w:val="14"/>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9B.</w:t>
            </w:r>
          </w:p>
        </w:tc>
        <w:tc>
          <w:tcPr>
            <w:tcW w:w="280" w:type="dxa"/>
            <w:vAlign w:val="bottom"/>
            <w:gridSpan w:val="2"/>
          </w:tcPr>
          <w:p>
            <w:pPr>
              <w:spacing w:after="0"/>
              <w:rPr>
                <w:sz w:val="20"/>
                <w:szCs w:val="20"/>
                <w:color w:val="auto"/>
              </w:rPr>
            </w:pPr>
          </w:p>
        </w:tc>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5020" w:type="dxa"/>
            <w:vAlign w:val="bottom"/>
            <w:gridSpan w:val="19"/>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9C.</w:t>
            </w:r>
          </w:p>
        </w:tc>
        <w:tc>
          <w:tcPr>
            <w:tcW w:w="300" w:type="dxa"/>
            <w:vAlign w:val="bottom"/>
            <w:gridSpan w:val="3"/>
          </w:tcPr>
          <w:p>
            <w:pPr>
              <w:spacing w:after="0"/>
              <w:rPr>
                <w:sz w:val="20"/>
                <w:szCs w:val="20"/>
                <w:color w:val="auto"/>
              </w:rPr>
            </w:pPr>
          </w:p>
        </w:tc>
        <w:tc>
          <w:tcPr>
            <w:tcW w:w="46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w w:val="99"/>
              </w:rPr>
              <w:t>Disclosure Regarding Foreign Jurisdictions that Prevent Inspections</w:t>
            </w:r>
          </w:p>
        </w:tc>
        <w:tc>
          <w:tcPr>
            <w:tcW w:w="1620" w:type="dxa"/>
            <w:vAlign w:val="bottom"/>
            <w:gridSpan w:val="6"/>
          </w:tcPr>
          <w:p>
            <w:pPr>
              <w:spacing w:after="0"/>
              <w:rPr>
                <w:sz w:val="20"/>
                <w:szCs w:val="20"/>
                <w:color w:val="auto"/>
              </w:rPr>
            </w:pPr>
          </w:p>
        </w:tc>
      </w:tr>
      <w:tr>
        <w:trPr>
          <w:trHeight w:val="325"/>
        </w:trPr>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Part III.</w:t>
            </w:r>
          </w:p>
        </w:tc>
        <w:tc>
          <w:tcPr>
            <w:tcW w:w="680" w:type="dxa"/>
            <w:vAlign w:val="bottom"/>
            <w:gridSpan w:val="7"/>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8"/>
              </w:rPr>
              <w:t>Item 10.</w:t>
            </w:r>
          </w:p>
        </w:tc>
        <w:tc>
          <w:tcPr>
            <w:tcW w:w="340" w:type="dxa"/>
            <w:vAlign w:val="bottom"/>
            <w:gridSpan w:val="5"/>
          </w:tcPr>
          <w:p>
            <w:pPr>
              <w:spacing w:after="0"/>
              <w:rPr>
                <w:sz w:val="17"/>
                <w:szCs w:val="17"/>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r>
      <w:tr>
        <w:trPr>
          <w:trHeight w:val="236"/>
        </w:trPr>
        <w:tc>
          <w:tcPr>
            <w:tcW w:w="300" w:type="dxa"/>
            <w:vAlign w:val="bottom"/>
          </w:tcPr>
          <w:p>
            <w:pPr>
              <w:spacing w:after="0"/>
              <w:rPr>
                <w:sz w:val="20"/>
                <w:szCs w:val="20"/>
                <w:color w:val="auto"/>
              </w:rPr>
            </w:pPr>
          </w:p>
        </w:tc>
        <w:tc>
          <w:tcPr>
            <w:tcW w:w="5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Item 11.</w:t>
            </w:r>
          </w:p>
        </w:tc>
        <w:tc>
          <w:tcPr>
            <w:tcW w:w="340" w:type="dxa"/>
            <w:vAlign w:val="bottom"/>
            <w:gridSpan w:val="5"/>
          </w:tcPr>
          <w:p>
            <w:pPr>
              <w:spacing w:after="0"/>
              <w:rPr>
                <w:sz w:val="20"/>
                <w:szCs w:val="20"/>
                <w:color w:val="auto"/>
              </w:rPr>
            </w:pPr>
          </w:p>
        </w:tc>
        <w:tc>
          <w:tcPr>
            <w:tcW w:w="38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400" w:type="dxa"/>
            <w:vAlign w:val="bottom"/>
            <w:gridSpan w:val="8"/>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8"/>
              </w:rPr>
              <w:t>Item 12.</w:t>
            </w:r>
          </w:p>
        </w:tc>
        <w:tc>
          <w:tcPr>
            <w:tcW w:w="340" w:type="dxa"/>
            <w:vAlign w:val="bottom"/>
            <w:gridSpan w:val="5"/>
          </w:tcPr>
          <w:p>
            <w:pPr>
              <w:spacing w:after="0"/>
              <w:rPr>
                <w:sz w:val="20"/>
                <w:szCs w:val="20"/>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w:t>
            </w:r>
          </w:p>
        </w:tc>
      </w:tr>
      <w:tr>
        <w:trPr>
          <w:trHeight w:val="146"/>
        </w:trPr>
        <w:tc>
          <w:tcPr>
            <w:tcW w:w="30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60" w:type="dxa"/>
            <w:vAlign w:val="bottom"/>
            <w:tcBorders>
              <w:top w:val="single" w:sz="8" w:color="0000FF"/>
            </w:tcBorders>
            <w:gridSpan w:val="21"/>
          </w:tcPr>
          <w:p>
            <w:pPr>
              <w:spacing w:after="0" w:line="146" w:lineRule="exact"/>
              <w:rPr>
                <w:sz w:val="20"/>
                <w:szCs w:val="20"/>
                <w:color w:val="auto"/>
              </w:rPr>
            </w:pPr>
            <w:r>
              <w:rPr>
                <w:rFonts w:ascii="Times New Roman" w:cs="Times New Roman" w:eastAsia="Times New Roman" w:hAnsi="Times New Roman"/>
                <w:sz w:val="16"/>
                <w:szCs w:val="16"/>
                <w:color w:val="0000FF"/>
              </w:rPr>
              <w:t>Stockholder Matters</w:t>
            </w:r>
          </w:p>
        </w:tc>
        <w:tc>
          <w:tcPr>
            <w:tcW w:w="800" w:type="dxa"/>
            <w:vAlign w:val="bottom"/>
            <w:gridSpan w:val="4"/>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13.</w:t>
            </w:r>
          </w:p>
        </w:tc>
        <w:tc>
          <w:tcPr>
            <w:tcW w:w="320" w:type="dxa"/>
            <w:vAlign w:val="bottom"/>
            <w:gridSpan w:val="4"/>
          </w:tcPr>
          <w:p>
            <w:pPr>
              <w:spacing w:after="0"/>
              <w:rPr>
                <w:sz w:val="19"/>
                <w:szCs w:val="19"/>
                <w:color w:val="auto"/>
              </w:rPr>
            </w:pPr>
          </w:p>
        </w:tc>
        <w:tc>
          <w:tcPr>
            <w:tcW w:w="51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w w:val="99"/>
              </w:rPr>
              <w:t>Certain Relationships and Related Transactions, and Director Independence</w:t>
            </w:r>
          </w:p>
        </w:tc>
        <w:tc>
          <w:tcPr>
            <w:tcW w:w="1100" w:type="dxa"/>
            <w:vAlign w:val="bottom"/>
            <w:gridSpan w:val="5"/>
          </w:tcPr>
          <w:p>
            <w:pPr>
              <w:spacing w:after="0"/>
              <w:rPr>
                <w:sz w:val="19"/>
                <w:szCs w:val="19"/>
                <w:color w:val="auto"/>
              </w:rPr>
            </w:pPr>
          </w:p>
        </w:tc>
      </w:tr>
      <w:tr>
        <w:trPr>
          <w:trHeight w:val="236"/>
        </w:trPr>
        <w:tc>
          <w:tcPr>
            <w:tcW w:w="300" w:type="dxa"/>
            <w:vAlign w:val="bottom"/>
          </w:tcPr>
          <w:p>
            <w:pPr>
              <w:spacing w:after="0"/>
              <w:rPr>
                <w:sz w:val="20"/>
                <w:szCs w:val="20"/>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8"/>
              </w:rPr>
              <w:t>Item 14.</w:t>
            </w:r>
          </w:p>
        </w:tc>
        <w:tc>
          <w:tcPr>
            <w:tcW w:w="340" w:type="dxa"/>
            <w:vAlign w:val="bottom"/>
            <w:gridSpan w:val="5"/>
          </w:tcPr>
          <w:p>
            <w:pPr>
              <w:spacing w:after="0"/>
              <w:rPr>
                <w:sz w:val="20"/>
                <w:szCs w:val="20"/>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r>
      <w:tr>
        <w:trPr>
          <w:trHeight w:val="20"/>
        </w:trPr>
        <w:tc>
          <w:tcPr>
            <w:tcW w:w="30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2"/>
              </w:rPr>
              <w:t>Part IV.</w:t>
            </w:r>
          </w:p>
        </w:tc>
        <w:tc>
          <w:tcPr>
            <w:tcW w:w="70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6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15.</w:t>
            </w:r>
          </w:p>
        </w:tc>
        <w:tc>
          <w:tcPr>
            <w:tcW w:w="320" w:type="dxa"/>
            <w:vAlign w:val="bottom"/>
            <w:gridSpan w:val="4"/>
          </w:tcPr>
          <w:p>
            <w:pPr>
              <w:spacing w:after="0"/>
              <w:rPr>
                <w:sz w:val="20"/>
                <w:szCs w:val="20"/>
                <w:color w:val="auto"/>
              </w:rPr>
            </w:pPr>
          </w:p>
        </w:tc>
        <w:tc>
          <w:tcPr>
            <w:tcW w:w="62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r>
      <w:tr>
        <w:trPr>
          <w:trHeight w:val="256"/>
        </w:trPr>
        <w:tc>
          <w:tcPr>
            <w:tcW w:w="300" w:type="dxa"/>
            <w:vAlign w:val="bottom"/>
          </w:tcPr>
          <w:p>
            <w:pPr>
              <w:spacing w:after="0"/>
              <w:rPr>
                <w:sz w:val="22"/>
                <w:szCs w:val="22"/>
                <w:color w:val="auto"/>
              </w:rPr>
            </w:pPr>
          </w:p>
        </w:tc>
        <w:tc>
          <w:tcPr>
            <w:tcW w:w="5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Item 16.</w:t>
            </w:r>
          </w:p>
        </w:tc>
        <w:tc>
          <w:tcPr>
            <w:tcW w:w="20" w:type="dxa"/>
            <w:vAlign w:val="bottom"/>
            <w:tcBorders>
              <w:top w:val="single" w:sz="8" w:color="0000FF"/>
            </w:tcBorders>
          </w:tcPr>
          <w:p>
            <w:pPr>
              <w:spacing w:after="0"/>
              <w:rPr>
                <w:sz w:val="22"/>
                <w:szCs w:val="22"/>
                <w:color w:val="auto"/>
              </w:rPr>
            </w:pPr>
          </w:p>
        </w:tc>
        <w:tc>
          <w:tcPr>
            <w:tcW w:w="320" w:type="dxa"/>
            <w:vAlign w:val="bottom"/>
            <w:gridSpan w:val="4"/>
          </w:tcPr>
          <w:p>
            <w:pPr>
              <w:spacing w:after="0"/>
              <w:rPr>
                <w:sz w:val="22"/>
                <w:szCs w:val="22"/>
                <w:color w:val="auto"/>
              </w:rPr>
            </w:pPr>
          </w:p>
        </w:tc>
        <w:tc>
          <w:tcPr>
            <w:tcW w:w="29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3280" w:type="dxa"/>
            <w:vAlign w:val="bottom"/>
            <w:gridSpan w:val="10"/>
          </w:tcPr>
          <w:p>
            <w:pPr>
              <w:spacing w:after="0"/>
              <w:rPr>
                <w:sz w:val="22"/>
                <w:szCs w:val="22"/>
                <w:color w:val="auto"/>
              </w:rPr>
            </w:pPr>
          </w:p>
        </w:tc>
      </w:tr>
      <w:tr>
        <w:trPr>
          <w:trHeight w:val="267"/>
        </w:trPr>
        <w:tc>
          <w:tcPr>
            <w:tcW w:w="300" w:type="dxa"/>
            <w:vAlign w:val="bottom"/>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740" w:type="dxa"/>
            <w:vAlign w:val="bottom"/>
            <w:tcBorders>
              <w:top w:val="single" w:sz="8" w:color="0000FF"/>
            </w:tcBorders>
            <w:gridSpan w:val="7"/>
          </w:tcPr>
          <w:p>
            <w:pPr>
              <w:spacing w:after="0"/>
              <w:rPr>
                <w:sz w:val="23"/>
                <w:szCs w:val="23"/>
                <w:color w:val="auto"/>
              </w:rPr>
            </w:pPr>
          </w:p>
        </w:tc>
        <w:tc>
          <w:tcPr>
            <w:tcW w:w="4800" w:type="dxa"/>
            <w:vAlign w:val="bottom"/>
            <w:gridSpan w:val="15"/>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960755</wp:posOffset>
            </wp:positionV>
            <wp:extent cx="716534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26035</wp:posOffset>
            </wp:positionV>
            <wp:extent cx="519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3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u w:val="single" w:color="auto"/>
          <w:color w:val="0000FF"/>
        </w:rPr>
        <w:t>3</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26</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39</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40</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41</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42</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42</w:t>
      </w: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42</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43</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43</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70</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71</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131</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131</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131</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131</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131</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132</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132</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132</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132</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137</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138</w:t>
      </w:r>
    </w:p>
    <w:p>
      <w:pPr>
        <w:sectPr>
          <w:pgSz w:w="11900" w:h="16838" w:orient="portrait"/>
          <w:cols w:equalWidth="0" w:num="2">
            <w:col w:w="7820" w:space="260"/>
            <w:col w:w="939"/>
          </w:cols>
          <w:pgMar w:left="1440" w:top="1192" w:right="1440" w:bottom="1440" w:gutter="0" w:footer="0" w:header="0"/>
        </w:sectPr>
      </w:pPr>
    </w:p>
    <w:bookmarkStart w:id="2" w:name="page3"/>
    <w:bookmarkEnd w:id="2"/>
    <w:p>
      <w:pPr>
        <w:ind w:right="560"/>
        <w:spacing w:after="0" w:line="283" w:lineRule="auto"/>
        <w:rPr>
          <w:sz w:val="20"/>
          <w:szCs w:val="20"/>
          <w:color w:val="auto"/>
        </w:rPr>
      </w:pPr>
      <w:r>
        <w:rPr>
          <w:rFonts w:ascii="Times New Roman" w:cs="Times New Roman" w:eastAsia="Times New Roman" w:hAnsi="Times New Roman"/>
          <w:sz w:val="17"/>
          <w:szCs w:val="17"/>
          <w:color w:val="auto"/>
        </w:rPr>
        <w:t>Throughout this Annual Report on Form 10-K (this “Annual Report”), we refer to Marriott Vacations Worldwide Corporation, together with its consolidated subsidiaries, as “Marriott Vacations Worldwide,” “MVW,” “we,” “us,” or the “Company.”</w:t>
      </w:r>
    </w:p>
    <w:p>
      <w:pPr>
        <w:spacing w:after="0" w:line="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order to make this Annual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(the “U.S.”), Mexico, Central America, and the Caribbean as “North America.”</w:t>
      </w:r>
    </w:p>
    <w:p>
      <w:pPr>
        <w:spacing w:after="0" w:line="7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 xml:space="preserve">Additionally, throughout this Annual Report, we refer to brands that we own, as well as those brands that we license, as our brands. All brand names, trademarks, trade names, and service marks cited in this Annual Report are the property of their respective owners, including those of other companies and organizations. Solely for convenience, trademarks, trade names, and service marks referred to in this Annual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8"/>
          <w:szCs w:val="8"/>
          <w:color w:val="auto"/>
        </w:rPr>
        <w:t>TM</w:t>
      </w:r>
      <w:r>
        <w:rPr>
          <w:rFonts w:ascii="Times New Roman" w:cs="Times New Roman" w:eastAsia="Times New Roman" w:hAnsi="Times New Roman"/>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85"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7"/>
          <w:szCs w:val="17"/>
          <w:color w:val="auto"/>
        </w:rPr>
        <w:t>Brand names, trademarks, trade names, and service marks that we own or license from Marriott International, Inc. or its affiliates (“Marriott International”) include Marriott Vacation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 Vacation Club Destinations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Abound by Marriott Vacations</w:t>
      </w:r>
      <w:r>
        <w:rPr>
          <w:rFonts w:ascii="Times New Roman" w:cs="Times New Roman" w:eastAsia="Times New Roman" w:hAnsi="Times New Roman"/>
          <w:sz w:val="8"/>
          <w:szCs w:val="8"/>
          <w:color w:val="auto"/>
        </w:rPr>
        <w:t>TM</w:t>
      </w:r>
      <w:r>
        <w:rPr>
          <w:rFonts w:ascii="Times New Roman" w:cs="Times New Roman" w:eastAsia="Times New Roman" w:hAnsi="Times New Roman"/>
          <w:sz w:val="17"/>
          <w:szCs w:val="17"/>
          <w:color w:val="auto"/>
        </w:rPr>
        <w:t>, Marriott Vacation Club Pulse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 Grand Residence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Grand Residences by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Ritz-Carlton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Westin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Sheraton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(to a limited extent) St. Regis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The Luxury Collection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 International’s affiliates include Starwood Hotels and Resorts Worldwide, Inc. (“Starwood”) and The Ritz-Carlton Hotel Company, L.L.C. (“The Ritz-Carlton Hotel Company”). We also refer to Marriott International’s Marriott Bonvoy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customer loyalty program as “Marriott Bonvoy.”</w:t>
      </w:r>
    </w:p>
    <w:p>
      <w:pPr>
        <w:spacing w:after="0" w:line="22"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Brand names, trademarks, trade names, and service marks that we own or license from a subsidiary of Hyatt Hotels Corporation (“Hyatt”) include Hyatt Vacation Ownership and Hyatt Vacation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Hyatt Vacation Ownership business refers to our group of businesses using the Hyatt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in the vacation ownership business pursuant to an exclusive, global master license agreement with a subsidiary of Hyatt. We also refer to Hyatt’s World of Hyatt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customer loyalty program as “World of Hyatt.”</w:t>
      </w:r>
    </w:p>
    <w:p>
      <w:pPr>
        <w:spacing w:after="0" w:line="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On April 1, 2021, we completed the acquisition of Welk Hospitality Group, Inc. (“Welk”) through a series of transactions (the “Welk Acquisition”), after which Welk became our indirect wholly-owned subsidiary. We refer to the business and brand that we acquired from Welk as “Legacy-Welk.” The Financial Statements in this Annual Report for fiscal year 2021 include Welk’s results of operations for the last three quarters of 2021. During 2023, we rebranded all Legacy-Welk resorts as Hyatt Vacation Club resorts.</w:t>
      </w: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In 2018, we completed the acquisition of ILG, LLC, formerly known as ILG, Inc. (“ILG”), through a series of transactions (the “ILG Acquisition”), after which ILG became our indirect wholly-owned subsidiary. We refer to the business and brands that we acquired in the ILG Acquisition as “Legacy-ILG.” We refer to the business we conducted prior to the ILG Acquisition and the associated brands as “Legacy-MVW.” The businesses acquired from ILG that we currently operate as part of our Vacation Ownership business include Vistana Signature Experiences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(“Vistana”), which includes vacation ownership products branded as Sheraton or Westin, and Hyatt Vacation Ownership. The businesses acquired from ILG that we currently operate as part of our Exchange &amp; Third-Party Management business include Interval International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Aqua-Aston Hospitality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(“Aqua-Aston”). As part of the ILG Acquisition, we also acquired the Vacation Resorts International (“VRI”) and Trading Places International (“TPI”) businesses (together, the “VRI Americas” business). We disposed of VRI Americas during the second quarter of 2022, after determining that this business was not a core component of our future growth strategy and operating model. The results of VRI Americas are included in our Exchange and Third-Party Management segment through the date of the sale.</w:t>
      </w:r>
    </w:p>
    <w:p>
      <w:pPr>
        <w:spacing w:after="0" w:line="9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By referring to our corporate website, www.marriottvacationsworldwide.com, or any other website, we do not incorporate any such website or its contents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financial condition, leverage, liquidity, returns on investments, margins including financing profit and development profit margins; dividend payments; business strategies, such as our plans to continue to focus on sales of vacation ownership products to first-time buyers and our expectations that we will continue to offer financing incentives; our expectations regarding our use of new marketing channels, including digital and social media marketing; financing plans; our competitive position; our plans to pursue growth opportunities; potential operating performance, including our expectations regarding contract sales, resort management, and resort occupancies; our expectation that consumer financing interest expense will remain elevated; our expectation that general and administrative expenses will continue to increase; our expectation that inventory spending will be less than our cost of sales in 2024 and the impact of inventory repurchases; our expectations regarding proceeds from subleasing our legacy headquarters; indemnification; taxes; effectiveness of hedges; dilution related to convertible notes; customer satisfaction and our ability to leverage it; our ability to securitize consumer loans; the effects of competition; and the pace of originations of vacation ownership notes receivable compared to payoffs.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a future health crisis and responses to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worker absenteeism; price inflation; difficulties associated with implementing new or maintaining existing technology; changes in privacy laws; the impact of a future banking crisis; impacts from natural or man-made disasters and wildfires, including the Maui wildfires; global supply chain disruptions; volatility in the international and national economy and credit markets, including as a result of the ongoing conflicts between Russia and Ukraine, Israel and Gaza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political or social strife; and other matters referred to under the heading “Risk Factors” contained in this Annual Report. We do not undertake any obligation to publicly update or revise any forward-looking statement, whether as a result of new information, future events, or otherwise. You should not put undue reliance on any forward-looking statements in this Annual Report. We do not have any intention or obligation to update forward-looking statements after the date of this Annual Report, except as required by law.</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risk factors discussed in “Risk Factors” in this Annual Report could cause actual results to differ materially from those expressed or implied in forward-looking statements in this Annual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As the first hospitality-branded vacation ownership company, Marriott Vacations Worldwide helped establish the industry and was the first major pure-play independent, public company in the field. Today we are more than a vacation ownership company; we are about vacation experiences.</w:t>
      </w:r>
    </w:p>
    <w:p>
      <w:pPr>
        <w:spacing w:after="0" w:line="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We are a global leader in vacation ownership with some of the most iconic brands in the industry. We are the exclusive worldwide developer, marketer, seller and manager of vacation ownership and related products under the Marriott Vacation Club, Grand Residences by Marriott, Sheraton Vacation Club, Westin Vacation Club, and Hyatt Vacation Club brands, as well as under Marriott Vacation Club Pulse, an extension of the Marriott Vacation Club brand.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 In addition, during 2023, we rebranded all Legacy-Welk resorts as Hyatt Vacation Club resorts. Interval International is our high-quality membership brand that serves as the gateway to vacation experiences around the world, including access to its affiliated resorts. Our Aqua-Aston business provides management services for resorts, hotels, and other third-party vacation property owners.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operates in two reportable segments: Vacation Ownership and Exchange &amp; Third-Party Management.</w:t>
      </w:r>
    </w:p>
    <w:p>
      <w:pPr>
        <w:spacing w:after="0" w:line="86" w:lineRule="exact"/>
        <w:rPr>
          <w:sz w:val="20"/>
          <w:szCs w:val="20"/>
          <w:color w:val="auto"/>
        </w:rPr>
      </w:pPr>
    </w:p>
    <w:tbl>
      <w:tblPr>
        <w:tblLayout w:type="fixed"/>
        <w:tblInd w:w="2160"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620" w:type="dxa"/>
            <w:vAlign w:val="bottom"/>
            <w:tcBorders>
              <w:bottom w:val="single" w:sz="8" w:color="auto"/>
            </w:tcBorders>
          </w:tcPr>
          <w:p>
            <w:pPr>
              <w:spacing w:after="0"/>
              <w:rPr>
                <w:sz w:val="17"/>
                <w:szCs w:val="17"/>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9"/>
                <w:szCs w:val="19"/>
                <w:color w:val="auto"/>
              </w:rPr>
            </w:pPr>
          </w:p>
        </w:tc>
        <w:tc>
          <w:tcPr>
            <w:tcW w:w="174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Segment Revenue</w:t>
            </w:r>
          </w:p>
        </w:tc>
        <w:tc>
          <w:tcPr>
            <w:tcW w:w="1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of Segment Revenue</w:t>
            </w:r>
          </w:p>
        </w:tc>
      </w:tr>
      <w:tr>
        <w:trPr>
          <w:trHeight w:val="238"/>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94%</w:t>
            </w:r>
          </w:p>
        </w:tc>
      </w:tr>
      <w:tr>
        <w:trPr>
          <w:trHeight w:val="25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6"/>
              </w:rPr>
              <w:t>6%</w:t>
            </w:r>
          </w:p>
        </w:tc>
      </w:tr>
      <w:tr>
        <w:trPr>
          <w:trHeight w:val="235"/>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Segment Revenue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Vacation Ownership Industry</w:t>
      </w:r>
    </w:p>
    <w:p>
      <w:pPr>
        <w:spacing w:after="0" w:line="1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a deeded real estate interest in a specified accommodation unit, an undivided interest in a building or an entire resort, or a beneficial interest in a trust that owns one or more resort properties.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 and because they are interested in buying a lifetime of vacations.</w:t>
      </w:r>
    </w:p>
    <w:p>
      <w:pPr>
        <w:spacing w:after="0" w:line="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Typically, developers sell VOIs for a fixed purchase price that is paid in full at closing or financed with a loan. Many vacation ownership companies provide financing or facilitate access to third-party bank financing for customers. Vacation ownership resorts are often operated by a not-for-profit owners’ association of which owners of the VOIs are members. Most owners’ associations are governed by a board of directors that includes owners and which may include representatives of the developer. Some vacation ownership resorts are held through a trust structure in which a trustee holds title and manages the property. The board of the owners’ association, or trustee, as applicable, typically delegates much of the responsibility for managing the resort to a management company, which is often affiliated with the developer.</w:t>
      </w:r>
    </w:p>
    <w:p>
      <w:pPr>
        <w:spacing w:after="0" w:line="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After the initial purchase, most vacation ownership programs require the owner of the VOI to pay an annual maintenance fee. This fee represents the owner’s allocable share of the costs and expenses of operating and maintaining the vacation ownership property and providing program services. This fee typically covers expenses such as housekeeping,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5" w:name="page6"/>
    <w:bookmarkEnd w:id="5"/>
    <w:p>
      <w:pPr>
        <w:ind w:right="60"/>
        <w:spacing w:after="0" w:line="261" w:lineRule="auto"/>
        <w:rPr>
          <w:sz w:val="20"/>
          <w:szCs w:val="20"/>
          <w:color w:val="auto"/>
        </w:rPr>
      </w:pPr>
      <w:r>
        <w:rPr>
          <w:rFonts w:ascii="Times New Roman" w:cs="Times New Roman" w:eastAsia="Times New Roman" w:hAnsi="Times New Roman"/>
          <w:sz w:val="17"/>
          <w:szCs w:val="17"/>
          <w:color w:val="auto"/>
        </w:rPr>
        <w:t>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VOI specifies fixed usage dates and a particular unit every year.</w:t>
      </w:r>
    </w:p>
    <w:p>
      <w:pPr>
        <w:spacing w:after="0" w:line="7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VOIs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accommodations at other resorts in the exchange service provider’s broader network of properties. The two leading exchange service providers are our subsidiary Interval International, and RCI, LLC, a subsidiary of Travel + Leisure Co. (“RCI”). Interval International’s network includes more than 3,200 affiliated resorts, and RCI’s network includes over 4,200 affiliated resorts, as identified on RCI’s website.</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According to the American Resort Development Association (“ARDA”), a trade association representing the vacation ownership and resort development industries, as of December 31, 2022, the U.S. vacation ownership community was comprised of over 1,500 resorts, representing more than 200,000 units. According to ARDA, sales in the U.S. market were approximately $10.5 billion in 2022. We believe there is considerable potential for further growth in the industry both in the U.S. and globally.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Agreements and Intellectual Property</w:t>
      </w:r>
    </w:p>
    <w:p>
      <w:pPr>
        <w:spacing w:after="0" w:line="11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We have a long-term license agreement with Marriott International under which we are granted the exclusive right, for the term of the license agreement, to use certain Marriott, Sheraton, and Westin marks and intellectual property in our vacation ownership business and to use the Grand Residences by Marriott marks and intellectual property in our residential real estate business. Under the license agreement, we also have the right to use the St. Regis brand for specified fractional ownership products. We also have a long-term license agreement with The Ritz-Carlton Hotel Company, a subsidiary of Marriott International, under which we are granted the exclusive right, for the term of the license agreement, to use certain Ritz-Carlton marks and intellectual property in our vacation ownership business and the nonexclusive right to use certain Ritz-Carlton marks and intellectual property in our residential real estate business.</w:t>
      </w:r>
    </w:p>
    <w:p>
      <w:pPr>
        <w:spacing w:after="0" w:line="7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We have a long-term license agreement with Hyatt under which we are granted the exclusive right, for the term of the license agreement, to use certain Hyatt marks and intellectual property in connection with our Hyatt Vacation Ownership business.</w:t>
      </w:r>
    </w:p>
    <w:p>
      <w:pPr>
        <w:spacing w:after="0" w:line="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We operate in a highly competitive industry and our brand names, trademarks, trade names, and service marks are very important to the marketing and sales of our products and services. We believe that our licensed brand names and other intellectual property represent high standards of quality, caring, service and value to our customers and the traveling public. We register and protect our intellectual property where we deem appropriate and otherwise seek to protect against its unauthorized use.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Licensor Customer Loyalty Programs</w:t>
      </w:r>
    </w:p>
    <w:p>
      <w:pPr>
        <w:spacing w:after="0" w:line="11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Under our affiliation agreements with Marriott International and its affiliates, our owners who are Marriott Bonvoy members generally have the ability to redeem their vacation ownership usage rights to access participating Marriott-, Sheraton-, and Westin-branded properties or other products and services offered through the Marriott Bonvoy program.</w:t>
      </w:r>
    </w:p>
    <w:p>
      <w:pPr>
        <w:spacing w:after="0" w:line="63" w:lineRule="exact"/>
        <w:rPr>
          <w:sz w:val="20"/>
          <w:szCs w:val="20"/>
          <w:color w:val="auto"/>
        </w:rPr>
      </w:pPr>
    </w:p>
    <w:p>
      <w:pPr>
        <w:jc w:val="both"/>
        <w:ind w:right="520"/>
        <w:spacing w:after="0" w:line="283" w:lineRule="auto"/>
        <w:rPr>
          <w:sz w:val="20"/>
          <w:szCs w:val="20"/>
          <w:color w:val="auto"/>
        </w:rPr>
      </w:pPr>
      <w:r>
        <w:rPr>
          <w:rFonts w:ascii="Times New Roman" w:cs="Times New Roman" w:eastAsia="Times New Roman" w:hAnsi="Times New Roman"/>
          <w:sz w:val="17"/>
          <w:szCs w:val="17"/>
          <w:color w:val="auto"/>
        </w:rPr>
        <w:t>Through our relationship with Hyatt, our owners who are members of the World of Hyatt customer loyalty program generally have the ability to redeem their vacation ownership usage rights to access participating Hyatt-branded properties or other products and services offered through the World of Hyatt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Our strategic goal is to strengthen our leadership position in the vacation industry by further enhancing the vacation experience to help our members and owners live their lives to the fullest. Our core strategies are as follows: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Drive profitable revenue growth</w:t>
      </w:r>
    </w:p>
    <w:p>
      <w:pPr>
        <w:spacing w:after="0" w:line="11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We intend to leverage our trusted hospitality brands and membership programs to continue to attract new owners and members, and to drive growth in vacation ownership sales, by adding desirable new destinations to our systems with new on-site sales locations. We expect to continue to generate growth through our integrated platform that provides exclusive access to the world-class loyalty programs of Marriott International and Hyatt. We will also continue to focus on our approximately 700,000 owner families around the world. We are concentrating on growing our tour flow cost effectively as we seek to grow first-time buyer tours through our strategy that emphasizes new sales locations and new marketing channels, including digital and social media marketing. We also leverage virtual sales presentations as a growing part of our sales process.</w:t>
      </w:r>
    </w:p>
    <w:p>
      <w:pPr>
        <w:spacing w:after="0" w:line="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also plan to grow our recurring revenues which tend to be less capital intensive than sales of VOIs. Our recurring revenues include management of resorts and owners’ associations, financing revenues, and membership, club and other revenues in both our Vacation Ownership and Exchange &amp; Third-Party Management segments. These revenues generally grow as we add new resorts and are more predictable due to the relatively fixed nature of resort operating expenses and, in the case of management and exchange revenues, contractual agreements that typically span many years and often renew automatically. Financing revenues are generally relatively stable as the majority of these revenues generated in any given year come from prior year note originations.</w:t>
      </w:r>
    </w:p>
    <w:p>
      <w:pPr>
        <w:spacing w:after="0" w:line="7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seek to continuously evolve and expand our core product offerings, as demonstrated by the launch of the Marriott Vacation Club Destinations points product in 2010 and Abound by Marriott Vacations program in 2022, and through the integration of the Legacy-Welk and Hyatt businesses in 2023. Additionally, we intend to drive revenue growth in part by targeting a wider array of vacationers through new membership programs and products in adjacent market spaces.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Maximize cash flow by selectively pursuing capital efficient vacation ownership deal structures and business models</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Through the use of our points-based products, we are able to more closely align inventory investment with sales pace, thereby generating strong cash flows over time. Limiting the amount of completed inventory on hand and pursuing capital efficient vacation ownership inventory arrangements enable us to reduce the maintenance fees that we pay on unsold inventory and improve returns on invested capital and liquidity. In addition, we reacquire previously sold VOIs at lower costs than would be required to develop new inventory, which increases margins on our sales of VOIs. Our business model is designed to deliver steady, consistent cash flow, which is driven in part by our “asset-light” capital efficient framework as we expect to maintain an attractive leverage profile. We believe our access to capital markets and credit facilities will enable us to maintain an attractive leverage profile and level of liquidity that provides financial flexibility, giving us the ability to pursue strategic growth opportunities, withstand potential future economic downturns, optimize our cost of capital, and pursue strategies for returning excess capital to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Enhance digital capabilities and data analytics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key area of focus for us is the expansion of digital tools to drive more efficient digital marketing and enhance user experience for our owners and members of our exchange and other membership programs. We believe there is much more innovation and growth to come, and we intend to build efficiencies in our cost of service delivery and to facilitate access to our portfolio of brands with new digital tools. We are actively building and enhancing customer facing digital platforms to support existing and future products by enabling customers to transact online across all of our brands with respect to all of our products. In addition, we are focused on using data to facilitate the use of advanced analytics to improve efficiency, enhance customer experiences, improve targeted marketing, and increase profitability.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Focus on the satisfaction of our owners, members, and guests as well as the engagement of our associates</w:t>
      </w:r>
    </w:p>
    <w:p>
      <w:pPr>
        <w:spacing w:after="0" w:line="11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We provide high-quality vacation experiences to our owners, members, and guests around the world and we believe that maintaining a high level of engagement across all of our customer groups is key to our success. We intend to maintain and improve owner, member, and guest satisfaction with our products and services, which drives incremental sales as customers choose to spend more time at our resorts. Because our owners, members, and guests are our most cost-effective vacation ownership sales channels, we intend to continue to leverage our strong customer satisfaction to drive higher margin sales volumes. We seek to continue delivering operational excellence while remaining focused on 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7" w:name="page8"/>
    <w:bookmarkEnd w:id="7"/>
    <w:p>
      <w:pPr>
        <w:ind w:right="120"/>
        <w:spacing w:after="0" w:line="283" w:lineRule="auto"/>
        <w:rPr>
          <w:sz w:val="20"/>
          <w:szCs w:val="20"/>
          <w:color w:val="auto"/>
        </w:rPr>
      </w:pPr>
      <w:r>
        <w:rPr>
          <w:rFonts w:ascii="Times New Roman" w:cs="Times New Roman" w:eastAsia="Times New Roman" w:hAnsi="Times New Roman"/>
          <w:sz w:val="17"/>
          <w:szCs w:val="17"/>
          <w:color w:val="auto"/>
        </w:rPr>
        <w:t>customer expectations, which we believe will drive growth and efficiency. We continue to strive to improve the experience of our owners, members, and customers through multiple avenues, from self-service tools to streamlining our business processes through technology.</w:t>
      </w:r>
    </w:p>
    <w:p>
      <w:pPr>
        <w:spacing w:after="0" w:line="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From our earliest days, we have sought to create an inclusive culture that emphasizes warm and welcoming customer service and authentic care for our associates. We believe these characteristics give meaning to our vision of helping our customers and associates live their lives to the fullest. Our core belief is that developing and retaining top talent will foster an innovative culture and strengthen our leadership pipeline, while enabling business growth. We believe our caring culture unites our associates across a wide range of backgrounds, geographies and experiences. It is this very inclusivity and diversity that make us “Better Together” and that has allowed us to grow and prosper over the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Selectively pursue compelling new business opportunities</w:t>
      </w:r>
    </w:p>
    <w:p>
      <w:pPr>
        <w:spacing w:after="0" w:line="1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We are positioned to explore new business opportunities, such as the continued enhancement of our exchange programs, new management affiliations, acquisitions of existing vacation ownership and related businesses, and the creation of new innovative travel-related products that are complementary to our core vacation ownership and exchange company offerings. We intend to selectively pursue these types of opportunities, focusing on those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culture and competencies.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leading global vacation ownership and exchange company</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are one of the world’s largest vacation ownership companies, based on number of owners, members, and resorts and revenues. Since becoming a standalone public company in 2011, our vacation ownership business has grown substantially, from 64 vacation ownership resorts and approximately 420,000 owners to approximately 120 vacation ownership resorts and approximately 700,000 owner families as of December 31, 2023. Our exchange network and membership programs are comprised of more than 3,200 affiliated resorts and approximately 1.6 million members, and we also provide management services to 25 other resorts and lodging properties, as of the end of 2023. We believe our scale and global reach, coupled with our renowned brands and development, marketing, sales, exchange and management expertise, help us achieve operational efficiencies and support future growth opportunities. Our size allows us to provide owners, members, and guests with the flexibility of a wide variety of experiences within our high-quality resort portfolio, coupled with the ease and certainty of working with a single trusted provider. We also believe our size helps us obtain favorable financing terms from lenders, achieve operational cost savings from our increased scale, and attract talented management and associates. In the exchange arena, Interval International’s high-quality membership program, the Interval Network, serves as the gateway to premium vacation experiences. Our Interval Network includes members and resorts from our Marriott, Westin, Sheraton and Hyatt products, as well as other high quality branded and independent resorts, that can attract developers and owners’ associations to affiliate with the network and provide exchange opportunities for their owners.</w:t>
      </w:r>
    </w:p>
    <w:p>
      <w:pPr>
        <w:spacing w:after="0" w:line="8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The breadth and depth of our operations enable us to offer a variety of products and to continue to evolve our products to address the changing needs and preferences of our existing and future customers. For example, the wide range of vacation experiences we offer includes not only traditional resort experiences but also urban experiences at our Marriott Vacation Club Pulse locations, which are unique properties that embrace the spirit and culture of their urban locations.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Premier global brands with access to expansive customer bases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believe that each of our owned or licensed brands — from Marriott Vacation Club to Hyatt Vacation Club, from Interval International to Aqua-Aston, from Sheraton Vacation Club to Westin Vacation Club — is a highly respected and widely trusted leader in the travel and hospitality industry. We are creating distinct lanes for our brands to grow within. This careful segmentation is designed to allow each of our brands to reach its full potential, while also giving us diverse paths to growth. Each brand has a unique history and heritage that has enriched our Company immeasurably and that we are building upon to better serve our owners, members, guests, and associates. Through the brands we license from Marriott International for use in vacation ownership, we benefit from exclusive long-term access to members in the Marriott Bonvoy loyalty program, which includes approximately 196 million members as of December 31, 2023. Similarly, through our relationship with Hyatt, we benefit from access to members of Hyatt’s award-winning guest loyalty program, the World of Hyatt, which includes approximately 44 million members as of December 31, 2023.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7"/>
          <w:szCs w:val="17"/>
          <w:color w:val="auto"/>
        </w:rPr>
        <w:t>believe our access to guests with an affinity for our brands aids with our marketing efforts and significantly enhances our ability to drive future sales, as we predominantly generate VOI sales through brand loyalty-affiliated sales channels. We expect to continue to leverage our exclusive call transfer arrangements, on-site marketing at Marriott and Hyatt branded hotels, and use of certain exclusive marketing rights to increase sales across all of our Marriott-affiliated and Hyatt-affiliated vacation ownership properties,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Loyal, highly satisfied customers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have a large, highly satisfied customer base. Owner and member satisfaction is evidenced both by a high level of sales to existing owners (approximately 70% of VOI sales in 2023 were to existing owners), as well as positive historical survey responses, high levels of engagement that we see in the many customer and associate care stories shared on social media channels, and higher than industry average current and historical resort occupancy for our Vacation Ownership segment. We believe that strong customer satisfaction and brand loyalty result in more frequent use of our products, increase in member retention, and encourage owners to purchase additional products and to recommend our products to friends and family, which in turn helps generate higher revenues.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efficient business model providing strong cash flow and financial flexibility</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believe that our scale, recurring revenue fee streams and enhanced margin profile enables us to maintain flexibility for continued organic growth, strategic acquisitions, debt repayment, and return of capital to stockholders. Our total revenue excluding cost reimbursements derived from sources other than the sale of VOIs has increased and is expected to continue to increase. Our Exchange &amp; Third-Party Management businesses also create ample opportunities to realize recurring higher-margin, fee-based revenue streams with modest required capital expenditures, which we believe will enhance our margins and cash flow generation over time.</w:t>
      </w:r>
    </w:p>
    <w:p>
      <w:pPr>
        <w:spacing w:after="0" w:line="7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We were among the first of the major hospitality brands to move from a fixed-week, fixed-unit operating model to a points-based system. This critical transition responded directly to consumer demand for greater flexibility and allowed us to tap into the broader membership opportunity afforded by the industry’s exchange businesses. Our points-based vacation ownership products allow us to utilize capital efficient structures and maintain long-term sales locations without the need to construct additional units at each location. We are able to better manage our inventory needs, while achieving top line growth without a need to significantly increase inventory investments. Our disciplined inventory approach and use of capital efficient vacation ownership transaction structures, including working with third parties that develop new inventory or convert previously built units that are sold to us close to when such inventory is needed to support sales, is expected to support strong and stable cash flow generation.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Long-standing track record, experienced management and engaged associates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We have been a pioneer in the vacation ownership industry since 1984, when Marriott International became the first company to introduce a lodging-branded vacation ownership product. The story of Marriott Vacations Worldwide is one of growth, driven by innovation and exceptional vitality. Since our early days, we have sought to create a culture that emphasizes authentic care for associates. Our seasoned management team is led by John E. Geller, Jr., who became our Chief Executive Officer at the beginning of 2023. Mr. Geller has served as our President since 2021, and served as our Chief Financial Officer from our spin-off from Marriott International in 2011 until 2021. William J. Shaw, the Chairman of our Board of Directors (the “Board”), is the former Vice Chairman, President and Chief Operating Officer of Marriott International and spent nearly 37 years with Marriott International. Our eleven executive committee members as of January 1, 2024 have an average of approximately 21 years of total combined experience at Marriott Vacations Worldwide, our subsidiary companies, and Marriott International. We believe our management team’s extensive public company and vacation ownership and hospitality industry experience has enabled us to achieve solid operating results and will enable us to continue to respond quickly and effectively to changing market conditions and consumer trends. Our management team’s experience in the highly regulated vacation ownership industry also provides us with a competitive advantage in expanding existing product forms and developing new 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Engaged associates delivering high levels of customer service driving repeat customers</w:t>
      </w:r>
    </w:p>
    <w:p>
      <w:pPr>
        <w:spacing w:after="0" w:line="11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We believe that our associates provide superior customer service and this dedication to serving the customer enhances our competitive position. A significant portion of our vacation ownership contract sales are historically to existing owners, which enables them to enjoy longer stays and have greater flexibility in their vacation choices. Sales to existing owners typically have significantly lower sales and marketing costs than sales to new owners. We leverage high levels of associate engagement and a strong corporate culture to deliver positive customer experiences in sales, marketing, exchange, management, and resort operations.</w:t>
      </w:r>
    </w:p>
    <w:p>
      <w:pPr>
        <w:spacing w:after="0" w:line="7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We use an external third-party service provider to regularly survey our associates for feedback. We use the results of our annual engagement surveys to improve the associate experience and to further develop a caring culture that contributes to the long tenure for both management and hourly associates averaging nearly 12 years and over 6 years, respectively, on a global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 SEGMENT</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Vacation Ownership segment develops, markets, sells, finances, rents, and manages vacation ownership and related products under our licensed brands. 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70"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As of December 31, 2023, our Vacation Ownership segment had approximately 120 resorts and approximately 700,000 owner families. The Vacation Ownership segment represented 94% of our consolidated revenue for 2023.</w:t>
      </w:r>
    </w:p>
    <w:p>
      <w:pPr>
        <w:spacing w:after="0" w:line="9" w:lineRule="exact"/>
        <w:rPr>
          <w:sz w:val="20"/>
          <w:szCs w:val="20"/>
          <w:color w:val="auto"/>
        </w:rPr>
      </w:pPr>
    </w:p>
    <w:tbl>
      <w:tblPr>
        <w:tblLayout w:type="fixed"/>
        <w:tblInd w:w="2220" w:type="dxa"/>
        <w:tblCellMar>
          <w:top w:w="0" w:type="dxa"/>
          <w:left w:w="0" w:type="dxa"/>
          <w:bottom w:w="0" w:type="dxa"/>
          <w:right w:w="0" w:type="dxa"/>
        </w:tblCellMar>
      </w:tblPr>
      <w:tr>
        <w:trPr>
          <w:trHeight w:val="172"/>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153"/>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98"/>
              <w:spacing w:after="0" w:line="154" w:lineRule="exact"/>
              <w:rPr>
                <w:sz w:val="20"/>
                <w:szCs w:val="20"/>
                <w:color w:val="auto"/>
              </w:rPr>
            </w:pPr>
            <w:r>
              <w:rPr>
                <w:rFonts w:ascii="Times New Roman" w:cs="Times New Roman" w:eastAsia="Times New Roman" w:hAnsi="Times New Roman"/>
                <w:sz w:val="15"/>
                <w:szCs w:val="15"/>
                <w:b w:val="1"/>
                <w:bCs w:val="1"/>
                <w:color w:val="auto"/>
              </w:rPr>
              <w:t>Vacation Ownership</w:t>
            </w:r>
          </w:p>
        </w:tc>
      </w:tr>
      <w:tr>
        <w:trPr>
          <w:trHeight w:val="204"/>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Segment Revenues</w:t>
            </w:r>
          </w:p>
        </w:tc>
      </w:tr>
      <w:tr>
        <w:trPr>
          <w:trHeight w:val="23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1,460</w:t>
            </w:r>
          </w:p>
        </w:tc>
      </w:tr>
      <w:tr>
        <w:trPr>
          <w:trHeight w:val="256"/>
        </w:trPr>
        <w:tc>
          <w:tcPr>
            <w:tcW w:w="5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60" w:type="dxa"/>
            <w:vAlign w:val="bottom"/>
          </w:tcPr>
          <w:p>
            <w:pPr>
              <w:spacing w:after="0"/>
              <w:rPr>
                <w:sz w:val="22"/>
                <w:szCs w:val="22"/>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568</w:t>
            </w:r>
          </w:p>
        </w:tc>
      </w:tr>
      <w:tr>
        <w:trPr>
          <w:trHeight w:val="25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531</w:t>
            </w:r>
          </w:p>
        </w:tc>
      </w:tr>
      <w:tr>
        <w:trPr>
          <w:trHeight w:val="256"/>
        </w:trPr>
        <w:tc>
          <w:tcPr>
            <w:tcW w:w="50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60" w:type="dxa"/>
            <w:vAlign w:val="bottom"/>
          </w:tcPr>
          <w:p>
            <w:pPr>
              <w:spacing w:after="0"/>
              <w:rPr>
                <w:sz w:val="22"/>
                <w:szCs w:val="22"/>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322</w:t>
            </w:r>
          </w:p>
        </w:tc>
      </w:tr>
      <w:tr>
        <w:trPr>
          <w:trHeight w:val="256"/>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1,587</w:t>
            </w: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4,468</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Brands</w:t>
      </w:r>
    </w:p>
    <w:p>
      <w:pPr>
        <w:spacing w:after="0" w:line="115"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Built upon a single hospitality brand at the time of our founding, Marriott Vacations Worldwide has grown into a multi-branded organization with a broad, diverse portfolio of immersive vacation and leisure destinations. Our portfolio includes a rich tapestry of some of the world’s most iconic, widely recognized and respected hospitality and travel brands. We design, build, manage and maintain properties at upper upscale and luxury levels primarily under the following brands:</w:t>
      </w:r>
    </w:p>
    <w:p>
      <w:pPr>
        <w:spacing w:after="0" w:line="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Marriott Vacation Club </w:t>
      </w:r>
      <w:r>
        <w:rPr>
          <w:rFonts w:ascii="Times New Roman" w:cs="Times New Roman" w:eastAsia="Times New Roman" w:hAnsi="Times New Roman"/>
          <w:sz w:val="17"/>
          <w:szCs w:val="17"/>
          <w:color w:val="auto"/>
        </w:rPr>
        <w:t>is a collection of upper upscale vacation ownership resorts featuring timeshare villas and other accommodations throughout the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Caribbean, Europe, Asia, and Australia. This brand is about vacations with a sense of place and belonging, providing owners and their families with the flexibility to enjoy a wide variety of vacation experiences characterized by the consistent high quality and warm hospitality for which the Marriott name is known. Marriott Vacation Club Pulse, a brand extension of Marriott Vacation Club, offers properties in the heart of vibrant cities, such as San Francisco and New York City. Because of their urban locations, Marriott Vacation Club Pulse properties typically offer limited on-site amenities and may include smaller guest rooms without separate living areas and kitchens.</w:t>
      </w:r>
    </w:p>
    <w:p>
      <w:pPr>
        <w:spacing w:after="0" w:line="6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Sheraton Vacation Club </w:t>
      </w:r>
      <w:r>
        <w:rPr>
          <w:rFonts w:ascii="Times New Roman" w:cs="Times New Roman" w:eastAsia="Times New Roman" w:hAnsi="Times New Roman"/>
          <w:sz w:val="17"/>
          <w:szCs w:val="17"/>
          <w:color w:val="auto"/>
        </w:rPr>
        <w:t>provides enriching and unexpected vacation experiences in fun family destinations like Florida, South Carolina, and Colorado,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that emphasize building and strengthening relationships. This collection of vacation ownership resorts builds on an iconic legacy of trusted hospitality, and brings to life a warm, energetic haven for families to gather and nurture their most precious relationships by allowing owners and guests to relax, play, and experience what the world has to offer. Sheraton Vacation Club upper upscale vacation ownership resorts are part of the Vistana Signature Network (“VSN”).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44" w:right="359" w:bottom="1440" w:gutter="0" w:footer="0" w:header="0"/>
        </w:sectPr>
      </w:pPr>
    </w:p>
    <w:bookmarkStart w:id="10" w:name="page11"/>
    <w:bookmarkEnd w:id="10"/>
    <w:p>
      <w:pPr>
        <w:ind w:right="30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Westin Vacation Club </w:t>
      </w:r>
      <w:r>
        <w:rPr>
          <w:rFonts w:ascii="Times New Roman" w:cs="Times New Roman" w:eastAsia="Times New Roman" w:hAnsi="Times New Roman"/>
          <w:sz w:val="17"/>
          <w:szCs w:val="17"/>
          <w:color w:val="auto"/>
        </w:rPr>
        <w:t>is a collection of vacation ownership resorts located in some of the most sought-after destinations and designed with living well in mind.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the world-renowned Heavenly Bed to an energizing WestinWORKOUT and revitalizing experiences, every element of a vacation stay is created to leave owners and guests feeling better than when they arrived. Westin Vacation Club upper upscale vacation ownership resorts are part of VSN.</w:t>
      </w:r>
    </w:p>
    <w:p>
      <w:pPr>
        <w:spacing w:after="0" w:line="5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Grand Residences by Marriott </w:t>
      </w:r>
      <w:r>
        <w:rPr>
          <w:rFonts w:ascii="Times New Roman" w:cs="Times New Roman" w:eastAsia="Times New Roman" w:hAnsi="Times New Roman"/>
          <w:sz w:val="17"/>
          <w:szCs w:val="17"/>
          <w:color w:val="auto"/>
        </w:rPr>
        <w:t>provides vacation ownership through fractional real estate and whole ownership offerings. Grand Residences by Marriott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dedicated to providing carefree property ownership. The accommodations for this brand are similar to those offered under the Marriott Vacation Club brand, but the duration of the VOI is longer, ranging between three and thirteen weeks.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The Ritz-Carlton Club </w:t>
      </w:r>
      <w:r>
        <w:rPr>
          <w:rFonts w:ascii="Times New Roman" w:cs="Times New Roman" w:eastAsia="Times New Roman" w:hAnsi="Times New Roman"/>
          <w:sz w:val="17"/>
          <w:szCs w:val="17"/>
          <w:color w:val="auto"/>
        </w:rPr>
        <w:t>is a collection of vacation ownership resorts that provide luxurious vacation experiences for members and their families commensurate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legacy of The Ritz-Carlton brand. The Ritz-Carlton Club resorts include luxury villas and resort amenities that offer inspirational vacation lifestyles tailored to every member’s needs and expectations. The Ritz-Carlton Club resorts typically feature two-, three-, and four-bedroom units that usually include marble foyers, walk-in closets, custom kitchen cabinetry, and luxury resort amenities such as large feature swimming pools and access to full-service restaurants and bars. On-site management and services, which usually include daily housekeeping service, valet, in-residence dining, and access to fitness facilities, as well as spa and sports facilities as appropriate for each destination, are provided by The Ritz-Carlton Hotel Company.</w:t>
      </w:r>
    </w:p>
    <w:p>
      <w:pPr>
        <w:spacing w:after="0" w:line="68"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The Ritz-Carlton Residences </w:t>
      </w:r>
      <w:r>
        <w:rPr>
          <w:rFonts w:ascii="Times New Roman" w:cs="Times New Roman" w:eastAsia="Times New Roman" w:hAnsi="Times New Roman"/>
          <w:sz w:val="17"/>
          <w:szCs w:val="17"/>
          <w:color w:val="auto"/>
        </w:rPr>
        <w:t>is a luxury tier whole ownership residence brand. The Ritz-Carlton Residences includes whole ownership luxury residential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condominiums co-located with The Ritz-Carlton Club resorts. Owners can typically purchase condominiums that vary in size from one-bedroom apartments to spacious penthouses. Owners of The Ritz-Carlton Residences can avail themselves of the services and facilities that are associated with the co-located The Ritz-Carlton Club resort on an à la carte basis. On-site management and services are provided by The Ritz-Carlton Hotel Company.</w:t>
      </w:r>
    </w:p>
    <w:p>
      <w:pPr>
        <w:spacing w:after="0" w:line="63"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St. Regis Residence Club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The Luxury Collection </w:t>
      </w:r>
      <w:r>
        <w:rPr>
          <w:rFonts w:ascii="Times New Roman" w:cs="Times New Roman" w:eastAsia="Times New Roman" w:hAnsi="Times New Roman"/>
          <w:sz w:val="17"/>
          <w:szCs w:val="17"/>
          <w:color w:val="auto"/>
        </w:rPr>
        <w:t>offer fractional interests in luxury real estate and distinctive privileges to members who embrace the art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living in unforgettable destinations.</w:t>
      </w:r>
    </w:p>
    <w:p>
      <w:pPr>
        <w:spacing w:after="0" w:line="4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Hyatt Vacation Club </w:t>
      </w:r>
      <w:r>
        <w:rPr>
          <w:rFonts w:ascii="Times New Roman" w:cs="Times New Roman" w:eastAsia="Times New Roman" w:hAnsi="Times New Roman"/>
          <w:sz w:val="17"/>
          <w:szCs w:val="17"/>
          <w:color w:val="auto"/>
        </w:rPr>
        <w:t>is a diverse collection of distinctive family-friendly vacation ownership resorts with residential-style accommodations. Hyatt Vacation Club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includes properties in highly desirable destinations like Maui, the San Diego area, Cabo San Lucas, Lake Tahoe, Breckenridge, and Key West. Offering multiple vacation ownership products, an emphasis on purposeful vacation experiences, and exciting options for global travel, Hyatt Vacation Club provides people with vital opportunities to step back from their hectic lives to reconnect and make lifelong memories.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 and Services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Points-Based Vacation Ownership Products</w:t>
      </w:r>
    </w:p>
    <w:p>
      <w:pPr>
        <w:spacing w:after="0" w:line="11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We sell the majority of our products through points-based ownership programs, including Marriott Vacation Club Destinations, Sheraton Flex, Westin Flex, Westin Aventuras, the Hyatt Vacation Club Portfolio Program, and the Hyatt Vacation Club Platinum Program. Our points-based systems and exchange networks enable owners and members to access a large variety of different vacation experiences.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 vacation experiences, which may include cruises, airline travel, guided tours, safaris and other unique vacation alternatives. Owners who are members of our points-based programs typically pay annual fees in exchange for the ability to participate in the program. In addition to points-based ownership programs that allow owners to access multiple destinations within a single program, we offer points programs at certain resorts, such as in St. John and Hawaii, that allow owners to access only that particular site using points in a similar fashion to the other points-based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1" w:name="page12"/>
    <w:bookmarkEnd w:id="11"/>
    <w:p>
      <w:pPr>
        <w:ind w:right="100"/>
        <w:spacing w:after="0" w:line="257" w:lineRule="auto"/>
        <w:rPr>
          <w:sz w:val="20"/>
          <w:szCs w:val="20"/>
          <w:color w:val="auto"/>
        </w:rPr>
      </w:pPr>
      <w:r>
        <w:rPr>
          <w:rFonts w:ascii="Times New Roman" w:cs="Times New Roman" w:eastAsia="Times New Roman" w:hAnsi="Times New Roman"/>
          <w:sz w:val="17"/>
          <w:szCs w:val="17"/>
          <w:color w:val="auto"/>
        </w:rPr>
        <w:t>Our points programs allow owners to bank and borrow their annual point allotments, access other locations through the applicable internal exchange programs that we operate, and access Interval International’s network of more than 3,200 affiliated resorts. Owners can trade their vacation ownership usage rights for Marriott Bonvoy points or World of Hyatt points, as applicable, which can be used to access participating hotels or redeemed for airline miles or other merchandise offered through such customer loyalty program. Through our exchange networks and points systems, owners can also use points toward vacation experiences such as a bicycle tour, a culinary journey, an adventure cruise or a once-in-a-lifetime trip to a major sporting event. Our points-based products offer usage in perpetuity or for a term of years and may consist of real estate interests or a contractual right-to-use.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Weeks-Based Vacation Ownership Products</w:t>
      </w:r>
    </w:p>
    <w:p>
      <w:pPr>
        <w:spacing w:after="0" w:line="11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We continue to sell Marriott-, Westin-, Sheraton- and Hyatt-branded weeks-based vacation ownership products in select markets, including in countries where legal and tax constraints currently limit our ability to include those locations in one of our existing points-based programs. Our products include multi-week VOIs in specific Grand Residences by Marriott, St. Regis Residence Club, The Luxury Collection Residence Club, and The Ritz-Carlton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VOIs as a contractual right-to-use product subject to a finite term in Asia Pacific and Europe.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Global Exchange Opportunities</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Most of our vacation ownership products, including our Marriott Vacation Club-, Sheraton Vacation Club-, Westin Vacation Club-, and Hyatt Vacation Club-branded products, are affiliated with the Interval Network, the high-quality membership brand that serves as the gateway to premium vacation experiences.</w:t>
      </w:r>
    </w:p>
    <w:p>
      <w:pPr>
        <w:spacing w:after="0" w:line="5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 2022, we launched Abound by Marriott Vacations, an owner benefit and exchange program which affiliates the Marriott Vacation Club-, Sheraton Vacation Club-and Westin Vacation Club- brands to offer similar benefits to owners of our products under these brands. Under this program, owners of Marriott Vacation Club, Sheraton Vacation Club and Westin Vacation Club branded VOIs can access over 90 resorts under the Marriott Vacation Club, Sheraton Vacation Club and Westin Vacation Club brands using a common currency. The program also harmonizes fee structures and owner benefit levels and has allowed us to transition most of our sales galleries that formerly sold Sheraton Vacation Club and Westin Vacation Club VOIs to sell our Marriott Vacation Club Destinations product, which includes certain Sheraton Vacation Club- and Westin Vacation Club- branded VOIs.</w:t>
      </w:r>
    </w:p>
    <w:p>
      <w:pPr>
        <w:spacing w:after="0" w:line="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We offer our existing Marriott Vacation Club owners who hold weeks-based products the opportunity to participate, on a voluntary basis, in an exchange program through which many vacation experiences are offered. All existing owners, whether or not they elect to participate in the Abound by Marriott Vacations exchange program, retain their existing rights and privileges of vacation ownership. Owners who elect to participate in the exchange program receive the ability to trade their weeks-based interval usage for vacation club points usage each year, typically subject to payment of an initial enrollment fee and annual club dues.</w:t>
      </w:r>
    </w:p>
    <w:p>
      <w:pPr>
        <w:spacing w:after="0" w:line="7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VSN provides Westin Vacation Club and Sheraton Vacation Club owners access to its affiliated resorts as well as the opportunity to exchange their points through the Marriott Bonvoy program to Marriott resorts, through the Interval International network, or for a cruise. Based on the point value of the home resort interest owned, customers can choose other VSN affiliated resorts, the type of villa, the date of travel and the length of stay. VSN members have a priority period in which they have exclusive reservation rights for the related resort or points program without competition from other network members. During this home resort period, they can reserve occupancy based on the season and unit type purchased.</w:t>
      </w:r>
    </w:p>
    <w:p>
      <w:pPr>
        <w:spacing w:after="0" w:line="7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Hyatt Vacation Club provides its owners exchange rights through Interval International. Eligible members may redeem their club points for World of Hyatt points, which may be redeemed at participating Hyatt-branded properties. In late 2023, we launched the BEYOND program for Hyatt Vacation Club. This program is designed to give owners of Hyatt Vacation Club Platinum or Hyatt Vacation Club Portfolio the opportunity for flexible access to exciting global travel experiences such as cruises, guided tours, and more, while enjoying their ownership benefits and Hyatt Vacation Club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Sources of Revenue</w:t>
      </w:r>
    </w:p>
    <w:p>
      <w:pPr>
        <w:spacing w:after="0" w:line="11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generate most of our revenues from four primary sources: (1) selling vacation ownership products; (2) managing vacation ownership resorts, clubs, and owners’ associations; (3) financing consumer purchases of vacation ownership products; and (4) renting vacation ownership inventory.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Vacation Ownership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principal source of revenue is the sale of VOIs.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Resort Management and Other Services</w:t>
      </w:r>
    </w:p>
    <w:p>
      <w:pPr>
        <w:spacing w:after="0" w:line="115"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We generate revenue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exchange service providers with which we are associated.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w:t>
      </w:r>
    </w:p>
    <w:p>
      <w:pPr>
        <w:spacing w:after="0" w:line="11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We earn interest income on loans that we provide to purchasers of our VOIs, as well as loan servicing and other fees. We offer financing to qualified customers for the purchase of most types of our vacation ownership products.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 By using Marriott.com and other direct booking channels to rent available inventory, we are able to reach potential new members who may already have an affinity for and loyalty to the Marriott, Sheraton, Westin and Ritz-Carlton brands and introduce them to our products. Similarly, by using Hyatt.com and other direct booking channels to rent available inventory, we are able to reach potential new members who may already have an affinity for and loyalty to the Hyatt brand and introduce them to our products.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 and Sales Activities</w:t>
      </w:r>
    </w:p>
    <w:p>
      <w:pPr>
        <w:spacing w:after="0" w:line="11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We sell our upper upscale tier vacation ownership products under our brands primarily through our worldwide network of resort-based sales centers and certain off-site sales locations. Our VOIs are currently marketed for sale throughout the United States and in nearly 30 countries and territories around the world, targeting customers who vacation regularly with a focus on family, relaxation and recreational activities. In 2023, over 90% of our vacation ownership contract sales originated at sales centers that are co-located with one of our resorts. We maintain a range of different off-site sales centers, including our central telesales organization based in Orlando and our network of third-party brokers in Latin America and Europe. We have 90 global sales locations focused on the sale of VOIs. We utilize a number of marketing channels to attract qualified customers to our sales locations, including digital and social media marketing.</w:t>
      </w:r>
    </w:p>
    <w:p>
      <w:pPr>
        <w:spacing w:after="0" w:line="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solicit our existing owners primarily while they are staying in our resorts, but also offer our owners the opportunity to make additional purchases through direct phone sales, owner events and inquiries from our central customer service centers located in Salt Lake City, Utah, Orlando, Florida, and Palm Springs, California. In 2023, approximately 70% of our vacation ownership contract sales were to our existing owners. In addition, we are concentrating on growing our tour flow cost effectively as we seek to generate more first-time buyer tours through our strategy that emphasizes adding new sales locations and new marketing channels, including digital and social media marketing.</w:t>
      </w:r>
    </w:p>
    <w:p>
      <w:pPr>
        <w:spacing w:after="0" w:line="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We also market to existing Marriott and Hyatt customer loyalty program members and travelers who are staying in locations where we have resorts affiliated with those brands. We market extensively to guests in Marriott International or Hyatt hotels that are located near one of our sales locations. We also market through call transfer arrangements with Marriott International pursuant to which callers to certain reservation centers are asked if they would like to be transferred to one of our representatives who can tell them about our products. In addition, we operate other local marketing venues in various high-traffic areas. A significant part of our direct marketing activities is focused on prospects in the Marriott and Hyatt customer loyalty program databases and our in-house databases of qualified prospects. We offer guests who do not buy a VOI during their initial tour the opportunity to purchase a return package for a future stay at our resorts. These return guests are nearly twice as likely to purchase as a first-time visitor.</w:t>
      </w:r>
    </w:p>
    <w:p>
      <w:pPr>
        <w:spacing w:after="0" w:line="74" w:lineRule="exact"/>
        <w:rPr>
          <w:sz w:val="20"/>
          <w:szCs w:val="20"/>
          <w:color w:val="auto"/>
        </w:rPr>
      </w:pPr>
    </w:p>
    <w:p>
      <w:pPr>
        <w:ind w:right="840"/>
        <w:spacing w:after="0" w:line="283" w:lineRule="auto"/>
        <w:rPr>
          <w:sz w:val="20"/>
          <w:szCs w:val="20"/>
          <w:color w:val="auto"/>
        </w:rPr>
      </w:pPr>
      <w:r>
        <w:rPr>
          <w:rFonts w:ascii="Times New Roman" w:cs="Times New Roman" w:eastAsia="Times New Roman" w:hAnsi="Times New Roman"/>
          <w:sz w:val="17"/>
          <w:szCs w:val="17"/>
          <w:color w:val="auto"/>
        </w:rPr>
        <w:t>One of our key areas of focus is expanding our use of social media and digital marketing channels. We are focused on building stronger brand reputation associations via social media audience growth and data driven content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7"/>
          <w:szCs w:val="17"/>
          <w:color w:val="auto"/>
        </w:rPr>
        <w:t>Our sales tours are designed to provide our guests with an overview of our company and our products, as well as a customized presentation to explain how our products and services can meet their vacationing needs. From a single week at a fixed location to today’s abundance of getaway options, the range of vacation experiences we offer has undergone a remarkable metamorphosis. The vacation experience we provide today is not just about a visit to a resort. It can be a bicycle tour, a culinary journey, an adventure cruise, or a once-in-a-lifetime trip to a major sporting event. That is why our sales force is highly trained in a consultative sales approach designed to enable us to meet customers’ needs on an individual basis. We hire our sales executives based on stringent selection criteria. After they are hired, they spend a minimum of four weeks in product and sales training, of which the final week is typically site-driven and tailored to the learning needs of each respective site and new hire. We manage our sales executives’ consistency of presentation and professionalism using a variety of sales tools and technology and through a post-presentation survey of our guests that measures many aspects of each guest’s interactions during the sales process.</w:t>
      </w:r>
    </w:p>
    <w:p>
      <w:pPr>
        <w:spacing w:after="0" w:line="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7"/>
          <w:szCs w:val="17"/>
          <w:color w:val="auto"/>
        </w:rPr>
        <w:t>We believe consumers place a great deal of trust in the Marriott, Westin, Sheraton, Ritz-Carlton, St. Regis and Hyatt brands and the strength of these brands is important to our ability to attract qualified prospects in the marketplace. We maintain a prominent presence on the www.marriott.com, www.ritzcarlton.com and www.hyatt.com websites. Our proprietary websites include www.marriottvacationsworldwide.com, www.marriottvacationclubs.com, www.ritzcarltonclub.com, www.theresidenceclub.com, www.grandresidenceclub.com and www.hyattvacationclub.com.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 and Development Activities</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secure inventory by developing or acquiring inventory at resorts in strategic markets, reacquiring previously sold inventory in the secondary market, reacquiring inventory as a result of owner loan or maintenance fee defaults, or building additional phases at our existing resorts. We proactively buy back previously sold VOIs under our repurchase programs at lower costs than would be required to develop new inventory. Efficient use of our capital is also achieved through our points-based business model, which allows us to supply many sales locations with new inventory sourced from a small number of resort locations.</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intend to continue to selectively pursue growth opportunities in North America and Asia Pacific by targeting high-quality inventory that allows us to add desirable new destinations to our system with new on-site sales locations in ways that optimize the timing of our capital investments. These capital efficient vacation ownership transaction structures may include working with third parties to develop new inventory or to convert previously built units to be sold to us close to when we need such inventory.</w:t>
      </w:r>
    </w:p>
    <w:p>
      <w:pPr>
        <w:spacing w:after="0" w:line="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Approximately 25% of our Vacation Ownership segment resorts are co-located with same-branded or affiliated hotel properties. Co-location of our resorts with same-branded or affiliated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7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Co-located resorts require cooperation and coordination among all parties and are subject to cost sharing and integration agreements among us, the applicable owners’ association and managers and owners of the co-located hotel. Our license agreements with Marriott International and Hyatt allow for the development of co-located properties in the future, and we intend to opportunistically pursue co-located projects with them.</w:t>
      </w:r>
    </w:p>
    <w:p>
      <w:pPr>
        <w:spacing w:after="0" w:line="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Owners generally can offer their VOIs for resale on the secondary market, which can create pricing pressure on the sale of developer inventory. However, owners who purchase VOIs on the secondary market typically do not receive all of the benefits that owners who purchase products directly from us receive. When an owner purchases a VOI directly from us or a resale on the secondary market, the owner receives certain entitlements that are tied to the underlying VOI, such as the right to reserve a resort unit that underlies their VOI in order to occupy that unit or exchange its use for use of a unit at another resort through an external exchange service provider, as well as benefits that are incidental to the purchase of the VOI. However, the purchaser on the secondary market may not be entitled to receive certain ancillary benefits such as full access to our internal exchange programs or the right to trade their usage rights for customer loyalty program points. Additionally, many of our VOIs provide us with a right of first refusal on secondary market sales. We monitor sales that occur in the secondary market and exercise our right of first refusal when it is advantageous for us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4" w:name="page15"/>
    <w:bookmarkEnd w:id="14"/>
    <w:p>
      <w:pPr>
        <w:ind w:right="20"/>
        <w:spacing w:after="0" w:line="267" w:lineRule="auto"/>
        <w:rPr>
          <w:sz w:val="20"/>
          <w:szCs w:val="20"/>
          <w:color w:val="auto"/>
        </w:rPr>
      </w:pPr>
      <w:r>
        <w:rPr>
          <w:rFonts w:ascii="Times New Roman" w:cs="Times New Roman" w:eastAsia="Times New Roman" w:hAnsi="Times New Roman"/>
          <w:sz w:val="17"/>
          <w:szCs w:val="17"/>
          <w:color w:val="auto"/>
        </w:rPr>
        <w:t>whether due to pricing, desire for the particular inventory, or other factors. All owners, whether they purchase directly from us or on the secondary market, are responsible for the annual maintenance fees, property taxes and any assessments that are levied by the relevant owners’ association, as well as any exchange service membership dues or service fees.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Activities</w:t>
      </w:r>
    </w:p>
    <w:p>
      <w:pPr>
        <w:spacing w:after="0" w:line="11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We enter into a management agreement with the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which are principally payroll-related costs at the locations where we employ the associates providing on-site services, costs associated with property refurbishments, and insurance. Cost reimbursements consist of actual expenses with no added margin.</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branded resort is not renewed or is terminated, the resort loses the ability to use the brand and trademarks. The owners at such resorts also lose their ability to trade their vacation ownership usage rights for customer loyalty program points and to access other resorts through one of our internal exchange programs.</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Ritz-Carlton Hotel Company manages the on-site operations for The Ritz-Carlton Club and The Ritz-Carlton Residences properties in our portfolio under separate management agreements with us. We provide owners’ association governance and vacation ownership program management services for The Ritz-Carlton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brand and trademarks. The owners at such resorts also lose their ability to access other usage benefits, such as the ability to exchange occupancy for customer loyalty program points, access to accommodations at other The Ritz-Carlton Club resorts, preferential access to Ritz-Carlton hotels worldwide and access to our internal exchange and vacation travel options.</w:t>
      </w:r>
    </w:p>
    <w:p>
      <w:pPr>
        <w:spacing w:after="0" w:line="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Each management agreement requires the owners’ association, trust association or other governing body to provide sufficient funds to pay for the vacation ownership program and operating costs. To satisfy this requirement, owners of VOIs pay an annual maintenance fee. This fee represents the owner’s allocable share of the costs of operating and maintaining the resorts or interests in the timeshare plan in which they hold a VOI,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We may enter into subsidy agreements with the owners’ associations under which we agree to pay costs that otherwise would be covered by annual maintenance fees associated with VOIs or units that have not yet been built or committed to a timeshare plan.</w:t>
      </w:r>
    </w:p>
    <w:p>
      <w:pPr>
        <w:spacing w:after="0" w:line="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If an owner defaults in payment of maintenance fees or other assessments, the owners’ association typically has the right to foreclose on or revoke the defaulting owner’s VOI. We have arrangements with several owners’ associations to assist in reselling foreclosed or revoked VOIs in exchange for a fee, or to reacquire such foreclosed or revoked VOIs from the owners’ associations.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9"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Consumer Financing</w:t>
      </w:r>
    </w:p>
    <w:p>
      <w:pPr>
        <w:spacing w:after="0" w:line="11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We offer purchase money financing for purchasers of our vacation ownership products who meet our underwriting guidelines. By offering or eliminating financing incentives, we have been able to increase or decrease the volume of our financing activities depending on market conditions. We do not provide financing to buyers of our residential products. We generally do not face competition in our consumer financing business to finance sales of vacation ownership products.</w:t>
      </w:r>
    </w:p>
    <w:p>
      <w:pPr>
        <w:spacing w:after="0" w:line="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2023, our financing propensity was 58% and the average loan originated by us for vacation ownership products totaled approximately $29,200 (such average includes any refinancing by purchasers who upgraded a prior purchase). For financing on the majority of our VOIs, we require a minimum down payment of 10% of the purchase price, although down payments and interest rates are typically higher for applicants with credit scores below certain levels and for purchasers who do not have credit scores, such as non-U.S. resident purchasers. The average interest rate for originated loans in 2023 was 13.5% and the average term was 12 years. Interest rates are fixed and a loan fully amortizes over the life of the loan. The average monthly mortgage payment for an owner who received a loan in 2023 was $449. We do not impose any prepayment penalties.</w:t>
      </w:r>
    </w:p>
    <w:p>
      <w:pPr>
        <w:spacing w:after="0" w:line="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In our vacation ownership business, in many of our markets,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2023, the average FICO score of our customers who were U.S. citizens or residents who financed a vacation ownership purchase was 735; 72% had a credit score of over 700, 89% had a credit score of over 650 and 97% had a credit score of over 600.</w:t>
      </w:r>
    </w:p>
    <w:p>
      <w:pPr>
        <w:spacing w:after="0" w:line="7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5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In the event of a default, we generally have the right to foreclose on or revoke the defaulting owner’s VOI. We typically resell interests that we reacquire through foreclosure or revocation or place such interests into one of our points-based programs.</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We securitize the majority of the consumer loans we originate in support of our vacation ownership business. Historically, we have sold these loans to institutional investors in the asset-backed securities (“ABS”) market on a non-recourse basis. These vacation ownership notes receivable securitizations provide funding for us at interest rates similar to those available to companies with investment grade credit ratings, and transfer the economic risks and a significant portion of the benefits of the consumer loans we originate to third parties. In a vacation ownership notes receivable securitization, several classes of debt securities issued by a special purpose entity are generally collateralized by a single pool of transferred assets, which consist of vacation ownership notes receivable. During 2023, we completed two securitization transactions, which are discussed in detail in Footnote 15 “Securitized Debt” to our Financial Statements. On an ongoing basis, we have the ability to use our warehouse credit facility (“Warehouse Credit Facility”) to securitize eligible consumer loans derived from certain branded vacation ownership sales. Those loans may later be transferred to term securitization transactions in the ABS market, which we intend to continue to complete twice a year. Since 2000, we have issued approximately $8.9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Our Resorts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December 31, 2023, our vacation ownership portfolio consisted of approximately 120 properties with over 22,000 vacation ownership villas, also referred to as units, and over 31,000 keys in the following locations. A “key” is the lowest increment for reporting occupancy statistics based upon the mix of non-lock-off and lock-off villas. Lock-off villas represent two keys and non-lock-off villas represent one key.</w:t>
      </w:r>
    </w:p>
    <w:p>
      <w:pPr>
        <w:sectPr>
          <w:pgSz w:w="11900" w:h="16838" w:orient="portrait"/>
          <w:cols w:equalWidth="0" w:num="1">
            <w:col w:w="11160"/>
          </w:cols>
          <w:pgMar w:left="320" w:top="1295" w:right="419" w:bottom="1440" w:gutter="0" w:footer="0" w:header="0"/>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Mainland U.S. and Hawaii</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120" w:type="dxa"/>
            <w:vAlign w:val="bottom"/>
          </w:tcPr>
          <w:p>
            <w:pPr>
              <w:spacing w:after="0"/>
              <w:rPr>
                <w:sz w:val="17"/>
                <w:szCs w:val="17"/>
                <w:color w:val="auto"/>
              </w:rPr>
            </w:pPr>
          </w:p>
        </w:tc>
        <w:tc>
          <w:tcPr>
            <w:tcW w:w="6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Arizona</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1,189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6,268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Nevada</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7,989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Mexico</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Hawaii</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4,768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Massachusetts</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7"/>
              </w:rPr>
              <w:t>South Carolina</w:t>
            </w:r>
          </w:p>
        </w:tc>
        <w:tc>
          <w:tcPr>
            <w:tcW w:w="0" w:type="dxa"/>
            <w:vAlign w:val="bottom"/>
          </w:tcPr>
          <w:p>
            <w:pPr>
              <w:spacing w:after="0"/>
              <w:rPr>
                <w:sz w:val="1"/>
                <w:szCs w:val="1"/>
                <w:color w:val="auto"/>
              </w:rPr>
            </w:pPr>
          </w:p>
        </w:tc>
      </w:tr>
      <w:tr>
        <w:trPr>
          <w:trHeight w:val="409"/>
        </w:trPr>
        <w:tc>
          <w:tcPr>
            <w:tcW w:w="3860" w:type="dxa"/>
            <w:vAlign w:val="bottom"/>
            <w:gridSpan w:val="10"/>
          </w:tcPr>
          <w:p>
            <w:pPr>
              <w:spacing w:after="0"/>
              <w:rPr>
                <w:sz w:val="20"/>
                <w:szCs w:val="20"/>
                <w:color w:val="auto"/>
              </w:rPr>
            </w:pPr>
            <w:r>
              <w:rPr>
                <w:rFonts w:ascii="Times New Roman" w:cs="Times New Roman" w:eastAsia="Times New Roman" w:hAnsi="Times New Roman"/>
                <w:sz w:val="17"/>
                <w:szCs w:val="17"/>
                <w:i w:val="1"/>
                <w:iCs w:val="1"/>
                <w:color w:val="auto"/>
              </w:rPr>
              <w:t>Caribbean, Mexico, and Central America</w:t>
            </w: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6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Aruba</w:t>
            </w:r>
          </w:p>
        </w:tc>
        <w:tc>
          <w:tcPr>
            <w:tcW w:w="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7"/>
                <w:szCs w:val="17"/>
                <w:color w:val="auto"/>
                <w:w w:val="99"/>
              </w:rPr>
              <w:t>1,211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Puerto Rico</w:t>
            </w:r>
          </w:p>
        </w:tc>
        <w:tc>
          <w:tcPr>
            <w:tcW w:w="0" w:type="dxa"/>
            <w:vAlign w:val="bottom"/>
          </w:tcPr>
          <w:p>
            <w:pPr>
              <w:spacing w:after="0"/>
              <w:rPr>
                <w:sz w:val="1"/>
                <w:szCs w:val="1"/>
                <w:color w:val="auto"/>
              </w:rPr>
            </w:pPr>
          </w:p>
        </w:tc>
      </w:tr>
      <w:tr>
        <w:trPr>
          <w:trHeight w:val="170"/>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Bahamas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U.S. Virgin</w:t>
            </w:r>
          </w:p>
        </w:tc>
        <w:tc>
          <w:tcPr>
            <w:tcW w:w="0" w:type="dxa"/>
            <w:vAlign w:val="bottom"/>
          </w:tcPr>
          <w:p>
            <w:pPr>
              <w:spacing w:after="0"/>
              <w:rPr>
                <w:sz w:val="1"/>
                <w:szCs w:val="1"/>
                <w:color w:val="auto"/>
              </w:rPr>
            </w:pPr>
          </w:p>
        </w:tc>
      </w:tr>
      <w:tr>
        <w:trPr>
          <w:trHeight w:val="141"/>
        </w:trPr>
        <w:tc>
          <w:tcPr>
            <w:tcW w:w="1220" w:type="dxa"/>
            <w:vAlign w:val="bottom"/>
            <w:vMerge w:val="continue"/>
          </w:tcPr>
          <w:p>
            <w:pPr>
              <w:spacing w:after="0"/>
              <w:rPr>
                <w:sz w:val="12"/>
                <w:szCs w:val="12"/>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center"/>
              <w:ind w:right="38"/>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Islands</w:t>
            </w:r>
          </w:p>
        </w:tc>
        <w:tc>
          <w:tcPr>
            <w:tcW w:w="0" w:type="dxa"/>
            <w:vAlign w:val="bottom"/>
          </w:tcPr>
          <w:p>
            <w:pPr>
              <w:spacing w:after="0"/>
              <w:rPr>
                <w:sz w:val="1"/>
                <w:szCs w:val="1"/>
                <w:color w:val="auto"/>
              </w:rPr>
            </w:pPr>
          </w:p>
        </w:tc>
      </w:tr>
      <w:tr>
        <w:trPr>
          <w:trHeight w:val="89"/>
        </w:trPr>
        <w:tc>
          <w:tcPr>
            <w:tcW w:w="122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Costa Rica</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center"/>
              <w:ind w:right="18"/>
              <w:spacing w:after="0"/>
              <w:rPr>
                <w:sz w:val="20"/>
                <w:szCs w:val="20"/>
                <w:color w:val="auto"/>
              </w:rPr>
            </w:pPr>
            <w:r>
              <w:rPr>
                <w:rFonts w:ascii="Times New Roman" w:cs="Times New Roman" w:eastAsia="Times New Roman" w:hAnsi="Times New Roman"/>
                <w:sz w:val="17"/>
                <w:szCs w:val="17"/>
                <w:color w:val="auto"/>
                <w:w w:val="93"/>
              </w:rPr>
              <w:t>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Indies</w:t>
            </w:r>
          </w:p>
        </w:tc>
        <w:tc>
          <w:tcPr>
            <w:tcW w:w="0" w:type="dxa"/>
            <w:vAlign w:val="bottom"/>
          </w:tcPr>
          <w:p>
            <w:pPr>
              <w:spacing w:after="0"/>
              <w:rPr>
                <w:sz w:val="1"/>
                <w:szCs w:val="1"/>
                <w:color w:val="auto"/>
              </w:rPr>
            </w:pPr>
          </w:p>
        </w:tc>
      </w:tr>
      <w:tr>
        <w:trPr>
          <w:trHeight w:val="409"/>
        </w:trPr>
        <w:tc>
          <w:tcPr>
            <w:tcW w:w="2080" w:type="dxa"/>
            <w:vAlign w:val="bottom"/>
            <w:gridSpan w:val="6"/>
          </w:tcPr>
          <w:p>
            <w:pPr>
              <w:spacing w:after="0"/>
              <w:rPr>
                <w:sz w:val="20"/>
                <w:szCs w:val="20"/>
                <w:color w:val="auto"/>
              </w:rPr>
            </w:pPr>
            <w:r>
              <w:rPr>
                <w:rFonts w:ascii="Times New Roman" w:cs="Times New Roman" w:eastAsia="Times New Roman" w:hAnsi="Times New Roman"/>
                <w:sz w:val="17"/>
                <w:szCs w:val="17"/>
                <w:i w:val="1"/>
                <w:iCs w:val="1"/>
                <w:color w:val="auto"/>
              </w:rPr>
              <w:t>Europe and Asia Pacific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 of</w:t>
            </w: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120" w:type="dxa"/>
            <w:vAlign w:val="bottom"/>
          </w:tcPr>
          <w:p>
            <w:pPr>
              <w:spacing w:after="0"/>
              <w:rPr>
                <w:sz w:val="17"/>
                <w:szCs w:val="17"/>
                <w:color w:val="auto"/>
              </w:rPr>
            </w:pPr>
          </w:p>
        </w:tc>
        <w:tc>
          <w:tcPr>
            <w:tcW w:w="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Keys</w:t>
            </w:r>
          </w:p>
        </w:tc>
        <w:tc>
          <w:tcPr>
            <w:tcW w:w="4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France</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202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Indonesia</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Spain</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715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Thailand</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64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center"/>
              <w:ind w:left="58"/>
              <w:spacing w:after="0"/>
              <w:rPr>
                <w:sz w:val="20"/>
                <w:szCs w:val="20"/>
                <w:color w:val="auto"/>
              </w:rPr>
            </w:pPr>
            <w:r>
              <w:rPr>
                <w:rFonts w:ascii="Times New Roman" w:cs="Times New Roman" w:eastAsia="Times New Roman" w:hAnsi="Times New Roman"/>
                <w:sz w:val="17"/>
                <w:szCs w:val="17"/>
                <w:color w:val="auto"/>
                <w:w w:val="93"/>
              </w:rPr>
              <w:t>49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361823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230" cy="1625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-487045</wp:posOffset>
            </wp:positionV>
            <wp:extent cx="361823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230" cy="16256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Brands</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Marriott Vacation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Sheraton Vacation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Westin Vacation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Grand Residences by Marriott</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Ritz-Carlton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 Regis Residence Club and The Luxury Collection</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Hyatt Vacation Club</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Hotels</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Sheraton Kauai Resort</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Westin Resort &amp; Spa, Cancun</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Hyatt Highlands Inn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 of</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c>
          <w:tcPr>
            <w:tcW w:w="158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20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c>
          <w:tcPr>
            <w:tcW w:w="158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r>
      <w:tr>
        <w:trPr>
          <w:trHeight w:val="238"/>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320</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Texas</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195</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1,172</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Utah</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634</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180</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Virginia</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276</w:t>
            </w:r>
          </w:p>
        </w:tc>
      </w:tr>
      <w:tr>
        <w:trPr>
          <w:trHeight w:val="256"/>
        </w:trPr>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Washington, D.C.</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-648970</wp:posOffset>
            </wp:positionV>
            <wp:extent cx="527367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73675" cy="16256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-324485</wp:posOffset>
            </wp:positionV>
            <wp:extent cx="527367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3675" cy="16256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0</wp:posOffset>
            </wp:positionV>
            <wp:extent cx="527367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73675" cy="162560"/>
                    </a:xfrm>
                    <a:prstGeom prst="rect">
                      <a:avLst/>
                    </a:prstGeom>
                    <a:noFill/>
                  </pic:spPr>
                </pic:pic>
              </a:graphicData>
            </a:graphic>
          </wp:anchor>
        </w:drawing>
      </w:r>
    </w:p>
    <w:p>
      <w:pPr>
        <w:spacing w:after="0" w:line="14" w:lineRule="exact"/>
        <w:rPr>
          <w:sz w:val="20"/>
          <w:szCs w:val="20"/>
          <w:color w:val="auto"/>
        </w:rPr>
      </w:pPr>
    </w:p>
    <w:p>
      <w:pPr>
        <w:ind w:left="920" w:hanging="649"/>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228</w:t>
      </w:r>
    </w:p>
    <w:p>
      <w:pPr>
        <w:spacing w:after="0" w:line="60"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17"/>
          <w:szCs w:val="17"/>
          <w:color w:val="auto"/>
        </w:rPr>
        <w:t>10</w:t>
      </w:r>
      <w:r>
        <w:rPr>
          <w:sz w:val="20"/>
          <w:szCs w:val="20"/>
          <w:color w:val="auto"/>
        </w:rPr>
        <w:tab/>
      </w:r>
      <w:r>
        <w:rPr>
          <w:rFonts w:ascii="Times New Roman" w:cs="Times New Roman" w:eastAsia="Times New Roman" w:hAnsi="Times New Roman"/>
          <w:sz w:val="17"/>
          <w:szCs w:val="17"/>
          <w:color w:val="auto"/>
        </w:rPr>
        <w:t>1,864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of</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c>
          <w:tcPr>
            <w:tcW w:w="14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 of</w:t>
            </w: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203"/>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c>
          <w:tcPr>
            <w:tcW w:w="148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Resorts</w:t>
            </w: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Keys</w:t>
            </w:r>
          </w:p>
        </w:tc>
      </w:tr>
      <w:tr>
        <w:trPr>
          <w:trHeight w:val="225"/>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164</w:t>
            </w:r>
          </w:p>
        </w:tc>
        <w:tc>
          <w:tcPr>
            <w:tcW w:w="1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Mexico</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524129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41290" cy="154305"/>
                    </a:xfrm>
                    <a:prstGeom prst="rect">
                      <a:avLst/>
                    </a:prstGeom>
                    <a:noFill/>
                  </pic:spPr>
                </pic:pic>
              </a:graphicData>
            </a:graphic>
          </wp:anchor>
        </w:drawing>
      </w:r>
    </w:p>
    <w:p>
      <w:pPr>
        <w:spacing w:after="0" w:line="154" w:lineRule="exact"/>
        <w:rPr>
          <w:sz w:val="20"/>
          <w:szCs w:val="20"/>
          <w:color w:val="auto"/>
        </w:rPr>
      </w:pPr>
    </w:p>
    <w:p>
      <w:pPr>
        <w:ind w:left="940" w:hanging="65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15875</wp:posOffset>
            </wp:positionV>
            <wp:extent cx="524129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41290" cy="154305"/>
                    </a:xfrm>
                    <a:prstGeom prst="rect">
                      <a:avLst/>
                    </a:prstGeom>
                    <a:noFill/>
                  </pic:spPr>
                </pic:pic>
              </a:graphicData>
            </a:graphic>
          </wp:anchor>
        </w:drawing>
      </w:r>
    </w:p>
    <w:p>
      <w:pPr>
        <w:spacing w:after="0" w:line="27" w:lineRule="exact"/>
        <w:rPr>
          <w:sz w:val="20"/>
          <w:szCs w:val="20"/>
          <w:color w:val="auto"/>
        </w:rPr>
      </w:pPr>
    </w:p>
    <w:p>
      <w:pPr>
        <w:ind w:left="980" w:hanging="696"/>
        <w:spacing w:after="0"/>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w:t>
      </w:r>
    </w:p>
    <w:p>
      <w:pPr>
        <w:spacing w:after="0" w:line="200" w:lineRule="exact"/>
        <w:rPr>
          <w:sz w:val="20"/>
          <w:szCs w:val="20"/>
          <w:color w:val="auto"/>
        </w:rPr>
      </w:pP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b w:val="1"/>
          <w:bCs w:val="1"/>
          <w:color w:val="auto"/>
        </w:rPr>
        <w:t># of</w:t>
      </w:r>
    </w:p>
    <w:p>
      <w:pPr>
        <w:spacing w:after="0" w:line="1"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5"/>
          <w:szCs w:val="15"/>
          <w:b w:val="1"/>
          <w:bCs w:val="1"/>
          <w:color w:val="auto"/>
        </w:rPr>
        <w:t>Resorts</w:t>
        <w:tab/>
        <w:t># of Keys</w:t>
      </w:r>
    </w:p>
    <w:p>
      <w:pPr>
        <w:spacing w:after="0" w:line="50" w:lineRule="exact"/>
        <w:rPr>
          <w:sz w:val="20"/>
          <w:szCs w:val="20"/>
          <w:color w:val="auto"/>
        </w:rPr>
      </w:pPr>
    </w:p>
    <w:p>
      <w:pPr>
        <w:ind w:left="1240" w:hanging="682"/>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161</w:t>
      </w:r>
    </w:p>
    <w:p>
      <w:pPr>
        <w:spacing w:after="0" w:line="60" w:lineRule="exact"/>
        <w:rPr>
          <w:sz w:val="20"/>
          <w:szCs w:val="20"/>
          <w:color w:val="auto"/>
        </w:rPr>
      </w:pPr>
    </w:p>
    <w:p>
      <w:pPr>
        <w:ind w:left="1240" w:hanging="682"/>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332</w:t>
      </w:r>
    </w:p>
    <w:p>
      <w:pPr>
        <w:spacing w:after="0" w:line="60"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6"/>
          <w:szCs w:val="16"/>
          <w:color w:val="auto"/>
        </w:rPr>
        <w:t>88</w:t>
      </w:r>
    </w:p>
    <w:p>
      <w:pPr>
        <w:spacing w:after="0" w:line="200" w:lineRule="exact"/>
        <w:rPr>
          <w:sz w:val="20"/>
          <w:szCs w:val="20"/>
          <w:color w:val="auto"/>
        </w:rPr>
      </w:pPr>
    </w:p>
    <w:p>
      <w:pPr>
        <w:spacing w:after="0" w:line="295" w:lineRule="exact"/>
        <w:rPr>
          <w:sz w:val="20"/>
          <w:szCs w:val="20"/>
          <w:color w:val="auto"/>
        </w:rPr>
      </w:pPr>
    </w:p>
    <w:p>
      <w:pPr>
        <w:jc w:val="right"/>
        <w:ind w:right="3240"/>
        <w:spacing w:after="0"/>
        <w:tabs>
          <w:tab w:leader="none" w:pos="960" w:val="left"/>
        </w:tabs>
        <w:rPr>
          <w:sz w:val="20"/>
          <w:szCs w:val="20"/>
          <w:color w:val="auto"/>
        </w:rPr>
      </w:pPr>
      <w:r>
        <w:rPr>
          <w:rFonts w:ascii="Times New Roman" w:cs="Times New Roman" w:eastAsia="Times New Roman" w:hAnsi="Times New Roman"/>
          <w:sz w:val="15"/>
          <w:szCs w:val="15"/>
          <w:b w:val="1"/>
          <w:bCs w:val="1"/>
          <w:color w:val="auto"/>
        </w:rPr>
        <w:t># of Resorts</w:t>
      </w:r>
      <w:r>
        <w:rPr>
          <w:sz w:val="20"/>
          <w:szCs w:val="20"/>
          <w:color w:val="auto"/>
        </w:rPr>
        <w:tab/>
      </w:r>
      <w:r>
        <w:rPr>
          <w:rFonts w:ascii="Times New Roman" w:cs="Times New Roman" w:eastAsia="Times New Roman" w:hAnsi="Times New Roman"/>
          <w:sz w:val="15"/>
          <w:szCs w:val="15"/>
          <w:b w:val="1"/>
          <w:bCs w:val="1"/>
          <w:color w:val="auto"/>
        </w:rPr>
        <w:t># of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22225</wp:posOffset>
            </wp:positionV>
            <wp:extent cx="528193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81930" cy="162560"/>
                    </a:xfrm>
                    <a:prstGeom prst="rect">
                      <a:avLst/>
                    </a:prstGeom>
                    <a:noFill/>
                  </pic:spPr>
                </pic:pic>
              </a:graphicData>
            </a:graphic>
          </wp:anchor>
        </w:drawing>
      </w:r>
    </w:p>
    <w:p>
      <w:pPr>
        <w:spacing w:after="0" w:line="50" w:lineRule="exact"/>
        <w:rPr>
          <w:sz w:val="20"/>
          <w:szCs w:val="20"/>
          <w:color w:val="auto"/>
        </w:rPr>
      </w:pPr>
    </w:p>
    <w:p>
      <w:pPr>
        <w:ind w:left="2000"/>
        <w:spacing w:after="0"/>
        <w:tabs>
          <w:tab w:leader="none" w:pos="334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7"/>
          <w:szCs w:val="17"/>
          <w:color w:val="auto"/>
        </w:rPr>
        <w:t>18,913</w:t>
      </w:r>
    </w:p>
    <w:p>
      <w:pPr>
        <w:spacing w:after="0" w:line="60" w:lineRule="exact"/>
        <w:rPr>
          <w:sz w:val="20"/>
          <w:szCs w:val="20"/>
          <w:color w:val="auto"/>
        </w:rPr>
      </w:pPr>
    </w:p>
    <w:p>
      <w:pPr>
        <w:ind w:left="2040"/>
        <w:spacing w:after="0"/>
        <w:tabs>
          <w:tab w:leader="none" w:pos="338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7"/>
          <w:szCs w:val="17"/>
          <w:color w:val="auto"/>
        </w:rPr>
        <w:t>4,364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15875</wp:posOffset>
            </wp:positionV>
            <wp:extent cx="528193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81930" cy="162560"/>
                    </a:xfrm>
                    <a:prstGeom prst="rect">
                      <a:avLst/>
                    </a:prstGeom>
                    <a:noFill/>
                  </pic:spPr>
                </pic:pic>
              </a:graphicData>
            </a:graphic>
          </wp:anchor>
        </w:drawing>
      </w:r>
    </w:p>
    <w:p>
      <w:pPr>
        <w:spacing w:after="0" w:line="40" w:lineRule="exact"/>
        <w:rPr>
          <w:sz w:val="20"/>
          <w:szCs w:val="20"/>
          <w:color w:val="auto"/>
        </w:rPr>
      </w:pPr>
    </w:p>
    <w:p>
      <w:pPr>
        <w:ind w:left="2000"/>
        <w:spacing w:after="0"/>
        <w:tabs>
          <w:tab w:leader="none" w:pos="338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color w:val="auto"/>
        </w:rPr>
        <w:t>4,310</w:t>
      </w:r>
    </w:p>
    <w:p>
      <w:pPr>
        <w:spacing w:after="0" w:line="60" w:lineRule="exact"/>
        <w:rPr>
          <w:sz w:val="20"/>
          <w:szCs w:val="20"/>
          <w:color w:val="auto"/>
        </w:rPr>
      </w:pPr>
    </w:p>
    <w:p>
      <w:pPr>
        <w:ind w:left="2040"/>
        <w:spacing w:after="0"/>
        <w:tabs>
          <w:tab w:leader="none" w:pos="344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color w:val="auto"/>
        </w:rPr>
        <w:t>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15875</wp:posOffset>
            </wp:positionV>
            <wp:extent cx="528193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81930" cy="162560"/>
                    </a:xfrm>
                    <a:prstGeom prst="rect">
                      <a:avLst/>
                    </a:prstGeom>
                    <a:noFill/>
                  </pic:spPr>
                </pic:pic>
              </a:graphicData>
            </a:graphic>
          </wp:anchor>
        </w:drawing>
      </w:r>
    </w:p>
    <w:p>
      <w:pPr>
        <w:spacing w:after="0" w:line="40" w:lineRule="exact"/>
        <w:rPr>
          <w:sz w:val="20"/>
          <w:szCs w:val="20"/>
          <w:color w:val="auto"/>
        </w:rPr>
      </w:pPr>
    </w:p>
    <w:p>
      <w:pPr>
        <w:ind w:left="2040"/>
        <w:spacing w:after="0"/>
        <w:tabs>
          <w:tab w:leader="none" w:pos="3440" w:val="left"/>
        </w:tabs>
        <w:rPr>
          <w:sz w:val="20"/>
          <w:szCs w:val="20"/>
          <w:color w:val="auto"/>
        </w:rPr>
      </w:pPr>
      <w:r>
        <w:rPr>
          <w:rFonts w:ascii="Times New Roman" w:cs="Times New Roman" w:eastAsia="Times New Roman" w:hAnsi="Times New Roman"/>
          <w:sz w:val="17"/>
          <w:szCs w:val="17"/>
          <w:color w:val="auto"/>
        </w:rPr>
        <w:t>5</w:t>
      </w:r>
      <w:r>
        <w:rPr>
          <w:sz w:val="20"/>
          <w:szCs w:val="20"/>
          <w:color w:val="auto"/>
        </w:rPr>
        <w:tab/>
      </w:r>
      <w:r>
        <w:rPr>
          <w:rFonts w:ascii="Times New Roman" w:cs="Times New Roman" w:eastAsia="Times New Roman" w:hAnsi="Times New Roman"/>
          <w:sz w:val="17"/>
          <w:szCs w:val="17"/>
          <w:color w:val="auto"/>
        </w:rPr>
        <w:t>259</w:t>
      </w:r>
    </w:p>
    <w:p>
      <w:pPr>
        <w:spacing w:after="0" w:line="60" w:lineRule="exact"/>
        <w:rPr>
          <w:sz w:val="20"/>
          <w:szCs w:val="20"/>
          <w:color w:val="auto"/>
        </w:rPr>
      </w:pPr>
    </w:p>
    <w:p>
      <w:pPr>
        <w:ind w:left="2040"/>
        <w:spacing w:after="0"/>
        <w:tabs>
          <w:tab w:leader="none" w:pos="3500" w:val="left"/>
        </w:tabs>
        <w:rPr>
          <w:sz w:val="20"/>
          <w:szCs w:val="20"/>
          <w:color w:val="auto"/>
        </w:rPr>
      </w:pPr>
      <w:r>
        <w:rPr>
          <w:rFonts w:ascii="Times New Roman" w:cs="Times New Roman" w:eastAsia="Times New Roman" w:hAnsi="Times New Roman"/>
          <w:sz w:val="17"/>
          <w:szCs w:val="17"/>
          <w:color w:val="auto"/>
        </w:rPr>
        <w:t>3</w:t>
      </w:r>
      <w:r>
        <w:rPr>
          <w:sz w:val="20"/>
          <w:szCs w:val="20"/>
          <w:color w:val="auto"/>
        </w:rPr>
        <w:tab/>
      </w: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15875</wp:posOffset>
            </wp:positionV>
            <wp:extent cx="528193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81930" cy="162560"/>
                    </a:xfrm>
                    <a:prstGeom prst="rect">
                      <a:avLst/>
                    </a:prstGeom>
                    <a:noFill/>
                  </pic:spPr>
                </pic:pic>
              </a:graphicData>
            </a:graphic>
          </wp:anchor>
        </w:drawing>
      </w:r>
    </w:p>
    <w:p>
      <w:pPr>
        <w:spacing w:after="0" w:line="40" w:lineRule="exact"/>
        <w:rPr>
          <w:sz w:val="20"/>
          <w:szCs w:val="20"/>
          <w:color w:val="auto"/>
        </w:rPr>
      </w:pPr>
    </w:p>
    <w:p>
      <w:pPr>
        <w:ind w:left="2000"/>
        <w:spacing w:after="0"/>
        <w:tabs>
          <w:tab w:leader="none" w:pos="338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color w:val="auto"/>
        </w:rPr>
        <w:t>2,693</w:t>
      </w:r>
    </w:p>
    <w:p>
      <w:pPr>
        <w:spacing w:after="0" w:line="60" w:lineRule="exact"/>
        <w:rPr>
          <w:sz w:val="20"/>
          <w:szCs w:val="20"/>
          <w:color w:val="auto"/>
        </w:rPr>
      </w:pPr>
    </w:p>
    <w:p>
      <w:pPr>
        <w:ind w:left="2040"/>
        <w:spacing w:after="0"/>
        <w:tabs>
          <w:tab w:leader="none" w:pos="344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color w:val="auto"/>
        </w:rPr>
        <w:t>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15875</wp:posOffset>
            </wp:positionV>
            <wp:extent cx="528193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81930" cy="162560"/>
                    </a:xfrm>
                    <a:prstGeom prst="rect">
                      <a:avLst/>
                    </a:prstGeom>
                    <a:noFill/>
                  </pic:spPr>
                </pic:pic>
              </a:graphicData>
            </a:graphic>
          </wp:anchor>
        </w:drawing>
      </w:r>
    </w:p>
    <w:p>
      <w:pPr>
        <w:spacing w:after="0" w:line="40" w:lineRule="exact"/>
        <w:rPr>
          <w:sz w:val="20"/>
          <w:szCs w:val="20"/>
          <w:color w:val="auto"/>
        </w:rPr>
      </w:pPr>
    </w:p>
    <w:p>
      <w:pPr>
        <w:ind w:left="1960"/>
        <w:spacing w:after="0"/>
        <w:tabs>
          <w:tab w:leader="none" w:pos="3340" w:val="left"/>
        </w:tabs>
        <w:rPr>
          <w:sz w:val="20"/>
          <w:szCs w:val="20"/>
          <w:color w:val="auto"/>
        </w:rPr>
      </w:pPr>
      <w:r>
        <w:rPr>
          <w:rFonts w:ascii="Times New Roman" w:cs="Times New Roman" w:eastAsia="Times New Roman" w:hAnsi="Times New Roman"/>
          <w:sz w:val="17"/>
          <w:szCs w:val="17"/>
          <w:color w:val="auto"/>
        </w:rPr>
        <w:t>118</w:t>
      </w:r>
      <w:r>
        <w:rPr>
          <w:sz w:val="20"/>
          <w:szCs w:val="20"/>
          <w:color w:val="auto"/>
        </w:rPr>
        <w:tab/>
      </w:r>
      <w:r>
        <w:rPr>
          <w:rFonts w:ascii="Times New Roman" w:cs="Times New Roman" w:eastAsia="Times New Roman" w:hAnsi="Times New Roman"/>
          <w:sz w:val="17"/>
          <w:szCs w:val="17"/>
          <w:color w:val="auto"/>
        </w:rPr>
        <w:t>31,470</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22225</wp:posOffset>
            </wp:positionV>
            <wp:extent cx="528193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81930" cy="162560"/>
                    </a:xfrm>
                    <a:prstGeom prst="rect">
                      <a:avLst/>
                    </a:prstGeom>
                    <a:noFill/>
                  </pic:spPr>
                </pic:pic>
              </a:graphicData>
            </a:graphic>
          </wp:anchor>
        </w:drawing>
      </w:r>
    </w:p>
    <w:p>
      <w:pPr>
        <w:spacing w:after="0" w:line="5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7"/>
          <w:szCs w:val="17"/>
          <w:color w:val="auto"/>
        </w:rPr>
        <w:t>Kauai, HI</w:t>
      </w:r>
    </w:p>
    <w:p>
      <w:pPr>
        <w:spacing w:after="0" w:line="6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7"/>
          <w:szCs w:val="17"/>
          <w:color w:val="auto"/>
        </w:rPr>
        <w:t>Cancun,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15875</wp:posOffset>
            </wp:positionV>
            <wp:extent cx="528193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81930" cy="162560"/>
                    </a:xfrm>
                    <a:prstGeom prst="rect">
                      <a:avLst/>
                    </a:prstGeom>
                    <a:noFill/>
                  </pic:spPr>
                </pic:pic>
              </a:graphicData>
            </a:graphic>
          </wp:anchor>
        </w:drawing>
      </w:r>
    </w:p>
    <w:p>
      <w:pPr>
        <w:spacing w:after="0" w:line="4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7"/>
          <w:szCs w:val="17"/>
          <w:color w:val="auto"/>
        </w:rPr>
        <w:t>Carmel, CA</w:t>
      </w:r>
    </w:p>
    <w:p>
      <w:pPr>
        <w:spacing w:after="0" w:line="200" w:lineRule="exact"/>
        <w:rPr>
          <w:sz w:val="20"/>
          <w:szCs w:val="20"/>
          <w:color w:val="auto"/>
        </w:rPr>
      </w:pPr>
    </w:p>
    <w:p>
      <w:pPr>
        <w:sectPr>
          <w:pgSz w:w="11900" w:h="16838" w:orient="portrait"/>
          <w:cols w:equalWidth="0" w:num="2">
            <w:col w:w="3860" w:space="160"/>
            <w:col w:w="7140"/>
          </w:cols>
          <w:pgMar w:left="320" w:top="129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1295" w:right="419" w:bottom="1440" w:gutter="0" w:footer="0" w:header="0"/>
          <w:type w:val="continuous"/>
        </w:sectPr>
      </w:pPr>
    </w:p>
    <w:bookmarkStart w:id="17" w:name="page18"/>
    <w:bookmarkEnd w:id="17"/>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 SEGMENT</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Exchange &amp; Third-Party Management segment is comprised of the Interval International and Aqua-Aston businesses. The Interval International business offers a variety of membership programs and travel related products to approximately 1.6 million members globally and the Aqua-Aston business provides property management and rental services to property owners at 25 resorts and lodging properties. The segment revenue generally is fee-based and derived from membership, exchange and rental transactions, property and owners’ association management, and other related products and services. The Exchange &amp; Third-Party Management segment represented 6% of our consolidated revenue for 2023.</w:t>
      </w:r>
    </w:p>
    <w:p>
      <w:pPr>
        <w:spacing w:after="0" w:line="28"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153"/>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80" w:type="dxa"/>
            <w:vAlign w:val="bottom"/>
          </w:tcPr>
          <w:p>
            <w:pPr>
              <w:jc w:val="center"/>
              <w:ind w:right="78"/>
              <w:spacing w:after="0" w:line="154" w:lineRule="exact"/>
              <w:rPr>
                <w:sz w:val="20"/>
                <w:szCs w:val="20"/>
                <w:color w:val="auto"/>
              </w:rPr>
            </w:pPr>
            <w:r>
              <w:rPr>
                <w:rFonts w:ascii="Times New Roman" w:cs="Times New Roman" w:eastAsia="Times New Roman" w:hAnsi="Times New Roman"/>
                <w:sz w:val="15"/>
                <w:szCs w:val="15"/>
                <w:b w:val="1"/>
                <w:bCs w:val="1"/>
                <w:color w:val="auto"/>
              </w:rPr>
              <w:t>Exchange &amp; Third-Party Management</w:t>
            </w:r>
          </w:p>
        </w:tc>
      </w:tr>
      <w:tr>
        <w:trPr>
          <w:trHeight w:val="204"/>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rPr>
              <w:t>Segment Revenues</w:t>
            </w:r>
          </w:p>
        </w:tc>
      </w:tr>
      <w:tr>
        <w:trPr>
          <w:trHeight w:val="236"/>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206</w:t>
            </w:r>
          </w:p>
        </w:tc>
      </w:tr>
      <w:tr>
        <w:trPr>
          <w:trHeight w:val="256"/>
        </w:trPr>
        <w:tc>
          <w:tcPr>
            <w:tcW w:w="5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40" w:type="dxa"/>
            <w:vAlign w:val="bottom"/>
          </w:tcPr>
          <w:p>
            <w:pPr>
              <w:spacing w:after="0"/>
              <w:rPr>
                <w:sz w:val="22"/>
                <w:szCs w:val="22"/>
                <w:color w:val="auto"/>
              </w:rPr>
            </w:pPr>
          </w:p>
        </w:tc>
        <w:tc>
          <w:tcPr>
            <w:tcW w:w="27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40</w:t>
            </w:r>
          </w:p>
        </w:tc>
      </w:tr>
      <w:tr>
        <w:trPr>
          <w:trHeight w:val="256"/>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16</w:t>
            </w:r>
          </w:p>
        </w:tc>
      </w:tr>
      <w:tr>
        <w:trPr>
          <w:trHeight w:val="210"/>
        </w:trPr>
        <w:tc>
          <w:tcPr>
            <w:tcW w:w="50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262</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Membership Programs, Products and Services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Exchange Products - </w:t>
      </w:r>
      <w:r>
        <w:rPr>
          <w:rFonts w:ascii="Times New Roman" w:cs="Times New Roman" w:eastAsia="Times New Roman" w:hAnsi="Times New Roman"/>
          <w:sz w:val="17"/>
          <w:szCs w:val="17"/>
          <w:b w:val="1"/>
          <w:bCs w:val="1"/>
          <w:i w:val="1"/>
          <w:iCs w:val="1"/>
          <w:color w:val="auto"/>
        </w:rPr>
        <w:t>Interval Network</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Interval International’s principal membership program is the Interval Network, which is comprised of more than 3,200 affiliated resorts in over 90 countries and territories. The Interval Network allows its members to exchange their VOI for a stay at another resort destination or during a different time period, or another travel product. A membership in the Interval Network also provides a comprehensive package of value-added products and services to members. Generally, individuals are enrolled by resort developers in connection with their purchase of VOIs from such resort developers, with initial membership fees being paid on behalf of members by the resort developers. Members may also enroll directly, for instance, when they purchase a VOI through resale or an owners’ association at a resort that participates in the Interval Network.</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traditional Interval Network members have the option, after their initial membership period ends, to renew their memberships for terms ranging from one to five years by paying membership fees directly to us. Alternatively, some resort developers incorporate the Interval Network membership fee into certain annual fees they charge to owners of VOIs at their resorts or vacation ownership clubs. As a result, membership in the Interval Network and, where applicable, the Interval Gold, Club Interval, or Interval Platinum programs (each is described below), for those owners is automatically renewed through the term of the resort’s or club’s participation in the Interval Network, so long as the owners are in good standing with the applicable resort or vacation ownership club. We sometimes refer to these members as corporate members and other members as traditional members. As of December 31, 2023, approximately 42% of total Interval Network members were traditional members and approximately 58% were corporate members.</w:t>
      </w:r>
    </w:p>
    <w:p>
      <w:pPr>
        <w:spacing w:after="0" w:line="7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Members of the Interval Network are offered the ability to exchange points or usage rights in their VOI for accommodations generally of comparable trading value to those relinquished, based on factors including location, quality, seasonality, unit attributes and time of relinquishment prior to occupancy. Members also have the ability to exchange their VOI for a cruise vacation, which requires payment of an exchange transaction fee and a supplemental fee, which vary based on the cruise vacation selected and the VOI relinquished to the Interval Network.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Interval Gold and Interval Platinum</w:t>
      </w:r>
    </w:p>
    <w:p>
      <w:pPr>
        <w:spacing w:after="0" w:line="11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Interval Network members may take advantage of one of our two enhanced membership tiers, Interval Gold or Interval Platinum, each of which provides value-added benefits and services for an additional fee. These benefits and services vary by country of residence, but generally consist of discounts on Getaways (described below), a concierge service, a hotel discount program and Interval Options, a service that allows members to relinquish annual occupancy rights in their VOIs towards the purchase of various travel products, including hotel, golf and spa vacations, as well as cruises, which are made available to all Interval Network members. Members are enrolled in these programs either by resort developers in connection with the initial purchase of their VOIs or by upgrading their membership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Club Interval</w:t>
      </w:r>
    </w:p>
    <w:p>
      <w:pPr>
        <w:spacing w:after="0" w:line="115"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Club Interval gives owners of fixed or floating week VOIs the opportunity to use their resort week as points within the Interval Network. Club Interval members also receive all of the benefits of Interval Gold and can upgrade to Interval Platinum.</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Getaways</w:t>
      </w:r>
    </w:p>
    <w:p>
      <w:pPr>
        <w:spacing w:after="0" w:line="1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We also offer additional vacation rental opportunities at attractive rates to members of the Interval Network, as well as to members of certain other membership programs provided by Interval International or through third-party membership programs. We sometimes refer to these opportunities as Getaways. Getaways allow members to rent resort accommodations for a fee, plus applicable taxes. Resort accommodations available as Getaways consist of seasonal oversupply of vacation ownership accommodations within the Interval Network, as well as resort accommodations that are specifically sourced for use as Getaways.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Non-Exchange Products</w:t>
      </w:r>
    </w:p>
    <w:p>
      <w:pPr>
        <w:spacing w:after="0" w:line="11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Additionally, we offer two programs for non-exchange products, Leisure Time Passport and Dream Vacation Week. Leisure Time Passport is a travel membership program that provides members with a variety of travel and leisure benefits, including savings on resort accommodations, hotel stays, cruise vacations and the ability to earn loyalty points on eligible completed travel. The Leisure Time Passport program is used by resort developers as a trial membership program for potential VOI purchasers as well as by non-developer clients as an addition to their own products to provide ongoing value and customer engagement. Dream Vacation Week is a certificate program that provides the recipient with access to book discounted resort accommodations and is used as a marketing premium, sales incentive, or enhancement to an existing program.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Operational Support for Interval Network Resorts</w:t>
      </w:r>
    </w:p>
    <w:p>
      <w:pPr>
        <w:spacing w:after="0" w:line="1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Interval International has established multi-year relationships with resort developers, including leading independent developers, as well as owners’ associations and our related branded vacation ownership programs, under affiliation agreements, which typically provide for continued resort participation in the Interval Network following the end of the agreement’s term. Resort developers promote membership in our exchange programs and related value-added services as an important benefit of owning a VOI. We offer developers and owners’ associations a selection of sales and marketing materials. These materials, many of which are available in multiple languages, include brochures, publications, sales-office displays, resort directories and Interval HD, an online video channel featuring resort and destination overviews.</w:t>
      </w:r>
    </w:p>
    <w:p>
      <w:pPr>
        <w:spacing w:after="0" w:line="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business development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VOIs. In addition, we sponsor, participate in and attend numerous industry conferences around the world to provide potential and existing industry participants with opportunities to network and learn more about vacation ownership.</w:t>
      </w:r>
    </w:p>
    <w:p>
      <w:pPr>
        <w:spacing w:after="0" w:line="7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Interval International also makes available a comprehensive array of back-office servicing solutions to resort developers and owners’ associations. For example, for an additional fee, we provide reservation services and billing and collection of maintenance fees and other amounts due to developers or owners’ associations.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Development and Global Marketing</w:t>
      </w:r>
    </w:p>
    <w:p>
      <w:pPr>
        <w:spacing w:after="0" w:line="11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We maintain a global business development department that is responsible for affiliating new resorts and resort developers, securing vacation rental inventory for Getaways and establishing relationships with providers of new distribution channels for the Leisure Time Passport and Dream Vacation Week products. The department is also responsible for overall client retention and growth of our business.</w:t>
      </w:r>
    </w:p>
    <w:p>
      <w:pPr>
        <w:spacing w:after="0" w:line="6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Our global marketing department is responsible for business-to-business and business-to-consumer marketing across all brands and products. The team is responsible for membership retention, activation and product growth and utilization, and leverages a cross-channel approach to its campaigns, including digital, print, telemarketing, and social media. This integrated approach is designed to drive member engagement with, and loyalty to, Interval’s exchange offerings and its other leisure travel products and services. Business-to-business marketing responsibilities include developing high impact business development materials, public relations plans, and events designed to enhance Interval International’s reputation within the travel industry, including in new industry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Third-Party Management</w:t>
      </w:r>
    </w:p>
    <w:p>
      <w:pPr>
        <w:spacing w:after="0" w:line="11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7"/>
          <w:szCs w:val="17"/>
          <w:color w:val="auto"/>
        </w:rPr>
        <w:t>We provide management services for hotels, condominium resorts, and other third-party vacation property owners through our Aqua-Aston business. Our services may include day-to-day operations of the properties, maintenance of the properties, preparation of reports and budgets, owners’ association administration, quality assurance and employee training. As of December 31, 2023, we provided third-party management services to 25 properties.</w:t>
      </w:r>
    </w:p>
    <w:p>
      <w:pPr>
        <w:spacing w:after="0" w:line="63" w:lineRule="exact"/>
        <w:rPr>
          <w:sz w:val="20"/>
          <w:szCs w:val="20"/>
          <w:color w:val="auto"/>
        </w:rPr>
      </w:pPr>
    </w:p>
    <w:p>
      <w:pPr>
        <w:ind w:right="100"/>
        <w:spacing w:after="0" w:line="207" w:lineRule="exact"/>
        <w:rPr>
          <w:sz w:val="20"/>
          <w:szCs w:val="20"/>
          <w:color w:val="auto"/>
        </w:rPr>
      </w:pPr>
      <w:r>
        <w:rPr>
          <w:rFonts w:ascii="Times New Roman" w:cs="Times New Roman" w:eastAsia="Times New Roman" w:hAnsi="Times New Roman"/>
          <w:sz w:val="17"/>
          <w:szCs w:val="17"/>
          <w:color w:val="auto"/>
        </w:rPr>
        <w:t>Our Aqua-Aston business provides management and rental services for condominium owners, hotel owners, and owners’ associations. The condominium rental properties are generally investment properties, and, to a lesser extent, second homes, owned by individuals who contract with Aqua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Aston directly to manage, market and rent their properties to transient guests. We also offer such owners a comprehensive package of marketing, management and rental services designed to enhance rental income and profitability. Generally, owners’ association management services, including administrative, fiscal and quality assurance services, are provided pursuant to exclusive agreements with terms typically ranging from one to ten years or more, many of which are automatically renewable. Revenue is derived principally from fees for management of the hotel, condominium resort, or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internally or through third-party providers to owners, including reservation, sales and marketing, property accounting and information technology services.</w:t>
      </w:r>
    </w:p>
    <w:p>
      <w:pPr>
        <w:spacing w:after="0" w:line="87" w:lineRule="exact"/>
        <w:rPr>
          <w:sz w:val="20"/>
          <w:szCs w:val="20"/>
          <w:color w:val="auto"/>
        </w:rPr>
      </w:pPr>
    </w:p>
    <w:p>
      <w:pPr>
        <w:ind w:right="20"/>
        <w:spacing w:after="0" w:line="207" w:lineRule="exact"/>
        <w:rPr>
          <w:sz w:val="20"/>
          <w:szCs w:val="20"/>
          <w:color w:val="auto"/>
        </w:rPr>
      </w:pPr>
      <w:r>
        <w:rPr>
          <w:rFonts w:ascii="Times New Roman" w:cs="Times New Roman" w:eastAsia="Times New Roman" w:hAnsi="Times New Roman"/>
          <w:sz w:val="17"/>
          <w:szCs w:val="17"/>
          <w:color w:val="auto"/>
        </w:rPr>
        <w:t>The success and continued growth of the Aqua-Aston business, which is concentrated in Hawaii, depends largely on our ability to source vacationers interested in booking vacation properties made available through our rental services. Our in-market sales and marketing team utilizes a variety of sales, marketing, revenue management and digital marketing initiatives to attract consumers and additional properties to Aqua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Aston. We utilize many channels of distribution, including traditional wholesale distribution through tour operators and travel partners, online travel agencies and global distribution systems. In addition, Aqua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Aston focuses on driving direct business through brand websites and our central reservations office. The sales team covers several market segments from corporate and government/military to travel agents and groups. We offer a variety of leisure accommodations to visitors from around the world through various consumer websites, including www.aquaaston.com, www.aquaresorts.com, www.mauicondo.com, and others.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relating to owners’ associations consolidated under the relevant accounting guidance (“Consolidated Property Owners’ Associations”), which are not included in operating segment resource allocation decision-making.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revenue is influenced by the seasonal nature of travel. Within our Vacation Ownership segment, our sale of vacation ownership business experiences a modest impact from seasonality, with higher sales volumes during the traditional vacation periods. Business at properties in some locations may experience a greater impact from seasonality than those in other locations.</w:t>
      </w:r>
    </w:p>
    <w:p>
      <w:pPr>
        <w:spacing w:after="0" w:line="6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7"/>
          <w:szCs w:val="17"/>
          <w:color w:val="auto"/>
        </w:rPr>
        <w:t>Within our Exchange &amp; Third-Party Management segment, we recognize exchange and Getaways revenue based on confirmation of the vacation; revenue is generally higher in the first quarter and lower in the fourth quarter. Remaining rental revenue is recognized based on occupancy.</w:t>
      </w:r>
    </w:p>
    <w:p>
      <w:pPr>
        <w:spacing w:after="0" w:line="5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Refer to “Liquidity and Capital Resources” within Part I, Item 7. “Management’s Discussion and Analysis of Financial Condition and Results of Operations” for information regarding the seasonality of our cash flow.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Competition in the vacation ownership industry is driven primarily by the quality, number and location of vacation ownership resorts, the quality and capability of the related property management program, trust in the brand, pricing of product offerings, cost of ownership (e.g., ongoing maintenance and other fees)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20" w:name="page21"/>
    <w:bookmarkEnd w:id="20"/>
    <w:p>
      <w:pPr>
        <w:spacing w:after="0" w:line="267" w:lineRule="auto"/>
        <w:rPr>
          <w:sz w:val="20"/>
          <w:szCs w:val="20"/>
          <w:color w:val="auto"/>
        </w:rPr>
      </w:pPr>
      <w:r>
        <w:rPr>
          <w:rFonts w:ascii="Times New Roman" w:cs="Times New Roman" w:eastAsia="Times New Roman" w:hAnsi="Times New Roman"/>
          <w:sz w:val="17"/>
          <w:szCs w:val="17"/>
          <w:color w:val="auto"/>
        </w:rPr>
        <w:t>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pacing w:after="0" w:line="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 as well as alternative lodging marketplaces such as Airbnb and VRBO, which offer rentals of homes and condominiums. Innovations that impact the industry may also lead to new products and services that could disrupt our business model and create new and stronger competitors.</w:t>
      </w:r>
    </w:p>
    <w:p>
      <w:pPr>
        <w:spacing w:after="0" w:line="7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and secondarily from the Europe and North America regions. In Europe, our owner base is derived primarily from the North America, Europe and Middle East regions.</w:t>
      </w:r>
    </w:p>
    <w:p>
      <w:pPr>
        <w:spacing w:after="0" w:line="70"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Recent and potential future consolidation in the vacation ownership industry may increase competition. Consolidation may create competitors that enjoy significant advantages resulting from, among other things, a lower cost of, and greater access to, capital and enhanced operating efficiencies.</w:t>
      </w:r>
    </w:p>
    <w:p>
      <w:pPr>
        <w:spacing w:after="0" w:line="50" w:lineRule="exact"/>
        <w:rPr>
          <w:sz w:val="20"/>
          <w:szCs w:val="20"/>
          <w:color w:val="auto"/>
        </w:rPr>
      </w:pPr>
    </w:p>
    <w:p>
      <w:pPr>
        <w:jc w:val="both"/>
        <w:ind w:right="380"/>
        <w:spacing w:after="0" w:line="209" w:lineRule="exact"/>
        <w:rPr>
          <w:sz w:val="20"/>
          <w:szCs w:val="20"/>
          <w:color w:val="auto"/>
        </w:rPr>
      </w:pPr>
      <w:r>
        <w:rPr>
          <w:rFonts w:ascii="Times New Roman" w:cs="Times New Roman" w:eastAsia="Times New Roman" w:hAnsi="Times New Roman"/>
          <w:sz w:val="17"/>
          <w:szCs w:val="17"/>
          <w:color w:val="auto"/>
        </w:rPr>
        <w:t>Our Interval International exchange business principally competes for developer and consumer market share with Travel + Leisure Co.’s subsidiary, RCI. This business also faces increasing competition from points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vacation clubs and large resort developers, which operate their own internal exchange systems to facilitate exchanges for owners of VOIs at their resorts as they increase in size and scope. Increased consolidation in the industry enhances this competition. In addition, vacation clubs and resort developers may have direct exchange relationships with other developers.</w:t>
      </w:r>
    </w:p>
    <w:p>
      <w:pPr>
        <w:spacing w:after="0" w:line="86"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7"/>
          <w:szCs w:val="17"/>
          <w:color w:val="auto"/>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11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Our business is heavily regulated and compliance with regulations has a significant impact on our results of operations. We are subject to a wide variety of complex international, national, federal, state and local laws, regulations and policies in jurisdictions around the world. We have proactively worked with industry trade associations, including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Some laws, regulations and policies may impact multiple areas of our business, such as securities, anti-discrimination, anti-fraud, Americans with Disabilities Act, data protection and security, anti-corruption and bribery laws and regulations or government economic sanctions, including applicable regulations of the Consumer Financial Protection Bureau (the “CFPB”), the U.S. Department of the Treasury’s Office of Foreign Asset Control and the U.S. Foreign Corrupt Practices Act (the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laws and regulations enacted in the United States, individual states, and other jurisdictions around the world. Other laws, regulations and policies primarily affect one of five areas of our business: real estate development activities; marketing and sales activities; lending activities; resort management activities; and exchange and travel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9"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Real Estate Development Regulation</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and Sales Regulation</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Many jurisdictions, including in the United States, Asia Pacific, Mexico, Europe, and Central America, require that we file detailed registration or offering statements with regulatory authorities disclosing certain information regarding the VOIs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 (1) 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7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Our Marriott Vacation Club Destinations, Australia points-based program is subject to regulation as a “managed investment scheme” by the Australian Securities &amp; Investments Commission. In some countries, our vacation ownership products are marketed by third-party brokers.</w:t>
      </w:r>
    </w:p>
    <w:p>
      <w:pPr>
        <w:spacing w:after="0" w:line="70"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Laws in many jurisdictions in which we sell VOIs grant the purchaser of a VOI the right to cancel a purchase contract during a specified rescission period following the later of the date the contract was signed or the date the purchaser received the last of the documents required to be provided by us.</w:t>
      </w:r>
    </w:p>
    <w:p>
      <w:pPr>
        <w:spacing w:after="0" w:line="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Regulators in many jurisdictions have increased regulations and enforcement actions related to telemarketing operations, including requiring adherence to the federal Telephone Consumer Protection Act and similar “do not call” legislation. These measures have significantly increased the costs and reduced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color w:val="auto"/>
        </w:rPr>
        <w:t>Lending Regulation</w:t>
      </w:r>
    </w:p>
    <w:p>
      <w:pPr>
        <w:spacing w:after="0" w:line="1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Our lending activities are subject to a number of laws and regulations, including those of applicable supervisory, regulatory and enforcement agencies such as, in the United States, the CFPB,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Resort Management Regulation</w:t>
      </w:r>
    </w:p>
    <w:p>
      <w:pPr>
        <w:spacing w:after="0" w:line="11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Our resort management activities are subject to laws and regulations regarding community association management, timeshare and condominium management (including real estate broker licensing), public lodging, food and beverage services (including liquor licensing), labor, employment, health care, health and safety, accessibility, discrimination, immigration, gaming, certain communication devices, transient rentals, structural audits of improvements and reserve accounts associated with such improvements, and the environment (including climate change). In addition, many jurisdictions in which we manage our resorts have statutory provisions that limit the duration of the initial and renewal terms of our management agreements for owners’ associations or permit the owners’ association for a resort to terminate our management agreement under certain circumstances (for example, upon a super-majority vote of the owners), even if we are not in default under the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Exchange and Travel Regulations</w:t>
      </w:r>
    </w:p>
    <w:p>
      <w:pPr>
        <w:spacing w:after="0" w:line="11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Many jurisdictions regulate businesses engaged in timeshare exchange activity, typically requiring annual filing of prescribed disclosures with regulatory agencies. Such disclosure must be provided to persons enrolling in a timeshare exchange program prior to completion of enrollment. The disclosure generally provides information on the terms and conditions of membership as well as audited key operating statistics of the exchange program.</w:t>
      </w:r>
    </w:p>
    <w:p>
      <w:pPr>
        <w:spacing w:after="0" w:line="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In connection with our exchange businesses, we also offer other travel-related products and services that are subject to regulation in certain jurisdictions, including requirements that we register as a “seller of travel” and comply with applicable bonding and disclosure requirements. Additionally, operation of our travel membership programs can trigger requirements that we register as a discount buying organization. Other products and services we offer (e.g., travel insurance) are subject to regulations imposed on our suppliers, and as a result we are subject to travel reseller requirements and licensing in certain jurisdictions.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Compliance and Awareness</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applicable environmental laws and regulations. Our compliance with such requirements has not had a material impact on our capital expenditures, earnings or competitive position, nor do we anticipate that such compliance will have a material impact in the future.</w:t>
      </w:r>
    </w:p>
    <w:p>
      <w:pPr>
        <w:spacing w:after="0" w:line="7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do not exercise complete control over all resorts and properties that we manage; rather, our control over these properties is generally limited by the terms of the applicable management agreements. As a result, our ability to achieve some or all of our corporate responsibility initiatives or goals may be limited without additional support or action by the owners of resorts and properties we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3" w:name="page24"/>
    <w:bookmarkEnd w:id="23"/>
    <w:p>
      <w:pPr>
        <w:ind w:right="200"/>
        <w:spacing w:after="0" w:line="257" w:lineRule="auto"/>
        <w:rPr>
          <w:sz w:val="20"/>
          <w:szCs w:val="20"/>
          <w:color w:val="auto"/>
        </w:rPr>
      </w:pPr>
      <w:r>
        <w:rPr>
          <w:rFonts w:ascii="Times New Roman" w:cs="Times New Roman" w:eastAsia="Times New Roman" w:hAnsi="Times New Roman"/>
          <w:sz w:val="17"/>
          <w:szCs w:val="17"/>
          <w:color w:val="auto"/>
        </w:rPr>
        <w:t>We take our commitment to protecting the environment seriously. We have collaborated with Audubon International to further the “greening” of our Marriott Vacation Club resorts in the U.S.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each of our segments. This strategy includes further reducing energy and water consumption, expanding our portfolio of green resorts, including resorts with LEED (Leadership in Energy &amp; Environmental Design) certification, educating and inspiring associates and guests to support the environment, and embracing innovation.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1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We believe that attracting, engaging, and retaining talented associates and cultivating their career development at our locations around the world helps us remain a leader in our industry. With that focus in mind, we implement programs and initiatives rooted in our Core Values: Caring Culture, Integrity First, Excellence Always, Customer Obsessed, and Better Together. Our approach is thoughtfully designed to attract, engage, and retain our associates and promote their career development by:</w:t>
      </w:r>
    </w:p>
    <w:p>
      <w:pPr>
        <w:spacing w:after="0" w:line="18" w:lineRule="exact"/>
        <w:rPr>
          <w:sz w:val="20"/>
          <w:szCs w:val="20"/>
          <w:color w:val="auto"/>
        </w:rPr>
      </w:pPr>
    </w:p>
    <w:p>
      <w:pPr>
        <w:ind w:left="460" w:hanging="304"/>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competitive, fair, and transparent compensation and benefits;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supporting the overall well-being of our associates physically, mentally, and socially;</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opportunities for associate growth, career development, recognition, training, and education; and</w:t>
      </w:r>
    </w:p>
    <w:p>
      <w:pPr>
        <w:spacing w:after="0" w:line="60" w:lineRule="exact"/>
        <w:rPr>
          <w:rFonts w:ascii="Times New Roman" w:cs="Times New Roman" w:eastAsia="Times New Roman" w:hAnsi="Times New Roman"/>
          <w:sz w:val="17"/>
          <w:szCs w:val="17"/>
          <w:color w:val="auto"/>
        </w:rPr>
      </w:pPr>
    </w:p>
    <w:p>
      <w:pPr>
        <w:ind w:left="460" w:right="360" w:hanging="304"/>
        <w:spacing w:after="0" w:line="283" w:lineRule="auto"/>
        <w:tabs>
          <w:tab w:leader="none" w:pos="45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fostering an inclusive and diverse workplace, where all individuals are respected regardless of their age, race, ethnic background, national origin, gender, religion, disability, sexual orientation, or other lived experiences.</w:t>
      </w:r>
    </w:p>
    <w:p>
      <w:pPr>
        <w:spacing w:after="0" w:line="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In 2023, we were recognized as a Kincentric Best Employer globally for the third consecutive year as part of Kincentric’s robust assessment that identifies organizations that have transformed their people practices to drive better business results. As part of the Kincentric Best Employers 2023 assessment, we conducted an associate survey that achieved a 93% response rate, which demonstrated a strong level of overall associate engagement. The survey results identified several areas of strength, including a welcoming and positive company culture, strong and supportive supervisors, a focus on sustainability and taking care of the community, and a company-wide commitment to inclusion and diversity. We believe that our distinction as a Kincentric Best Employer and our strengths identified by current associates demonstrate the incredible care we have for each other and for the associate experience and will make us an employer of choice for potential future associates.</w:t>
      </w:r>
    </w:p>
    <w:p>
      <w:pPr>
        <w:spacing w:after="0" w:line="7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believe the success of our commitment to our associates is reflected in our employee tenure, which is over seven years on a global basis, and recognition by Newsweek as first in its list of America’s Most Loved Workplaces of 2023, as well as first in the hospitality and large-company categories, and first in Newsweek’s “most respected” list. In addition, we were certified as a Most Loved Workplace backed by Best Practice Institute in 2022 and 2023 and recognized by U.S. News and World Report in its 2023-2024 list of the 200 Best Companies to Work For. As of December 31, 2023, we had a global workforce consisting of approximately 22,000 associates, of which approximately 17,500 (80%) were based in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Inclusion and Diversity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Grounded in our culture of caring and collaboration, we strive to empower both our customers and our associates to live their most fulfilling lives. As outlined in our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Inclusion and Diversity Commitment Statement:</w:t>
      </w:r>
    </w:p>
    <w:p>
      <w:pPr>
        <w:spacing w:after="0" w:line="90" w:lineRule="exact"/>
        <w:rPr>
          <w:sz w:val="20"/>
          <w:szCs w:val="20"/>
          <w:color w:val="auto"/>
        </w:rPr>
      </w:pPr>
    </w:p>
    <w:p>
      <w:pPr>
        <w:ind w:left="160" w:right="20"/>
        <w:spacing w:after="0" w:line="269" w:lineRule="auto"/>
        <w:rPr>
          <w:sz w:val="20"/>
          <w:szCs w:val="20"/>
          <w:color w:val="auto"/>
        </w:rPr>
      </w:pPr>
      <w:r>
        <w:rPr>
          <w:rFonts w:ascii="Times New Roman" w:cs="Times New Roman" w:eastAsia="Times New Roman" w:hAnsi="Times New Roman"/>
          <w:sz w:val="17"/>
          <w:szCs w:val="17"/>
          <w:i w:val="1"/>
          <w:iCs w:val="1"/>
          <w:color w:val="auto"/>
        </w:rPr>
        <w:t>MVW is committed to cultivating inclusion and fostering diversity in all aspects of our business. We provide treasured vacation experiences to our customers around the world and work to create an inclusive, diverse, and caring environment for our associates. We support a Life, Fulfilled for all individuals and embrace the notion that we are Better Together.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commitment statement underscores our focus on creating a positive work environment for everyone.</w:t>
      </w:r>
    </w:p>
    <w:p>
      <w:pPr>
        <w:spacing w:after="0" w:line="11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As a global company with a workforce comprised of talented associates who come from diverse backgrounds, we believe that our associates’ diverse backgrounds make our Company a great place to work. Women comprise approximately 54% of our worldwide workforce, and men comprise approximately 46%. Within the United States, people of color comprise approximately 46% of our management level positions and globally women comprise approximately 50% of our management level positions. We continue to leverage recruiting efforts focused on fostering the diversity of our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24" w:name="page25"/>
    <w:bookmarkEnd w:id="24"/>
    <w:p>
      <w:pPr>
        <w:ind w:right="140"/>
        <w:spacing w:after="0" w:line="259" w:lineRule="auto"/>
        <w:rPr>
          <w:sz w:val="20"/>
          <w:szCs w:val="20"/>
          <w:color w:val="auto"/>
        </w:rPr>
      </w:pPr>
      <w:r>
        <w:rPr>
          <w:rFonts w:ascii="Times New Roman" w:cs="Times New Roman" w:eastAsia="Times New Roman" w:hAnsi="Times New Roman"/>
          <w:sz w:val="17"/>
          <w:szCs w:val="17"/>
          <w:color w:val="auto"/>
        </w:rPr>
        <w:t>In 2023, we continued to focus on reinforcing our core values by fostering an inclusive and diverse work environment. With input from our associates gathered through engagement surveys, as well as championship by leaders across our global organization, we hosted a diverse set of “Educate and Celebrate” events, which provide associates the opportunity to share their personal experiences and learn from their colleagues. We also provided training programs for our leaders. We continued our work fostering diverse representation within our leadership pipelines for executive and senior leadership roles through our talent review process for management associates across the Company.</w:t>
      </w:r>
    </w:p>
    <w:p>
      <w:pPr>
        <w:spacing w:after="0" w:line="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continue to receive positive feedback from our associates about our inclusive work environment, as Inclusion and Diversity was the highest rated workplace topic on our 2023 annual associate engagement survey. In the survey, 89% of our associates reported positive perceptions of our inclusion and diversity practices when responding to questions about leaders’ support for inclusion and diversity, service to customers with diverse backgrounds, respect and well-being of all people as a Company priority, a work environment that is accepting of diverse backgrounds and ways of thinking, and a company culture in which persons of all backgrounds are encouraged to pursue their career aspirations. We believe that these results demonstrate the value of championing an inclusive culture.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Associate Development</w:t>
      </w:r>
    </w:p>
    <w:p>
      <w:pPr>
        <w:spacing w:after="0" w:line="11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We seek to support our associates with their growth and development by creating a work environment that embraces learning and provides opportunities for associate career development through training and education. Our functional training teams provide our associates with the skills they need to deliver exceptional experiences for our customers and our Global Talent Development team creates and deploys skill development programs and resources for our associates. Our various learning programs are one of the many features that make our Company a desirable place to start and cultivate a fulfilling career, with increased opportunities for growth.</w:t>
      </w:r>
    </w:p>
    <w:p>
      <w:pPr>
        <w:spacing w:after="0" w:line="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Company also strives to provide leaders with the opportunity to develop their leadership skills and create a positive work environment for all associates. We offer leadership development programming that provides associates with tools, resources, and practices that we believe are important to becoming successful leaders and strengthening our diverse talent pipeline. We believe that leaders have great influence over the development of associates; as such, we seek to equip leaders with the skills they need to support their associates. Our Company also offers tuition reimbursement to our associates, supporting them in achieving their future career aspirations. We believe these efforts help us continue to support current and future leaders.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Collective Bargaining Agreements</w:t>
      </w:r>
    </w:p>
    <w:p>
      <w:pPr>
        <w:spacing w:after="0" w:line="11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are party to collective bargaining agreements in the United States, Spain, and Mexico, primarily with regard to employees working in food service, laundry, and hospitality and tourism.</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Human Rights</w:t>
      </w:r>
    </w:p>
    <w:p>
      <w:pPr>
        <w:spacing w:after="0" w:line="115"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7"/>
          <w:szCs w:val="17"/>
          <w:color w:val="auto"/>
        </w:rPr>
        <w:t>We maintain a Human Rights Policy that aligns with government, business, and public concerns about issues such as human trafficking and the exploitation of children. We do not recruit child labor, and we support programs and partnerships that help at-risk youth and their families prepare for and find meaningful employment. Our Human Rights Policy is available on our website at www.marriottvacationsworldwide.com under the “Investor Relations” tab.</w:t>
      </w:r>
    </w:p>
    <w:p>
      <w:pPr>
        <w:spacing w:after="0" w:line="6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We also have a human trafficking awareness training course that promotes our Human Rights Policy and core values. We recognize the risks associated with human trafficking in our properties and have implemented training for our property-based associates to be able to recognize and report suspected cases of human trafficking. Our training in the U.S., U.S. Virgin Islands, and Puerto Rico was developed based upon best practices established by federal law enforcement agencies.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investor relations website address is www.ir.mvwc.com.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is certain information with respect to our executive officers. The information set forth below is as of February 27, 2024, except where indicated.</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Age</w:t>
            </w:r>
          </w:p>
        </w:tc>
        <w:tc>
          <w:tcPr>
            <w:tcW w:w="6060" w:type="dxa"/>
            <w:vAlign w:val="bottom"/>
            <w:tcBorders>
              <w:top w:val="single" w:sz="8" w:color="auto"/>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7"/>
                <w:szCs w:val="17"/>
                <w:b w:val="1"/>
                <w:bCs w:val="1"/>
                <w:color w:val="auto"/>
              </w:rPr>
              <w:t>Business Experience</w:t>
            </w:r>
          </w:p>
        </w:tc>
        <w:tc>
          <w:tcPr>
            <w:tcW w:w="0" w:type="dxa"/>
            <w:vAlign w:val="bottom"/>
          </w:tcPr>
          <w:p>
            <w:pPr>
              <w:spacing w:after="0"/>
              <w:rPr>
                <w:sz w:val="1"/>
                <w:szCs w:val="1"/>
                <w:color w:val="auto"/>
              </w:rPr>
            </w:pPr>
          </w:p>
        </w:tc>
      </w:tr>
      <w:tr>
        <w:trPr>
          <w:trHeight w:val="219"/>
        </w:trPr>
        <w:tc>
          <w:tcPr>
            <w:tcW w:w="1760" w:type="dxa"/>
            <w:vAlign w:val="bottom"/>
            <w:tcBorders>
              <w:left w:val="single" w:sz="8" w:color="auto"/>
              <w:right w:val="single" w:sz="8" w:color="auto"/>
            </w:tcBorders>
            <w:shd w:val="clear" w:color="auto" w:fill="CCEEFF"/>
          </w:tcPr>
          <w:p>
            <w:pPr>
              <w:spacing w:after="0"/>
              <w:rPr>
                <w:sz w:val="19"/>
                <w:szCs w:val="19"/>
                <w:color w:val="auto"/>
              </w:rPr>
            </w:pPr>
          </w:p>
        </w:tc>
        <w:tc>
          <w:tcPr>
            <w:tcW w:w="480" w:type="dxa"/>
            <w:vAlign w:val="bottom"/>
            <w:tcBorders>
              <w:right w:val="single" w:sz="8" w:color="auto"/>
            </w:tcBorders>
            <w:shd w:val="clear" w:color="auto" w:fill="CCEEFF"/>
          </w:tcPr>
          <w:p>
            <w:pPr>
              <w:spacing w:after="0"/>
              <w:rPr>
                <w:sz w:val="19"/>
                <w:szCs w:val="19"/>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John E. Geller, Jr. was appointed as our President and Chief Executive Officer, effective</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2023. Mr. Geller has served as our President since October 2021. From</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John E. Geller, Jr.</w:t>
            </w: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2021 to October 2021, he served as our President and Chief Financial Officer.</w:t>
            </w:r>
          </w:p>
        </w:tc>
        <w:tc>
          <w:tcPr>
            <w:tcW w:w="0" w:type="dxa"/>
            <w:vAlign w:val="bottom"/>
          </w:tcPr>
          <w:p>
            <w:pPr>
              <w:spacing w:after="0"/>
              <w:rPr>
                <w:sz w:val="1"/>
                <w:szCs w:val="1"/>
                <w:color w:val="auto"/>
              </w:rPr>
            </w:pPr>
          </w:p>
        </w:tc>
      </w:tr>
      <w:tr>
        <w:trPr>
          <w:trHeight w:val="107"/>
        </w:trPr>
        <w:tc>
          <w:tcPr>
            <w:tcW w:w="176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480" w:type="dxa"/>
            <w:vAlign w:val="bottom"/>
            <w:tcBorders>
              <w:right w:val="single" w:sz="8" w:color="auto"/>
            </w:tcBorders>
            <w:shd w:val="clear" w:color="auto" w:fill="CCEEFF"/>
          </w:tcPr>
          <w:p>
            <w:pPr>
              <w:spacing w:after="0"/>
              <w:rPr>
                <w:sz w:val="9"/>
                <w:szCs w:val="9"/>
                <w:color w:val="auto"/>
              </w:rPr>
            </w:pPr>
          </w:p>
        </w:tc>
        <w:tc>
          <w:tcPr>
            <w:tcW w:w="60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From January 2018 to January 2021, he served as our Executive Vice President and</w:t>
            </w:r>
          </w:p>
        </w:tc>
        <w:tc>
          <w:tcPr>
            <w:tcW w:w="0" w:type="dxa"/>
            <w:vAlign w:val="bottom"/>
          </w:tcPr>
          <w:p>
            <w:pPr>
              <w:spacing w:after="0"/>
              <w:rPr>
                <w:sz w:val="1"/>
                <w:szCs w:val="1"/>
                <w:color w:val="auto"/>
              </w:rPr>
            </w:pPr>
          </w:p>
        </w:tc>
      </w:tr>
      <w:tr>
        <w:trPr>
          <w:trHeight w:val="98"/>
        </w:trPr>
        <w:tc>
          <w:tcPr>
            <w:tcW w:w="17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President and Chief</w:t>
            </w:r>
          </w:p>
        </w:tc>
        <w:tc>
          <w:tcPr>
            <w:tcW w:w="4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60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76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480" w:type="dxa"/>
            <w:vAlign w:val="bottom"/>
            <w:tcBorders>
              <w:right w:val="single" w:sz="8" w:color="auto"/>
            </w:tcBorders>
            <w:vMerge w:val="continue"/>
            <w:shd w:val="clear" w:color="auto" w:fill="CCEEFF"/>
          </w:tcPr>
          <w:p>
            <w:pPr>
              <w:spacing w:after="0"/>
              <w:rPr>
                <w:sz w:val="14"/>
                <w:szCs w:val="14"/>
                <w:color w:val="auto"/>
              </w:rPr>
            </w:pPr>
          </w:p>
        </w:tc>
        <w:tc>
          <w:tcPr>
            <w:tcW w:w="6060" w:type="dxa"/>
            <w:vAlign w:val="bottom"/>
            <w:tcBorders>
              <w:right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Chief Financial and Administrative Officer. From 2009 to December 2017, he served as</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Officer</w:t>
            </w: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our Executive Vice President and Chief Financial Officer. Mr. Geller joined Marriott</w:t>
            </w:r>
          </w:p>
        </w:tc>
        <w:tc>
          <w:tcPr>
            <w:tcW w:w="0" w:type="dxa"/>
            <w:vAlign w:val="bottom"/>
          </w:tcPr>
          <w:p>
            <w:pPr>
              <w:spacing w:after="0"/>
              <w:rPr>
                <w:sz w:val="1"/>
                <w:szCs w:val="1"/>
                <w:color w:val="auto"/>
              </w:rPr>
            </w:pPr>
          </w:p>
        </w:tc>
      </w:tr>
      <w:tr>
        <w:trPr>
          <w:trHeight w:val="35"/>
        </w:trPr>
        <w:tc>
          <w:tcPr>
            <w:tcW w:w="1760" w:type="dxa"/>
            <w:vAlign w:val="bottom"/>
            <w:tcBorders>
              <w:left w:val="single" w:sz="8" w:color="auto"/>
              <w:right w:val="single" w:sz="8" w:color="auto"/>
            </w:tcBorders>
            <w:shd w:val="clear" w:color="auto" w:fill="CCEEFF"/>
          </w:tcPr>
          <w:p>
            <w:pPr>
              <w:spacing w:after="0"/>
              <w:rPr>
                <w:sz w:val="3"/>
                <w:szCs w:val="3"/>
                <w:color w:val="auto"/>
              </w:rPr>
            </w:pPr>
          </w:p>
        </w:tc>
        <w:tc>
          <w:tcPr>
            <w:tcW w:w="480" w:type="dxa"/>
            <w:vAlign w:val="bottom"/>
            <w:tcBorders>
              <w:right w:val="single" w:sz="8" w:color="auto"/>
            </w:tcBorders>
            <w:shd w:val="clear" w:color="auto" w:fill="CCEEFF"/>
          </w:tcPr>
          <w:p>
            <w:pPr>
              <w:spacing w:after="0"/>
              <w:rPr>
                <w:sz w:val="3"/>
                <w:szCs w:val="3"/>
                <w:color w:val="auto"/>
              </w:rPr>
            </w:pPr>
          </w:p>
        </w:tc>
        <w:tc>
          <w:tcPr>
            <w:tcW w:w="606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International in 2005 as Senior Vice President and Chief Audit Executive and</w:t>
            </w:r>
          </w:p>
        </w:tc>
        <w:tc>
          <w:tcPr>
            <w:tcW w:w="0" w:type="dxa"/>
            <w:vAlign w:val="bottom"/>
          </w:tcPr>
          <w:p>
            <w:pPr>
              <w:spacing w:after="0"/>
              <w:rPr>
                <w:sz w:val="1"/>
                <w:szCs w:val="1"/>
                <w:color w:val="auto"/>
              </w:rPr>
            </w:pPr>
          </w:p>
        </w:tc>
      </w:tr>
      <w:tr>
        <w:trPr>
          <w:trHeight w:val="277"/>
        </w:trPr>
        <w:tc>
          <w:tcPr>
            <w:tcW w:w="176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480" w:type="dxa"/>
            <w:vAlign w:val="bottom"/>
            <w:tcBorders>
              <w:bottom w:val="single" w:sz="8" w:color="CCEEFF"/>
              <w:right w:val="single" w:sz="8" w:color="auto"/>
            </w:tcBorders>
            <w:shd w:val="clear" w:color="auto" w:fill="CCEEFF"/>
          </w:tcPr>
          <w:p>
            <w:pPr>
              <w:spacing w:after="0"/>
              <w:rPr>
                <w:sz w:val="23"/>
                <w:szCs w:val="23"/>
                <w:color w:val="auto"/>
              </w:rPr>
            </w:pPr>
          </w:p>
        </w:tc>
        <w:tc>
          <w:tcPr>
            <w:tcW w:w="60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Information Security Officer.</w:t>
            </w:r>
          </w:p>
        </w:tc>
        <w:tc>
          <w:tcPr>
            <w:tcW w:w="0" w:type="dxa"/>
            <w:vAlign w:val="bottom"/>
          </w:tcPr>
          <w:p>
            <w:pPr>
              <w:spacing w:after="0"/>
              <w:rPr>
                <w:sz w:val="1"/>
                <w:szCs w:val="1"/>
                <w:color w:val="auto"/>
              </w:rPr>
            </w:pPr>
          </w:p>
        </w:tc>
      </w:tr>
      <w:tr>
        <w:trPr>
          <w:trHeight w:val="219"/>
        </w:trPr>
        <w:tc>
          <w:tcPr>
            <w:tcW w:w="1760" w:type="dxa"/>
            <w:vAlign w:val="bottom"/>
            <w:tcBorders>
              <w:top w:val="single" w:sz="8" w:color="auto"/>
              <w:left w:val="single" w:sz="8" w:color="auto"/>
              <w:right w:val="single" w:sz="8" w:color="auto"/>
            </w:tcBorders>
          </w:tcPr>
          <w:p>
            <w:pPr>
              <w:spacing w:after="0"/>
              <w:rPr>
                <w:sz w:val="19"/>
                <w:szCs w:val="19"/>
                <w:color w:val="auto"/>
              </w:rPr>
            </w:pPr>
          </w:p>
        </w:tc>
        <w:tc>
          <w:tcPr>
            <w:tcW w:w="480" w:type="dxa"/>
            <w:vAlign w:val="bottom"/>
            <w:tcBorders>
              <w:top w:val="single" w:sz="8" w:color="auto"/>
              <w:right w:val="single" w:sz="8" w:color="auto"/>
            </w:tcBorders>
          </w:tcPr>
          <w:p>
            <w:pPr>
              <w:spacing w:after="0"/>
              <w:rPr>
                <w:sz w:val="19"/>
                <w:szCs w:val="19"/>
                <w:color w:val="auto"/>
              </w:rPr>
            </w:pPr>
          </w:p>
        </w:tc>
        <w:tc>
          <w:tcPr>
            <w:tcW w:w="6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Jason P. Marino has served as our Executive Vice President and Chief Financial Officer</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since September 30, 2023. Mr. Marino served as Senior Vice President, Strategy,</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Financial Planning &amp; Analysis (“FP&amp;A”) and Operational Finance - Vacation</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Jason P. Marino</w:t>
            </w: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Ownership for the Company from December 2021 to September 2023. He served as the</w:t>
            </w:r>
          </w:p>
        </w:tc>
        <w:tc>
          <w:tcPr>
            <w:tcW w:w="0" w:type="dxa"/>
            <w:vAlign w:val="bottom"/>
          </w:tcPr>
          <w:p>
            <w:pPr>
              <w:spacing w:after="0"/>
              <w:rPr>
                <w:sz w:val="1"/>
                <w:szCs w:val="1"/>
                <w:color w:val="auto"/>
              </w:rPr>
            </w:pPr>
          </w:p>
        </w:tc>
      </w:tr>
      <w:tr>
        <w:trPr>
          <w:trHeight w:val="132"/>
        </w:trPr>
        <w:tc>
          <w:tcPr>
            <w:tcW w:w="1760" w:type="dxa"/>
            <w:vAlign w:val="bottom"/>
            <w:tcBorders>
              <w:left w:val="single" w:sz="8" w:color="auto"/>
              <w:right w:val="single" w:sz="8" w:color="auto"/>
            </w:tcBorders>
            <w:vMerge w:val="continue"/>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6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Company’s Senior Vice President of Strategy and FP&amp;A from June 2019 to December</w:t>
            </w:r>
          </w:p>
        </w:tc>
        <w:tc>
          <w:tcPr>
            <w:tcW w:w="0" w:type="dxa"/>
            <w:vAlign w:val="bottom"/>
          </w:tcPr>
          <w:p>
            <w:pPr>
              <w:spacing w:after="0"/>
              <w:rPr>
                <w:sz w:val="1"/>
                <w:szCs w:val="1"/>
                <w:color w:val="auto"/>
              </w:rPr>
            </w:pPr>
          </w:p>
        </w:tc>
      </w:tr>
      <w:tr>
        <w:trPr>
          <w:trHeight w:val="72"/>
        </w:trPr>
        <w:tc>
          <w:tcPr>
            <w:tcW w:w="17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w:t>
            </w:r>
          </w:p>
        </w:tc>
        <w:tc>
          <w:tcPr>
            <w:tcW w:w="480" w:type="dxa"/>
            <w:vAlign w:val="bottom"/>
            <w:tcBorders>
              <w:right w:val="single" w:sz="8" w:color="auto"/>
            </w:tcBorders>
          </w:tcPr>
          <w:p>
            <w:pPr>
              <w:spacing w:after="0"/>
              <w:rPr>
                <w:sz w:val="6"/>
                <w:szCs w:val="6"/>
                <w:color w:val="auto"/>
              </w:rPr>
            </w:pPr>
          </w:p>
        </w:tc>
        <w:tc>
          <w:tcPr>
            <w:tcW w:w="60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760" w:type="dxa"/>
            <w:vAlign w:val="bottom"/>
            <w:tcBorders>
              <w:left w:val="single" w:sz="8" w:color="auto"/>
              <w:right w:val="single" w:sz="8" w:color="auto"/>
            </w:tcBorders>
            <w:vMerge w:val="continue"/>
          </w:tcPr>
          <w:p>
            <w:pPr>
              <w:spacing w:after="0"/>
              <w:rPr>
                <w:sz w:val="14"/>
                <w:szCs w:val="14"/>
                <w:color w:val="auto"/>
              </w:rPr>
            </w:pPr>
          </w:p>
        </w:tc>
        <w:tc>
          <w:tcPr>
            <w:tcW w:w="4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rPr>
              <w:t>48</w:t>
            </w:r>
          </w:p>
        </w:tc>
        <w:tc>
          <w:tcPr>
            <w:tcW w:w="606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7"/>
                <w:szCs w:val="17"/>
                <w:color w:val="auto"/>
              </w:rPr>
              <w:t>2021 and Vice President - Corporate Finance from May 2014 to June 2019. Prior to</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President and Chief</w:t>
            </w: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joining the Company in 2014, Mr. Marino worked at Cantor Commercial Real Estate,</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Financial Officer</w:t>
            </w: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L.P. from 2013 to 2014 as Managing Director, Head of Business Development and</w:t>
            </w:r>
          </w:p>
        </w:tc>
        <w:tc>
          <w:tcPr>
            <w:tcW w:w="0" w:type="dxa"/>
            <w:vAlign w:val="bottom"/>
          </w:tcPr>
          <w:p>
            <w:pPr>
              <w:spacing w:after="0"/>
              <w:rPr>
                <w:sz w:val="1"/>
                <w:szCs w:val="1"/>
                <w:color w:val="auto"/>
              </w:rPr>
            </w:pPr>
          </w:p>
        </w:tc>
      </w:tr>
      <w:tr>
        <w:trPr>
          <w:trHeight w:val="35"/>
        </w:trPr>
        <w:tc>
          <w:tcPr>
            <w:tcW w:w="1760" w:type="dxa"/>
            <w:vAlign w:val="bottom"/>
            <w:tcBorders>
              <w:left w:val="single" w:sz="8" w:color="auto"/>
              <w:right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6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760" w:type="dxa"/>
            <w:vAlign w:val="bottom"/>
            <w:tcBorders>
              <w:left w:val="single" w:sz="8" w:color="auto"/>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Corporate Finance. From 2003 to 2013, Mr. Marino worked in the investment banking</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9"/>
              </w:rPr>
              <w:t>divisions of Cantor Fitzgerald, Credit Suisse Securities (USA) LLC and Bear, Stearns &amp;</w:t>
            </w:r>
          </w:p>
        </w:tc>
        <w:tc>
          <w:tcPr>
            <w:tcW w:w="0" w:type="dxa"/>
            <w:vAlign w:val="bottom"/>
          </w:tcPr>
          <w:p>
            <w:pPr>
              <w:spacing w:after="0"/>
              <w:rPr>
                <w:sz w:val="1"/>
                <w:szCs w:val="1"/>
                <w:color w:val="auto"/>
              </w:rPr>
            </w:pPr>
          </w:p>
        </w:tc>
      </w:tr>
      <w:tr>
        <w:trPr>
          <w:trHeight w:val="222"/>
        </w:trPr>
        <w:tc>
          <w:tcPr>
            <w:tcW w:w="1760" w:type="dxa"/>
            <w:vAlign w:val="bottom"/>
            <w:tcBorders>
              <w:left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 Inc., holding positions of increasing responsibility.</w:t>
            </w:r>
          </w:p>
        </w:tc>
        <w:tc>
          <w:tcPr>
            <w:tcW w:w="0" w:type="dxa"/>
            <w:vAlign w:val="bottom"/>
          </w:tcPr>
          <w:p>
            <w:pPr>
              <w:spacing w:after="0"/>
              <w:rPr>
                <w:sz w:val="1"/>
                <w:szCs w:val="1"/>
                <w:color w:val="auto"/>
              </w:rPr>
            </w:pPr>
          </w:p>
        </w:tc>
      </w:tr>
      <w:tr>
        <w:trPr>
          <w:trHeight w:val="50"/>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760" w:type="dxa"/>
            <w:vAlign w:val="bottom"/>
            <w:tcBorders>
              <w:left w:val="single" w:sz="8" w:color="auto"/>
              <w:right w:val="single" w:sz="8" w:color="auto"/>
            </w:tcBorders>
            <w:shd w:val="clear" w:color="auto" w:fill="CCEEFF"/>
          </w:tcPr>
          <w:p>
            <w:pPr>
              <w:spacing w:after="0"/>
              <w:rPr>
                <w:sz w:val="24"/>
                <w:szCs w:val="24"/>
                <w:color w:val="auto"/>
              </w:rPr>
            </w:pPr>
          </w:p>
        </w:tc>
        <w:tc>
          <w:tcPr>
            <w:tcW w:w="480" w:type="dxa"/>
            <w:vAlign w:val="bottom"/>
            <w:tcBorders>
              <w:right w:val="single" w:sz="8" w:color="auto"/>
            </w:tcBorders>
            <w:shd w:val="clear" w:color="auto" w:fill="CCEEFF"/>
          </w:tcPr>
          <w:p>
            <w:pPr>
              <w:spacing w:after="0"/>
              <w:rPr>
                <w:sz w:val="24"/>
                <w:szCs w:val="24"/>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Raman T. Bukkapatnam has served as our Executive Vice President and Chief</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Information Officer since July 10, 2023. Prior to joining the Company, Mr.</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Bukkapatnam served as Vice President, Global Technology at Nike, Inc., a global</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provider of athletic footwear and apparel, from August 2020 to July 2023 where he</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played a critical role in reshaping digital retail, improving enterprise recourse planning</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Raman T. Bukkapatnam</w:t>
            </w: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supply chain platforms, and making significant contributions to productivity,</w:t>
            </w:r>
          </w:p>
        </w:tc>
        <w:tc>
          <w:tcPr>
            <w:tcW w:w="0" w:type="dxa"/>
            <w:vAlign w:val="bottom"/>
          </w:tcPr>
          <w:p>
            <w:pPr>
              <w:spacing w:after="0"/>
              <w:rPr>
                <w:sz w:val="1"/>
                <w:szCs w:val="1"/>
                <w:color w:val="auto"/>
              </w:rPr>
            </w:pPr>
          </w:p>
        </w:tc>
      </w:tr>
      <w:tr>
        <w:trPr>
          <w:trHeight w:val="120"/>
        </w:trPr>
        <w:tc>
          <w:tcPr>
            <w:tcW w:w="176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0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growth, and margin improvements. Prior to Nike, Mr. Bukkapatnam had a more than 20</w:t>
            </w:r>
          </w:p>
        </w:tc>
        <w:tc>
          <w:tcPr>
            <w:tcW w:w="0" w:type="dxa"/>
            <w:vAlign w:val="bottom"/>
          </w:tcPr>
          <w:p>
            <w:pPr>
              <w:spacing w:after="0"/>
              <w:rPr>
                <w:sz w:val="1"/>
                <w:szCs w:val="1"/>
                <w:color w:val="auto"/>
              </w:rPr>
            </w:pPr>
          </w:p>
        </w:tc>
      </w:tr>
      <w:tr>
        <w:trPr>
          <w:trHeight w:val="85"/>
        </w:trPr>
        <w:tc>
          <w:tcPr>
            <w:tcW w:w="17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w:t>
            </w:r>
          </w:p>
        </w:tc>
        <w:tc>
          <w:tcPr>
            <w:tcW w:w="480" w:type="dxa"/>
            <w:vAlign w:val="bottom"/>
            <w:tcBorders>
              <w:right w:val="single" w:sz="8" w:color="auto"/>
            </w:tcBorders>
            <w:shd w:val="clear" w:color="auto" w:fill="CCEEFF"/>
          </w:tcPr>
          <w:p>
            <w:pPr>
              <w:spacing w:after="0"/>
              <w:rPr>
                <w:sz w:val="7"/>
                <w:szCs w:val="7"/>
                <w:color w:val="auto"/>
              </w:rPr>
            </w:pPr>
          </w:p>
        </w:tc>
        <w:tc>
          <w:tcPr>
            <w:tcW w:w="60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76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7"/>
                <w:szCs w:val="17"/>
                <w:color w:val="auto"/>
              </w:rPr>
              <w:t>57</w:t>
            </w:r>
          </w:p>
        </w:tc>
        <w:tc>
          <w:tcPr>
            <w:tcW w:w="6060" w:type="dxa"/>
            <w:vAlign w:val="bottom"/>
            <w:tcBorders>
              <w:right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year career at Starbucks, a roaster, marketer, and retailer of specialty coffee, serving in</w:t>
            </w:r>
          </w:p>
        </w:tc>
        <w:tc>
          <w:tcPr>
            <w:tcW w:w="0" w:type="dxa"/>
            <w:vAlign w:val="bottom"/>
          </w:tcPr>
          <w:p>
            <w:pPr>
              <w:spacing w:after="0"/>
              <w:rPr>
                <w:sz w:val="1"/>
                <w:szCs w:val="1"/>
                <w:color w:val="auto"/>
              </w:rPr>
            </w:pPr>
          </w:p>
        </w:tc>
      </w:tr>
      <w:tr>
        <w:trPr>
          <w:trHeight w:val="141"/>
        </w:trPr>
        <w:tc>
          <w:tcPr>
            <w:tcW w:w="1760" w:type="dxa"/>
            <w:vAlign w:val="bottom"/>
            <w:tcBorders>
              <w:left w:val="single" w:sz="8" w:color="auto"/>
              <w:right w:val="single" w:sz="8" w:color="auto"/>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6"/>
                <w:szCs w:val="16"/>
                <w:color w:val="auto"/>
              </w:rPr>
              <w:t>President and Chief</w:t>
            </w:r>
          </w:p>
        </w:tc>
        <w:tc>
          <w:tcPr>
            <w:tcW w:w="480" w:type="dxa"/>
            <w:vAlign w:val="bottom"/>
            <w:tcBorders>
              <w:right w:val="single" w:sz="8" w:color="auto"/>
            </w:tcBorders>
            <w:shd w:val="clear" w:color="auto" w:fill="CCEEFF"/>
          </w:tcPr>
          <w:p>
            <w:pPr>
              <w:spacing w:after="0"/>
              <w:rPr>
                <w:sz w:val="12"/>
                <w:szCs w:val="12"/>
                <w:color w:val="auto"/>
              </w:rPr>
            </w:pPr>
          </w:p>
        </w:tc>
        <w:tc>
          <w:tcPr>
            <w:tcW w:w="60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multiple leadership roles including Vice President, Global Technology, Supply Chain</w:t>
            </w:r>
          </w:p>
        </w:tc>
        <w:tc>
          <w:tcPr>
            <w:tcW w:w="0" w:type="dxa"/>
            <w:vAlign w:val="bottom"/>
          </w:tcPr>
          <w:p>
            <w:pPr>
              <w:spacing w:after="0"/>
              <w:rPr>
                <w:sz w:val="1"/>
                <w:szCs w:val="1"/>
                <w:color w:val="auto"/>
              </w:rPr>
            </w:pPr>
          </w:p>
        </w:tc>
      </w:tr>
      <w:tr>
        <w:trPr>
          <w:trHeight w:val="99"/>
        </w:trPr>
        <w:tc>
          <w:tcPr>
            <w:tcW w:w="17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Information Officer</w:t>
            </w:r>
          </w:p>
        </w:tc>
        <w:tc>
          <w:tcPr>
            <w:tcW w:w="480" w:type="dxa"/>
            <w:vAlign w:val="bottom"/>
            <w:tcBorders>
              <w:right w:val="single" w:sz="8" w:color="auto"/>
            </w:tcBorders>
            <w:shd w:val="clear" w:color="auto" w:fill="CCEEFF"/>
          </w:tcPr>
          <w:p>
            <w:pPr>
              <w:spacing w:after="0"/>
              <w:rPr>
                <w:sz w:val="8"/>
                <w:szCs w:val="8"/>
                <w:color w:val="auto"/>
              </w:rPr>
            </w:pPr>
          </w:p>
        </w:tc>
        <w:tc>
          <w:tcPr>
            <w:tcW w:w="60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6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0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Analytics, Data Engineering, and Store Development, from March 1999 to August</w:t>
            </w:r>
          </w:p>
        </w:tc>
        <w:tc>
          <w:tcPr>
            <w:tcW w:w="0" w:type="dxa"/>
            <w:vAlign w:val="bottom"/>
          </w:tcPr>
          <w:p>
            <w:pPr>
              <w:spacing w:after="0"/>
              <w:rPr>
                <w:sz w:val="1"/>
                <w:szCs w:val="1"/>
                <w:color w:val="auto"/>
              </w:rPr>
            </w:pPr>
          </w:p>
        </w:tc>
      </w:tr>
      <w:tr>
        <w:trPr>
          <w:trHeight w:val="81"/>
        </w:trPr>
        <w:tc>
          <w:tcPr>
            <w:tcW w:w="1760" w:type="dxa"/>
            <w:vAlign w:val="bottom"/>
            <w:tcBorders>
              <w:left w:val="single" w:sz="8" w:color="auto"/>
              <w:right w:val="single" w:sz="8" w:color="auto"/>
            </w:tcBorders>
            <w:shd w:val="clear" w:color="auto" w:fill="CCEEFF"/>
          </w:tcPr>
          <w:p>
            <w:pPr>
              <w:spacing w:after="0"/>
              <w:rPr>
                <w:sz w:val="7"/>
                <w:szCs w:val="7"/>
                <w:color w:val="auto"/>
              </w:rPr>
            </w:pPr>
          </w:p>
        </w:tc>
        <w:tc>
          <w:tcPr>
            <w:tcW w:w="480" w:type="dxa"/>
            <w:vAlign w:val="bottom"/>
            <w:tcBorders>
              <w:right w:val="single" w:sz="8" w:color="auto"/>
            </w:tcBorders>
            <w:shd w:val="clear" w:color="auto" w:fill="CCEEFF"/>
          </w:tcPr>
          <w:p>
            <w:pPr>
              <w:spacing w:after="0"/>
              <w:rPr>
                <w:sz w:val="7"/>
                <w:szCs w:val="7"/>
                <w:color w:val="auto"/>
              </w:rPr>
            </w:pPr>
          </w:p>
        </w:tc>
        <w:tc>
          <w:tcPr>
            <w:tcW w:w="60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 where he was responsible for overseeing and leading critical functions like global</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supply chain and finance technologies, data engineering and analytics, and store</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He led a number of digital transformation initiatives impacting the</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company’s technological landscape, including Starbucks’ introduction of customer</w:t>
            </w:r>
          </w:p>
        </w:tc>
        <w:tc>
          <w:tcPr>
            <w:tcW w:w="0" w:type="dxa"/>
            <w:vAlign w:val="bottom"/>
          </w:tcPr>
          <w:p>
            <w:pPr>
              <w:spacing w:after="0"/>
              <w:rPr>
                <w:sz w:val="1"/>
                <w:szCs w:val="1"/>
                <w:color w:val="auto"/>
              </w:rPr>
            </w:pPr>
          </w:p>
        </w:tc>
      </w:tr>
      <w:tr>
        <w:trPr>
          <w:trHeight w:val="222"/>
        </w:trPr>
        <w:tc>
          <w:tcPr>
            <w:tcW w:w="1760" w:type="dxa"/>
            <w:vAlign w:val="bottom"/>
            <w:tcBorders>
              <w:left w:val="single" w:sz="8" w:color="auto"/>
              <w:right w:val="single" w:sz="8" w:color="auto"/>
            </w:tcBorders>
            <w:shd w:val="clear" w:color="auto" w:fill="CCEEFF"/>
          </w:tcPr>
          <w:p>
            <w:pPr>
              <w:spacing w:after="0"/>
              <w:rPr>
                <w:sz w:val="19"/>
                <w:szCs w:val="19"/>
                <w:color w:val="auto"/>
              </w:rPr>
            </w:pPr>
          </w:p>
        </w:tc>
        <w:tc>
          <w:tcPr>
            <w:tcW w:w="480" w:type="dxa"/>
            <w:vAlign w:val="bottom"/>
            <w:tcBorders>
              <w:right w:val="single" w:sz="8" w:color="auto"/>
            </w:tcBorders>
            <w:shd w:val="clear" w:color="auto" w:fill="CCEEFF"/>
          </w:tcPr>
          <w:p>
            <w:pPr>
              <w:spacing w:after="0"/>
              <w:rPr>
                <w:sz w:val="19"/>
                <w:szCs w:val="19"/>
                <w:color w:val="auto"/>
              </w:rPr>
            </w:pPr>
          </w:p>
        </w:tc>
        <w:tc>
          <w:tcPr>
            <w:tcW w:w="60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mobile applications.</w:t>
            </w:r>
          </w:p>
        </w:tc>
        <w:tc>
          <w:tcPr>
            <w:tcW w:w="0" w:type="dxa"/>
            <w:vAlign w:val="bottom"/>
          </w:tcPr>
          <w:p>
            <w:pPr>
              <w:spacing w:after="0"/>
              <w:rPr>
                <w:sz w:val="1"/>
                <w:szCs w:val="1"/>
                <w:color w:val="auto"/>
              </w:rPr>
            </w:pPr>
          </w:p>
        </w:tc>
      </w:tr>
      <w:tr>
        <w:trPr>
          <w:trHeight w:val="127"/>
        </w:trPr>
        <w:tc>
          <w:tcPr>
            <w:tcW w:w="176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auto"/>
            </w:tcBorders>
            <w:shd w:val="clear" w:color="auto" w:fill="CCEEFF"/>
          </w:tcPr>
          <w:p>
            <w:pPr>
              <w:spacing w:after="0"/>
              <w:rPr>
                <w:sz w:val="11"/>
                <w:szCs w:val="11"/>
                <w:color w:val="auto"/>
              </w:rPr>
            </w:pPr>
          </w:p>
        </w:tc>
        <w:tc>
          <w:tcPr>
            <w:tcW w:w="606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760" w:type="dxa"/>
            <w:vAlign w:val="bottom"/>
            <w:tcBorders>
              <w:left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Stephanie S. Butera has served as our Executive Vice President and Chief Operating</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Officer, Hyatt Vacation Ownership since January 2023. She served as our Senior Vice</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Stephanie S. Butera</w:t>
            </w: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President and Chief Operating Officer, Hyatt Vacation Ownership from April 2021 to</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w:t>
            </w: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December 2022. Prior to leading Hyatt Vacation Ownership, Ms. Butera held a number</w:t>
            </w:r>
          </w:p>
        </w:tc>
        <w:tc>
          <w:tcPr>
            <w:tcW w:w="0" w:type="dxa"/>
            <w:vAlign w:val="bottom"/>
          </w:tcPr>
          <w:p>
            <w:pPr>
              <w:spacing w:after="0"/>
              <w:rPr>
                <w:sz w:val="1"/>
                <w:szCs w:val="1"/>
                <w:color w:val="auto"/>
              </w:rPr>
            </w:pPr>
          </w:p>
        </w:tc>
      </w:tr>
      <w:tr>
        <w:trPr>
          <w:trHeight w:val="64"/>
        </w:trPr>
        <w:tc>
          <w:tcPr>
            <w:tcW w:w="1760" w:type="dxa"/>
            <w:vAlign w:val="bottom"/>
            <w:tcBorders>
              <w:left w:val="single" w:sz="8" w:color="auto"/>
              <w:right w:val="single" w:sz="8" w:color="auto"/>
            </w:tcBorders>
            <w:vMerge w:val="continue"/>
          </w:tcPr>
          <w:p>
            <w:pPr>
              <w:spacing w:after="0"/>
              <w:rPr>
                <w:sz w:val="5"/>
                <w:szCs w:val="5"/>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60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of leadership positions with the Company, serving as Vice President, Asset</w:t>
            </w:r>
          </w:p>
        </w:tc>
        <w:tc>
          <w:tcPr>
            <w:tcW w:w="0" w:type="dxa"/>
            <w:vAlign w:val="bottom"/>
          </w:tcPr>
          <w:p>
            <w:pPr>
              <w:spacing w:after="0"/>
              <w:rPr>
                <w:sz w:val="1"/>
                <w:szCs w:val="1"/>
                <w:color w:val="auto"/>
              </w:rPr>
            </w:pPr>
          </w:p>
        </w:tc>
      </w:tr>
      <w:tr>
        <w:trPr>
          <w:trHeight w:val="170"/>
        </w:trPr>
        <w:tc>
          <w:tcPr>
            <w:tcW w:w="1760" w:type="dxa"/>
            <w:vAlign w:val="bottom"/>
            <w:tcBorders>
              <w:left w:val="single" w:sz="8" w:color="auto"/>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7"/>
                <w:szCs w:val="17"/>
                <w:color w:val="auto"/>
              </w:rPr>
              <w:t>President and Chief</w:t>
            </w:r>
          </w:p>
        </w:tc>
        <w:tc>
          <w:tcPr>
            <w:tcW w:w="480" w:type="dxa"/>
            <w:vAlign w:val="bottom"/>
            <w:tcBorders>
              <w:right w:val="single" w:sz="8" w:color="auto"/>
            </w:tcBorders>
            <w:vMerge w:val="continue"/>
          </w:tcPr>
          <w:p>
            <w:pPr>
              <w:spacing w:after="0"/>
              <w:rPr>
                <w:sz w:val="14"/>
                <w:szCs w:val="14"/>
                <w:color w:val="auto"/>
              </w:rPr>
            </w:pPr>
          </w:p>
        </w:tc>
        <w:tc>
          <w:tcPr>
            <w:tcW w:w="60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60" w:type="dxa"/>
            <w:vAlign w:val="bottom"/>
            <w:tcBorders>
              <w:left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7"/>
                <w:szCs w:val="17"/>
                <w:color w:val="auto"/>
              </w:rPr>
              <w:t>Operating Officer, Hyatt</w:t>
            </w:r>
          </w:p>
        </w:tc>
        <w:tc>
          <w:tcPr>
            <w:tcW w:w="480" w:type="dxa"/>
            <w:vAlign w:val="bottom"/>
            <w:tcBorders>
              <w:right w:val="single" w:sz="8" w:color="auto"/>
            </w:tcBorders>
          </w:tcPr>
          <w:p>
            <w:pPr>
              <w:spacing w:after="0"/>
              <w:rPr>
                <w:sz w:val="14"/>
                <w:szCs w:val="14"/>
                <w:color w:val="auto"/>
              </w:rPr>
            </w:pPr>
          </w:p>
        </w:tc>
        <w:tc>
          <w:tcPr>
            <w:tcW w:w="6060" w:type="dxa"/>
            <w:vAlign w:val="bottom"/>
            <w:tcBorders>
              <w:right w:val="single" w:sz="8" w:color="auto"/>
            </w:tcBorders>
          </w:tcPr>
          <w:p>
            <w:pPr>
              <w:ind w:left="20"/>
              <w:spacing w:after="0" w:line="166" w:lineRule="exact"/>
              <w:rPr>
                <w:sz w:val="20"/>
                <w:szCs w:val="20"/>
                <w:color w:val="auto"/>
              </w:rPr>
            </w:pPr>
            <w:r>
              <w:rPr>
                <w:rFonts w:ascii="Times New Roman" w:cs="Times New Roman" w:eastAsia="Times New Roman" w:hAnsi="Times New Roman"/>
                <w:sz w:val="17"/>
                <w:szCs w:val="17"/>
                <w:color w:val="auto"/>
              </w:rPr>
              <w:t>Management for The Ritz-Carlton Destination Club from August 2014 to October</w:t>
            </w:r>
          </w:p>
        </w:tc>
        <w:tc>
          <w:tcPr>
            <w:tcW w:w="0" w:type="dxa"/>
            <w:vAlign w:val="bottom"/>
          </w:tcPr>
          <w:p>
            <w:pPr>
              <w:spacing w:after="0"/>
              <w:rPr>
                <w:sz w:val="1"/>
                <w:szCs w:val="1"/>
                <w:color w:val="auto"/>
              </w:rPr>
            </w:pPr>
          </w:p>
        </w:tc>
      </w:tr>
      <w:tr>
        <w:trPr>
          <w:trHeight w:val="214"/>
        </w:trPr>
        <w:tc>
          <w:tcPr>
            <w:tcW w:w="1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Vacation Ownership</w:t>
            </w:r>
          </w:p>
        </w:tc>
        <w:tc>
          <w:tcPr>
            <w:tcW w:w="480" w:type="dxa"/>
            <w:vAlign w:val="bottom"/>
            <w:tcBorders>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9"/>
              </w:rPr>
              <w:t>2018, before moving into the position of Senior Vice President, Vacation Ownership for</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 Americas, Florida, Mexico, and Caribbean from October 2018 to April 2021. Ms.</w:t>
            </w:r>
          </w:p>
        </w:tc>
        <w:tc>
          <w:tcPr>
            <w:tcW w:w="0" w:type="dxa"/>
            <w:vAlign w:val="bottom"/>
          </w:tcPr>
          <w:p>
            <w:pPr>
              <w:spacing w:after="0"/>
              <w:rPr>
                <w:sz w:val="1"/>
                <w:szCs w:val="1"/>
                <w:color w:val="auto"/>
              </w:rPr>
            </w:pPr>
          </w:p>
        </w:tc>
      </w:tr>
      <w:tr>
        <w:trPr>
          <w:trHeight w:val="222"/>
        </w:trPr>
        <w:tc>
          <w:tcPr>
            <w:tcW w:w="1760" w:type="dxa"/>
            <w:vAlign w:val="bottom"/>
            <w:tcBorders>
              <w:left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Butera joined the Company in 1999.</w:t>
            </w:r>
          </w:p>
        </w:tc>
        <w:tc>
          <w:tcPr>
            <w:tcW w:w="0" w:type="dxa"/>
            <w:vAlign w:val="bottom"/>
          </w:tcPr>
          <w:p>
            <w:pPr>
              <w:spacing w:after="0"/>
              <w:rPr>
                <w:sz w:val="1"/>
                <w:szCs w:val="1"/>
                <w:color w:val="auto"/>
              </w:rPr>
            </w:pPr>
          </w:p>
        </w:tc>
      </w:tr>
      <w:tr>
        <w:trPr>
          <w:trHeight w:val="50"/>
        </w:trPr>
        <w:tc>
          <w:tcPr>
            <w:tcW w:w="176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900"/>
          </w:cols>
          <w:pgMar w:left="320" w:top="1295" w:right="67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30"/>
        </w:trPr>
        <w:tc>
          <w:tcPr>
            <w:tcW w:w="1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6040" w:type="dxa"/>
            <w:vAlign w:val="bottom"/>
            <w:tcBorders>
              <w:top w:val="single" w:sz="8" w:color="auto"/>
              <w:bottom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7"/>
                <w:szCs w:val="17"/>
                <w:b w:val="1"/>
                <w:bCs w:val="1"/>
                <w:color w:val="auto"/>
              </w:rPr>
              <w:t>Business Experience</w:t>
            </w:r>
          </w:p>
        </w:tc>
        <w:tc>
          <w:tcPr>
            <w:tcW w:w="0" w:type="dxa"/>
            <w:vAlign w:val="bottom"/>
          </w:tcPr>
          <w:p>
            <w:pPr>
              <w:spacing w:after="0"/>
              <w:rPr>
                <w:sz w:val="1"/>
                <w:szCs w:val="1"/>
                <w:color w:val="auto"/>
              </w:rPr>
            </w:pPr>
          </w:p>
        </w:tc>
      </w:tr>
      <w:tr>
        <w:trPr>
          <w:trHeight w:val="219"/>
        </w:trPr>
        <w:tc>
          <w:tcPr>
            <w:tcW w:w="1780" w:type="dxa"/>
            <w:vAlign w:val="bottom"/>
            <w:tcBorders>
              <w:left w:val="single" w:sz="8" w:color="auto"/>
              <w:right w:val="single" w:sz="8" w:color="auto"/>
            </w:tcBorders>
            <w:shd w:val="clear" w:color="auto" w:fill="CCEEFF"/>
          </w:tcPr>
          <w:p>
            <w:pPr>
              <w:spacing w:after="0"/>
              <w:rPr>
                <w:sz w:val="19"/>
                <w:szCs w:val="19"/>
                <w:color w:val="auto"/>
              </w:rPr>
            </w:pPr>
          </w:p>
        </w:tc>
        <w:tc>
          <w:tcPr>
            <w:tcW w:w="480" w:type="dxa"/>
            <w:vAlign w:val="bottom"/>
            <w:tcBorders>
              <w:right w:val="single" w:sz="8" w:color="auto"/>
            </w:tcBorders>
            <w:shd w:val="clear" w:color="auto" w:fill="CCEEFF"/>
          </w:tcPr>
          <w:p>
            <w:pPr>
              <w:spacing w:after="0"/>
              <w:rPr>
                <w:sz w:val="19"/>
                <w:szCs w:val="19"/>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Lori M. Gustafson has served as our Executive Vice President and Chief Membership</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Commercial Services Officer since January 2024. Ms. Gustafson joined the</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in November 2020 and served as our Executive Vice President and Chief</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Brand and Digital Officer from November 2020 to December 2023. From May 2019 to</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November 2020, she served as Senior Vice President, Global Brands &amp; Digital for</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Lori M. Gustafson</w:t>
            </w: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Wyndham Destinations, the vacation ownership business segment of Travel + Leisure</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vMerge w:val="continue"/>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 where she was responsible for brand management and digital marketing. From</w:t>
            </w:r>
          </w:p>
        </w:tc>
        <w:tc>
          <w:tcPr>
            <w:tcW w:w="0" w:type="dxa"/>
            <w:vAlign w:val="bottom"/>
          </w:tcPr>
          <w:p>
            <w:pPr>
              <w:spacing w:after="0"/>
              <w:rPr>
                <w:sz w:val="1"/>
                <w:szCs w:val="1"/>
                <w:color w:val="auto"/>
              </w:rPr>
            </w:pPr>
          </w:p>
        </w:tc>
      </w:tr>
      <w:tr>
        <w:trPr>
          <w:trHeight w:val="221"/>
        </w:trPr>
        <w:tc>
          <w:tcPr>
            <w:tcW w:w="17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w:t>
            </w:r>
          </w:p>
        </w:tc>
        <w:tc>
          <w:tcPr>
            <w:tcW w:w="480" w:type="dxa"/>
            <w:vAlign w:val="bottom"/>
            <w:tcBorders>
              <w:right w:val="single" w:sz="8" w:color="auto"/>
            </w:tcBorders>
            <w:shd w:val="clear" w:color="auto" w:fill="CCEEFF"/>
          </w:tcPr>
          <w:p>
            <w:pPr>
              <w:spacing w:after="0"/>
              <w:rPr>
                <w:sz w:val="19"/>
                <w:szCs w:val="19"/>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2018 to May 2019, she served as Vice President, Brand Marketing, where she</w:t>
            </w:r>
          </w:p>
        </w:tc>
        <w:tc>
          <w:tcPr>
            <w:tcW w:w="0" w:type="dxa"/>
            <w:vAlign w:val="bottom"/>
          </w:tcPr>
          <w:p>
            <w:pPr>
              <w:spacing w:after="0"/>
              <w:rPr>
                <w:sz w:val="1"/>
                <w:szCs w:val="1"/>
                <w:color w:val="auto"/>
              </w:rPr>
            </w:pPr>
          </w:p>
        </w:tc>
      </w:tr>
      <w:tr>
        <w:trPr>
          <w:trHeight w:val="179"/>
        </w:trPr>
        <w:tc>
          <w:tcPr>
            <w:tcW w:w="1780" w:type="dxa"/>
            <w:vAlign w:val="bottom"/>
            <w:tcBorders>
              <w:left w:val="single" w:sz="8" w:color="auto"/>
              <w:right w:val="single" w:sz="8" w:color="auto"/>
            </w:tcBorders>
            <w:shd w:val="clear" w:color="auto" w:fill="CCEEFF"/>
          </w:tcPr>
          <w:p>
            <w:pPr>
              <w:ind w:left="40"/>
              <w:spacing w:after="0" w:line="179" w:lineRule="exact"/>
              <w:rPr>
                <w:sz w:val="20"/>
                <w:szCs w:val="20"/>
                <w:color w:val="auto"/>
              </w:rPr>
            </w:pPr>
            <w:r>
              <w:rPr>
                <w:rFonts w:ascii="Times New Roman" w:cs="Times New Roman" w:eastAsia="Times New Roman" w:hAnsi="Times New Roman"/>
                <w:sz w:val="17"/>
                <w:szCs w:val="17"/>
                <w:color w:val="auto"/>
              </w:rPr>
              <w:t>President and Chief</w:t>
            </w:r>
          </w:p>
        </w:tc>
        <w:tc>
          <w:tcPr>
            <w:tcW w:w="480" w:type="dxa"/>
            <w:vAlign w:val="bottom"/>
            <w:tcBorders>
              <w:right w:val="single" w:sz="8" w:color="auto"/>
            </w:tcBorders>
            <w:shd w:val="clear" w:color="auto" w:fill="CCEEFF"/>
          </w:tcPr>
          <w:p>
            <w:pPr>
              <w:jc w:val="center"/>
              <w:spacing w:after="0" w:line="179" w:lineRule="exact"/>
              <w:rPr>
                <w:sz w:val="20"/>
                <w:szCs w:val="20"/>
                <w:color w:val="auto"/>
              </w:rPr>
            </w:pPr>
            <w:r>
              <w:rPr>
                <w:rFonts w:ascii="Times New Roman" w:cs="Times New Roman" w:eastAsia="Times New Roman" w:hAnsi="Times New Roman"/>
                <w:sz w:val="17"/>
                <w:szCs w:val="17"/>
                <w:color w:val="auto"/>
                <w:w w:val="93"/>
              </w:rPr>
              <w:t>40</w:t>
            </w:r>
          </w:p>
        </w:tc>
        <w:tc>
          <w:tcPr>
            <w:tcW w:w="6040" w:type="dxa"/>
            <w:vAlign w:val="bottom"/>
            <w:tcBorders>
              <w:right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was responsible for brand management, campaign development and advertising. From</w:t>
            </w:r>
          </w:p>
        </w:tc>
        <w:tc>
          <w:tcPr>
            <w:tcW w:w="0" w:type="dxa"/>
            <w:vAlign w:val="bottom"/>
          </w:tcPr>
          <w:p>
            <w:pPr>
              <w:spacing w:after="0"/>
              <w:rPr>
                <w:sz w:val="1"/>
                <w:szCs w:val="1"/>
                <w:color w:val="auto"/>
              </w:rPr>
            </w:pPr>
          </w:p>
        </w:tc>
      </w:tr>
      <w:tr>
        <w:trPr>
          <w:trHeight w:val="179"/>
        </w:trPr>
        <w:tc>
          <w:tcPr>
            <w:tcW w:w="1780" w:type="dxa"/>
            <w:vAlign w:val="bottom"/>
            <w:tcBorders>
              <w:left w:val="single" w:sz="8" w:color="auto"/>
              <w:right w:val="single" w:sz="8" w:color="auto"/>
            </w:tcBorders>
            <w:shd w:val="clear" w:color="auto" w:fill="CCEEFF"/>
          </w:tcPr>
          <w:p>
            <w:pPr>
              <w:ind w:left="40"/>
              <w:spacing w:after="0" w:line="179" w:lineRule="exact"/>
              <w:rPr>
                <w:sz w:val="20"/>
                <w:szCs w:val="20"/>
                <w:color w:val="auto"/>
              </w:rPr>
            </w:pPr>
            <w:r>
              <w:rPr>
                <w:rFonts w:ascii="Times New Roman" w:cs="Times New Roman" w:eastAsia="Times New Roman" w:hAnsi="Times New Roman"/>
                <w:sz w:val="17"/>
                <w:szCs w:val="17"/>
                <w:color w:val="auto"/>
              </w:rPr>
              <w:t>Membership and</w:t>
            </w:r>
          </w:p>
        </w:tc>
        <w:tc>
          <w:tcPr>
            <w:tcW w:w="480" w:type="dxa"/>
            <w:vAlign w:val="bottom"/>
            <w:tcBorders>
              <w:right w:val="single" w:sz="8" w:color="auto"/>
            </w:tcBorders>
            <w:shd w:val="clear" w:color="auto" w:fill="CCEEFF"/>
          </w:tcPr>
          <w:p>
            <w:pPr>
              <w:spacing w:after="0"/>
              <w:rPr>
                <w:sz w:val="15"/>
                <w:szCs w:val="15"/>
                <w:color w:val="auto"/>
              </w:rPr>
            </w:pPr>
          </w:p>
        </w:tc>
        <w:tc>
          <w:tcPr>
            <w:tcW w:w="6040" w:type="dxa"/>
            <w:vAlign w:val="bottom"/>
            <w:tcBorders>
              <w:right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July 2017 to January 2018, she served as Corporate Vice President of Digital,</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Commercial Services</w:t>
            </w: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eCommerce, and Media at SeaWorld Parks &amp; Entertainment, where she led the U.S.</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Officer</w:t>
            </w: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team that oversaw the development of eCommerce, digital marketing, social media,</w:t>
            </w:r>
          </w:p>
        </w:tc>
        <w:tc>
          <w:tcPr>
            <w:tcW w:w="0" w:type="dxa"/>
            <w:vAlign w:val="bottom"/>
          </w:tcPr>
          <w:p>
            <w:pPr>
              <w:spacing w:after="0"/>
              <w:rPr>
                <w:sz w:val="1"/>
                <w:szCs w:val="1"/>
                <w:color w:val="auto"/>
              </w:rPr>
            </w:pPr>
          </w:p>
        </w:tc>
      </w:tr>
      <w:tr>
        <w:trPr>
          <w:trHeight w:val="35"/>
        </w:trPr>
        <w:tc>
          <w:tcPr>
            <w:tcW w:w="1780" w:type="dxa"/>
            <w:vAlign w:val="bottom"/>
            <w:tcBorders>
              <w:left w:val="single" w:sz="8" w:color="auto"/>
              <w:right w:val="single" w:sz="8" w:color="auto"/>
            </w:tcBorders>
            <w:shd w:val="clear" w:color="auto" w:fill="CCEEFF"/>
          </w:tcPr>
          <w:p>
            <w:pPr>
              <w:spacing w:after="0"/>
              <w:rPr>
                <w:sz w:val="3"/>
                <w:szCs w:val="3"/>
                <w:color w:val="auto"/>
              </w:rPr>
            </w:pPr>
          </w:p>
        </w:tc>
        <w:tc>
          <w:tcPr>
            <w:tcW w:w="480" w:type="dxa"/>
            <w:vAlign w:val="bottom"/>
            <w:tcBorders>
              <w:right w:val="single" w:sz="8" w:color="auto"/>
            </w:tcBorders>
            <w:shd w:val="clear" w:color="auto" w:fill="CCEEFF"/>
          </w:tcPr>
          <w:p>
            <w:pPr>
              <w:spacing w:after="0"/>
              <w:rPr>
                <w:sz w:val="3"/>
                <w:szCs w:val="3"/>
                <w:color w:val="auto"/>
              </w:rPr>
            </w:pPr>
          </w:p>
        </w:tc>
        <w:tc>
          <w:tcPr>
            <w:tcW w:w="604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business intelligence and digital content. From 2015 until July 2017, she served as</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Director, Digital Marketing at SeaWorld Parks &amp; Entertainment, where she was</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executive leader for digital transformation initiatives, including websites, mobile</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digital commerce improvements and the implementation of a data and analytics</w:t>
            </w:r>
          </w:p>
        </w:tc>
        <w:tc>
          <w:tcPr>
            <w:tcW w:w="0" w:type="dxa"/>
            <w:vAlign w:val="bottom"/>
          </w:tcPr>
          <w:p>
            <w:pPr>
              <w:spacing w:after="0"/>
              <w:rPr>
                <w:sz w:val="1"/>
                <w:szCs w:val="1"/>
                <w:color w:val="auto"/>
              </w:rPr>
            </w:pPr>
          </w:p>
        </w:tc>
      </w:tr>
      <w:tr>
        <w:trPr>
          <w:trHeight w:val="277"/>
        </w:trPr>
        <w:tc>
          <w:tcPr>
            <w:tcW w:w="178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480" w:type="dxa"/>
            <w:vAlign w:val="bottom"/>
            <w:tcBorders>
              <w:bottom w:val="single" w:sz="8" w:color="CCEEFF"/>
              <w:right w:val="single" w:sz="8" w:color="auto"/>
            </w:tcBorders>
            <w:shd w:val="clear" w:color="auto" w:fill="CCEEFF"/>
          </w:tcPr>
          <w:p>
            <w:pPr>
              <w:spacing w:after="0"/>
              <w:rPr>
                <w:sz w:val="23"/>
                <w:szCs w:val="23"/>
                <w:color w:val="auto"/>
              </w:rPr>
            </w:pPr>
          </w:p>
        </w:tc>
        <w:tc>
          <w:tcPr>
            <w:tcW w:w="604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program related to customer experience.</w:t>
            </w:r>
          </w:p>
        </w:tc>
        <w:tc>
          <w:tcPr>
            <w:tcW w:w="0" w:type="dxa"/>
            <w:vAlign w:val="bottom"/>
          </w:tcPr>
          <w:p>
            <w:pPr>
              <w:spacing w:after="0"/>
              <w:rPr>
                <w:sz w:val="1"/>
                <w:szCs w:val="1"/>
                <w:color w:val="auto"/>
              </w:rPr>
            </w:pPr>
          </w:p>
        </w:tc>
      </w:tr>
      <w:tr>
        <w:trPr>
          <w:trHeight w:val="249"/>
        </w:trPr>
        <w:tc>
          <w:tcPr>
            <w:tcW w:w="17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James H Hunter, IV</w:t>
            </w:r>
          </w:p>
        </w:tc>
        <w:tc>
          <w:tcPr>
            <w:tcW w:w="480" w:type="dxa"/>
            <w:vAlign w:val="bottom"/>
            <w:tcBorders>
              <w:top w:val="single" w:sz="8" w:color="auto"/>
              <w:right w:val="single" w:sz="8" w:color="auto"/>
            </w:tcBorders>
          </w:tcPr>
          <w:p>
            <w:pPr>
              <w:spacing w:after="0"/>
              <w:rPr>
                <w:sz w:val="21"/>
                <w:szCs w:val="21"/>
                <w:color w:val="auto"/>
              </w:rPr>
            </w:pPr>
          </w:p>
        </w:tc>
        <w:tc>
          <w:tcPr>
            <w:tcW w:w="60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James H Hunter, IV has served as our Executive Vice President and General Counsel</w:t>
            </w:r>
          </w:p>
        </w:tc>
        <w:tc>
          <w:tcPr>
            <w:tcW w:w="0" w:type="dxa"/>
            <w:vAlign w:val="bottom"/>
          </w:tcPr>
          <w:p>
            <w:pPr>
              <w:spacing w:after="0"/>
              <w:rPr>
                <w:sz w:val="1"/>
                <w:szCs w:val="1"/>
                <w:color w:val="auto"/>
              </w:rPr>
            </w:pPr>
          </w:p>
        </w:tc>
      </w:tr>
      <w:tr>
        <w:trPr>
          <w:trHeight w:val="72"/>
        </w:trPr>
        <w:tc>
          <w:tcPr>
            <w:tcW w:w="17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w:t>
            </w:r>
          </w:p>
        </w:tc>
        <w:tc>
          <w:tcPr>
            <w:tcW w:w="480" w:type="dxa"/>
            <w:vAlign w:val="bottom"/>
            <w:tcBorders>
              <w:right w:val="single" w:sz="8" w:color="auto"/>
            </w:tcBorders>
          </w:tcPr>
          <w:p>
            <w:pPr>
              <w:spacing w:after="0"/>
              <w:rPr>
                <w:sz w:val="6"/>
                <w:szCs w:val="6"/>
                <w:color w:val="auto"/>
              </w:rPr>
            </w:pPr>
          </w:p>
        </w:tc>
        <w:tc>
          <w:tcPr>
            <w:tcW w:w="60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780" w:type="dxa"/>
            <w:vAlign w:val="bottom"/>
            <w:tcBorders>
              <w:left w:val="single" w:sz="8" w:color="auto"/>
              <w:right w:val="single" w:sz="8" w:color="auto"/>
            </w:tcBorders>
            <w:vMerge w:val="continue"/>
          </w:tcPr>
          <w:p>
            <w:pPr>
              <w:spacing w:after="0"/>
              <w:rPr>
                <w:sz w:val="14"/>
                <w:szCs w:val="14"/>
                <w:color w:val="auto"/>
              </w:rPr>
            </w:pPr>
          </w:p>
        </w:tc>
        <w:tc>
          <w:tcPr>
            <w:tcW w:w="4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61</w:t>
            </w:r>
          </w:p>
        </w:tc>
        <w:tc>
          <w:tcPr>
            <w:tcW w:w="604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7"/>
                <w:szCs w:val="17"/>
                <w:color w:val="auto"/>
              </w:rPr>
              <w:t>since November 2011. Prior to that time, he had served as Senior Vice President and</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President and General</w:t>
            </w:r>
          </w:p>
        </w:tc>
        <w:tc>
          <w:tcPr>
            <w:tcW w:w="480" w:type="dxa"/>
            <w:vAlign w:val="bottom"/>
            <w:tcBorders>
              <w:right w:val="single" w:sz="8" w:color="auto"/>
            </w:tcBorders>
          </w:tcPr>
          <w:p>
            <w:pPr>
              <w:spacing w:after="0"/>
              <w:rPr>
                <w:sz w:val="17"/>
                <w:szCs w:val="17"/>
                <w:color w:val="auto"/>
              </w:rPr>
            </w:pPr>
          </w:p>
        </w:tc>
        <w:tc>
          <w:tcPr>
            <w:tcW w:w="6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General Counsel since 2006. Mr. Hunter joined Marriott International in 1994.</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Counsel</w:t>
            </w:r>
          </w:p>
        </w:tc>
        <w:tc>
          <w:tcPr>
            <w:tcW w:w="480" w:type="dxa"/>
            <w:vAlign w:val="bottom"/>
            <w:tcBorders>
              <w:bottom w:val="single" w:sz="8" w:color="auto"/>
              <w:right w:val="single" w:sz="8" w:color="auto"/>
            </w:tcBorders>
          </w:tcPr>
          <w:p>
            <w:pPr>
              <w:spacing w:after="0"/>
              <w:rPr>
                <w:sz w:val="17"/>
                <w:szCs w:val="17"/>
                <w:color w:val="auto"/>
              </w:rPr>
            </w:pPr>
          </w:p>
        </w:tc>
        <w:tc>
          <w:tcPr>
            <w:tcW w:w="6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1780" w:type="dxa"/>
            <w:vAlign w:val="bottom"/>
            <w:tcBorders>
              <w:left w:val="single" w:sz="8" w:color="auto"/>
              <w:right w:val="single" w:sz="8" w:color="auto"/>
            </w:tcBorders>
            <w:shd w:val="clear" w:color="auto" w:fill="CCEEFF"/>
          </w:tcPr>
          <w:p>
            <w:pPr>
              <w:spacing w:after="0"/>
              <w:rPr>
                <w:sz w:val="24"/>
                <w:szCs w:val="24"/>
                <w:color w:val="auto"/>
              </w:rPr>
            </w:pPr>
          </w:p>
        </w:tc>
        <w:tc>
          <w:tcPr>
            <w:tcW w:w="480" w:type="dxa"/>
            <w:vAlign w:val="bottom"/>
            <w:tcBorders>
              <w:right w:val="single" w:sz="8" w:color="auto"/>
            </w:tcBorders>
            <w:shd w:val="clear" w:color="auto" w:fill="CCEEFF"/>
          </w:tcPr>
          <w:p>
            <w:pPr>
              <w:spacing w:after="0"/>
              <w:rPr>
                <w:sz w:val="24"/>
                <w:szCs w:val="24"/>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Jeanette E. Marbert has served as our President, Exchange and Third-Party</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since October 2018. She served as President and Chief Executive Officer</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Jeanette E. Marbert</w:t>
            </w: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 the Exchange and Rental segment of ILG, Inc. from November 2017 until</w:t>
            </w:r>
          </w:p>
        </w:tc>
        <w:tc>
          <w:tcPr>
            <w:tcW w:w="0" w:type="dxa"/>
            <w:vAlign w:val="bottom"/>
          </w:tcPr>
          <w:p>
            <w:pPr>
              <w:spacing w:after="0"/>
              <w:rPr>
                <w:sz w:val="1"/>
                <w:szCs w:val="1"/>
                <w:color w:val="auto"/>
              </w:rPr>
            </w:pPr>
          </w:p>
        </w:tc>
      </w:tr>
      <w:tr>
        <w:trPr>
          <w:trHeight w:val="120"/>
        </w:trPr>
        <w:tc>
          <w:tcPr>
            <w:tcW w:w="17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0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2018, and as Executive Vice President from June 2009 until November</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President, Exchange and</w:t>
            </w:r>
          </w:p>
        </w:tc>
        <w:tc>
          <w:tcPr>
            <w:tcW w:w="480" w:type="dxa"/>
            <w:vAlign w:val="bottom"/>
            <w:tcBorders>
              <w:right w:val="single" w:sz="8" w:color="auto"/>
            </w:tcBorders>
            <w:shd w:val="clear" w:color="auto" w:fill="CCEEFF"/>
          </w:tcPr>
          <w:p>
            <w:pPr>
              <w:spacing w:after="0"/>
              <w:rPr>
                <w:sz w:val="7"/>
                <w:szCs w:val="7"/>
                <w:color w:val="auto"/>
              </w:rPr>
            </w:pPr>
          </w:p>
        </w:tc>
        <w:tc>
          <w:tcPr>
            <w:tcW w:w="604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78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7"/>
                <w:szCs w:val="17"/>
                <w:color w:val="auto"/>
                <w:w w:val="93"/>
              </w:rPr>
              <w:t>67</w:t>
            </w:r>
          </w:p>
        </w:tc>
        <w:tc>
          <w:tcPr>
            <w:tcW w:w="6040" w:type="dxa"/>
            <w:vAlign w:val="bottom"/>
            <w:tcBorders>
              <w:right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2017. She was Chief Operating Officer of ILG, Inc. from August 2008 to November</w:t>
            </w:r>
          </w:p>
        </w:tc>
        <w:tc>
          <w:tcPr>
            <w:tcW w:w="0" w:type="dxa"/>
            <w:vAlign w:val="bottom"/>
          </w:tcPr>
          <w:p>
            <w:pPr>
              <w:spacing w:after="0"/>
              <w:rPr>
                <w:sz w:val="1"/>
                <w:szCs w:val="1"/>
                <w:color w:val="auto"/>
              </w:rPr>
            </w:pPr>
          </w:p>
        </w:tc>
      </w:tr>
      <w:tr>
        <w:trPr>
          <w:trHeight w:val="141"/>
        </w:trPr>
        <w:tc>
          <w:tcPr>
            <w:tcW w:w="1780" w:type="dxa"/>
            <w:vAlign w:val="bottom"/>
            <w:tcBorders>
              <w:left w:val="single" w:sz="8" w:color="auto"/>
              <w:right w:val="single" w:sz="8" w:color="auto"/>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6"/>
                <w:szCs w:val="16"/>
                <w:color w:val="auto"/>
              </w:rPr>
              <w:t>Third-Party</w:t>
            </w:r>
          </w:p>
        </w:tc>
        <w:tc>
          <w:tcPr>
            <w:tcW w:w="480" w:type="dxa"/>
            <w:vAlign w:val="bottom"/>
            <w:tcBorders>
              <w:right w:val="single" w:sz="8" w:color="auto"/>
            </w:tcBorders>
            <w:shd w:val="clear" w:color="auto" w:fill="CCEEFF"/>
          </w:tcPr>
          <w:p>
            <w:pPr>
              <w:spacing w:after="0"/>
              <w:rPr>
                <w:sz w:val="12"/>
                <w:szCs w:val="12"/>
                <w:color w:val="auto"/>
              </w:rPr>
            </w:pPr>
          </w:p>
        </w:tc>
        <w:tc>
          <w:tcPr>
            <w:tcW w:w="60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 and served as a Director of ILG, Inc. from February 2015 to May 2016. Ms.</w:t>
            </w:r>
          </w:p>
        </w:tc>
        <w:tc>
          <w:tcPr>
            <w:tcW w:w="0" w:type="dxa"/>
            <w:vAlign w:val="bottom"/>
          </w:tcPr>
          <w:p>
            <w:pPr>
              <w:spacing w:after="0"/>
              <w:rPr>
                <w:sz w:val="1"/>
                <w:szCs w:val="1"/>
                <w:color w:val="auto"/>
              </w:rPr>
            </w:pPr>
          </w:p>
        </w:tc>
      </w:tr>
      <w:tr>
        <w:trPr>
          <w:trHeight w:val="99"/>
        </w:trPr>
        <w:tc>
          <w:tcPr>
            <w:tcW w:w="17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Management</w:t>
            </w:r>
          </w:p>
        </w:tc>
        <w:tc>
          <w:tcPr>
            <w:tcW w:w="480" w:type="dxa"/>
            <w:vAlign w:val="bottom"/>
            <w:tcBorders>
              <w:right w:val="single" w:sz="8" w:color="auto"/>
            </w:tcBorders>
            <w:shd w:val="clear" w:color="auto" w:fill="CCEEFF"/>
          </w:tcPr>
          <w:p>
            <w:pPr>
              <w:spacing w:after="0"/>
              <w:rPr>
                <w:sz w:val="8"/>
                <w:szCs w:val="8"/>
                <w:color w:val="auto"/>
              </w:rPr>
            </w:pPr>
          </w:p>
        </w:tc>
        <w:tc>
          <w:tcPr>
            <w:tcW w:w="60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0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Marbert joined Interval in 1984. As we reported in a Current Report on Form 8-K filed</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shd w:val="clear" w:color="auto" w:fill="CCEEFF"/>
          </w:tcPr>
          <w:p>
            <w:pPr>
              <w:spacing w:after="0"/>
              <w:rPr>
                <w:sz w:val="7"/>
                <w:szCs w:val="7"/>
                <w:color w:val="auto"/>
              </w:rPr>
            </w:pPr>
          </w:p>
        </w:tc>
        <w:tc>
          <w:tcPr>
            <w:tcW w:w="480" w:type="dxa"/>
            <w:vAlign w:val="bottom"/>
            <w:tcBorders>
              <w:right w:val="single" w:sz="8" w:color="auto"/>
            </w:tcBorders>
            <w:shd w:val="clear" w:color="auto" w:fill="CCEEFF"/>
          </w:tcPr>
          <w:p>
            <w:pPr>
              <w:spacing w:after="0"/>
              <w:rPr>
                <w:sz w:val="7"/>
                <w:szCs w:val="7"/>
                <w:color w:val="auto"/>
              </w:rPr>
            </w:pPr>
          </w:p>
        </w:tc>
        <w:tc>
          <w:tcPr>
            <w:tcW w:w="604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on December 6, 2023, Ms. Marbert announced her decision to retire as our President,</w:t>
            </w:r>
          </w:p>
        </w:tc>
        <w:tc>
          <w:tcPr>
            <w:tcW w:w="0" w:type="dxa"/>
            <w:vAlign w:val="bottom"/>
          </w:tcPr>
          <w:p>
            <w:pPr>
              <w:spacing w:after="0"/>
              <w:rPr>
                <w:sz w:val="1"/>
                <w:szCs w:val="1"/>
                <w:color w:val="auto"/>
              </w:rPr>
            </w:pPr>
          </w:p>
        </w:tc>
      </w:tr>
      <w:tr>
        <w:trPr>
          <w:trHeight w:val="222"/>
        </w:trPr>
        <w:tc>
          <w:tcPr>
            <w:tcW w:w="1780" w:type="dxa"/>
            <w:vAlign w:val="bottom"/>
            <w:tcBorders>
              <w:left w:val="single" w:sz="8" w:color="auto"/>
              <w:right w:val="single" w:sz="8" w:color="auto"/>
            </w:tcBorders>
            <w:shd w:val="clear" w:color="auto" w:fill="CCEEFF"/>
          </w:tcPr>
          <w:p>
            <w:pPr>
              <w:spacing w:after="0"/>
              <w:rPr>
                <w:sz w:val="19"/>
                <w:szCs w:val="19"/>
                <w:color w:val="auto"/>
              </w:rPr>
            </w:pPr>
          </w:p>
        </w:tc>
        <w:tc>
          <w:tcPr>
            <w:tcW w:w="480" w:type="dxa"/>
            <w:vAlign w:val="bottom"/>
            <w:tcBorders>
              <w:right w:val="single" w:sz="8" w:color="auto"/>
            </w:tcBorders>
            <w:shd w:val="clear" w:color="auto" w:fill="CCEEFF"/>
          </w:tcPr>
          <w:p>
            <w:pPr>
              <w:spacing w:after="0"/>
              <w:rPr>
                <w:sz w:val="19"/>
                <w:szCs w:val="19"/>
                <w:color w:val="auto"/>
              </w:rPr>
            </w:pP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and Third-Party Management in 2024.</w:t>
            </w:r>
          </w:p>
        </w:tc>
        <w:tc>
          <w:tcPr>
            <w:tcW w:w="0" w:type="dxa"/>
            <w:vAlign w:val="bottom"/>
          </w:tcPr>
          <w:p>
            <w:pPr>
              <w:spacing w:after="0"/>
              <w:rPr>
                <w:sz w:val="1"/>
                <w:szCs w:val="1"/>
                <w:color w:val="auto"/>
              </w:rPr>
            </w:pPr>
          </w:p>
        </w:tc>
      </w:tr>
      <w:tr>
        <w:trPr>
          <w:trHeight w:val="127"/>
        </w:trPr>
        <w:tc>
          <w:tcPr>
            <w:tcW w:w="178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auto"/>
            </w:tcBorders>
            <w:shd w:val="clear" w:color="auto" w:fill="CCEEFF"/>
          </w:tcPr>
          <w:p>
            <w:pPr>
              <w:spacing w:after="0"/>
              <w:rPr>
                <w:sz w:val="11"/>
                <w:szCs w:val="11"/>
                <w:color w:val="auto"/>
              </w:rPr>
            </w:pPr>
          </w:p>
        </w:tc>
        <w:tc>
          <w:tcPr>
            <w:tcW w:w="604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1780" w:type="dxa"/>
            <w:vAlign w:val="bottom"/>
            <w:tcBorders>
              <w:left w:val="single" w:sz="8" w:color="auto"/>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Brian E. Miller has served as our President, Vacation Ownership since October 2020.</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Brian E. Miller</w:t>
            </w:r>
          </w:p>
        </w:tc>
        <w:tc>
          <w:tcPr>
            <w:tcW w:w="480" w:type="dxa"/>
            <w:vAlign w:val="bottom"/>
            <w:tcBorders>
              <w:right w:val="single" w:sz="8" w:color="auto"/>
            </w:tcBorders>
          </w:tcPr>
          <w:p>
            <w:pPr>
              <w:spacing w:after="0"/>
              <w:rPr>
                <w:sz w:val="17"/>
                <w:szCs w:val="17"/>
                <w:color w:val="auto"/>
              </w:rPr>
            </w:pPr>
          </w:p>
        </w:tc>
        <w:tc>
          <w:tcPr>
            <w:tcW w:w="6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From October 2018 to September 2020, he served as our Executive Vice President and</w:t>
            </w:r>
          </w:p>
        </w:tc>
        <w:tc>
          <w:tcPr>
            <w:tcW w:w="0" w:type="dxa"/>
            <w:vAlign w:val="bottom"/>
          </w:tcPr>
          <w:p>
            <w:pPr>
              <w:spacing w:after="0"/>
              <w:rPr>
                <w:sz w:val="1"/>
                <w:szCs w:val="1"/>
                <w:color w:val="auto"/>
              </w:rPr>
            </w:pPr>
          </w:p>
        </w:tc>
      </w:tr>
      <w:tr>
        <w:trPr>
          <w:trHeight w:val="107"/>
        </w:trPr>
        <w:tc>
          <w:tcPr>
            <w:tcW w:w="1780" w:type="dxa"/>
            <w:vAlign w:val="bottom"/>
            <w:tcBorders>
              <w:left w:val="single" w:sz="8" w:color="auto"/>
              <w:right w:val="single" w:sz="8" w:color="auto"/>
            </w:tcBorders>
            <w:vMerge w:val="continue"/>
          </w:tcPr>
          <w:p>
            <w:pPr>
              <w:spacing w:after="0"/>
              <w:rPr>
                <w:sz w:val="9"/>
                <w:szCs w:val="9"/>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c>
          <w:tcPr>
            <w:tcW w:w="60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Chief Marketing, Sales and Service Officer. From November 2011 to September 2018,</w:t>
            </w:r>
          </w:p>
        </w:tc>
        <w:tc>
          <w:tcPr>
            <w:tcW w:w="0" w:type="dxa"/>
            <w:vAlign w:val="bottom"/>
          </w:tcPr>
          <w:p>
            <w:pPr>
              <w:spacing w:after="0"/>
              <w:rPr>
                <w:sz w:val="1"/>
                <w:szCs w:val="1"/>
                <w:color w:val="auto"/>
              </w:rPr>
            </w:pPr>
          </w:p>
        </w:tc>
      </w:tr>
      <w:tr>
        <w:trPr>
          <w:trHeight w:val="98"/>
        </w:trPr>
        <w:tc>
          <w:tcPr>
            <w:tcW w:w="17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President, Vacation</w:t>
            </w:r>
          </w:p>
        </w:tc>
        <w:tc>
          <w:tcPr>
            <w:tcW w:w="480" w:type="dxa"/>
            <w:vAlign w:val="bottom"/>
            <w:tcBorders>
              <w:right w:val="single" w:sz="8" w:color="auto"/>
            </w:tcBorders>
            <w:vMerge w:val="continue"/>
          </w:tcPr>
          <w:p>
            <w:pPr>
              <w:spacing w:after="0"/>
              <w:rPr>
                <w:sz w:val="8"/>
                <w:szCs w:val="8"/>
                <w:color w:val="auto"/>
              </w:rPr>
            </w:pPr>
          </w:p>
        </w:tc>
        <w:tc>
          <w:tcPr>
            <w:tcW w:w="6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780" w:type="dxa"/>
            <w:vAlign w:val="bottom"/>
            <w:tcBorders>
              <w:left w:val="single" w:sz="8" w:color="auto"/>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604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7"/>
                <w:szCs w:val="17"/>
                <w:color w:val="auto"/>
              </w:rPr>
              <w:t>he served as our Executive Vice President and Chief Sales and Marketing Officer. Prior</w:t>
            </w:r>
          </w:p>
        </w:tc>
        <w:tc>
          <w:tcPr>
            <w:tcW w:w="0" w:type="dxa"/>
            <w:vAlign w:val="bottom"/>
          </w:tcPr>
          <w:p>
            <w:pPr>
              <w:spacing w:after="0"/>
              <w:rPr>
                <w:sz w:val="1"/>
                <w:szCs w:val="1"/>
                <w:color w:val="auto"/>
              </w:rPr>
            </w:pPr>
          </w:p>
        </w:tc>
      </w:tr>
      <w:tr>
        <w:trPr>
          <w:trHeight w:val="204"/>
        </w:trPr>
        <w:tc>
          <w:tcPr>
            <w:tcW w:w="1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Ownership</w:t>
            </w:r>
          </w:p>
        </w:tc>
        <w:tc>
          <w:tcPr>
            <w:tcW w:w="480" w:type="dxa"/>
            <w:vAlign w:val="bottom"/>
            <w:tcBorders>
              <w:right w:val="single" w:sz="8" w:color="auto"/>
            </w:tcBorders>
          </w:tcPr>
          <w:p>
            <w:pPr>
              <w:spacing w:after="0"/>
              <w:rPr>
                <w:sz w:val="17"/>
                <w:szCs w:val="17"/>
                <w:color w:val="auto"/>
              </w:rPr>
            </w:pPr>
          </w:p>
        </w:tc>
        <w:tc>
          <w:tcPr>
            <w:tcW w:w="60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to that time, he had served as our Senior Vice President, Sales and Marketing and</w:t>
            </w:r>
          </w:p>
        </w:tc>
        <w:tc>
          <w:tcPr>
            <w:tcW w:w="0" w:type="dxa"/>
            <w:vAlign w:val="bottom"/>
          </w:tcPr>
          <w:p>
            <w:pPr>
              <w:spacing w:after="0"/>
              <w:rPr>
                <w:sz w:val="1"/>
                <w:szCs w:val="1"/>
                <w:color w:val="auto"/>
              </w:rPr>
            </w:pPr>
          </w:p>
        </w:tc>
      </w:tr>
      <w:tr>
        <w:trPr>
          <w:trHeight w:val="35"/>
        </w:trPr>
        <w:tc>
          <w:tcPr>
            <w:tcW w:w="1780" w:type="dxa"/>
            <w:vAlign w:val="bottom"/>
            <w:tcBorders>
              <w:left w:val="single" w:sz="8" w:color="auto"/>
              <w:right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60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1780" w:type="dxa"/>
            <w:vAlign w:val="bottom"/>
            <w:tcBorders>
              <w:left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6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Service Operations since 2007. Mr. Miller joined the Company in 1991.</w:t>
            </w:r>
          </w:p>
        </w:tc>
        <w:tc>
          <w:tcPr>
            <w:tcW w:w="0" w:type="dxa"/>
            <w:vAlign w:val="bottom"/>
          </w:tcPr>
          <w:p>
            <w:pPr>
              <w:spacing w:after="0"/>
              <w:rPr>
                <w:sz w:val="1"/>
                <w:szCs w:val="1"/>
                <w:color w:val="auto"/>
              </w:rPr>
            </w:pPr>
          </w:p>
        </w:tc>
      </w:tr>
      <w:tr>
        <w:trPr>
          <w:trHeight w:val="127"/>
        </w:trPr>
        <w:tc>
          <w:tcPr>
            <w:tcW w:w="1780" w:type="dxa"/>
            <w:vAlign w:val="bottom"/>
            <w:tcBorders>
              <w:left w:val="single" w:sz="8" w:color="auto"/>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60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17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Michael E. Yonker</w:t>
            </w:r>
          </w:p>
        </w:tc>
        <w:tc>
          <w:tcPr>
            <w:tcW w:w="480" w:type="dxa"/>
            <w:vAlign w:val="bottom"/>
            <w:tcBorders>
              <w:right w:val="single" w:sz="8" w:color="auto"/>
            </w:tcBorders>
            <w:shd w:val="clear" w:color="auto" w:fill="CCEEFF"/>
          </w:tcPr>
          <w:p>
            <w:pPr>
              <w:spacing w:after="0"/>
              <w:rPr>
                <w:sz w:val="24"/>
                <w:szCs w:val="24"/>
                <w:color w:val="auto"/>
              </w:rPr>
            </w:pPr>
          </w:p>
        </w:tc>
        <w:tc>
          <w:tcPr>
            <w:tcW w:w="60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E. Yonker has served as our Executive Vice President and Chief Human</w:t>
            </w:r>
          </w:p>
        </w:tc>
        <w:tc>
          <w:tcPr>
            <w:tcW w:w="0" w:type="dxa"/>
            <w:vAlign w:val="bottom"/>
          </w:tcPr>
          <w:p>
            <w:pPr>
              <w:spacing w:after="0"/>
              <w:rPr>
                <w:sz w:val="1"/>
                <w:szCs w:val="1"/>
                <w:color w:val="auto"/>
              </w:rPr>
            </w:pPr>
          </w:p>
        </w:tc>
      </w:tr>
      <w:tr>
        <w:trPr>
          <w:trHeight w:val="47"/>
        </w:trPr>
        <w:tc>
          <w:tcPr>
            <w:tcW w:w="1780" w:type="dxa"/>
            <w:vAlign w:val="bottom"/>
            <w:tcBorders>
              <w:left w:val="single" w:sz="8" w:color="auto"/>
              <w:right w:val="single" w:sz="8" w:color="auto"/>
            </w:tcBorders>
            <w:shd w:val="clear" w:color="auto" w:fill="CCEEFF"/>
          </w:tcPr>
          <w:p>
            <w:pPr>
              <w:spacing w:after="0"/>
              <w:rPr>
                <w:sz w:val="4"/>
                <w:szCs w:val="4"/>
                <w:color w:val="auto"/>
              </w:rPr>
            </w:pPr>
          </w:p>
        </w:tc>
        <w:tc>
          <w:tcPr>
            <w:tcW w:w="480" w:type="dxa"/>
            <w:vAlign w:val="bottom"/>
            <w:tcBorders>
              <w:right w:val="single" w:sz="8" w:color="auto"/>
            </w:tcBorders>
            <w:shd w:val="clear" w:color="auto" w:fill="CCEEFF"/>
          </w:tcPr>
          <w:p>
            <w:pPr>
              <w:spacing w:after="0"/>
              <w:rPr>
                <w:sz w:val="4"/>
                <w:szCs w:val="4"/>
                <w:color w:val="auto"/>
              </w:rPr>
            </w:pPr>
          </w:p>
        </w:tc>
        <w:tc>
          <w:tcPr>
            <w:tcW w:w="604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1780" w:type="dxa"/>
            <w:vAlign w:val="bottom"/>
            <w:tcBorders>
              <w:left w:val="single" w:sz="8" w:color="auto"/>
              <w:right w:val="single" w:sz="8" w:color="auto"/>
            </w:tcBorders>
            <w:shd w:val="clear" w:color="auto" w:fill="CCEEFF"/>
          </w:tcPr>
          <w:p>
            <w:pPr>
              <w:ind w:left="40"/>
              <w:spacing w:after="0" w:line="179" w:lineRule="exact"/>
              <w:rPr>
                <w:sz w:val="20"/>
                <w:szCs w:val="20"/>
                <w:color w:val="auto"/>
              </w:rPr>
            </w:pPr>
            <w:r>
              <w:rPr>
                <w:rFonts w:ascii="Times New Roman" w:cs="Times New Roman" w:eastAsia="Times New Roman" w:hAnsi="Times New Roman"/>
                <w:sz w:val="17"/>
                <w:szCs w:val="17"/>
                <w:color w:val="auto"/>
              </w:rPr>
              <w:t>Executive Vice</w:t>
            </w:r>
          </w:p>
        </w:tc>
        <w:tc>
          <w:tcPr>
            <w:tcW w:w="480" w:type="dxa"/>
            <w:vAlign w:val="bottom"/>
            <w:tcBorders>
              <w:right w:val="single" w:sz="8" w:color="auto"/>
            </w:tcBorders>
            <w:shd w:val="clear" w:color="auto" w:fill="CCEEFF"/>
          </w:tcPr>
          <w:p>
            <w:pPr>
              <w:spacing w:after="0"/>
              <w:rPr>
                <w:sz w:val="15"/>
                <w:szCs w:val="15"/>
                <w:color w:val="auto"/>
              </w:rPr>
            </w:pPr>
          </w:p>
        </w:tc>
        <w:tc>
          <w:tcPr>
            <w:tcW w:w="6040" w:type="dxa"/>
            <w:vAlign w:val="bottom"/>
            <w:tcBorders>
              <w:right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Resources and Global Communications Officer since January 2024. Mr. Yonker has</w:t>
            </w:r>
          </w:p>
        </w:tc>
        <w:tc>
          <w:tcPr>
            <w:tcW w:w="0" w:type="dxa"/>
            <w:vAlign w:val="bottom"/>
          </w:tcPr>
          <w:p>
            <w:pPr>
              <w:spacing w:after="0"/>
              <w:rPr>
                <w:sz w:val="1"/>
                <w:szCs w:val="1"/>
                <w:color w:val="auto"/>
              </w:rPr>
            </w:pPr>
          </w:p>
        </w:tc>
      </w:tr>
      <w:tr>
        <w:trPr>
          <w:trHeight w:val="195"/>
        </w:trPr>
        <w:tc>
          <w:tcPr>
            <w:tcW w:w="17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President and</w:t>
            </w:r>
          </w:p>
        </w:tc>
        <w:tc>
          <w:tcPr>
            <w:tcW w:w="4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c>
          <w:tcPr>
            <w:tcW w:w="6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served as our Executive Vice President and Chief Human Resources Officer from</w:t>
            </w:r>
          </w:p>
        </w:tc>
        <w:tc>
          <w:tcPr>
            <w:tcW w:w="0" w:type="dxa"/>
            <w:vAlign w:val="bottom"/>
          </w:tcPr>
          <w:p>
            <w:pPr>
              <w:spacing w:after="0"/>
              <w:rPr>
                <w:sz w:val="1"/>
                <w:szCs w:val="1"/>
                <w:color w:val="auto"/>
              </w:rPr>
            </w:pPr>
          </w:p>
        </w:tc>
      </w:tr>
      <w:tr>
        <w:trPr>
          <w:trHeight w:val="141"/>
        </w:trPr>
        <w:tc>
          <w:tcPr>
            <w:tcW w:w="1780" w:type="dxa"/>
            <w:vAlign w:val="bottom"/>
            <w:tcBorders>
              <w:left w:val="single" w:sz="8" w:color="auto"/>
              <w:right w:val="single" w:sz="8" w:color="auto"/>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6"/>
                <w:szCs w:val="16"/>
                <w:color w:val="auto"/>
              </w:rPr>
              <w:t>Chief Human Resources</w:t>
            </w:r>
          </w:p>
        </w:tc>
        <w:tc>
          <w:tcPr>
            <w:tcW w:w="480" w:type="dxa"/>
            <w:vAlign w:val="bottom"/>
            <w:tcBorders>
              <w:right w:val="single" w:sz="8" w:color="auto"/>
            </w:tcBorders>
            <w:shd w:val="clear" w:color="auto" w:fill="CCEEFF"/>
          </w:tcPr>
          <w:p>
            <w:pPr>
              <w:spacing w:after="0"/>
              <w:rPr>
                <w:sz w:val="12"/>
                <w:szCs w:val="12"/>
                <w:color w:val="auto"/>
              </w:rPr>
            </w:pPr>
          </w:p>
        </w:tc>
        <w:tc>
          <w:tcPr>
            <w:tcW w:w="60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2011 to December 2023. Prior to that time, he served as our Chief Human</w:t>
            </w:r>
          </w:p>
        </w:tc>
        <w:tc>
          <w:tcPr>
            <w:tcW w:w="0" w:type="dxa"/>
            <w:vAlign w:val="bottom"/>
          </w:tcPr>
          <w:p>
            <w:pPr>
              <w:spacing w:after="0"/>
              <w:rPr>
                <w:sz w:val="1"/>
                <w:szCs w:val="1"/>
                <w:color w:val="auto"/>
              </w:rPr>
            </w:pPr>
          </w:p>
        </w:tc>
      </w:tr>
      <w:tr>
        <w:trPr>
          <w:trHeight w:val="99"/>
        </w:trPr>
        <w:tc>
          <w:tcPr>
            <w:tcW w:w="1780" w:type="dxa"/>
            <w:vAlign w:val="bottom"/>
            <w:tcBorders>
              <w:left w:val="single" w:sz="8" w:color="auto"/>
              <w:right w:val="single" w:sz="8" w:color="auto"/>
            </w:tcBorders>
            <w:vMerge w:val="restart"/>
            <w:shd w:val="clear" w:color="auto" w:fill="CCEEFF"/>
          </w:tcPr>
          <w:p>
            <w:pPr>
              <w:ind w:left="40"/>
              <w:spacing w:after="0" w:line="176" w:lineRule="exact"/>
              <w:rPr>
                <w:sz w:val="20"/>
                <w:szCs w:val="20"/>
                <w:color w:val="auto"/>
              </w:rPr>
            </w:pPr>
            <w:r>
              <w:rPr>
                <w:rFonts w:ascii="Times New Roman" w:cs="Times New Roman" w:eastAsia="Times New Roman" w:hAnsi="Times New Roman"/>
                <w:sz w:val="17"/>
                <w:szCs w:val="17"/>
                <w:color w:val="auto"/>
              </w:rPr>
              <w:t>and Global</w:t>
            </w:r>
          </w:p>
        </w:tc>
        <w:tc>
          <w:tcPr>
            <w:tcW w:w="480" w:type="dxa"/>
            <w:vAlign w:val="bottom"/>
            <w:tcBorders>
              <w:right w:val="single" w:sz="8" w:color="auto"/>
            </w:tcBorders>
            <w:shd w:val="clear" w:color="auto" w:fill="CCEEFF"/>
          </w:tcPr>
          <w:p>
            <w:pPr>
              <w:spacing w:after="0"/>
              <w:rPr>
                <w:sz w:val="8"/>
                <w:szCs w:val="8"/>
                <w:color w:val="auto"/>
              </w:rPr>
            </w:pPr>
          </w:p>
        </w:tc>
        <w:tc>
          <w:tcPr>
            <w:tcW w:w="60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78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80" w:type="dxa"/>
            <w:vAlign w:val="bottom"/>
            <w:tcBorders>
              <w:right w:val="single" w:sz="8" w:color="auto"/>
            </w:tcBorders>
            <w:shd w:val="clear" w:color="auto" w:fill="CCEEFF"/>
          </w:tcPr>
          <w:p>
            <w:pPr>
              <w:spacing w:after="0"/>
              <w:rPr>
                <w:sz w:val="6"/>
                <w:szCs w:val="6"/>
                <w:color w:val="auto"/>
              </w:rPr>
            </w:pPr>
          </w:p>
        </w:tc>
        <w:tc>
          <w:tcPr>
            <w:tcW w:w="60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Resources Officer since 2010. Mr. Yonker joined Marriott International in 1983.</w:t>
            </w:r>
          </w:p>
        </w:tc>
        <w:tc>
          <w:tcPr>
            <w:tcW w:w="0" w:type="dxa"/>
            <w:vAlign w:val="bottom"/>
          </w:tcPr>
          <w:p>
            <w:pPr>
              <w:spacing w:after="0"/>
              <w:rPr>
                <w:sz w:val="1"/>
                <w:szCs w:val="1"/>
                <w:color w:val="auto"/>
              </w:rPr>
            </w:pPr>
          </w:p>
        </w:tc>
      </w:tr>
      <w:tr>
        <w:trPr>
          <w:trHeight w:val="145"/>
        </w:trPr>
        <w:tc>
          <w:tcPr>
            <w:tcW w:w="17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Communications Officer</w:t>
            </w:r>
          </w:p>
        </w:tc>
        <w:tc>
          <w:tcPr>
            <w:tcW w:w="480" w:type="dxa"/>
            <w:vAlign w:val="bottom"/>
            <w:tcBorders>
              <w:right w:val="single" w:sz="8" w:color="auto"/>
            </w:tcBorders>
            <w:shd w:val="clear" w:color="auto" w:fill="CCEEFF"/>
          </w:tcPr>
          <w:p>
            <w:pPr>
              <w:spacing w:after="0"/>
              <w:rPr>
                <w:sz w:val="12"/>
                <w:szCs w:val="12"/>
                <w:color w:val="auto"/>
              </w:rPr>
            </w:pPr>
          </w:p>
        </w:tc>
        <w:tc>
          <w:tcPr>
            <w:tcW w:w="604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78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80" w:type="dxa"/>
            <w:vAlign w:val="bottom"/>
            <w:tcBorders>
              <w:right w:val="single" w:sz="8" w:color="auto"/>
            </w:tcBorders>
            <w:shd w:val="clear" w:color="auto" w:fill="CCEEFF"/>
          </w:tcPr>
          <w:p>
            <w:pPr>
              <w:spacing w:after="0"/>
              <w:rPr>
                <w:sz w:val="6"/>
                <w:szCs w:val="6"/>
                <w:color w:val="auto"/>
              </w:rPr>
            </w:pPr>
          </w:p>
        </w:tc>
        <w:tc>
          <w:tcPr>
            <w:tcW w:w="6040" w:type="dxa"/>
            <w:vAlign w:val="bottom"/>
            <w:tcBorders>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78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480" w:type="dxa"/>
            <w:vAlign w:val="bottom"/>
            <w:tcBorders>
              <w:bottom w:val="single" w:sz="8" w:color="auto"/>
              <w:right w:val="single" w:sz="8" w:color="auto"/>
            </w:tcBorders>
            <w:shd w:val="clear" w:color="auto" w:fill="CCEEFF"/>
          </w:tcPr>
          <w:p>
            <w:pPr>
              <w:spacing w:after="0"/>
              <w:rPr>
                <w:sz w:val="11"/>
                <w:szCs w:val="11"/>
                <w:color w:val="auto"/>
              </w:rPr>
            </w:pPr>
          </w:p>
        </w:tc>
        <w:tc>
          <w:tcPr>
            <w:tcW w:w="604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372" w:right="1440" w:bottom="1440" w:gutter="0" w:footer="0" w:header="0"/>
        </w:sectPr>
      </w:pPr>
    </w:p>
    <w:bookmarkStart w:id="27" w:name="page28"/>
    <w:bookmarkEnd w:id="27"/>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and/or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global or regional health concerns, outbreaks, and pandemics (each a “Health Crisis”).</w:t>
      </w:r>
    </w:p>
    <w:p>
      <w:pPr>
        <w:spacing w:after="0" w:line="109"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had, and a future Health Crisis may have, serious adverse effects on our business, financial condition, cash flows, and results of operations for an unknown period of time.</w:t>
      </w:r>
    </w:p>
    <w:p>
      <w:pPr>
        <w:spacing w:after="0" w:line="4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The COVID-19 pandemic caused, and a future Health Crisis may cause, significant disruptions in international and U.S. economies and markets and have a material adverse impact on participants in the travel and hospitality industries, including our Company.</w:t>
      </w:r>
    </w:p>
    <w:p>
      <w:pPr>
        <w:spacing w:after="0" w:line="5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The success of our business and our financial results depend, in substantial part, upon the health of the travel industry. Our business and financial results were materially adversely affected by the COVID-19 pandemic in 2020; for example, we saw marked declines in occupancy, rentals, and contract sales because of the temporary closure of nearly all of our sales centers and many of our resorts and the reduction in operations and amenities at all of our resorts. When Health Crises make headlines from time to time, consumer fear about contracting an illness and recommendations or mandates from governmental authorities to avoid large gatherings of people or self-quarantine, may increase. These recommendations and mandates have affected, and may affect in the future, resort occupancies. A substantial amount of our sales activity occurs at our resorts, and the number of prospective and current owners who visit our resorts impacts sales volume. Our rental revenue is also substantially impacted by the desire and ability of vacationers to travel. Fear of exposure to viruses or other illnesses, government restrictions on travel, including quarantine requirements, low vaccination rates in some parts of the world and viruses or other illnesses that may be resistant to available vaccines could cause travelers to cancel or delay plans to travel to our resorts. These changes in vacation and travel patterns could adversely affect our cash flows, revenues, and results of operations. Moreover, when travel advisories and restrictions are lifted, there could be a resurgence of the virus or illness, and as a result, travel demand could be unpredictable and could remain so for a significant period. Adverse changes in the perceived or actual economic climate, including higher unemployment rates, declines in income levels, inflation, recession and loss of personal wealth resulting from the impact of a future Health Crisis may negatively affect travel demand for a prolonged period.</w:t>
      </w:r>
    </w:p>
    <w:p>
      <w:pPr>
        <w:spacing w:after="0" w:line="8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The onset of the COVID-19 pandemic led to an increase in payment delinquencies and defaults for our vacation ownership notes receivable. The number of delinquencies may increase as the result of a future Health Crisis’s effect on economic conditions and the ability and desire to travel, and could lead to defaults on financing that we provide to purchasers of our products in excess of our estimates.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w:t>
      </w:r>
    </w:p>
    <w:p>
      <w:pPr>
        <w:spacing w:after="0" w:line="7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duration and extent of the impact of a future Health Crisis on our business and financial results will largely depend on future developments, including the duration and spread of the Health Crisis, the response by all levels of government in their efforts to contain the Health Crisis to mitigate the economic disruptions, the related impact on consumer confidence and spending, and how quickly economies and demand for our products and services recover after the Health Crisis subsides, all of which are highly uncertain, can rapidly change and cannot be predicted. Such impacts could adversely affect our results of operations, cash flows, and capital resources for a significant period. Further, a future Health Crisis may also adversely affect our cash flows and operating and financial results in a manner that is not presently known to us or that we currently do not consider to present significant risks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adversely affected by factors that disrupt or deter travel.</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Our success and results of operations depend, in substantial part, upon the health of the worldwide vacation ownership and leisure travel industries, and may be adversely affected by a number of factors that can disrupt or deter travel. A substantial amount of our sales activity occurs at our resorts, and sales volume is affected by the number of visitors at our resorts. Fear of exposure to contagious illnesses, such as COVID-19 or other Health Crises, or natural or man-made disasters, and the physical effects of climate change, such as more frequent or severe storms, droughts, hurricanes, wildfires, erosion and flooding, have caused and may continue to cause travelers to delay or cancel travel plans, including sales tours at our resorts, with greater frequency. Other factors such as weakened consumer confidence, limited availability or increased costs of consumer credit and damage to infrastructure caused by natural or man-made disasters or other causes that impede travel have caused, and may in the future cause, travelers to delay or cancel plans to tour or visit our resorts. For example, hurricanes and wildfires have caused a number of Interval International exchange network resorts and our managed vacation ownership resorts to close for prolonged periods. The wildfires in Maui last year also resulted in the temporary closure of our resorts and sales centers in Maui, which had an adverse effect on our business and results of operations for 2023. At times, beach access at our resorts and our managed resorts has been impeded by weather conditions or due to the effects of erosion. Actual or threatened war, civil unrest and terrorist activity, as well as heightened travel security measures instituted in response to the same, could also interrupt or deter travel plans. In addition, demand for our products and services may decrease if the cost of travel, including the cost of transportation and fuel, increases, airlift to vacation destinations decreases, airline or airport disruptions, flight cancellations or unreliability of various modes of transportation increases, or if general economic conditions decline.</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Our ability to process exchanges for members and to find purchasers and renters for accommodations we market or manage, as well as the need for the vacation rental and property management services we provide, largely depends on the continued desirability of the key vacation destinations in which our branded, managed or exchange properties are concentrated. Changes in the desirability of the destinations where these resorts are located and changes in vacation and travel patterns may adversely affect our cash flows and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can be adversely affected by labor shortages, turnover and labor cost increases.</w:t>
      </w:r>
    </w:p>
    <w:p>
      <w:pPr>
        <w:spacing w:after="0" w:line="10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A number of factors may adversely affect the labor force available or increase labor costs from time to time, such as high employment levels, increasing minimum wage rates, federal unemployment subsidies, including unemployment benefits offered in response to a Health Crisis, and other government actions. In 2021, we observed an overall tightening and increasingly competitive labor market. As a result, we had to temporarily close outlets (e.g., food and beverage) or reduce services (e.g., housekeeping performed fewer cleanings throughout the week), and we may have to take these or similar steps in the future. Any such changes may harm our revenues, cash flows, profitability or customer satisfaction. We have also incurred, and may incur in the future, additional costs for overtime wages, increased wages, enhanced referral bonuses, increased use of sign on bonuses, and increased marketing for open positions. A sustained labor shortage or increased turnover rates within our employee base, whether due to a Health Crisis or as a result of general macroeconomic factors, could lead to increased costs, such as increased overtime to meet demand and increased wage rates to attract and retain employees, and could negatively affect our ability to efficiently operate our business. If we are unable to hire and retain employees capable of performing at a high level, our business, including our cash flows, results of operations, owner, guest and associate satisfaction and reputation, could be adversely affected.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inflation, higher interest rates or deflation could adversely affect our business and financial results.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Inflation can adversely affect us by increasing the costs of carrying unsold inventory, development and other corporate capital expenditures, materials and labor, service contracts, insurance, technology and related hardware or equipment, and interest rates. All of these factors can have a negative impact on the affordability of our products and services. In a high inflationary environment, we may be unable to raise the price of our products and services in a proportional manner, which could reduce our operating margins, including in our financing business, and negatively impact our results or operations. In addition, an increase in the cost of capital, labor and materials could have an adverse impact on our business or financial results. Inflation could also have an indirect adverse impact on our business by making travel more expensive for consumers and reducing consumer discretionary income.</w:t>
      </w:r>
    </w:p>
    <w:p>
      <w:pPr>
        <w:spacing w:after="0" w:line="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Alternatively, deflation could cause an overall decrease in spending and borrowing capacity, which could lead to a deterioration of economic conditions and employment levels. Deflation could also cause the value of our products and services to decline. These, or other factors that increase the risk of significant deflation, could have a negative impact on our business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9" w:name="page30"/>
    <w:bookmarkEnd w:id="29"/>
    <w:p>
      <w:pPr>
        <w:ind w:right="100"/>
        <w:spacing w:after="0" w:line="261" w:lineRule="auto"/>
        <w:rPr>
          <w:sz w:val="20"/>
          <w:szCs w:val="20"/>
          <w:color w:val="auto"/>
        </w:rPr>
      </w:pPr>
      <w:r>
        <w:rPr>
          <w:rFonts w:ascii="Times New Roman" w:cs="Times New Roman" w:eastAsia="Times New Roman" w:hAnsi="Times New Roman"/>
          <w:sz w:val="17"/>
          <w:szCs w:val="17"/>
          <w:color w:val="auto"/>
        </w:rPr>
        <w:t>We finance more than half of our VOI sales. While we adjust interest rates on our financing programs from time to time, such changes are typically not made in lockstep with the timing and magnitude of changes in broader market rates. As a result, our financing profit margin declined in 2023 due to general market interest rate increases, and may decline again in the future. Increasing our financing rates could negatively impact VOI sales and financing propensity. However, if we are unable to increase our financing rates at the same rate as our costs of funds, our financing profits will be negatively impacted, as happened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extensively regulated, and any failure to comply with applicable laws could materially adversely affect our business.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are subject to a wide variety of highly complex international, national, federal, state, and local laws, regulations and policies. The vacation ownership industry is subject to extensive regulation around the world. Each jurisdiction where we operate generally requires resort developers to follow a set of specific procedures to develop, market and sell VOIs. Our real estate development activities, marketing and sales activities, lending activities and resort management activities are also heavily regulated. In addition, a myriad of laws, regulations and policies impact multiple areas of our business, such as those regulating the sale and offer of securities, anti-discrimination, anti-fraud, data protection, anti-corruption and bribery or implementing government economic sanctions.</w:t>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Complying with the intricate and multifaceted regulatory structures applicable to our businesses across the globe is complicated, constantly evolving, time-consuming and costly. We may not be able to successfully comply with all laws, regulations and policies to which we are subject. Laws, regulations, policies, and case law precedent may change or be subject to different interpretation in the future, including in ways that could decrease demand for our products and services, increase costs, and subject us to additional liabilities. Failure to comply could have a material adverse effect on our business. For example, failure to comply with applicable law could result in the loss of licenses or registrations we must have in order to operate our business, render sales contracts for our products void or voidable, subject us to fines or other sanctions, and increase our exposure to litigation. Adverse action by governmental authorities or others alleging our failure to comply with applicable laws could adversely affect our business, financial condition, and reputation.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privacy laws could adversely affect our ability to market our products effectively.</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We rely on a variety of direct marketing techniques, including telemarketing, digital marketing and postal mailings. Adoption of new laws, or changes in existing laws, in any of the jurisdictions in which we operate regulating marketing and solicitation or data protection could adversely affect the effectiveness of our marketing strategies. For example, in the U.S., California enacted the California Consumer Privacy Act of 2018 (“CCPA”). The CCPA provides California consumers with certain access, deletion and opt-out rights related to their personal information, imposes civil penalties for violations and affords, in certain cases, a private right of action for data breaches. Similar legislation has been proposed or adopted in other states. In addition, foreign data protection, privacy, consumer protection, content regulation and other laws and regulations may be more restrictive or burdensome than those in the United States. For example, the European Union (“E.U.”) General Data Protection Regulation (“GDPR”) imposes significant obligations on businesses that sell products or services to E.U. customers or otherwise control or process personal data of E.U. residents. Complying with the GDPR, other international laws and regulations, and state and federal laws and regulations could subject us to increased costs; and our failure to comply with these laws and regulations could result in significant fines, litigation, losses, third-party damages and other liabilities, any of which may have a material adverse effect on our brands, marketing, reputation, business, financial condition and results of operations. The cost of compliance with privacy laws in the jurisdictions in which we operate has increased and may continue to increase as laws change and we expand into new jurisdictions and become subject to the privacy laws of such jurisdictions. If we are not able to develop adequate alternative marketing strategies, our sales may be adversely affected. We also obtain access to potential customers from travel service providers and other companies with whom we have relationships. If our access to these third-party customer lists is prohibited or restricted, our ability to develop new customers and introduce our products to them could be impaired.</w:t>
      </w:r>
    </w:p>
    <w:p>
      <w:pPr>
        <w:spacing w:after="0" w:line="72"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the integrity of internal or customer data or to protect our information systems from cyber-attacks could disrupt our business, damage our reputation, and subject us to costs, fines or lawsuits.</w:t>
      </w:r>
    </w:p>
    <w:p>
      <w:pPr>
        <w:spacing w:after="0" w:line="45"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7"/>
          <w:szCs w:val="17"/>
          <w:color w:val="auto"/>
        </w:rPr>
        <w:t>We collect large volumes of data, including social security numbers and other personally identifiable information of our customers and employees, and retain it in our information systems and those of our service providers. It is critical that we maintain the integrity of and protect this data, which we rely on to make business decisions and which our customers and employees expect that we will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9" w:right="379" w:bottom="1440" w:gutter="0" w:footer="0" w:header="0"/>
        </w:sectPr>
      </w:pPr>
    </w:p>
    <w:bookmarkStart w:id="30" w:name="page31"/>
    <w:bookmarkEnd w:id="30"/>
    <w:p>
      <w:pPr>
        <w:ind w:right="80"/>
        <w:spacing w:after="0" w:line="254" w:lineRule="auto"/>
        <w:rPr>
          <w:sz w:val="20"/>
          <w:szCs w:val="20"/>
          <w:color w:val="auto"/>
        </w:rPr>
      </w:pPr>
      <w:r>
        <w:rPr>
          <w:rFonts w:ascii="Times New Roman" w:cs="Times New Roman" w:eastAsia="Times New Roman" w:hAnsi="Times New Roman"/>
          <w:sz w:val="17"/>
          <w:szCs w:val="17"/>
          <w:color w:val="auto"/>
        </w:rPr>
        <w:t>We may be required to expend significant capital and other resources to enhance the security of our data. Our information systems and records, including those we maintain with our service providers or licensors, may be subject to security breaches, cyber-attack or cyber-intrusion, system failures, viruses, malicious software, operator error or inadvertent releases of data, or other cybersecurity incidents. Data breaches have increased in recent years as the number, intensity and sophistication of attacks have increased. The techniques used to obtain unauthorized access, disable or degrade service, or sabotage systems change frequently and may be difficult to detect for long periods of time. Neither we nor our service providers may be able to prevent, detect and contain unauthorized activity and misuse or human errors compromising the efficacy of security measures. A breach in the security of our information systems or those of our service providers or licensors could lead to an interruption in the operation of our systems, resulting in operational inefficiencies and a negative impact to our results of operations. A significant cybersecurity incident or theft, loss, disclosure, or fraudulent use of our customer, employee or company data could adversely impact our reputation and result in remedial and other expenses, fines, penalties or litigation, any of which may be exacerbated by a delay or failure to detect a cybersecurity incident or the full extent of such incident.</w:t>
      </w:r>
    </w:p>
    <w:p>
      <w:pPr>
        <w:spacing w:after="0" w:line="7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The regulatory environment in the jurisdictions where we operate, and the requirements imposed on us by the payment card industry regarding information, security and privacy, are increasingly demanding. Many of the laws applicable to us in different jurisdictions vary from each other in significant ways and may not have the same effect, thus complicating compliance efforts. Our efforts to comply with these requirements may require significant additional resources and time and may not be successful.</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We and the companies we work with have experienced cybersecurity threats to our data and systems, including ransomware and other forms of malware and computer virus attacks, unauthorized access, systems failures and temporary disruptions. We have experienced cybersecurity incidents in the past, and have previously disclosed those with material operational or financial implications to the Company or our stakeholders. Routinely, we partner with and use third-party service providers and products that host, manage, or control sensitive data. The failure of any such service providers or products to comply with our privacy policies or privacy laws and regulations, or any unauthorized release of personally identifiable information or other user data, could damage our reputation, discourage potential users from trying our products and services, breach certain agreements under which we have obligations with respect to network security, and result in fines and proceedings against us by governmental agencies, service providers and consumers. To the extent our liability insurance covers claims and losses arising from cybersecurity incidents or attacks, such insurance might not be sufficient in type or amount to cover us against such claims or losses. Any of the foregoing could materially adversely affect our business, financial condition and results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expose us to risks that could negatively impact our financial results or disrupt our business.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Our international operations expose us to a number of additional risks, any of which could negatively impact our results of operations or disrupt our business, such as: compliance with laws of non-U.S. jurisdictions, including foreign ownership restrictions, import and export controls, data privacy and usage, and trade restrictions, and U.S. laws affecting our activities outside of the U.S.; anti-American sentiment; war, political or civil unrest and terrorism; difficulties of managing operations in many different countries; local economic risks; foreign currency exchange risks; and uncertainty as to the enforceability of contract and intellectual property rights under local laws, which can change or be interpreted in ways that could negatively impact our business.</w:t>
      </w:r>
    </w:p>
    <w:p>
      <w:pPr>
        <w:spacing w:after="0" w:line="64"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Inadequate or failed technologies could lead to interruptions in our operations and materially adversely affect our business, financial position, results of operations or cash flows.</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operations and competitive position depend on our ability to maintain existing systems and implement new technologies. Our information technology systems and our databases are potentially susceptible to man-made and natural disasters, as well as power losses, computer and telecommunications failures, technological breakdowns, cyber-attacks, acts of war or terrorism and other events. System interruption, delays, obsolescence, loss of critical data and lack of integration and redundancy in our information technology systems and infrastructure may adversely affect our ability to provide services, operate websites, process and fulfill transactions, respond to customer inquiries and generally maintain cost-efficient operations. Our backup systems only relate to certain aspects of our operations; these systems are not fully redundant and disaster recovery planning cannot anticipate and address all eventualities. Projects to upgrade or replace our technologies may be extremely complex and require significant resources and time, and may adversely affect our ability to provide services, operate websites, process and fulfill transactions, and respond to customer inquiries during the upgrade or replacement process. In addition, we may not have adequate insurance coverage to compensate for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31" w:name="page32"/>
    <w:bookmarkEnd w:id="31"/>
    <w:p>
      <w:pPr>
        <w:ind w:right="220"/>
        <w:spacing w:after="0" w:line="267" w:lineRule="auto"/>
        <w:rPr>
          <w:sz w:val="20"/>
          <w:szCs w:val="20"/>
          <w:color w:val="auto"/>
        </w:rPr>
      </w:pPr>
      <w:r>
        <w:rPr>
          <w:rFonts w:ascii="Times New Roman" w:cs="Times New Roman" w:eastAsia="Times New Roman" w:hAnsi="Times New Roman"/>
          <w:sz w:val="17"/>
          <w:szCs w:val="17"/>
          <w:color w:val="auto"/>
        </w:rPr>
        <w:t>from a major interruption. If our information technology systems fail to adequately support our strategic, operational or compliance needs, our business, financial position, results of operations or cash flows, as well as our disclosure controls and procedures and internal control over financial reporting, may be adversely affected.</w:t>
      </w:r>
    </w:p>
    <w:p>
      <w:pPr>
        <w:spacing w:after="0" w:line="57"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Spanish court rulings voiding certain timeshare contracts have increased our exposure to litigation that may materially adversely affect our business and financial condition.</w:t>
      </w:r>
    </w:p>
    <w:p>
      <w:pPr>
        <w:spacing w:after="0" w:line="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A series of Spanish court rulings starting in 2015 increased our exposure to litigation that may materially adversely affect our business and financial condition. These rulings voided certain timeshare contracts entered into after January 1999 related to certain resorts in Spain if a resort’s timeshare structure did not meet requirements prescribed by Spanish timeshare laws enacted in 1998, even if the structure was lawful prior to 1998 and adapted pursuant to mechanisms specified in the 1998 laws. These rulings have led to an increase in lawsuits by owners seeking to void timeshare contracts in Spain, including lawsuits by owners at certain of our resorts in Spain which are currently pending. However, the Supreme Court of Spain has not yet substantively opined on the issue as it pertains to the Company’s timeshare contracts. If the Supreme Court of Spain rules adversely to us and determines that our timeshare contracts are voidable, that may materially adversely affect the results of operations of our Vacation Ownership segment, as well as our business and financial condition. Defending these lawsuits has required, and may continue to require, the Company to incur legal fees and reserve for judgments. If additional owners at our resorts in Spain file similar lawsuits, this may: void certain of those owners’ timeshare contracts; cause us to incur material litigation and other costs, including judgment or settlement payments; and materially adversely affect the results of operations of our Vacation Ownership segment, as well as our business and financial condition. The increased ability for owners of Spanish timeshares to void their contracts has negatively impacted other developers with resorts in Spain and led to a decrease in the number of resorts located in Spain in the Interval Network with active sales and the loss of members who own VOIs at those resorts.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industries in which our businesses operate are competitive, which may impact our ability to compete successfully.</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businesses will be adversely impacted if they cannot compete effectively in their respective industries, each of which is highly competitive. A number of highly competitive companies participate in the vacation ownership industry. Our brands compete with the vacation ownership brands of major hotel chains in national and international venues, as well as with the vacation rental options (such as hotels, resorts and condominium rentals) offered by the lodging industry. Our competitors may have greater access to capital resources and broader marketing, sales and distribution capabilities than we do. Competitive pressures may cause us to reduce our fee structure or potentially modify our business models, which could adversely affect our business, financial condition and results of operations.</w:t>
      </w:r>
    </w:p>
    <w:p>
      <w:pPr>
        <w:spacing w:after="0" w:line="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principal exchange network administered by Interval International included more than 3,200 resorts located in over 90 countries and territories as of December 31, 2023. Interval International’s primary competitor, RCI, has a greater number of affiliated resorts than we have. Through the resources of its corporate affiliates, particularly, Travel + Leisure Co., which is engaged in vacation ownership sales, RCI may have greater access to a significant segment of new vacation ownership purchasers and a broader platform for participating in industry consolidation. In addition, Interval International competes with developers that create, operate and expand internal exchange and vacation club systems, which decreases their reliance on external vacation ownership exchange programs, including those we offer, and adversely impacts the supply of resort accommodations available through our external exchange network. The effects of such competition on our exchange business are more pronounced as the proportion of vacation club corporate members in the Interval Network increases.</w:t>
      </w:r>
    </w:p>
    <w:p>
      <w:pPr>
        <w:spacing w:after="0" w:line="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Our businesses also compete for leisure travelers with other leisure lodging operators, including both independent and branded properties, as well as with alternative lodging marketplaces, which operate websites that market furnished, privately-owned residential properties throughout the world which can be rented on a nightly, weekly or monthly basis.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public perception regarding our industry could have an adverse effect on our operations.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Negative public perception regarding our industry resulting from, among other things, consumer complaints regarding sales and marketing practices, consumer financing arrangements, and restrictions on exit related to our products, as well as negative comments on social media, could result in increased regulatory scrutiny, which could result in reputational damage, more onerous laws, regulations, guidelines and enforcement interpretations in jurisdictions in which we operate. These actions may lead to operational delays or restrictions, as well as increased operating costs, regulatory burdens and risk of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regulations or their interpretation could negatively impact our cash flows and results of operations.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Changes in tax and other revenue raising laws, regulations and policies in the jurisdictions where we do business could impose new restrictions, costs or prohibitions on our practices and negatively impact our results of operations. In addition, interpretation of tax regulations requires us to exercise our judgment and taxing authorities or our independent registered public accounting firm may reach conclusions about the application of such regulations that differ from our conclusions. Our effective tax rate reflects the fact that income earned and reinvested outside the U.S. is generally taxed at local rates that can be higher or lower than U.S. tax rates or based on a different tax base than U.S. jurisdictions, as well as our ability to carry forward losses in certain jurisdictions from prior years to offset future profits. Changes to U.S. or international tax laws, regulations or interpretations could impact the tax treatment of our earnings and adversely affect our cash flows and financial results. For example, if such changes significantly increase the tax rates on non-U.S. income, our effective tax rate could increase, our financial results and cash flows could be negatively impacted, and if such increases were a result of our status as a U.S. corporation, we could be placed at a disadvantage to our non-U.S. competitors that are subject to lower local tax rates.</w:t>
      </w:r>
    </w:p>
    <w:p>
      <w:pPr>
        <w:spacing w:after="0" w:line="73"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We are subject to audit in various jurisdictions, and these jurisdictions may assess additional taxes against us. Developments in an audit, litigation, or laws, regulations, administrative practices, principles, and interpretations could have a material effect on our operating results or cash flows. The final outcome of tax audits, investigations, and any related litigation could be materially different from our historical tax provisions and accruals.</w:t>
      </w:r>
    </w:p>
    <w:p>
      <w:pPr>
        <w:spacing w:after="0" w:line="57"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Concentration of some of our resorts, sales centers and exchange destinations in particular geographic areas exposes our business to the effects of severe weather and other regional events in these areas.</w:t>
      </w:r>
    </w:p>
    <w:p>
      <w:pPr>
        <w:spacing w:after="0" w:line="4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Our business is susceptible to the effects of natural or man-made disasters, including earthquakes, windstorms, tornadoes, hurricanes, typhoons, tsunamis, volcanic eruptions, floods, drought, fires, oil spills, erosion and nuclear incidents, in the areas where some of our resorts, sales centers and exchange destinations are concentrated, such as Florida, California, South Carolina and Hawaii. Properties in these markets have had to close in the past, including for extended periods, in order to repair or assess damage caused by disasters. For example, we temporarily closed our resorts and sales centers last year as a result of wildfires in Maui. Depending on the severity of future disasters, the resulting damage could require closure of all or substantially all of our properties in one or more of these markets while we complete renovations. Our insurance may not cover all damages caused by any such event, including the loss of sales of VOIs at sales centers that are not fully operational. In 2023, our cost to insure our properties in these areas increased significantly. Our insurance costs may rise again in the future and coverage levels may decrease for properties in these areas as a result of the number and magnitude of recent natural disasters in these areas.</w:t>
      </w:r>
    </w:p>
    <w:p>
      <w:pPr>
        <w:spacing w:after="0" w:line="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Our business is also susceptible to the effects of adverse economic developments in these areas, such as regional economic downturns, significant increases in the number of our competitors’ products in these markets and potentially higher labor, real estate, tax or other costs in these geographic markets. Because of this geographic concentration of properties, we face a greater risk of a negative effect on our results of operations if these areas are affected by severe weather, man-made disasters or adverse economic and competitive conditions.</w:t>
      </w:r>
    </w:p>
    <w:p>
      <w:pPr>
        <w:spacing w:after="0" w:line="64"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successfully identify, finance, integrate and manage costs related to acquisitions, our business operations and financial position could be adversely affected.</w:t>
      </w:r>
    </w:p>
    <w:p>
      <w:pPr>
        <w:spacing w:after="0" w:line="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have expanded in part through acquisitions of other businesses and may continue to do so in the future. Our acquisition strategy depends on our ability to identify, and the availability of, suitable acquisition candidates. We may incur costs in connection with proposed acquisitions, but may ultimately be unable or unwilling to consummate any particular proposed transaction for various reasons. In addition, acquisitions involve numerous risks, including risks that we will not be able to: successfully integrate acquired businesses in an efficient and cost-effective manner; properly measure or identify all risks associated with the acquisition; achieve anticipated benefits of an acquisition, including expected synergies; control potential increases in operating costs; manage geographically remote operations; successfully expand our system of internal controls or our technological infrastructure to include an acquired business; avoid potential disruptions in ongoing operations during an acquisition process or integration efforts; successfully enter markets in which we have limited or no direct experience, including foreign markets whose practices or laws may pose increased risk; and retain key employees, clients, vendors and business partners of the acquired businesses. Failure to achieve the anticipated benefits of any acquisition may adversely affect our financial condition, operating results and prospects. Acquisitions may also significantly increase our debt or result in dilutive issuances of our equity securities, impairments of goodwill or substantial amortization expenses associated with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33" w:name="page34"/>
    <w:bookmarkEnd w:id="33"/>
    <w:p>
      <w:pPr>
        <w:ind w:right="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For example, in response to the COVID-19 pandemic, we increased our reserve for vacation ownership notes receivable due to higher default expectations and revised our estimates of the fair value of our reporting units, resulting in the impairment of goodwill. See the “Critical Accounting Estimates” section of Item 7. Management’s Discussion and Analysis of Financial Condition and Results of Operations for further information.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growth of our business and execution of our business strategies depend on the services of our senior management and our associates.</w:t>
      </w:r>
    </w:p>
    <w:p>
      <w:pPr>
        <w:spacing w:after="0" w:line="1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Our business is based on successfully attracting and retaining talented associates. The market for highly skilled associates and leaders in our industry is extremely competitive. If we are less successful in our recruiting efforts, or if we are unable to retain management and other key associates, our ability to develop and deliver successful products and services may be adversely affected. Effective succession planning is also important to our long-term success. The departure of a key executive or associate or the failure to ensure an effective transfer of knowledge and a smooth transition upon such departure may be disruptive to the business and could hinder our strategic planning and execution.</w:t>
      </w:r>
    </w:p>
    <w:p>
      <w:pPr>
        <w:spacing w:after="0" w:line="64"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Companies are facing increasing and frequently evolving scrutiny globally from customers, regulators, investors, employees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board and workforce diversity, labor conditions, human rights, and cybersecurity and data privacy. Third parties have also developed proprietary ratings or analyses of companies based on certain ESG metrics. ESG disclosure rules have been adopted by California and the European Union, and are being considered by the SEC. Increased ESG-related compliance costs could result in increases to our overall operational costs. Failure to adapt to or comply with regulatory requirements or investor or other stakeholder expectations and standards could negatively impact our reputation, ability to do business with certain partners, and stock price, and result in penalties. New government regulations could also result in new or more stringent forms of ESG oversight and expanding mandatory and voluntary reporting, diligence, and disclosure. Our corporate responsibility initiatives and goals are based on standards for measuring progress that are still developing, internal controls and processes that continue to evolve and assumptions that are subject to change in the future. As we report on our corporate responsibility initiatives or goals, we may be subject to heightened reputational and operational risk and compliance costs related to these matters. Our control over resorts and properties that we manage is generally limited by the terms of the applicable management agreements. As a result, our ability to achieve some or all of our corporate responsibility initiatives or goals may be limited without additional support or action by the owners’ associations of the vacation ownership resorts and properties we manage. Complying with increased regulations could increase our costs and adversely impact our results of operations. Our inability or failure to meet, or the perceived failure to meet, such stakeholders’ expectations, as well as adverse incidents, could negatively impact our stock price, results of operations, or reputation and increase our cost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Risks related to our vacation ownership business.</w:t>
      </w:r>
    </w:p>
    <w:p>
      <w:pPr>
        <w:spacing w:after="0" w:line="10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The termination of our license agreements with Marriott International or Hyatt, or our rights to use their trademarks at our existing or future properties, could materially harm our business.</w:t>
      </w:r>
    </w:p>
    <w:p>
      <w:pPr>
        <w:spacing w:after="0" w:line="4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Our success depends, in part, on our relationships with Marriott International and Hyatt. These relationships are governed by various agreements, including long-term license agreements that expire between 2090 and 2095, subject to renewal. However, if we breach our obligations under a license agreement and remain in breach after the applicable notice and cure period, the applicable licensor may be entitled to terminate the license agreement and our rights to use its brands in connection with our businesses. In addition, if any of our properties does not meet applicable brand standards, the applicable licensor can terminate our right to use its trademarks at the subject properties.</w:t>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The termination of our license agreements with Marriott International, Hyatt or their affiliates would materially harm our business and results of operations and materially impair our ability to market and sell our products and maintain our competitive position, and could have a material adverse effect on our financial position, results of operations or cash flows. Our inability to rely on the strength of the Marriott, Sheraton, Westin, or Hyatt brands to attract qualified prospects in the marketplace would likely cause our results of operations to decline and our marketing and sales expenses to increase. Our inability to market to guests in hotels affiliated with our licensors that are located near one of our sales locations or maintain our marketing relationships with Marriott International or Hyatt reservation centers would likely cause our sales to decline, which could adversely affect our financial condition and results of operations. In addition, we would not be able to use the brand websites as channels through which to rent available inventory, which would cause our rental revenue to decline materially.</w:t>
      </w:r>
    </w:p>
    <w:p>
      <w:pPr>
        <w:spacing w:after="0" w:line="7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Our license agreements also allow us to market directly to members of the customer loyalty programs associated with the Marriott, Sheraton, Westin and Hyatt brands, and offer points in such loyalty programs as premiums for related promotional offers. The termination of the license agreements with Marriott International or Hyatt would eliminate this valuable marketing channel.</w:t>
      </w:r>
    </w:p>
    <w:p>
      <w:pPr>
        <w:spacing w:after="0" w:line="6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We must obtain the applicable licensor’s consent to use its trademarks in connection with properties we acquire or develop in the future. If our licensors do not consent to such use as required by the applicable license agreement, our ability to expand our business and remain competitive may be materially adversely affected.</w:t>
      </w:r>
    </w:p>
    <w:p>
      <w:pPr>
        <w:spacing w:after="0" w:line="44"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Deterioration in the quality or reputation of the brands associated with our portfolio could adversely affect our market share, reputation, business, financial condition and results of operations.</w:t>
      </w:r>
    </w:p>
    <w:p>
      <w:pPr>
        <w:spacing w:after="0" w:line="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offer vacation ownership products and services under the Marriott, Sheraton, Westin, The Ritz-Carlton, and Hyatt brands. Our success depends in part on the continued success of Marriott International and Hyatt and their respective brands. If market recognition or the positive perception of Marriott International or Hyatt is reduced or compromised, the goodwill associated with these brands may be adversely affected, which may adversely affect our market share, reputation, business, financial condition or results of operations. The positioning and offerings of any of these brands or their related customer loyalty programs could change in a manner that adversely affects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Marriott International or Hyatt could compete with our vacation ownership business in the future.</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Under our license agreements with Marriott International, if other international hotel operators offer new products and services as part of their respective hotel businesses that may directly compete with our vacation ownership products and services, then Marriott International may also offer such new products and services, and use its trademarks in connection with such offers. Under the Hyatt license agreement, Hyatt may compete with us under certain circumstances, such as if we fail to meet certain performance standards or if Hyatt acquires a new hotel brand that Hyatt desires to license for timeshare and we are unsuccessful in negotiating such license rights pursuant to our right of first offer. If Marriott International or Hyatt offers new vacation ownership products and services as contemplated under certain circumstances under their respective license agreements, they may compete directly with our vacation ownership products and services, and we may not be able to distinguish our vacation ownership products and services from those offered by Marriott International or Hyatt.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5" w:name="page36"/>
    <w:bookmarkEnd w:id="35"/>
    <w:p>
      <w:pPr>
        <w:ind w:right="1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a branded hotel property co-located with one of our resorts ceases to be affiliated with the same brand as our resort or a related brand, our business could be harmed.</w:t>
      </w:r>
    </w:p>
    <w:p>
      <w:pPr>
        <w:spacing w:after="0" w:line="4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Approximately 25% of our Vacation Ownership segment resorts are co-located with same-branded or affiliated hotel properties. If a branded hotel property with which one of our resorts is co-located ceases to be operated by or affiliated with the same brand as our resort, which has happened in the past, we could lose benefits such as sharing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such resorts would increase. We could also lose our on-site access to hotel customers, including brand customer loyalty program members, at such resorts, which is a cost-effective marketing channel for our vacation ownership products, and our sales may decline.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inventory available for sale when needed or we may have excess inventory.</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may enter into capital-efficient transactions to source inventory in which third parties agree to deliver completed units to us at pre-agreed prices in the future. These transactions expose us to additional risk as we will not control development activities or timing of development completion. If our counterparties default on their obligations, or exercise their right to sell inventory to a different buyer, we may not acquire the inventory we expect on time or at all, or it may not be within agreed upon specifications. If we cannot obtain inventory from alternative sources on a timely basis, we may not be able to achieve sales forecasts. Conversely, if we procure or commit to procure inventory based on an expected sales plan and fail to achieve that plan, we could have excess inventory, potentially negatively impacting our margins and results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sale of VOIs in the secondary market by existing owners could cause our sales revenues, margins, and results of operations to decline.</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Sales of VOIs by existing owners, which are typically at lower prices than the prices at which we would sell interests, can create pricing pressure on our sale of vacation ownership products and cause our sales revenues, margins and results of operations to decline. In addition, unlawful or deceptive third-party VOI resale schemes involving interests in our resorts could damage our reputation and brand value and adversely impact our sales revenues and results of operations. Development of a more robust secondary market may also cause the volume of lower-cost VOI inventory that we are able to repurchase to supplement our inventory needs to decline, which could adversely impact our development margin.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Borrower defaults on the vacation ownership notes receivable our business generates could reduce our results of operations and cash flows.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 connection with our vacation ownership business, we provide loans to purchasers to finance their purchase of VOIs. Accordingly, we are subject to the risk that those borrowers may default on the financing that we provide. The risk of borrower defaults may increase due to man-made or natural disasters or a recession or other economic downturn, which cause financial hardship for borrowers. The risk of borrower defaults may also increase if we do not evaluate accurately the creditworthiness of the customers to whom we extend financing or due to the influence of timeshare relief firms. Borrower defaults have caused, and may continue to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have been required, and may in the future be required, to increase our reserve on vacation ownership notes receivable, which would reduce our earnings.</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If default rates increase beyond current projections and result in higher than expected foreclosure activity, our results of operations would be adversely affected. Borrower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Also, if a purchaser of a VOI defaults on the related loan during the early part of the amortization period, we may not have recovered the marketing, selling and general and administrative costs associated with the sale of that VOI. If we are unable to recover any of the principal amount of the loan from a defaulting borrower, or if the allowances for losses from such defaults are inadequate, the revenues and profits that we derive from the vacation ownership business could be reduced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Our points-based product forms expose us to an increased risk of temporary inventory depletion.</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Selling VOIs in a system of resorts under a points-based business model increases the risk of temporary inventory depletion. Currently, our VOI sales are made primarily through a limited number of trust entities that issue VOIs. These structures can lead to a temporary depletion of inventory available for sale caused by: (1) delayed delivery of inventory under construction by us or third parties; (2) delayed receipt of required governmental registrations of inventory for sale; or (3) significant unanticipated increases in sales pace. If the inventory available for sale for a particular trust were to be depleted before new inventory is added and available for sale, we would be required to temporarily suspend sales until inventory is replenished or shift to selling an alternative product, which may increase marketing and sales costs and lower volume per guest (“VPG”). Our efforts to avoid the risk of temporary inventory depletion by maintaining a surplus supply of completed inventory based on our forecasted sales pace, and by employing other mitigation strategies such as accelerating completion of resorts under construction, acquiring VOIs on the secondary market, or reducing sales pace by adjusting prices or sales incentives, may not be successful. A depletion of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development activities expose us to project cost and completion risks.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Our project development activities entail risks that may cause project delays or increased project costs and therefore may adversely impact our results of operations, cash flows and financial condition, including:</w:t>
      </w:r>
    </w:p>
    <w:p>
      <w:pPr>
        <w:spacing w:after="0" w:line="1" w:lineRule="exact"/>
        <w:rPr>
          <w:sz w:val="20"/>
          <w:szCs w:val="20"/>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delays or cost overruns;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skilled labor;</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for construction defects, including claims by purchasers and owners’ associations;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discovery of hazardous or toxic substances, or other environmental, culturally-sensitive, or related issues;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timely obtain required governmental permits and authorizations;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zoning, building codes and other local regulations;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by third parties involved in the financing and development of our projects;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availability of raw materials; and</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interference of weather-related, geological or other events, such as hurricanes, earthquakes, floods, tsunamis, fires, and volcanic eruptions.</w:t>
      </w:r>
    </w:p>
    <w:p>
      <w:pPr>
        <w:spacing w:after="0" w:line="10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resort management business may be adversely affected by the loss of management contracts, failure of resorts to comply with brand standards, increased maintenance fees and disagreements with owners.</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Owners of our VOIs are required to pay maintenance fees to maintain and refurbish the vacation ownership properties and keep them in compliance with brand standards. If a resort fails to comply with applicable brand standards, the applicable licensor could terminate our rights to use its trademarks at the resort, which would result in the loss of management fees, decreased customer satisfaction, and impairment of our ability to market and sell our products at the non-compliant locations. Increases in maintenance fees to keep pace with operating expenses, maintenance and other costs may make our products less desirable, which could negatively impact sales and cause an increase in defaults on our vacation ownership notes receivable portfolio. If the owners’ associations that we manage are unable to collect sufficient maintenance fees to cover operating and maintenance costs, the related resorts may have to close or file for bankruptcy, which may result in termination of our management agreements. We may also lose resort management contracts if they are not renewed when they expire, or the contract terms may be renegotiated in a manner adverse to us. The loss or renegotiation of a significant number of our management contracts may adversely affect our cash flows and results of operations.</w:t>
      </w:r>
    </w:p>
    <w:p>
      <w:pPr>
        <w:spacing w:after="0" w:line="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From time to time, disagreements arise between us and the owners of VOIs and owners’ associations. For example, owners of our VOIs have disagreed, and may in the future disagree, with changes we make to our products or programs. Sometimes, disagreements with VOI owners and owners’ associations result in litigation and the loss of management contracts. If any such litigation results in a significant adverse judgment or settlement, we could suffer significant losses, our margins and results of operations could be reduced, our reputation could be harmed and our future ability to operate our business could be constrained.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3"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i w:val="1"/>
          <w:iCs w:val="1"/>
          <w:color w:val="auto"/>
        </w:rPr>
        <w:t>Damage to, or other potential losses involving, properties that we own or manage may not be covered by insurance.</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procure insurance for general liability, property, business interruption, directors and officers liability, and other insurable risks with respect to our business operations and as customarily carried by companies in the hospitality industry. Market forces beyond our control may limit the scope, terms, and conditions of the insurance coverage we are able to obtain or our ability to obtain coverage at reasonable rates, which may affect our ability to maintain customary insurance coverages and deductibles at acceptable costs. Certain types of losses, generally of a catastrophic nature, such as earthquakes, hurricanes, wildfires, and floods, or terrorist acts, may be uninsurable or the price of coverage for such losses may be too expensive to justify obtaining insurance. The effects of climate change, such as increased storm intensity and rising temperatures or sea levels over time, may also increase the cost of property insurance and decrease our coverage levels. In addition, in the event of a substantial loss, the insurance coverage we carry may not be sufficient to pay the full market value or replacement cost of our lost property or property of owners of VOIs or third party liability. In some cases, insurance may not provide a recovery for any part of a loss due to deductibles/retentions, policy limits, coverage limitations, uninsured parts of a loss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 management contract for the property and, to the extent such property operates under a licensed brand, the property may lose operating rights under the associated brand. We may also incur liabilities or losses in the operation of our business that are only partially covered by insurance, or not covered at all. Any of these events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exchange and third-party management business.</w:t>
      </w:r>
    </w:p>
    <w:p>
      <w:pPr>
        <w:spacing w:after="0" w:line="109" w:lineRule="exact"/>
        <w:rPr>
          <w:sz w:val="20"/>
          <w:szCs w:val="20"/>
          <w:color w:val="auto"/>
        </w:rPr>
      </w:pPr>
    </w:p>
    <w:p>
      <w:pPr>
        <w:ind w:right="7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Exchange &amp; Third-Party Management business depends on relationships with developers, members and others, and any adverse changes in these relationships could adversely affect our business, financial condition, and results of operations.</w:t>
      </w:r>
    </w:p>
    <w:p>
      <w:pPr>
        <w:spacing w:after="0" w:line="45"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7"/>
          <w:szCs w:val="17"/>
          <w:color w:val="auto"/>
        </w:rPr>
        <w:t>Our Interval International business depends on vacation ownership developers for new members and on members and participants to renew their existing memberships and otherwise engage in transactions. Developers and members also supply resort accommodations for use in exchanges and Getaways. Our third-party management business depends on relationships with vacation property and hotel owners.</w:t>
      </w:r>
    </w:p>
    <w:p>
      <w:pPr>
        <w:spacing w:after="0" w:line="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If we are unable to negotiate new affiliation agreements with resort developers or secure renewals with existing members or developers in our Interval Network, as has occurred in the past, the number of new and existing members, the supply of resort accommodations available through our exchange network and related revenue could decrease. The failure to secure the renewal of affiliation agreements with developers with corporate member relationships, where the developer renews Interval International membership fees for all of its active owners, has a greater adverse effect. The loss or renegotiation on less favorable terms of several of our largest affiliation agreements could materially adversely impact our financial condition and results of operations. Our ability to maintain affiliation agreements with resort developers is also impacted by consolidation in the vacation ownership industry.</w:t>
      </w:r>
    </w:p>
    <w:p>
      <w:pPr>
        <w:spacing w:after="0" w:line="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In addition, we depend on third parties to make certain benefits available to members of the Interval International exchange network. The loss of such benefits could result in a decrease in the number of Interval International members, which could have a material adverse effect on our business, financial condition and results of operations.</w:t>
      </w:r>
    </w:p>
    <w:p>
      <w:pPr>
        <w:spacing w:after="0" w:line="6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Similarly, the failure of our third-party management business to maintain existing or negotiate new management agreements with vacation property and hotel owners, as a result of the sale of property to third parties, contract disputes or otherwise, or the failure of vacationers to book vacation rentals through our businesses would result in a decrease in related revenue, which would have an adverse effect on our business,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Insufficient availability of exchange inventory may adversely affect our results of operations.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exchange network’s transaction levels depend on the supply of inventory in the system and demand for the available inventory. Exchange inventory is deposited in the system by members, or by developers on behalf of members, to support current or anticipated exchanges. Inventory supply and demand for specific regions and on a broader scope are influenced by a variety of factors, such as: economic conditions; health and safety concerns, including concerns and travel restrictions relating to Health Crises such as the COVID-19 pandemic; the occurrence or threat of natural disasters and severe weather; and owner decisions to travel to their home resort/vacation club system or otherwise not deposit exchange inventory. The factors that affect demand for specific destinations could significantly reduce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38" w:name="page39"/>
    <w:bookmarkEnd w:id="38"/>
    <w:p>
      <w:pPr>
        <w:ind w:right="180"/>
        <w:spacing w:after="0" w:line="261" w:lineRule="auto"/>
        <w:rPr>
          <w:sz w:val="20"/>
          <w:szCs w:val="20"/>
          <w:color w:val="auto"/>
        </w:rPr>
      </w:pPr>
      <w:r>
        <w:rPr>
          <w:rFonts w:ascii="Times New Roman" w:cs="Times New Roman" w:eastAsia="Times New Roman" w:hAnsi="Times New Roman"/>
          <w:sz w:val="17"/>
          <w:szCs w:val="17"/>
          <w:color w:val="auto"/>
        </w:rPr>
        <w:t>accommodations available in such areas for exchanges. The level of inventory in our system also depends on the number of developers whose resorts are in our exchange network, and the numbers of members of such resorts. The number of developers affiliated with our exchange network may decrease for a variety of reasons, such as consolidation and contraction in the industry and competition. If inventory supply and demand do not keep pace, transactions may decrease or we may purchase additional inventory to fulfill the demand, both of which could negatively affect our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may restrict our operations.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As of December 31, 2023, we had approximately $3 billion of total corporate indebtedness outstanding and could borrow an additional $621 million under a revolving corporate credit facility with a borrowing capacity of $750 million (the “Revolving Corporate Credit Facility”). The credit agreement that governs our corporate credit facility (“Corporate Credit Facility”) and the indentures that govern our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All of these covenants and restrictions limit how we conduct our business. The Corporate Credit Facility also requires us to maintain a specified leverage ratio. These restrictions could restrict our flexibility to react to changes in our businesses, industries and economic conditions and increase borrowing costs.</w:t>
      </w:r>
    </w:p>
    <w:p>
      <w:pPr>
        <w:spacing w:after="0" w:line="7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We must dedicate a portion of our cash flow from operations to debt servicing and repayment of debt, which reduces funds available for strategic initiatives and opportunities, dividends, share repurchases, working capital, and other general corporate needs. It also increases our vulnerability to the impact of adverse economic and industry conditions.</w:t>
      </w:r>
    </w:p>
    <w:p>
      <w:pPr>
        <w:spacing w:after="0" w:line="57"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comply with our debt agreements, or to raise additional capital when needed, our business, cash flow, liquidity, and results of operations could be harmed.</w:t>
      </w:r>
    </w:p>
    <w:p>
      <w:pPr>
        <w:spacing w:after="0" w:line="4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ability to make scheduled cash payments on and to refinance our indebtedness depends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63"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color w:val="auto"/>
        </w:rPr>
        <w:t>In addition, our credit ratings will impact the cost and availability of future borrowings and, accordingly, our cost of capital. Downgrades in our ratings could adversely affect our businesses, cash flows, financial condition, operating results and share and debt prices, as well as our obligations with respect to our capital efficient inventory acquisitions.</w:t>
      </w:r>
    </w:p>
    <w:p>
      <w:pPr>
        <w:spacing w:after="0" w:line="6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Failure to make scheduled cash payments on our existing debt, or to comply with the restrictive covenants and other requirements in our debt agreements, could result in an event of default, which, if not cured or waived, could result in acceleration of our debt repayment obligations. We may not have sufficient cash to repay any accelerated debt obligations, which would immediately and materially harm our business, results of operations and financial condition.</w:t>
      </w:r>
    </w:p>
    <w:p>
      <w:pPr>
        <w:spacing w:after="0" w:line="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may be required to raise additional capital to refinance our existing debt, or to expand or support our operations. Our access to and cost of financing will depend on, among other things, global economic conditions, conditions in the global financing markets, the availability of sufficient amounts of financing, our prospects and our credit ratings, and the outlook for our industry as a whole. The terms of future debt agreements could include more restrictive covenants or require incremental collateral, which may further restrict our business operations or adversely affect our ability to obtain additional financing. There is no guarantee that debt or equity financings will be available in the future on terms favorable to us or at all. If we are unable to access additional funds on acceptable terms, we may have to adjust our business operations, and our ability to acquire additional vacation ownership inventory, repurchase VOIs, or make other investments in our business could be impaired, any of which may adversely affect our cash flows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substantially more debt, which could exacerbate further the risks associated with our leverage.</w:t>
      </w:r>
    </w:p>
    <w:p>
      <w:pPr>
        <w:spacing w:after="0" w:line="117"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We and our subsidiaries may incur substantial additional indebtedness in the future, including secured indebtedness, as well as obligations that do not constitute indebtedness as defined in our debt agreements. To the extent that we and our subsidiaries incur additional indebtedness or such other obligations, the risks associated with our substantial indebtedness described above will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39" w:name="page40"/>
    <w:bookmarkEnd w:id="39"/>
    <w:p>
      <w:pPr>
        <w:ind w:right="94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4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Our vacation ownership notes receivable portfolio performance and securitization program could be adversely affected if any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or different than those generally offered in the industry, our ability to securitize those loans may be adversely impacted. Instability in the credit markets may impact the timing and volume of the vacation ownership notes receivable that we are able to securitize, as well as the financial terms of such securitizations. If ABS issued in our securitization programs are downgraded by credit agencies in the future, our ability to complete securitization transactions on acceptable terms or at all could be jeopardized, and we could be forced to rely on other potentially more expensive and less attractive funding sources, to the extent available.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our convertible notes.</w:t>
      </w:r>
    </w:p>
    <w:p>
      <w:pPr>
        <w:spacing w:after="0" w:line="11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7"/>
          <w:szCs w:val="17"/>
          <w:color w:val="auto"/>
        </w:rPr>
        <w:t>Holders of our convertible notes may convert the convertible notes after the occurrence of certain dates or events. See Footnote 16 “Debt” to our Financial Statements for additional information. If any holders elect to convert their convertible notes, we may elect to settle all or a portion of our conversion obligation through the payment of cash, which could adversely affect our liquidity.</w:t>
      </w:r>
    </w:p>
    <w:p>
      <w:pPr>
        <w:spacing w:after="0" w:line="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way we account for our convertible notes may impact our financial results and the market price of our common stock. For example, in 2022, we adopted a new accounting standard that requires the use of the “if-converted” method for calculating diluted earnings per share, which resulted in the reduction of our reported diluted earnings per share. See Footnote 16 “Debt” and Footnote 2 “Summary of Significant Accounting Policies” to our Financial Statements for additional information regarding the accounting for our convertible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relating to our convertible note hedges and warrants.</w:t>
      </w:r>
    </w:p>
    <w:p>
      <w:pPr>
        <w:spacing w:after="0" w:line="1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In connection with the convertible notes, we entered into privately negotiated convertible note hedges to reduce potential dilution to our common stock and offset cash payments we must make in excess of the principal amount, in each case, upon any conversion of convertible notes. We also issued warrants to the hedge counterparties. The warrants could have a dilutive effect on our shares of common stock to the extent that the market price per share exceeds the applicable strike price of the warrants on one or more of the applicable expiration dates. Alternatively, if settled in cash, the warrants could have a negative impact on cash flow and liquidity.</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connection with establishing their initial hedges of the convertible note hedges and the warrants, the hedge counterparties and their respective affiliates advised us that they expected to purchase shares of our common stock in secondary market transactions and enter into various derivative transactions with respect to our common stock. These parties may modify their hedge positions by entering into or unwinding various derivatives with respect to our common stock and buying or selling our common stock in the secondary market. Any of these activities could cause or prevent an increase or a decline in the market price of our common stock.</w:t>
      </w:r>
    </w:p>
    <w:p>
      <w:pPr>
        <w:spacing w:after="0" w:line="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are subject to the risk that one or more of the hedge counterparties may default under the convertible note hedges.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09"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Our share repurchase program may not enhance long-term stockholder value and could increase the volatility of the market price of our common stock and diminish our cash.</w:t>
      </w:r>
    </w:p>
    <w:p>
      <w:pPr>
        <w:spacing w:after="0" w:line="4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Our share repurchase program does not obligate us to repurchase any shares of our common stock. The timing and amount of any repurchases depend upon several factors, including market conditions, business conditions, statutory and contractual restrictions, the trading price of our common stock and the nature of other investment opportunities available to us. In addition, repurchases of our common stock could affect our stock price and increase its volatility. The existence of a share repurchase program could cause our stock price to be higher than it would be absent the program and could reduce market liquidity for our stock. Use of our funds to repurchase shares could diminish our cash reserves, which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3" w:right="359" w:bottom="1440" w:gutter="0" w:footer="0" w:header="0"/>
        </w:sectPr>
      </w:pPr>
    </w:p>
    <w:bookmarkStart w:id="40" w:name="page41"/>
    <w:bookmarkEnd w:id="40"/>
    <w:p>
      <w:pPr>
        <w:jc w:val="both"/>
        <w:ind w:right="80"/>
        <w:spacing w:after="0" w:line="267" w:lineRule="auto"/>
        <w:rPr>
          <w:sz w:val="20"/>
          <w:szCs w:val="20"/>
          <w:color w:val="auto"/>
        </w:rPr>
      </w:pPr>
      <w:r>
        <w:rPr>
          <w:rFonts w:ascii="Times New Roman" w:cs="Times New Roman" w:eastAsia="Times New Roman" w:hAnsi="Times New Roman"/>
          <w:sz w:val="17"/>
          <w:szCs w:val="17"/>
          <w:color w:val="auto"/>
        </w:rPr>
        <w:t>impact our ability to finance growth, pursue strategic opportunities, and discharge liabilities. Our share repurchases may not enhance stockholder value because the market price of our common stock may decline below the prices at which we repurchased shares and short-term stock price fluctuations could reduce the program’s effectiveness.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pay dividends on our stock is limited.</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We may not declare or pay dividends in the future at any particular rate or at all. Our Board makes all decisions regarding our payment of dividends, subject to an evaluation of our financial condition, results of operations and capital requirements, as well as applicable law, regulatory and contractual constraints, industry practice and other business considerations that our Board considers relevant. Certain of the agreements governing our indebtedness restrict our ability and the ability of our subsidiaries to pay dividends, and the terms of agreements governing debt that we may incur in the future may also limit or prohibit dividend payments. The payment of certain cash dividends may also result in an adjustment to the conversion rate of the Convertible Notes and related warrants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Delaware law and in certain of our agreements could delay or prevent a change in control.</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Provisions of our Charter and Bylaws, as well as provisions in the agreements with our licensors, may delay or prevent a merger or acquisition that a stockholder may consider favorable. For example, our Charter and Bylaws require advance notice for stockholder proposals and nominations, place limits on convening stockholder meetings and authorize our Board of Directors to issue one or more series of preferred stock. Delaware law also restricts some business combinations between any holder of 15% or more of our outstanding common stock and us. The fact that these provisions and statutory restrictions may discourage acquisition proposals or delay or prevent a change in control could harm our stock price. Delaware law also restricts some business combinations between any holder of 15% or more of our outstanding common stock and us.</w:t>
      </w:r>
    </w:p>
    <w:p>
      <w:pPr>
        <w:spacing w:after="0" w:line="73"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Further, a change in control could result in an acceleration of our obligations under the Corporate Credit Facility or the indentures that govern our senior notes. The threat of our debt being accelerated in connection with a change in control could make it more difficult for us to attract potential buyers or to consummate a change in control transaction that would otherwise be beneficial to our stockholders.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Vistana Spin-Off.</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ILG Acquisition could result in material liability if it causes the Vistana Spin-Off to be taxable.</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In connection with Vistana’s spin-off from Starwood and acquisition by ILG (the “Vistana Spin-Off”), ILG and Vistana entered into a Tax Matters Agreement that restricts them from actions or omissions that would cause the Vistana Spin-Off to become taxable. Failure to adhere to these restrictions, including in certain circumstances that may be outside of our control, could result in tax being imposed on Starwood or its stockholders for which we may be obligated to indemnify Starwood. Even if we are not responsible for such tax liabilities under the Tax Matters Agreement, we may be liable under applicable tax law for such liabilities if Starwood fails to pay such taxes. For two years after the Vistana Spin-Off, the Tax Matters Agreement prohibited Vistana and ILG from taking certain actions involving their stock or Vistana’s assets because the Vistana Spin-Off would be taxable to Starwood (but not to Starwood stockholders) pursuant to Section 355(e) of the Internal Revenue Code if there was a direct or indirect 50% or greater change in Vistana’s ownership as part of a plan or series of related transactions including the Vistana Spin-Off. The Vistana acquisition was not expected to violate this rule because Starwood stockholders held over 50% by vote and value of ILG stock (and, thus, indirectly, of Vistana) immediately after the Vistana acquisition. However, the ILG Acquisition diluted the indirect ownership of Vistana by its former stockholders below 50%. We received an opinion from KPMG LLP that entering into the ILG Acquisition would not affect the tax-free status of the Vistana Spin-Off; however, this opinion does not bind the Internal Revenue Service ( the “IRS”) or any court. If the IRS asserts that the ILG Acquisition is part of a plan or series of related transactions including the Vistana Spin-Off and the Vistana acquisition, and this assertion is sustained, the Vistana Spin-Off would be subject to the application of Section 355(e) of the Code, and we would be liable to indemnify Starwood (or Marriott International) for any resulting tax liability pursuant to the Tax Matters Agreement.</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41" w:name="page42"/>
    <w:bookmarkEnd w:id="41"/>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5"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7"/>
          <w:szCs w:val="17"/>
          <w:color w:val="auto"/>
        </w:rPr>
        <w:t>We maintain a cybersecurity program designed to protect our information, and that of our customers, against cybersecurity threats that may result in adverse effects on the confidentiality, integrity, and availability of our information systems.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Board of Directors</w:t>
      </w:r>
    </w:p>
    <w:p>
      <w:pPr>
        <w:spacing w:after="0" w:line="111"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Our Board is responsible for overseeing our processes for assessing and managing enterprise risk, including with respect to cybersecurity. The Board considers our risk profile when reviewing our annual business plan and incorporates risk assessment into its decisions.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Board has delegated the primary responsibility for oversight of cybersecurity risk to the Audit Committee. The Audit Committee regularly reviews our cybersecurity and data security risks and mitigation strategies. At least twice each year, the Audit Committee receives reports and presentations from members of our team responsible for overseeing our cybersecurity risk management, including our Senior Vice President, Global Information Security (“SVP-GIS”) and our Executive Vice President and Chief Information Officer (“EVP-CIO”), and periodically receives reports and presentations from third parties. These reports may address a wide range of topics, including recent developments, evolving standards, third-party and independent reviews, the threat environment, technological trends and information security considerations arising with respect to our peers and third parties. The Audit Committee reports to the Board on data protection and cybersecurity matters. We also have protocols by which certain cybersecurity incidents that meet established reporting thresholds are escalated within the Company and, where appropriate, reported to the Audit Committee in a timely manner.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Management</w:t>
      </w:r>
    </w:p>
    <w:p>
      <w:pPr>
        <w:spacing w:after="0" w:line="11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We have implemented a cross-functional approach to identifying, preventing and mitigating cybersecurity threats and incidents, while also implementing controls and procedures that provide for the escalation of certain cybersecurity incidents.</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At the management level, our SVP-GIS is responsible for the assessment and management of risks from cybersecurity threats. Our SVP-GIS has extensive cybersecurity knowledge and skills gained from over 20 years of work experience at the Company and elsewhere and maintains several certifications, including Certified Information Systems Security Professional (“CISSP”) from ISC Squared and Certified Information Security Manager (“CISM”) from the Informations Systems Audit and Control Association (“ISACA”). Our SVP-GIS leads the team responsible for implementing, monitoring and maintaining cybersecurity and data protection policies and practices across our business and reports directly to our EVP-CIO. Our SVP-GIS’s direct reports include a number of experienced information security leaders responsible for various aspects of our security program, each of whom is supported by a team of experienced cybersecurity professionals.</w:t>
      </w:r>
    </w:p>
    <w:p>
      <w:pPr>
        <w:spacing w:after="0" w:line="74"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The functions that report to our SVP-GIS include: cybersecurity risk management, Payment Card Industry compliance, and security testing; operation of protective security tools and systems; security monitoring, incident response, and digital forensics; security research and development and support for information technology and security functions.</w:t>
      </w:r>
    </w:p>
    <w:p>
      <w:pPr>
        <w:spacing w:after="0" w:line="6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Our SVP-GIS works closely with our Law Department and regularly engages expert consultants and other third parties to assist with assessing, identifying, and managing cybersecurity risks and to oversee compliance with legal, regulatory and contractual security requirements. The EVP-CIO and SVP-GIS also periodically attend Audit Committee meetings to report on any material developments.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employ systems and processes designed to oversee, identify, and reduce the potential impact of a security incident at a third-party vendor, service provider or customer or otherwise implicating the third-party technology and systems we use. Our processes and systems include automated tools and technical safeguards managed and monitored by our cybersecurity team. We currently carry cybersecurity insurance, however, we cannot assure you that we will be able to maintain such policies in the future or that they will be sufficient to cover all potential cybersecurity events or losses we incur in connection with such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42" w:name="page43"/>
    <w:bookmarkEnd w:id="42"/>
    <w:p>
      <w:pPr>
        <w:spacing w:after="0" w:line="255" w:lineRule="auto"/>
        <w:rPr>
          <w:sz w:val="20"/>
          <w:szCs w:val="20"/>
          <w:color w:val="auto"/>
        </w:rPr>
      </w:pPr>
      <w:r>
        <w:rPr>
          <w:rFonts w:ascii="Times New Roman" w:cs="Times New Roman" w:eastAsia="Times New Roman" w:hAnsi="Times New Roman"/>
          <w:sz w:val="17"/>
          <w:szCs w:val="17"/>
          <w:color w:val="auto"/>
        </w:rPr>
        <w:t>We require our associates to receive annual training on our information security policies. This may include, but is not limited to, training regarding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 We also maintain written information security policies and procedures that apply to the entire Company and third parties who handle our data or have access to our information technology systems. These policies and procedures establish the framework for our information security program and cover topics such as acceptable use of information systems, security risk management, access management, audit and logging, patching, and security requirements for numerous technologies. These policies and procedures are reviewed at least annually, updated as necessary and integrated into employee training programs and our contracting process. We are also subject to the Payment Card Industry Data Security Standard and we perform an annual self-assessment according to the requirements set forth by the Payment Card Industry Security Standards Council.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Incident Response</w:t>
      </w:r>
    </w:p>
    <w:p>
      <w:pPr>
        <w:spacing w:after="0" w:line="11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have adopted an Incident Response Plan (the “IRP”) that applies in the event of a cybersecurity threat or incident to provide a standardized framework for responding to cybersecurity incidents. The IRP sets out a coordinated approach to investigating, containing, documenting and mitigating incidents, including reporting findings and keeping senior management and other key stakeholders informed and involved as appropriate. The IRP applies to all Company personnel (including third-party contractors, vendors and partners) that perform functions or services that require access to secure Company information, and to all devices and network services that are owned or managed by the Company. The IRP is practiced through walkthroughs and tabletop exercises on at least an annual basis.</w:t>
      </w:r>
    </w:p>
    <w:p>
      <w:pPr>
        <w:spacing w:after="0" w:line="7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The SVP-GIS is responsible for maintaining our IRP. Potentially significant threats are escalated to an interdisciplinary data breach response team (the “DBRT”), which is led our EVP-CIO and co-chaired by the SVP-GIS, our head of data privacy and a representative from our Law Department. The DBRT is responsible for oversight and handling of significant security threats, incidents, and issues that involve data loss or operational impact to our business through a documented process. Potentially material cyber events are escalated by our EVP-CIO to executive management and reviewed with members of the Company’s Disclosure Committee.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Material Cybersecurity Risk, Threats &amp; Incidents</w:t>
      </w:r>
    </w:p>
    <w:p>
      <w:pPr>
        <w:spacing w:after="0" w:line="1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Routinely, we partner with and use third-party service providers and products that host, manage, or control sensitive data. We and the companies we work with have experienced cybersecurity threats to our data and systems, including ransomware and other forms of malware and computer virus attacks, unauthorized access, systems failures and temporary disruptions. For example, in June 2018, we identified forged and fraudulently induced electronic payment disbursements we made to third-parties in an aggregate amount of $10 million resulting from unauthorized third-party access to our email system. Risks from cybersecurity threats, including as a result of such previous incident, have not materially affected us, including our business strategy, results of operations or financial condition for the periods covered by this Annual Report, and we do not believe that such risks are reasonably likely to have such an effect over the long term. Additional information on cybersecurity risks we face can be found in Part I, Item 1A “Risk Factors” of this Annual Report under the heading “Failure to maintain the integrity of internal or customer data or to protect our information systems from cyber-attacks could disrupt our business, damage our reputation, and subject us to costs, fines or lawsuits,” which should be read in conjunction with the foregoing information.</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1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7"/>
          <w:szCs w:val="17"/>
          <w:color w:val="auto"/>
        </w:rPr>
        <w:t>As of December 31, 2023, our vacation ownership portfolio consisted of approximately 120 properties in the United States and thirteen other countries and territories. These properties are described in Part I, Item 1, “Business” of this Annual Report. Except as indicated in Part I, Item 1, “Business,” we own unsold inventory at these properties. We also own, manage or lease golf courses, fitness, spa and sports facilities, undeveloped and partially developed land and other common area assets at some of our resorts in our Vacation Ownership segment, including resort lobbies and food and beverage outlets.</w:t>
      </w:r>
    </w:p>
    <w:p>
      <w:pPr>
        <w:spacing w:after="0" w:line="7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7"/>
          <w:szCs w:val="17"/>
          <w:color w:val="auto"/>
        </w:rPr>
        <w:t>In addition, we own or lease our regional offices and sales centers, both in the United States and internationally. In 2020, we entered into a finance lease agreement for our new corporate headquarters office building in Orlando, Florida. The lease for the new building commenced for accounting purposes during the first quarter of 2023, upon the substantial completion of construction. In the fourth quarter of 2023, we relocated from our former corporate headquarters to our new corporate headquarters office building. See Footnote 14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43" w:name="page44"/>
    <w:bookmarkEnd w:id="43"/>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Currently, and from time to time, we are subject to claims in legal proceedings arising in the normal course of business, including, among others, the legal actions discussed under “Loss Contingencies” in Footnote 13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6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w:t>
      </w:r>
    </w:p>
    <w:p>
      <w:pPr>
        <w:spacing w:after="0" w:line="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Equity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and Dividends</w:t>
      </w:r>
    </w:p>
    <w:p>
      <w:pPr>
        <w:spacing w:after="0" w:line="1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Our common stock currently is traded on the New York Stock Exchange, or the “NYSE,” under the symbol “VAC.”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any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February 21, 2024, there were 22,402 holders of record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Maximum Dollar</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3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Shares Purchased</w:t>
            </w:r>
          </w:p>
        </w:tc>
        <w:tc>
          <w:tcPr>
            <w:tcW w:w="100" w:type="dxa"/>
            <w:vAlign w:val="bottom"/>
          </w:tcPr>
          <w:p>
            <w:pPr>
              <w:spacing w:after="0"/>
              <w:rPr>
                <w:sz w:val="13"/>
                <w:szCs w:val="13"/>
                <w:color w:val="auto"/>
              </w:rPr>
            </w:pPr>
          </w:p>
        </w:tc>
        <w:tc>
          <w:tcPr>
            <w:tcW w:w="164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Amount of Shares That</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as Part of Publicly</w:t>
            </w:r>
          </w:p>
        </w:tc>
        <w:tc>
          <w:tcPr>
            <w:tcW w:w="100" w:type="dxa"/>
            <w:vAlign w:val="bottom"/>
          </w:tcPr>
          <w:p>
            <w:pPr>
              <w:spacing w:after="0"/>
              <w:rPr>
                <w:sz w:val="13"/>
                <w:szCs w:val="13"/>
                <w:color w:val="auto"/>
              </w:rPr>
            </w:pPr>
          </w:p>
        </w:tc>
        <w:tc>
          <w:tcPr>
            <w:tcW w:w="16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May Yet Be Purchased</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Price Paid</w:t>
            </w:r>
          </w:p>
        </w:tc>
        <w:tc>
          <w:tcPr>
            <w:tcW w:w="1320" w:type="dxa"/>
            <w:vAlign w:val="bottom"/>
          </w:tcPr>
          <w:p>
            <w:pPr>
              <w:jc w:val="right"/>
              <w:ind w:right="20"/>
              <w:spacing w:after="0" w:line="154" w:lineRule="exact"/>
              <w:rPr>
                <w:sz w:val="20"/>
                <w:szCs w:val="20"/>
                <w:color w:val="auto"/>
              </w:rPr>
            </w:pPr>
            <w:r>
              <w:rPr>
                <w:rFonts w:ascii="Times New Roman" w:cs="Times New Roman" w:eastAsia="Times New Roman" w:hAnsi="Times New Roman"/>
                <w:sz w:val="15"/>
                <w:szCs w:val="15"/>
                <w:b w:val="1"/>
                <w:bCs w:val="1"/>
                <w:color w:val="auto"/>
              </w:rPr>
              <w:t>Announced Plans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78"/>
              <w:spacing w:after="0" w:line="154" w:lineRule="exact"/>
              <w:rPr>
                <w:sz w:val="20"/>
                <w:szCs w:val="20"/>
                <w:color w:val="auto"/>
              </w:rPr>
            </w:pPr>
            <w:r>
              <w:rPr>
                <w:rFonts w:ascii="Times New Roman" w:cs="Times New Roman" w:eastAsia="Times New Roman" w:hAnsi="Times New Roman"/>
                <w:sz w:val="15"/>
                <w:szCs w:val="15"/>
                <w:b w:val="1"/>
                <w:bCs w:val="1"/>
                <w:color w:val="auto"/>
              </w:rPr>
              <w:t>Under the Plans or</w:t>
            </w: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7"/>
                <w:szCs w:val="17"/>
                <w:color w:val="auto"/>
              </w:rPr>
            </w:pPr>
          </w:p>
        </w:tc>
        <w:tc>
          <w:tcPr>
            <w:tcW w:w="1060" w:type="dxa"/>
            <w:vAlign w:val="bottom"/>
            <w:gridSpan w:val="3"/>
          </w:tcPr>
          <w:p>
            <w:pPr>
              <w:jc w:val="center"/>
              <w:ind w:right="140"/>
              <w:spacing w:after="0" w:line="204" w:lineRule="exact"/>
              <w:rPr>
                <w:sz w:val="20"/>
                <w:szCs w:val="20"/>
                <w:color w:val="auto"/>
              </w:rPr>
            </w:pPr>
            <w:r>
              <w:rPr>
                <w:rFonts w:ascii="Times New Roman" w:cs="Times New Roman" w:eastAsia="Times New Roman" w:hAnsi="Times New Roman"/>
                <w:sz w:val="15"/>
                <w:szCs w:val="15"/>
                <w:b w:val="1"/>
                <w:bCs w:val="1"/>
                <w:color w:val="auto"/>
                <w:w w:val="97"/>
              </w:rPr>
              <w:t>per Share</w:t>
            </w:r>
            <w:r>
              <w:rPr>
                <w:rFonts w:ascii="Times New Roman" w:cs="Times New Roman" w:eastAsia="Times New Roman" w:hAnsi="Times New Roman"/>
                <w:sz w:val="19"/>
                <w:szCs w:val="19"/>
                <w:color w:val="auto"/>
                <w:w w:val="97"/>
                <w:vertAlign w:val="superscript"/>
              </w:rPr>
              <w:t>(2)</w:t>
            </w:r>
          </w:p>
        </w:tc>
        <w:tc>
          <w:tcPr>
            <w:tcW w:w="1320" w:type="dxa"/>
            <w:vAlign w:val="bottom"/>
          </w:tcPr>
          <w:p>
            <w:pPr>
              <w:jc w:val="right"/>
              <w:ind w:right="120"/>
              <w:spacing w:after="0" w:line="204" w:lineRule="exact"/>
              <w:rPr>
                <w:sz w:val="20"/>
                <w:szCs w:val="20"/>
                <w:color w:val="auto"/>
              </w:rPr>
            </w:pPr>
            <w:r>
              <w:rPr>
                <w:rFonts w:ascii="Times New Roman" w:cs="Times New Roman" w:eastAsia="Times New Roman" w:hAnsi="Times New Roman"/>
                <w:sz w:val="15"/>
                <w:szCs w:val="15"/>
                <w:b w:val="1"/>
                <w:bCs w:val="1"/>
                <w:color w:val="auto"/>
              </w:rPr>
              <w:t>or Programs</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8"/>
              <w:spacing w:after="0" w:line="204" w:lineRule="exact"/>
              <w:rPr>
                <w:sz w:val="20"/>
                <w:szCs w:val="20"/>
                <w:color w:val="auto"/>
              </w:rPr>
            </w:pPr>
            <w:r>
              <w:rPr>
                <w:rFonts w:ascii="Times New Roman" w:cs="Times New Roman" w:eastAsia="Times New Roman" w:hAnsi="Times New Roman"/>
                <w:sz w:val="15"/>
                <w:szCs w:val="15"/>
                <w:b w:val="1"/>
                <w:bCs w:val="1"/>
                <w:color w:val="auto"/>
                <w:w w:val="94"/>
              </w:rPr>
              <w:t>Programs</w:t>
            </w:r>
            <w:r>
              <w:rPr>
                <w:rFonts w:ascii="Times New Roman" w:cs="Times New Roman" w:eastAsia="Times New Roman" w:hAnsi="Times New Roman"/>
                <w:sz w:val="19"/>
                <w:szCs w:val="19"/>
                <w:color w:val="auto"/>
                <w:w w:val="94"/>
                <w:vertAlign w:val="superscript"/>
              </w:rPr>
              <w:t>(1)(2)</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2023 – October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459,314,827</w:t>
            </w: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2023 – November 30,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79.55</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448,655,123</w:t>
            </w:r>
          </w:p>
        </w:tc>
        <w:tc>
          <w:tcPr>
            <w:tcW w:w="0" w:type="dxa"/>
            <w:vAlign w:val="bottom"/>
          </w:tcPr>
          <w:p>
            <w:pPr>
              <w:spacing w:after="0"/>
              <w:rPr>
                <w:sz w:val="1"/>
                <w:szCs w:val="1"/>
                <w:color w:val="auto"/>
              </w:rPr>
            </w:pPr>
          </w:p>
        </w:tc>
      </w:tr>
      <w:tr>
        <w:trPr>
          <w:trHeight w:val="24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2023 – December 31,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83.15</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438,594,526</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438,594,526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00" w:hanging="298"/>
        <w:spacing w:after="0" w:line="243" w:lineRule="auto"/>
        <w:tabs>
          <w:tab w:leader="none" w:pos="28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September 13, 2021, our Board of Directors authorized a share repurchase program under which we were authorized to purchase shares of our common stock for an aggregate purchase price not to exceed $250 million, prior to December 31, 2022. On February 22, 2022, we announced that our Board of Directors authorized the repurchase of up to an additional $300 million of our common stock and extended the term of our share repurchase program to March 31, 2023. On August 1, 2022, we announced that our Board of Directors authorized the repurchase of up to an additional $500 million of our common stock and extended the term of our share repurchase program to June 30, 2023. On May 11, 2023, we announced that our Board of Directors increased the then-remaining authorization to authorize purchases of up to $600 million of our common stock and extended the term of our share repurchase program to December 31, 2024.</w:t>
      </w:r>
    </w:p>
    <w:p>
      <w:pPr>
        <w:spacing w:after="0" w:line="83" w:lineRule="exact"/>
        <w:rPr>
          <w:rFonts w:ascii="Times New Roman" w:cs="Times New Roman" w:eastAsia="Times New Roman" w:hAnsi="Times New Roman"/>
          <w:sz w:val="22"/>
          <w:szCs w:val="22"/>
          <w:color w:val="auto"/>
          <w:vertAlign w:val="superscript"/>
        </w:rPr>
      </w:pPr>
    </w:p>
    <w:p>
      <w:pPr>
        <w:ind w:left="300" w:right="160" w:hanging="298"/>
        <w:spacing w:after="0" w:line="228" w:lineRule="auto"/>
        <w:tabs>
          <w:tab w:leader="none" w:pos="28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Inflation Reduction Act of 2022 imposed a nondeductible 1% excise tax on the net value of certain stock repurchases made after December 31, 2022. See Footnote 17 “Stockholders' Equity” to our Financial Statements for further information. All dollar amounts presented exclude such excise tax,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83820</wp:posOffset>
            </wp:positionV>
            <wp:extent cx="4543425" cy="2758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43425" cy="275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above graph compares the relative performance of our common stock, the S&amp;P MidCap 400 Index (which has included our common stock since our acquisition of ILG), and the S&amp;P Composite 1500 Hotels, Resorts &amp; Cruise Lines Index. The graph assumes that $100 was invested in our common stock and each index on December 31, 2018.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results of operations and financial condition together with our audited historical consolidated financial statements and accompanying notes in Part II, “Item 8. Financial Statements and Supplementary Data,” and Part I, “Item 1. Business,” of this Annual Report.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6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58" w:lineRule="exact"/>
        <w:rPr>
          <w:sz w:val="20"/>
          <w:szCs w:val="20"/>
          <w:color w:val="auto"/>
        </w:rPr>
      </w:pPr>
    </w:p>
    <w:p>
      <w:pPr>
        <w:ind w:right="20"/>
        <w:spacing w:after="0" w:line="293" w:lineRule="auto"/>
        <w:rPr>
          <w:rFonts w:ascii="Times New Roman" w:cs="Times New Roman" w:eastAsia="Times New Roman" w:hAnsi="Times New Roman"/>
          <w:sz w:val="16"/>
          <w:szCs w:val="16"/>
          <w:i w:val="1"/>
          <w:iCs w:val="1"/>
          <w:color w:val="0000FF"/>
        </w:rPr>
      </w:pPr>
      <w:r>
        <w:rPr>
          <w:rFonts w:ascii="Times New Roman" w:cs="Times New Roman" w:eastAsia="Times New Roman" w:hAnsi="Times New Roman"/>
          <w:sz w:val="16"/>
          <w:szCs w:val="16"/>
          <w:i w:val="1"/>
          <w:iCs w:val="1"/>
          <w:color w:val="auto"/>
        </w:rPr>
        <w:t xml:space="preserve">Our discussion and analysis of fiscal year 2023 to fiscal year 2022 is included herein. Our discussion and analysis of fiscal year 2022 to fiscal year 2021 has been omitted from this Form 10-K and can be found in Part II, “Item 7. Management’s Discussion and Analysis of Financial Condition and Results of Operations” of our </w:t>
      </w:r>
      <w:hyperlink r:id="rId68">
        <w:r>
          <w:rPr>
            <w:rFonts w:ascii="Times New Roman" w:cs="Times New Roman" w:eastAsia="Times New Roman" w:hAnsi="Times New Roman"/>
            <w:sz w:val="16"/>
            <w:szCs w:val="16"/>
            <w:i w:val="1"/>
            <w:iCs w:val="1"/>
            <w:u w:val="single" w:color="auto"/>
            <w:color w:val="0000FF"/>
          </w:rPr>
          <w:t>Annual Report on Form 10-K for the fiscal year ended December 31, 2022</w:t>
        </w:r>
      </w:hyperlink>
      <w:r>
        <w:rPr>
          <w:rFonts w:ascii="Times New Roman" w:cs="Times New Roman" w:eastAsia="Times New Roman" w:hAnsi="Times New Roman"/>
          <w:sz w:val="16"/>
          <w:szCs w:val="16"/>
          <w:i w:val="1"/>
          <w:iCs w:val="1"/>
          <w:color w:val="000000"/>
        </w:rPr>
        <w:t>,</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i w:val="1"/>
          <w:iCs w:val="1"/>
          <w:color w:val="000000"/>
        </w:rPr>
        <w:t>which was filed with the Securities and Exchange Commission on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15"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as well as under Marriott Vacation Club Pulse, an extension of the Marriott Vacation Club brand.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73"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In April 2022, we disposed of VRI Americas after determining that the business was not a core component of our future growth strategy and operating model. This business was a component of our Exchange &amp; Third-Party Management segment through the date of the sale.</w:t>
      </w:r>
    </w:p>
    <w:p>
      <w:pPr>
        <w:spacing w:after="0" w:line="70"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17"/>
          <w:szCs w:val="17"/>
          <w:color w:val="auto"/>
        </w:rPr>
        <w:t>Corporate and other represents that portion of our results that are not allocable to our segments, including those relating to Consolidated Property Owners’ Associations.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of Marriott-, Sheraton- and Westin- Branded Vacation Ownership Products</w:t>
      </w:r>
    </w:p>
    <w:p>
      <w:pPr>
        <w:spacing w:after="0" w:line="1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In 2016, Marriott International purchased Starwood Hotels and Resorts Worldwide, Inc., which at the time exclusively licensed the Sheraton and Westin vacation ownership brands to Legacy-ILG. Part of the rationale for our acquisition of ILG in 2018 was to achieve operating efficiencies and business growth by leveraging the brands licensed by Marriott International and its subsidiaries to us and to ILG. In August 2022, we launched Abound by Marriott Vacations, an owner benefit and exchange program which affiliates the Marriott, Sheraton and Westin vacation ownership brands to offer similar benefits to owners of our products under these brands. Under this program, owners of Marriott-, Sheraton- and Westin-branded VOIs can access over 90 resorts under the Marriott Vacation Club, Sheraton Vacation Club and Westin Vacation Club brands using a common currency. The program also harmonizes fee structures and owner benefit levels and has allowed us to transition most of our Legacy-ILG sales galleries to sell our Marriott Vacation Club Destinations product. Further, in late 2022, we added certain Sheraton- and Westin- branded VOIs to the Marriott Vacation Club Destinations product.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Accounting Policies Used in Describing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Vacation Ownership Products</w:t>
      </w:r>
    </w:p>
    <w:p>
      <w:pPr>
        <w:spacing w:after="0" w:line="1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We recognize revenues from the sale of vacation ownership products (also referred to as “VOIs”) when control of the vacation ownership product is transferred to the customer and the transaction price is deemed collectible. Based upon the different terms of our contracts with the customer and business practices, control of the vacation ownership product has historically transferred to the customer at different points in time for each brand of VOIs. In the third quarter of 2022, we aligned our business practices and contract terms for the sale of vacation ownership products (the “Contract Alignment”), resulting in the prospective change in the timing of the transfer of control to the customer for Marriott-branded VOIs. Prior to these changes, control transfer occurred at closing for Marriott-branded vacation ownership products. Subsequent to the Contract Alignment, transfer of control of Marriott-branded vacation ownership products occurs at expiration of the statutory rescission period, consistent with the historical timing of Sheraton- and Westin- branded transactions. Marriott-branded VOI sales contracts executed prior to these modifications have been accounted for with transfer of control of the VOI occurring at closing. Control transfer for Hyatt Vacation Club VOIs occurs at expiration of the statutory rescission period, except that control transfer for VOIs derived from Legacy-Welk continues to occur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46" w:name="page47"/>
    <w:bookmarkEnd w:id="46"/>
    <w:p>
      <w:pPr>
        <w:ind w:right="80"/>
        <w:spacing w:after="0" w:line="283" w:lineRule="auto"/>
        <w:rPr>
          <w:sz w:val="20"/>
          <w:szCs w:val="20"/>
          <w:color w:val="auto"/>
        </w:rPr>
      </w:pPr>
      <w:r>
        <w:rPr>
          <w:rFonts w:ascii="Times New Roman" w:cs="Times New Roman" w:eastAsia="Times New Roman" w:hAnsi="Times New Roman"/>
          <w:sz w:val="17"/>
          <w:szCs w:val="17"/>
          <w:color w:val="auto"/>
        </w:rPr>
        <w:t>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50"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We also provide sales incentives to certain purchasers. These sales incentives typically include Marriott Bonvoy points, World of Hyatt points or an alternative sales incentive that we refer to as “plus points.” Plus points are redeemable for stays at our resorts or for use in other third-party offerings, generally up to two years from the date of issuance.</w:t>
      </w:r>
    </w:p>
    <w:p>
      <w:pPr>
        <w:spacing w:after="0" w:line="5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Finally, as more fully described in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below, we record the difference between the contract receivable or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Cost of vacation ownership products includes costs to acquire,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3"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7"/>
          <w:szCs w:val="17"/>
          <w:color w:val="auto"/>
        </w:rPr>
        <w:t>We refer to revenues from the sale of vacation ownership products less the cost of vacation ownership products and marketing and sales costs as Development profit. Development profit margin is calculated by dividing Development profit by revenues from the Sale of vacation ownership products.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 and Exchange</w:t>
      </w:r>
    </w:p>
    <w:p>
      <w:pPr>
        <w:spacing w:after="0" w:line="11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Our management and exchange revenues include revenues generated from fees we earn for managing each of our vacation ownership resorts, providing property management, owners’ association management and related services and fees we earn for providing rental services and related hotel, condominium resort, and owners’ association management services to vacation property owners.</w:t>
      </w:r>
    </w:p>
    <w:p>
      <w:pPr>
        <w:spacing w:after="0" w:line="63"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5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Management and exchange expenses include costs to operate the food and beverage outlets and other ancillary operations and to provide overall customer support services, including reservations, and certain transaction-based expenses relating to exchange service providers.</w:t>
      </w:r>
    </w:p>
    <w:p>
      <w:pPr>
        <w:spacing w:after="0" w:line="50" w:lineRule="exact"/>
        <w:rPr>
          <w:sz w:val="20"/>
          <w:szCs w:val="20"/>
          <w:color w:val="auto"/>
        </w:rPr>
      </w:pPr>
    </w:p>
    <w:p>
      <w:pPr>
        <w:ind w:right="380"/>
        <w:spacing w:after="0" w:line="376" w:lineRule="auto"/>
        <w:rPr>
          <w:sz w:val="20"/>
          <w:szCs w:val="20"/>
          <w:color w:val="auto"/>
        </w:rPr>
      </w:pPr>
      <w:r>
        <w:rPr>
          <w:rFonts w:ascii="Times New Roman" w:cs="Times New Roman" w:eastAsia="Times New Roman" w:hAnsi="Times New Roman"/>
          <w:sz w:val="17"/>
          <w:szCs w:val="17"/>
          <w:color w:val="auto"/>
        </w:rPr>
        <w:t xml:space="preserve">In our Vacation Ownership segment and Consolidated Property Owners’ Associations, we refer to these activities as “Resort Management and Other Services.” </w:t>
      </w:r>
      <w:r>
        <w:rPr>
          <w:rFonts w:ascii="Times New Roman" w:cs="Times New Roman" w:eastAsia="Times New Roman" w:hAnsi="Times New Roman"/>
          <w:sz w:val="17"/>
          <w:szCs w:val="17"/>
          <w:i w:val="1"/>
          <w:iCs w:val="1"/>
          <w:color w:val="auto"/>
        </w:rPr>
        <w:t>Financing</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offer financing to qualified customers for the purchase of most types of our vacation ownership products. The typical financing agreement provides for monthly payments of principal and interest with the principal balance of the loan fully amortizing over the term of the related vacation ownership note receivable, which is generally ten to fifteen years. While we adjust interest rates on our financing programs from time to time, such changes are typically not made in lockstep with the timing and magnitude of changes in broader market rates. We may use incentives to encourage our customers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47" w:name="page48"/>
    <w:bookmarkEnd w:id="47"/>
    <w:p>
      <w:pPr>
        <w:ind w:right="300"/>
        <w:spacing w:after="0" w:line="283" w:lineRule="auto"/>
        <w:rPr>
          <w:sz w:val="20"/>
          <w:szCs w:val="20"/>
          <w:color w:val="auto"/>
        </w:rPr>
      </w:pPr>
      <w:r>
        <w:rPr>
          <w:rFonts w:ascii="Times New Roman" w:cs="Times New Roman" w:eastAsia="Times New Roman" w:hAnsi="Times New Roman"/>
          <w:sz w:val="17"/>
          <w:szCs w:val="17"/>
          <w:color w:val="auto"/>
        </w:rPr>
        <w:t>choose our financing. Included within our vacation ownership notes receivable are originated vacation ownership notes receivable and vacation ownership notes receivable acquired in connection with the ILG Acquisition and the Welk Acquisition.</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interest income earned from our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originated in the period divided by contract sales volume of all contracts originated in the period. We do not include resales contract sales in the financing propensity calculation. Growing sales to first-time buyers, who are more likely to finance their purchases, remains an integral part of our overall marketing and sales strategy.</w:t>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Acquired vacation ownership notes receivable are accounted for using the purchased credit deteriorated assets provision of the current expected credit loss model. The estimates of the reserve for credit losses on the acquired vacation ownership notes receivable are based on default rates that are an output of our static pool analyses and the estimated value of collateral securing the acquired vacation ownership notes receivable. See Footnote 6 “Vacation Ownership Notes Receivable” to our Financial Statements for further information regarding the accounting for acquired vacation ownership notes receivable.</w:t>
      </w:r>
    </w:p>
    <w:p>
      <w:pPr>
        <w:spacing w:after="0" w:line="7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Revisions to estimates of variable consideration from the sale of vacation ownership products impact the reserve on originated vacation ownership notes receivable and can increase or decrease revenues. In contrast, for acquired vacation ownership notes receivable, we record changes to the reserve as an adjustment to Financing expenses on our Income Statements.</w:t>
      </w:r>
    </w:p>
    <w:p>
      <w:pPr>
        <w:spacing w:after="0" w:line="70"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7"/>
          <w:szCs w:val="17"/>
          <w:color w:val="auto"/>
        </w:rPr>
        <w:t>As a result of the unification of our Marriott-, Sheraton- and Westin- branded vacation ownership products under the Abound by Marriott Vacations program and stabilization of the default rates, in the third quarter of 2022, we combined and aligned our reserve methodology for vacation ownership notes receivable for our Marriott, Sheraton and Westin brands. See Footnote 6 “Vacation Ownership Notes Receivable” to our Financial Statements for further information</w:t>
      </w:r>
      <w:r>
        <w:rPr>
          <w:rFonts w:ascii="Times New Roman" w:cs="Times New Roman" w:eastAsia="Times New Roman" w:hAnsi="Times New Roman"/>
          <w:sz w:val="17"/>
          <w:szCs w:val="17"/>
          <w:color w:val="EE2724"/>
        </w:rPr>
        <w:t>.</w:t>
      </w:r>
    </w:p>
    <w:p>
      <w:pPr>
        <w:spacing w:after="0" w:line="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w:t>
      </w:r>
    </w:p>
    <w:p>
      <w:pPr>
        <w:spacing w:after="0" w:line="1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unregistered inventory and owned-hotel properties. We also recognize rental revenue from the utilization of plus points under our points-based products when the points are redeemed for rental stays at one of our resorts or other third-party offerings, or upon expiration of the points.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Accounting Standards Codification (“ASC”) Topic 978, “</w:t>
      </w:r>
      <w:r>
        <w:rPr>
          <w:rFonts w:ascii="Times New Roman" w:cs="Times New Roman" w:eastAsia="Times New Roman" w:hAnsi="Times New Roman"/>
          <w:sz w:val="17"/>
          <w:szCs w:val="17"/>
          <w:i w:val="1"/>
          <w:iCs w:val="1"/>
          <w:color w:val="auto"/>
        </w:rPr>
        <w:t>Real Estate - Time-Sharing Activities</w:t>
      </w:r>
      <w:r>
        <w:rPr>
          <w:rFonts w:ascii="Times New Roman" w:cs="Times New Roman" w:eastAsia="Times New Roman" w:hAnsi="Times New Roman"/>
          <w:sz w:val="17"/>
          <w:szCs w:val="17"/>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48" w:name="page49"/>
    <w:bookmarkEnd w:id="48"/>
    <w:p>
      <w:pPr>
        <w:ind w:right="200"/>
        <w:spacing w:after="0" w:line="257" w:lineRule="auto"/>
        <w:rPr>
          <w:sz w:val="20"/>
          <w:szCs w:val="20"/>
          <w:color w:val="auto"/>
        </w:rPr>
      </w:pPr>
      <w:r>
        <w:rPr>
          <w:rFonts w:ascii="Times New Roman" w:cs="Times New Roman" w:eastAsia="Times New Roman" w:hAnsi="Times New Roman"/>
          <w:sz w:val="17"/>
          <w:szCs w:val="17"/>
          <w:color w:val="auto"/>
        </w:rPr>
        <w:t>In our Exchange &amp; Third-Party Management segment, we offer vacation rental opportunities at managed properties through our Aqua-Aston business, and for the period prior to its disposition in the second quarter of 2022, VRI Americas. We also offer vacation rental offers known as Getaways to members of the Interval Network and certain other membership programs. Getaways allows us to monetize excess availability of resort accommodations within the applicable exchange network, as well as provide additional vacation opportunities to members. Resort accommodations typically become available as Getaways as a result of seasonal oversupply or underutilized space in the applicable exchange program. We also source resort accommodations specifically for the Getaways program. Rental revenues associated with Getaways are reported net of related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expenses include:</w:t>
      </w:r>
    </w:p>
    <w:p>
      <w:pPr>
        <w:spacing w:after="0" w:line="60" w:lineRule="exact"/>
        <w:rPr>
          <w:sz w:val="20"/>
          <w:szCs w:val="20"/>
          <w:color w:val="auto"/>
        </w:rPr>
      </w:pPr>
    </w:p>
    <w:p>
      <w:pPr>
        <w:ind w:left="300" w:hanging="298"/>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and other fees on unsold inventory;</w:t>
      </w:r>
    </w:p>
    <w:p>
      <w:pPr>
        <w:spacing w:after="0" w:line="60" w:lineRule="exact"/>
        <w:rPr>
          <w:rFonts w:ascii="Times New Roman" w:cs="Times New Roman" w:eastAsia="Times New Roman" w:hAnsi="Times New Roman"/>
          <w:sz w:val="17"/>
          <w:szCs w:val="17"/>
          <w:color w:val="auto"/>
        </w:rPr>
      </w:pPr>
    </w:p>
    <w:p>
      <w:pPr>
        <w:ind w:left="300" w:right="100" w:hanging="298"/>
        <w:spacing w:after="0" w:line="282" w:lineRule="auto"/>
        <w:tabs>
          <w:tab w:leader="none" w:pos="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provide alternative usage options, including Marriott Bonvoy points, World of Hyatt points, and offerings available as part of third-party offerings, for owners who elect to exchange their inventory; and</w:t>
      </w:r>
    </w:p>
    <w:p>
      <w:pPr>
        <w:ind w:left="300" w:right="180" w:hanging="298"/>
        <w:spacing w:after="0" w:line="283" w:lineRule="auto"/>
        <w:tabs>
          <w:tab w:leader="none" w:pos="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costs and direct operating and related expenses in connection with the rental business (such as housekeeping, labor costs, credit card expenses, and reservation services).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unsold inventory on hand and keys allocated for preview stays. In addition, rental metrics may not correlate with rental revenues due to the requirement to report certain rental revenues net of rental expenses in accordance with ASC 978 (as discussed above). Further, as our ability to rent certain inventory may be limited on a site-by-site basis, rental operations may not generate adequate rental revenues to cover associated costs. Our Vacation Ownership segment units are either “full villas” or “lock-off” villas. Lock-off villas are units that can be separated into a primary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Reimbursements</w:t>
      </w:r>
    </w:p>
    <w:p>
      <w:pPr>
        <w:spacing w:after="0" w:line="115"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7"/>
          <w:szCs w:val="17"/>
          <w:color w:val="auto"/>
        </w:rPr>
        <w:t>Cost reimbursements include direct and indirect costs that are reimbursed to us by owners’ associations and customers under management contracts. All costs reimbursed to us by owners’ associations and customers, with the exception of taxes assessed by a governmental authority, are reported on a gross basis. We recognize cost reimbursements when we incur the related reimbursable costs. Cost reimbursements consist of actual expenses with no added margin.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consists of all interest expense other than consumer financing interest expense, which is included within Financing expense.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Transaction and Integration Costs</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Transaction and integration costs primarily include fees paid to change-management consultants, technology-related costs associated with the integration of ILG and Welk and charges for employee retention, severance and other termination-related benefits. Transaction and integration costs also include costs related to the ILG and Welk Acquisitions, primarily for financial advisory, legal, and other professional service fees, as well as certain tax-related accruals. Commencing in the third quarter of 2023, we discontinued classifying costs associated with the continued integration of ILG in Transaction and integration costs. Further costs incurred are reflected in the operating results of each of our segments and/or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color w:val="auto"/>
        </w:rPr>
        <w:t>Performance Measures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measure operating performance using the key metrics described below:</w:t>
      </w:r>
    </w:p>
    <w:p>
      <w:pPr>
        <w:spacing w:after="0" w:line="107" w:lineRule="exact"/>
        <w:rPr>
          <w:sz w:val="20"/>
          <w:szCs w:val="20"/>
          <w:color w:val="auto"/>
        </w:rPr>
      </w:pPr>
    </w:p>
    <w:p>
      <w:pPr>
        <w:ind w:left="300" w:hanging="144"/>
        <w:spacing w:after="0" w:line="256"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Contract sales from the sale of vacation ownership products</w:t>
      </w:r>
      <w:r>
        <w:rPr>
          <w:rFonts w:ascii="Times New Roman" w:cs="Times New Roman" w:eastAsia="Times New Roman" w:hAnsi="Times New Roman"/>
          <w:sz w:val="17"/>
          <w:szCs w:val="17"/>
          <w:color w:val="auto"/>
        </w:rPr>
        <w:t>, which consists of the total amount of vacation ownership product sales under contracts signed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period where we have generally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customers apply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and adjustments for sales incentives that will not be recognized as Sale of vacation ownership products revenue and other adjustments to Sale of vacation ownership products revenue. We consider contract sales to be an important operating measure because it reflects the pace of sales in our business.</w:t>
      </w:r>
    </w:p>
    <w:p>
      <w:pPr>
        <w:spacing w:after="0" w:line="73" w:lineRule="exact"/>
        <w:rPr>
          <w:rFonts w:ascii="Times New Roman" w:cs="Times New Roman" w:eastAsia="Times New Roman" w:hAnsi="Times New Roman"/>
          <w:sz w:val="17"/>
          <w:szCs w:val="17"/>
          <w:color w:val="auto"/>
        </w:rPr>
      </w:pPr>
    </w:p>
    <w:p>
      <w:pPr>
        <w:ind w:left="620" w:hanging="158"/>
        <w:spacing w:after="0"/>
        <w:tabs>
          <w:tab w:leader="none" w:pos="6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 sales include contract sales from the sale of vacation ownership products including non-consolidated joint ventures.</w:t>
      </w:r>
    </w:p>
    <w:p>
      <w:pPr>
        <w:spacing w:after="0" w:line="111" w:lineRule="exact"/>
        <w:rPr>
          <w:rFonts w:ascii="Times New Roman" w:cs="Times New Roman" w:eastAsia="Times New Roman" w:hAnsi="Times New Roman"/>
          <w:sz w:val="17"/>
          <w:szCs w:val="17"/>
          <w:color w:val="auto"/>
        </w:rPr>
      </w:pPr>
    </w:p>
    <w:p>
      <w:pPr>
        <w:ind w:left="620" w:hanging="158"/>
        <w:spacing w:after="0"/>
        <w:tabs>
          <w:tab w:leader="none" w:pos="6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contract sales exclude contract sales from the sale of vacation ownership products for non-consolidated joint ventures.</w:t>
      </w:r>
    </w:p>
    <w:p>
      <w:pPr>
        <w:spacing w:after="0" w:line="107" w:lineRule="exact"/>
        <w:rPr>
          <w:rFonts w:ascii="Times New Roman" w:cs="Times New Roman" w:eastAsia="Times New Roman" w:hAnsi="Times New Roman"/>
          <w:sz w:val="17"/>
          <w:szCs w:val="17"/>
          <w:color w:val="auto"/>
        </w:rPr>
      </w:pPr>
    </w:p>
    <w:p>
      <w:pPr>
        <w:jc w:val="both"/>
        <w:ind w:left="300" w:right="40" w:hanging="144"/>
        <w:spacing w:after="0" w:line="293" w:lineRule="auto"/>
        <w:tabs>
          <w:tab w:leader="none" w:pos="29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Volume per guest </w:t>
      </w:r>
      <w:r>
        <w:rPr>
          <w:rFonts w:ascii="Times New Roman" w:cs="Times New Roman" w:eastAsia="Times New Roman" w:hAnsi="Times New Roman"/>
          <w:sz w:val="16"/>
          <w:szCs w:val="16"/>
          <w:color w:val="auto"/>
        </w:rPr>
        <w:t>(“VPG”) is calculated by dividing consolidated vacation ownership contract sales, excluding fractional sales, telesales, resales, and other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41" w:lineRule="exact"/>
        <w:rPr>
          <w:rFonts w:ascii="Times New Roman" w:cs="Times New Roman" w:eastAsia="Times New Roman" w:hAnsi="Times New Roman"/>
          <w:sz w:val="16"/>
          <w:szCs w:val="16"/>
          <w:color w:val="auto"/>
        </w:rPr>
      </w:pPr>
    </w:p>
    <w:p>
      <w:pPr>
        <w:ind w:left="300" w:right="160" w:hanging="144"/>
        <w:spacing w:after="0" w:line="269" w:lineRule="auto"/>
        <w:tabs>
          <w:tab w:leader="none" w:pos="296"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Development profit margin </w:t>
      </w:r>
      <w:r>
        <w:rPr>
          <w:rFonts w:ascii="Times New Roman" w:cs="Times New Roman" w:eastAsia="Times New Roman" w:hAnsi="Times New Roman"/>
          <w:sz w:val="17"/>
          <w:szCs w:val="17"/>
          <w:color w:val="auto"/>
        </w:rPr>
        <w:t>is calculated by dividing Development profit by revenues from the sale of vacation ownership products. We refer to revenues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sale of 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spacing w:after="0" w:line="58" w:lineRule="exact"/>
        <w:rPr>
          <w:rFonts w:ascii="Times New Roman" w:cs="Times New Roman" w:eastAsia="Times New Roman" w:hAnsi="Times New Roman"/>
          <w:sz w:val="17"/>
          <w:szCs w:val="17"/>
          <w:i w:val="1"/>
          <w:iCs w:val="1"/>
          <w:color w:val="auto"/>
        </w:rPr>
      </w:pPr>
    </w:p>
    <w:p>
      <w:pPr>
        <w:ind w:left="300" w:right="320" w:hanging="144"/>
        <w:spacing w:after="0" w:line="288"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active members </w:t>
      </w:r>
      <w:r>
        <w:rPr>
          <w:rFonts w:ascii="Times New Roman" w:cs="Times New Roman" w:eastAsia="Times New Roman" w:hAnsi="Times New Roman"/>
          <w:sz w:val="17"/>
          <w:szCs w:val="17"/>
          <w:color w:val="auto"/>
        </w:rPr>
        <w:t>is the number of Interval Network active members at the end of the applicable period. We consider active members to be an important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metric because it represents the population of owners eligible to book transactions using the Interval Network.</w:t>
      </w:r>
    </w:p>
    <w:p>
      <w:pPr>
        <w:spacing w:after="0" w:line="41" w:lineRule="exact"/>
        <w:rPr>
          <w:rFonts w:ascii="Times New Roman" w:cs="Times New Roman" w:eastAsia="Times New Roman" w:hAnsi="Times New Roman"/>
          <w:sz w:val="17"/>
          <w:szCs w:val="17"/>
          <w:color w:val="auto"/>
        </w:rPr>
      </w:pPr>
    </w:p>
    <w:p>
      <w:pPr>
        <w:ind w:left="300" w:right="80" w:hanging="144"/>
        <w:spacing w:after="0" w:line="269"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revenue per member </w:t>
      </w:r>
      <w:r>
        <w:rPr>
          <w:rFonts w:ascii="Times New Roman" w:cs="Times New Roman" w:eastAsia="Times New Roman" w:hAnsi="Times New Roman"/>
          <w:sz w:val="17"/>
          <w:szCs w:val="17"/>
          <w:color w:val="auto"/>
        </w:rPr>
        <w:t>is calculated by dividing membership fee revenue, transaction revenue, rental revenue, and other member revenue for the Interval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Network by the monthly weighted average number of Interval Network active members during the applicable period. We believe this metric is valuable in measuring the overall engagement of our Interval Network active members.</w:t>
      </w:r>
    </w:p>
    <w:p>
      <w:pPr>
        <w:spacing w:after="0" w:line="58" w:lineRule="exact"/>
        <w:rPr>
          <w:rFonts w:ascii="Times New Roman" w:cs="Times New Roman" w:eastAsia="Times New Roman" w:hAnsi="Times New Roman"/>
          <w:sz w:val="17"/>
          <w:szCs w:val="17"/>
          <w:color w:val="auto"/>
        </w:rPr>
      </w:pPr>
    </w:p>
    <w:p>
      <w:pPr>
        <w:ind w:left="300" w:right="200" w:hanging="144"/>
        <w:spacing w:after="0" w:line="269" w:lineRule="auto"/>
        <w:tabs>
          <w:tab w:leader="none" w:pos="2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financial results attributable to common stockholders </w:t>
      </w:r>
      <w:r>
        <w:rPr>
          <w:rFonts w:ascii="Times New Roman" w:cs="Times New Roman" w:eastAsia="Times New Roman" w:hAnsi="Times New Roman"/>
          <w:sz w:val="17"/>
          <w:szCs w:val="17"/>
          <w:color w:val="auto"/>
        </w:rPr>
        <w:t>represents revenues less expenses directly attributable to each applicable reportable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(Vacation Ownership and Exchange &amp; Third-Party Management). We consider this measure to be important in evaluating the performance of our reportable business segments. See Footnote 20 “Business Segments” to our Financial Statements for further information on our reportable business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50" w:name="page51"/>
    <w:bookmarkEnd w:id="50"/>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24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6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1,618</w:t>
            </w:r>
          </w:p>
        </w:tc>
        <w:tc>
          <w:tcPr>
            <w:tcW w:w="56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1,367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4,656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1,367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3,872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0" w:type="dxa"/>
            <w:vAlign w:val="bottom"/>
          </w:tcPr>
          <w:p>
            <w:pPr>
              <w:spacing w:after="0"/>
              <w:rPr>
                <w:sz w:val="1"/>
                <w:szCs w:val="1"/>
                <w:color w:val="auto"/>
              </w:rPr>
            </w:pPr>
          </w:p>
        </w:tc>
      </w:tr>
      <w:tr>
        <w:trPr>
          <w:trHeight w:val="22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59"/>
        </w:trPr>
        <w:tc>
          <w:tcPr>
            <w:tcW w:w="346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INCOME BEFORE INCOME TAXES AND</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43"/>
        </w:trPr>
        <w:tc>
          <w:tcPr>
            <w:tcW w:w="4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noncontrolling interests</w:t>
            </w:r>
          </w:p>
        </w:tc>
        <w:tc>
          <w:tcPr>
            <w:tcW w:w="36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46"/>
        </w:trPr>
        <w:tc>
          <w:tcPr>
            <w:tcW w:w="37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NET INCOME ATTRIBUTABLE TO COMMON</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60" w:type="dxa"/>
            <w:vAlign w:val="bottom"/>
          </w:tcPr>
          <w:p>
            <w:pPr>
              <w:spacing w:after="0"/>
              <w:rPr>
                <w:sz w:val="12"/>
                <w:szCs w:val="12"/>
                <w:color w:val="auto"/>
              </w:rPr>
            </w:pPr>
          </w:p>
        </w:tc>
        <w:tc>
          <w:tcPr>
            <w:tcW w:w="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2"/>
                <w:szCs w:val="12"/>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560" w:type="dxa"/>
            <w:vAlign w:val="bottom"/>
            <w:gridSpan w:val="2"/>
            <w:vMerge w:val="restart"/>
          </w:tcPr>
          <w:p>
            <w:pPr>
              <w:jc w:val="right"/>
              <w:ind w:right="26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2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Statistics</w:t>
            </w: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0" w:type="dxa"/>
            <w:vAlign w:val="bottom"/>
          </w:tcPr>
          <w:p>
            <w:pPr>
              <w:spacing w:after="0"/>
              <w:rPr>
                <w:sz w:val="1"/>
                <w:szCs w:val="1"/>
                <w:color w:val="auto"/>
              </w:rPr>
            </w:pPr>
          </w:p>
        </w:tc>
      </w:tr>
      <w:tr>
        <w:trPr>
          <w:trHeight w:val="19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Vacation Ownership</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contract sales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(74)</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Consolidated contract sales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(65)</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w:t>
            </w: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Joint venture contract sales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VPG</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4,356</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(333)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active members at end of year (000's)</w:t>
            </w: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3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Average revenue per member</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156.65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157.97</w:t>
            </w: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179.48</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(1.32)</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4,468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6"/>
              </w:rPr>
              <w:t>3%</w:t>
            </w:r>
          </w:p>
        </w:tc>
      </w:tr>
      <w:tr>
        <w:trPr>
          <w:trHeight w:val="24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80" w:type="dxa"/>
            <w:vAlign w:val="bottom"/>
            <w:tcBorders>
              <w:bottom w:val="single" w:sz="8" w:color="CCEEFF"/>
            </w:tcBorders>
          </w:tcPr>
          <w:p>
            <w:pPr>
              <w:jc w:val="center"/>
              <w:ind w:left="55"/>
              <w:spacing w:after="0"/>
              <w:rPr>
                <w:sz w:val="20"/>
                <w:szCs w:val="20"/>
                <w:color w:val="auto"/>
              </w:rPr>
            </w:pPr>
            <w:r>
              <w:rPr>
                <w:rFonts w:ascii="Times New Roman" w:cs="Times New Roman" w:eastAsia="Times New Roman" w:hAnsi="Times New Roman"/>
                <w:sz w:val="17"/>
                <w:szCs w:val="17"/>
                <w:color w:val="auto"/>
                <w:w w:val="98"/>
              </w:rPr>
              <w:t>(10%)</w:t>
            </w:r>
          </w:p>
        </w:tc>
      </w:tr>
      <w:tr>
        <w:trPr>
          <w:trHeight w:val="23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Revenues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4,730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6"/>
              </w:rPr>
              <w:t>2%</w:t>
            </w:r>
          </w:p>
        </w:tc>
      </w:tr>
      <w:tr>
        <w:trPr>
          <w:trHeight w:val="24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Consolidated Property Owners’ Associations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80" w:type="dxa"/>
            <w:vAlign w:val="bottom"/>
            <w:tcBorders>
              <w:bottom w:val="single" w:sz="8" w:color="CCEEFF"/>
            </w:tcBorders>
          </w:tcPr>
          <w:p>
            <w:pPr>
              <w:jc w:val="center"/>
              <w:ind w:left="55"/>
              <w:spacing w:after="0"/>
              <w:rPr>
                <w:sz w:val="20"/>
                <w:szCs w:val="20"/>
                <w:color w:val="auto"/>
              </w:rPr>
            </w:pPr>
            <w:r>
              <w:rPr>
                <w:rFonts w:ascii="Times New Roman" w:cs="Times New Roman" w:eastAsia="Times New Roman" w:hAnsi="Times New Roman"/>
                <w:sz w:val="17"/>
                <w:szCs w:val="17"/>
                <w:color w:val="auto"/>
                <w:w w:val="97"/>
              </w:rPr>
              <w:t>(112%)</w:t>
            </w:r>
          </w:p>
        </w:tc>
      </w:tr>
      <w:tr>
        <w:trPr>
          <w:trHeight w:val="235"/>
        </w:trPr>
        <w:tc>
          <w:tcPr>
            <w:tcW w:w="3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4,727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8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6"/>
              </w:rPr>
              <w:t>2%</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Before Interest Expense, Taxes, Depreciation and Amortization (“EBITDA”) and Adjusted EBITDA</w:t>
      </w:r>
    </w:p>
    <w:p>
      <w:pPr>
        <w:spacing w:after="0" w:line="1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EBITDA, a financial measure that is not prescribed by GAAP, is defined as earnings, or net income or loss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or loss attributable to common stockholders, which is the most directly comparable GAAP financial measure.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396"/>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(35%)</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23%</w:t>
            </w: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(24%)</w:t>
            </w:r>
          </w:p>
        </w:tc>
      </w:tr>
      <w:tr>
        <w:trPr>
          <w:trHeight w:val="243"/>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7"/>
                <w:szCs w:val="17"/>
                <w:color w:val="auto"/>
                <w:w w:val="96"/>
              </w:rPr>
              <w:t>2%</w:t>
            </w:r>
          </w:p>
        </w:tc>
      </w:tr>
      <w:tr>
        <w:trPr>
          <w:trHeight w:val="223"/>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EBITDA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(18%)</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8"/>
              </w:rPr>
              <w:t>(21%)</w:t>
            </w: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(47%)</w:t>
            </w:r>
          </w:p>
        </w:tc>
      </w:tr>
      <w:tr>
        <w:trPr>
          <w:trHeight w:val="210"/>
        </w:trPr>
        <w:tc>
          <w:tcPr>
            <w:tcW w:w="3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300" w:type="dxa"/>
            <w:vAlign w:val="bottom"/>
          </w:tcPr>
          <w:p>
            <w:pPr>
              <w:spacing w:after="0"/>
              <w:rPr>
                <w:sz w:val="18"/>
                <w:szCs w:val="18"/>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8"/>
              </w:rPr>
              <w:t>(21%)</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r>
      <w:tr>
        <w:trPr>
          <w:trHeight w:val="208"/>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EBITDA Margin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 pts)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397" w:right="399" w:bottom="1440" w:gutter="0" w:footer="0" w:header="0"/>
        </w:sectPr>
      </w:pPr>
    </w:p>
    <w:bookmarkStart w:id="52" w:name="page53"/>
    <w:bookmarkEnd w:id="52"/>
    <w:p>
      <w:pPr>
        <w:spacing w:after="0" w:line="256" w:lineRule="auto"/>
        <w:rPr>
          <w:sz w:val="20"/>
          <w:szCs w:val="20"/>
          <w:color w:val="auto"/>
        </w:rPr>
      </w:pPr>
      <w:r>
        <w:rPr>
          <w:rFonts w:ascii="Times New Roman" w:cs="Times New Roman" w:eastAsia="Times New Roman" w:hAnsi="Times New Roman"/>
          <w:sz w:val="17"/>
          <w:szCs w:val="17"/>
          <w:color w:val="auto"/>
        </w:rPr>
        <w:t>In the third quarter of 2022, in connection with the unification of our Marriott-, Westin-, and Sheraton- branded vacation ownership products under the Abound by Marriott Vacations program, we aligned our business practices and contract terms for the sale of vacation ownership products (the “Contract Alignment”), resulting in the prospective acceleration of revenue for the sale of Marriott-branded VOIs. The Contract Alignment increased Net income attributable to common stockholders and Adjusted EBITDA by $34 million and $46 million in 2022, respectively. In addition, we combined and aligned our reserve methodology for vacation ownership notes receivable for these brands (the “Reserve Alignment”), resulting in a $4 million increase in Net income attributable to common stockholders and a $5 million increase in Adjusted EBITDA. Together, these changes are hereinafter referred to as the “Alignment.” See Footnote 6 “Vacation Ownership Notes Receivable” to our Financial Statements for further information on the Reserve Alignment.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2023 and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19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r>
      <w:tr>
        <w:trPr>
          <w:trHeight w:val="224"/>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ILG integration</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Welk acquisition and integration</w:t>
            </w: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transformation initiatives</w:t>
            </w:r>
          </w:p>
        </w:tc>
        <w:tc>
          <w:tcPr>
            <w:tcW w:w="2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transaction costs</w:t>
            </w:r>
          </w:p>
        </w:tc>
        <w:tc>
          <w:tcPr>
            <w:tcW w:w="280" w:type="dxa"/>
            <w:vAlign w:val="bottom"/>
          </w:tcPr>
          <w:p>
            <w:pPr>
              <w:spacing w:after="0"/>
              <w:rPr>
                <w:sz w:val="21"/>
                <w:szCs w:val="21"/>
                <w:color w:val="auto"/>
              </w:rPr>
            </w:pPr>
          </w:p>
        </w:tc>
        <w:tc>
          <w:tcPr>
            <w:tcW w:w="920" w:type="dxa"/>
            <w:vAlign w:val="bottom"/>
            <w:gridSpan w:val="3"/>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Early redemption of senior secured notes</w:t>
            </w: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gridSpan w:val="3"/>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1"/>
                <w:szCs w:val="2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disposition of hotel, land, and other</w:t>
            </w: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disposition of VRI Americas</w:t>
            </w:r>
          </w:p>
        </w:tc>
        <w:tc>
          <w:tcPr>
            <w:tcW w:w="280" w:type="dxa"/>
            <w:vAlign w:val="bottom"/>
          </w:tcPr>
          <w:p>
            <w:pPr>
              <w:spacing w:after="0"/>
              <w:rPr>
                <w:sz w:val="21"/>
                <w:szCs w:val="21"/>
                <w:color w:val="auto"/>
              </w:rPr>
            </w:pPr>
          </w:p>
        </w:tc>
        <w:tc>
          <w:tcPr>
            <w:tcW w:w="920" w:type="dxa"/>
            <w:vAlign w:val="bottom"/>
            <w:gridSpan w:val="3"/>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indemnification asset</w:t>
            </w: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3"/>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66"/>
        </w:trPr>
        <w:tc>
          <w:tcPr>
            <w:tcW w:w="47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Expiration/forfeiture of deposits on pre-acquisition preview</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packages</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Early termination of VRI management contract</w:t>
            </w: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estimate relating to pre-acquisition contingencies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3"/>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0"/>
        </w:trPr>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Commencing in the third quarter of 2023, we discontinued classifying costs associated with the continued integration of ILG in Transaction and integration costs.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costs incurred are reflected in the operating results of each of our segments and/or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40"/>
          </w:cols>
          <w:pgMar w:left="320" w:top="1299" w:right="439" w:bottom="1440" w:gutter="0" w:footer="0" w:header="0"/>
        </w:sectPr>
      </w:pPr>
    </w:p>
    <w:bookmarkStart w:id="53" w:name="page54"/>
    <w:bookmarkEnd w:id="53"/>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left="27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8"/>
              </w:rPr>
              <w:t>(15%)</w:t>
            </w: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ind w:right="115"/>
              <w:spacing w:after="0"/>
              <w:rPr>
                <w:sz w:val="20"/>
                <w:szCs w:val="20"/>
                <w:color w:val="auto"/>
              </w:rPr>
            </w:pPr>
            <w:r>
              <w:rPr>
                <w:rFonts w:ascii="Times New Roman" w:cs="Times New Roman" w:eastAsia="Times New Roman" w:hAnsi="Times New Roman"/>
                <w:sz w:val="17"/>
                <w:szCs w:val="17"/>
                <w:color w:val="auto"/>
                <w:w w:val="98"/>
              </w:rPr>
              <w:t>(13%)</w:t>
            </w: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Adjusted EBITDA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8"/>
              </w:rPr>
              <w:t>(14%)</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00" w:type="dxa"/>
            <w:vAlign w:val="bottom"/>
          </w:tcPr>
          <w:p>
            <w:pPr>
              <w:spacing w:after="0"/>
              <w:rPr>
                <w:sz w:val="21"/>
                <w:szCs w:val="21"/>
                <w:color w:val="auto"/>
              </w:rPr>
            </w:pP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8"/>
              </w:rPr>
              <w:t>(10%)</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8"/>
              </w:rPr>
              <w:t>(37%)</w:t>
            </w:r>
          </w:p>
        </w:tc>
      </w:tr>
      <w:tr>
        <w:trPr>
          <w:trHeight w:val="210"/>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30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8"/>
              </w:rPr>
              <w:t>(21%)</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77" w:lineRule="exact"/>
        <w:rPr>
          <w:sz w:val="20"/>
          <w:szCs w:val="20"/>
          <w:color w:val="auto"/>
        </w:rPr>
      </w:pPr>
    </w:p>
    <w:p>
      <w:pPr>
        <w:ind w:right="2100"/>
        <w:spacing w:after="0" w:line="455" w:lineRule="auto"/>
        <w:rPr>
          <w:sz w:val="20"/>
          <w:szCs w:val="20"/>
          <w:color w:val="auto"/>
        </w:rPr>
      </w:pPr>
      <w:r>
        <w:rPr>
          <w:rFonts w:ascii="Times New Roman" w:cs="Times New Roman" w:eastAsia="Times New Roman" w:hAnsi="Times New Roman"/>
          <w:sz w:val="17"/>
          <w:szCs w:val="17"/>
          <w:color w:val="auto"/>
        </w:rPr>
        <w:t xml:space="preserve">The following tables present segment financial results attributable to common stockholders reconciled to segment Adjusted EBITDA. </w:t>
      </w:r>
      <w:r>
        <w:rPr>
          <w:rFonts w:ascii="Times New Roman" w:cs="Times New Roman" w:eastAsia="Times New Roman" w:hAnsi="Times New Roman"/>
          <w:sz w:val="17"/>
          <w:szCs w:val="17"/>
          <w:b w:val="1"/>
          <w:bCs w:val="1"/>
          <w:color w:val="auto"/>
        </w:rPr>
        <w:t>Vacation Ownership</w:t>
      </w: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left="27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financial results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(19%)</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2%</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6"/>
              </w:rPr>
              <w:t>20%</w:t>
            </w: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7"/>
                <w:szCs w:val="17"/>
                <w:color w:val="auto"/>
                <w:w w:val="95"/>
              </w:rPr>
              <w:t>117%</w:t>
            </w:r>
          </w:p>
        </w:tc>
      </w:tr>
      <w:tr>
        <w:trPr>
          <w:trHeight w:val="23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(15%)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We recognized an additional $51 million of Adjusted EBITDA in the Vacation Ownership segment during 2022 as a result of the Alignment. The table below details the components of Certain items for the Vacation Ownership segment financial results for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19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6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7"/>
                <w:szCs w:val="17"/>
                <w:color w:val="auto"/>
              </w:rPr>
            </w:pPr>
          </w:p>
        </w:tc>
      </w:tr>
      <w:tr>
        <w:trPr>
          <w:trHeight w:val="22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16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disposition of hotel, land, and other</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indemnification asset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1"/>
                <w:szCs w:val="21"/>
                <w:color w:val="auto"/>
              </w:rPr>
            </w:pPr>
          </w:p>
        </w:tc>
      </w:tr>
      <w:tr>
        <w:trPr>
          <w:trHeight w:val="243"/>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4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4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Expiration/forfeiture of deposits on pre-acquisition preview packages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3"/>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estimate relating to pre-acquisition contingencies</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left="27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financial results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w w:val="98"/>
              </w:rPr>
              <w:t>(39)</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(30%)</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(2%)</w:t>
            </w: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(23%)</w:t>
            </w:r>
          </w:p>
        </w:tc>
      </w:tr>
      <w:tr>
        <w:trPr>
          <w:trHeight w:val="243"/>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7"/>
                <w:szCs w:val="17"/>
                <w:color w:val="auto"/>
              </w:rPr>
              <w:t>21</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center"/>
              <w:ind w:right="75"/>
              <w:spacing w:after="0"/>
              <w:rPr>
                <w:sz w:val="20"/>
                <w:szCs w:val="20"/>
                <w:color w:val="auto"/>
              </w:rPr>
            </w:pPr>
            <w:r>
              <w:rPr>
                <w:rFonts w:ascii="Times New Roman" w:cs="Times New Roman" w:eastAsia="Times New Roman" w:hAnsi="Times New Roman"/>
                <w:sz w:val="17"/>
                <w:szCs w:val="17"/>
                <w:color w:val="auto"/>
              </w:rPr>
              <w:t>122%</w:t>
            </w:r>
          </w:p>
        </w:tc>
      </w:tr>
      <w:tr>
        <w:trPr>
          <w:trHeight w:val="235"/>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w w:val="98"/>
              </w:rPr>
              <w:t>(18)</w:t>
            </w: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(13%)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the Exchange &amp; Third-Party Management segment financial results for 2023 and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19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r>
      <w:tr>
        <w:trPr>
          <w:trHeight w:val="224"/>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disposition of hotel, land, and other</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disposition of VRI Americas</w:t>
            </w:r>
          </w:p>
        </w:tc>
        <w:tc>
          <w:tcPr>
            <w:tcW w:w="320" w:type="dxa"/>
            <w:vAlign w:val="bottom"/>
          </w:tcPr>
          <w:p>
            <w:pPr>
              <w:spacing w:after="0"/>
              <w:rPr>
                <w:sz w:val="21"/>
                <w:szCs w:val="21"/>
                <w:color w:val="auto"/>
              </w:rPr>
            </w:pPr>
          </w:p>
        </w:tc>
        <w:tc>
          <w:tcPr>
            <w:tcW w:w="9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Early termination of VRI management contract</w:t>
            </w: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34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Our business is grouped into two reportable business segments: Vacation Ownership and Exchange &amp; Third-Party Management. See Footnote 20 “Business Segments” to our Financial Statements for further information on our segments.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4,342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3,416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6"/>
        </w:trPr>
        <w:tc>
          <w:tcPr>
            <w:tcW w:w="41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 BEFORE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12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 ATTRIBUTABLE</w:t>
            </w:r>
          </w:p>
        </w:tc>
        <w:tc>
          <w:tcPr>
            <w:tcW w:w="300" w:type="dxa"/>
            <w:vAlign w:val="bottom"/>
            <w:tcBorders>
              <w:top w:val="single" w:sz="8" w:color="auto"/>
            </w:tcBorders>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961</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2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 COMMON STOCKHOLDERS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620"/>
          </w:cols>
          <w:pgMar w:left="320" w:top="1295" w:right="9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0" w:type="dxa"/>
            <w:vAlign w:val="bottom"/>
          </w:tcPr>
          <w:p>
            <w:pPr>
              <w:spacing w:after="0"/>
              <w:rPr>
                <w:sz w:val="1"/>
                <w:szCs w:val="1"/>
                <w:color w:val="auto"/>
              </w:rPr>
            </w:pPr>
          </w:p>
        </w:tc>
      </w:tr>
      <w:tr>
        <w:trPr>
          <w:trHeight w:val="137"/>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Contract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Contract</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2"/>
                <w:szCs w:val="12"/>
                <w:color w:val="auto"/>
              </w:rPr>
            </w:pPr>
          </w:p>
        </w:tc>
        <w:tc>
          <w:tcPr>
            <w:tcW w:w="560" w:type="dxa"/>
            <w:vAlign w:val="bottom"/>
            <w:vMerge w:val="restart"/>
          </w:tcPr>
          <w:p>
            <w:pPr>
              <w:jc w:val="center"/>
              <w:ind w:right="15"/>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Sales, Net of</w:t>
            </w:r>
          </w:p>
        </w:tc>
        <w:tc>
          <w:tcPr>
            <w:tcW w:w="120" w:type="dxa"/>
            <w:vAlign w:val="bottom"/>
          </w:tcPr>
          <w:p>
            <w:pPr>
              <w:spacing w:after="0"/>
              <w:rPr>
                <w:sz w:val="12"/>
                <w:szCs w:val="12"/>
                <w:color w:val="auto"/>
              </w:rPr>
            </w:pPr>
          </w:p>
        </w:tc>
        <w:tc>
          <w:tcPr>
            <w:tcW w:w="560" w:type="dxa"/>
            <w:vAlign w:val="bottom"/>
            <w:vMerge w:val="restart"/>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Sales, Net of</w:t>
            </w:r>
          </w:p>
        </w:tc>
        <w:tc>
          <w:tcPr>
            <w:tcW w:w="120" w:type="dxa"/>
            <w:vAlign w:val="bottom"/>
          </w:tcPr>
          <w:p>
            <w:pPr>
              <w:spacing w:after="0"/>
              <w:rPr>
                <w:sz w:val="12"/>
                <w:szCs w:val="12"/>
                <w:color w:val="auto"/>
              </w:rPr>
            </w:pPr>
          </w:p>
        </w:tc>
        <w:tc>
          <w:tcPr>
            <w:tcW w:w="580" w:type="dxa"/>
            <w:vAlign w:val="bottom"/>
            <w:vMerge w:val="restart"/>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Sales, Net of</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88"/>
        </w:trPr>
        <w:tc>
          <w:tcPr>
            <w:tcW w:w="1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Resales</w:t>
            </w: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Resales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4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Consolidated contract</w:t>
            </w: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7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(4%)</w:t>
            </w: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Joint venture contract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7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8"/>
              </w:rPr>
              <w:t>(24%)</w:t>
            </w:r>
          </w:p>
        </w:tc>
        <w:tc>
          <w:tcPr>
            <w:tcW w:w="0" w:type="dxa"/>
            <w:vAlign w:val="bottom"/>
          </w:tcPr>
          <w:p>
            <w:pPr>
              <w:spacing w:after="0"/>
              <w:rPr>
                <w:sz w:val="1"/>
                <w:szCs w:val="1"/>
                <w:color w:val="auto"/>
              </w:rPr>
            </w:pPr>
          </w:p>
        </w:tc>
      </w:tr>
      <w:tr>
        <w:trPr>
          <w:trHeight w:val="22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contract sales</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1,411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7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(4%)</w:t>
            </w: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Less resales contract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5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Less joint venture</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5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Consolidated contract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net of resales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1,348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7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(4%)</w:t>
            </w: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9"/>
              </w:rPr>
              <w:t>Settlement revenue</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Resales revenue</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Revenue recognition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Reportability</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reserve</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8"/>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8"/>
                <w:szCs w:val="8"/>
                <w:color w:val="auto"/>
              </w:rPr>
              <w:t>(1)</w:t>
            </w: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9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5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Sale of vacation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1,153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ownership products</w:t>
            </w:r>
          </w:p>
        </w:tc>
        <w:tc>
          <w:tcPr>
            <w:tcW w:w="1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98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9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6"/>
              </w:rPr>
              <w:t>90%</w:t>
            </w: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9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7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8"/>
              </w:rPr>
              <w:t>(10%)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7"/>
                <w:szCs w:val="17"/>
                <w:color w:val="auto"/>
              </w:rPr>
              <w:t>53.9%</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4.2 pts</w:t>
            </w: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Average FICO</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Score</w:t>
            </w:r>
            <w:r>
              <w:rPr>
                <w:rFonts w:ascii="Times New Roman" w:cs="Times New Roman" w:eastAsia="Times New Roman" w:hAnsi="Times New Roman"/>
                <w:sz w:val="22"/>
                <w:szCs w:val="22"/>
                <w:color w:val="auto"/>
                <w:vertAlign w:val="superscript"/>
              </w:rPr>
              <w:t>(2)</w:t>
            </w:r>
          </w:p>
        </w:tc>
        <w:tc>
          <w:tcPr>
            <w:tcW w:w="120" w:type="dxa"/>
            <w:vAlign w:val="bottom"/>
          </w:tcPr>
          <w:p>
            <w:pPr>
              <w:spacing w:after="0"/>
              <w:rPr>
                <w:sz w:val="24"/>
                <w:szCs w:val="24"/>
                <w:color w:val="auto"/>
              </w:rPr>
            </w:pPr>
          </w:p>
        </w:tc>
        <w:tc>
          <w:tcPr>
            <w:tcW w:w="56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735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0" w:hanging="298"/>
        <w:spacing w:after="0" w:line="228" w:lineRule="auto"/>
        <w:tabs>
          <w:tab w:leader="none" w:pos="28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 for sales incentives that will not be recognized as Sale of vacation ownership products revenue and other adjustments to Sale of vacation ownership products revenue.</w:t>
      </w:r>
    </w:p>
    <w:p>
      <w:pPr>
        <w:spacing w:after="0" w:line="2"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customers who financed a vacation ownership purchase and for whom a credit score was available, generally U.S. and Canadian residents.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Contract sales declined due to an 8% decline in VPG, partially offset by tour growth of 4%. The decline in VPG is attributed to the normalization of sales following the COVID-19 pandemic, the transition of certain Legacy-ILG sales galleries to selling our Marriott Vacation Club Destinations product and the impact of the reduced activity at our sales centers in Maui due to the wildfires. These results reflect a 46% and 14% increase in tours and VPG, respectively, in Asia Pacific resulting from the rebound of our sales operations in response to the increase in travel in this region following the COVID-19 pandemic.</w:t>
      </w:r>
    </w:p>
    <w:p>
      <w:pPr>
        <w:spacing w:after="0" w:line="7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Revenue reportability declined due to the non-recurring impact of the Alignment recorded in 2022, which resulted in an increase in reportability of $58 million in 2022.</w:t>
      </w:r>
    </w:p>
    <w:p>
      <w:pPr>
        <w:spacing w:after="0" w:line="5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increase in the sales reserve is due to an adjustment to our sales reserve recorded in the third quarter of 2023 (referred to as the “2023 Reserve Adjustment” and discussed further below), an increase in the sales reserve rate in the fourth quarter of 2023 to provide for increased defaults consistent with the 2023 Reserve Adjustment, and an increase in financing propensity, partially offset by the non-recurring $19 million Reserve Alignment recorded in 2022.</w:t>
      </w:r>
    </w:p>
    <w:p>
      <w:pPr>
        <w:spacing w:after="0" w:line="6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In the third quarter of 2023, we evaluated our vacation ownership notes receivable reserve in light of trends in delinquencies and default rates. As a result, we increased our originated vacation ownership notes receivable reserve by $59 million. We primarily used a similar historical period of increased defaults as a basis for estimating the increase in our reserve. The additional reserve adjusted our future default rate estimates to reflect then-current macroeconomic conditions, including inflation outpacing wage growth, continuing high interest rates, mixed economic indicators and increased global insecurity.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397" w:right="399" w:bottom="1440" w:gutter="0" w:footer="0" w:header="0"/>
        </w:sectPr>
      </w:pPr>
    </w:p>
    <w:bookmarkStart w:id="57" w:name="page58"/>
    <w:bookmarkEnd w:id="57"/>
    <w:p>
      <w:pPr>
        <w:ind w:right="380"/>
        <w:spacing w:after="0" w:line="283" w:lineRule="auto"/>
        <w:rPr>
          <w:sz w:val="20"/>
          <w:szCs w:val="20"/>
          <w:color w:val="auto"/>
        </w:rPr>
      </w:pPr>
      <w:r>
        <w:rPr>
          <w:rFonts w:ascii="Times New Roman" w:cs="Times New Roman" w:eastAsia="Times New Roman" w:hAnsi="Times New Roman"/>
          <w:sz w:val="17"/>
          <w:szCs w:val="17"/>
          <w:color w:val="auto"/>
        </w:rPr>
        <w:t>The $19 million Reserve Alignment in 2022 was offset by a $19 million decrease in the acquired reserve for vacation ownership notes receivable recorded as a reduction of Financing expenses in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Profit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95"/>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0" w:type="dxa"/>
            <w:vAlign w:val="bottom"/>
          </w:tcPr>
          <w:p>
            <w:pPr>
              <w:spacing w:after="0"/>
              <w:rPr>
                <w:sz w:val="1"/>
                <w:szCs w:val="1"/>
                <w:color w:val="auto"/>
              </w:rPr>
            </w:pPr>
          </w:p>
        </w:tc>
      </w:tr>
      <w:tr>
        <w:trPr>
          <w:trHeight w:val="150"/>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3"/>
                <w:szCs w:val="13"/>
                <w:color w:val="auto"/>
              </w:rPr>
            </w:pPr>
          </w:p>
        </w:tc>
        <w:tc>
          <w:tcPr>
            <w:tcW w:w="600" w:type="dxa"/>
            <w:vAlign w:val="bottom"/>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3"/>
                <w:szCs w:val="13"/>
                <w:color w:val="auto"/>
              </w:rPr>
            </w:pPr>
          </w:p>
        </w:tc>
        <w:tc>
          <w:tcPr>
            <w:tcW w:w="74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40" w:type="dxa"/>
            <w:vAlign w:val="bottom"/>
          </w:tcPr>
          <w:p>
            <w:pPr>
              <w:spacing w:after="0"/>
              <w:rPr>
                <w:sz w:val="13"/>
                <w:szCs w:val="13"/>
                <w:color w:val="auto"/>
              </w:rPr>
            </w:pPr>
          </w:p>
        </w:tc>
        <w:tc>
          <w:tcPr>
            <w:tcW w:w="620" w:type="dxa"/>
            <w:vAlign w:val="bottom"/>
            <w:vMerge w:val="restart"/>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3"/>
                <w:szCs w:val="13"/>
                <w:color w:val="auto"/>
              </w:rPr>
            </w:pPr>
          </w:p>
        </w:tc>
        <w:tc>
          <w:tcPr>
            <w:tcW w:w="740" w:type="dxa"/>
            <w:vAlign w:val="bottom"/>
            <w:gridSpan w:val="2"/>
          </w:tcPr>
          <w:p>
            <w:pPr>
              <w:jc w:val="center"/>
              <w:ind w:right="140"/>
              <w:spacing w:after="0" w:line="150"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3"/>
                <w:szCs w:val="13"/>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3"/>
                <w:szCs w:val="13"/>
                <w:color w:val="auto"/>
              </w:rPr>
            </w:pPr>
          </w:p>
        </w:tc>
        <w:tc>
          <w:tcPr>
            <w:tcW w:w="74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9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88"/>
        </w:trPr>
        <w:tc>
          <w:tcPr>
            <w:tcW w:w="2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8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Sale of vacation ownership</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7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(10%)</w:t>
            </w:r>
          </w:p>
        </w:tc>
        <w:tc>
          <w:tcPr>
            <w:tcW w:w="0" w:type="dxa"/>
            <w:vAlign w:val="bottom"/>
          </w:tcPr>
          <w:p>
            <w:pPr>
              <w:spacing w:after="0"/>
              <w:rPr>
                <w:sz w:val="1"/>
                <w:szCs w:val="1"/>
                <w:color w:val="auto"/>
              </w:rPr>
            </w:pPr>
          </w:p>
        </w:tc>
      </w:tr>
      <w:tr>
        <w:trPr>
          <w:trHeight w:val="166"/>
        </w:trPr>
        <w:tc>
          <w:tcPr>
            <w:tcW w:w="208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Cost of vacation ownership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7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8"/>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7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8"/>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7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8"/>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7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6"/>
              </w:rPr>
              <w:t>23%</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7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7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(50%)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74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8"/>
              </w:rPr>
              <w:t>(54%)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7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7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8"/>
              </w:rPr>
              <w:t>(21%)</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profit margin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28.3%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pts)</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decrease in Development profit reflects lower contract sales volumes and higher sales reserves, higher marketing and sales costs attributed to the 4% increase in tours, lower VPGs and higher than normal inflation, partially offset by $13 million of favorable product cost true-up activity and a lower average cost of inventory in 2023.</w:t>
      </w:r>
    </w:p>
    <w:p>
      <w:pPr>
        <w:spacing w:after="0" w:line="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Excluding the impact of the $49 million 2023 Reserve Adjustment ($59 million gross, offset by a $10 million reduction in Cost of vacation ownership products) and the $32 million Alignment in 2022, Development profit decreased $28 million and Development profit margin decreased by approximately 60 basis points. We expect future development profit margins to decline slightly resulting from increasing our sales reserve to reflect more recent default activity and an increase in Cost of vacation ownership products.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Resort Management and Other Services Revenues, Expenses and Profit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43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w w:val="93"/>
              </w:rPr>
              <w:t>166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158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6"/>
              </w:rPr>
              <w:t>8%</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revenues</w:t>
            </w:r>
          </w:p>
        </w:tc>
        <w:tc>
          <w:tcPr>
            <w:tcW w:w="160" w:type="dxa"/>
            <w:vAlign w:val="bottom"/>
          </w:tcPr>
          <w:p>
            <w:pPr>
              <w:spacing w:after="0"/>
              <w:rPr>
                <w:sz w:val="21"/>
                <w:szCs w:val="21"/>
                <w:color w:val="auto"/>
              </w:rPr>
            </w:pPr>
          </w:p>
        </w:tc>
        <w:tc>
          <w:tcPr>
            <w:tcW w:w="720" w:type="dxa"/>
            <w:vAlign w:val="bottom"/>
          </w:tcPr>
          <w:p>
            <w:pPr>
              <w:jc w:val="center"/>
              <w:ind w:left="216"/>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left="216"/>
              <w:spacing w:after="0"/>
              <w:rPr>
                <w:sz w:val="20"/>
                <w:szCs w:val="20"/>
                <w:color w:val="auto"/>
              </w:rPr>
            </w:pPr>
            <w:r>
              <w:rPr>
                <w:rFonts w:ascii="Times New Roman" w:cs="Times New Roman" w:eastAsia="Times New Roman" w:hAnsi="Times New Roman"/>
                <w:sz w:val="17"/>
                <w:szCs w:val="17"/>
                <w:color w:val="auto"/>
                <w:w w:val="93"/>
              </w:rPr>
              <w:t>241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rPr>
              <w:t>188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00" w:type="dxa"/>
            <w:vAlign w:val="bottom"/>
          </w:tcPr>
          <w:p>
            <w:pPr>
              <w:spacing w:after="0"/>
              <w:rPr>
                <w:sz w:val="21"/>
                <w:szCs w:val="21"/>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5%</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management and exchange revenues</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w w:val="93"/>
              </w:rPr>
              <w:t>127</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124</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6"/>
              </w:rPr>
              <w:t>7%</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revenues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spacing w:after="0"/>
              <w:rPr>
                <w:sz w:val="19"/>
                <w:szCs w:val="19"/>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6%</w:t>
            </w: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expenses</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(240)</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center"/>
              <w:ind w:left="176"/>
              <w:spacing w:after="0"/>
              <w:rPr>
                <w:sz w:val="20"/>
                <w:szCs w:val="20"/>
                <w:color w:val="auto"/>
              </w:rPr>
            </w:pPr>
            <w:r>
              <w:rPr>
                <w:rFonts w:ascii="Times New Roman" w:cs="Times New Roman" w:eastAsia="Times New Roman" w:hAnsi="Times New Roman"/>
                <w:sz w:val="17"/>
                <w:szCs w:val="17"/>
                <w:color w:val="auto"/>
                <w:w w:val="97"/>
              </w:rPr>
              <w:t>(200)</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w w:val="98"/>
              </w:rPr>
              <w:t>(12%)</w:t>
            </w: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and other services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7"/>
                <w:szCs w:val="17"/>
                <w:color w:val="auto"/>
                <w:w w:val="93"/>
              </w:rPr>
              <w:t>294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7"/>
                <w:szCs w:val="17"/>
                <w:color w:val="auto"/>
              </w:rPr>
              <w:t>270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tcPr>
          <w:p>
            <w:pPr>
              <w:spacing w:after="0"/>
              <w:rPr>
                <w:sz w:val="18"/>
                <w:szCs w:val="18"/>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6"/>
              </w:rPr>
              <w:t>1%</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r>
      <w:tr>
        <w:trPr>
          <w:trHeight w:val="132"/>
        </w:trPr>
        <w:tc>
          <w:tcPr>
            <w:tcW w:w="35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5"/>
                <w:szCs w:val="15"/>
                <w:color w:val="auto"/>
              </w:rPr>
              <w:t>Resort management and other services profit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margin</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52.4%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55.1%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57.5%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(2.7 pts)</w:t>
            </w:r>
          </w:p>
        </w:tc>
        <w:tc>
          <w:tcPr>
            <w:tcW w:w="640" w:type="dxa"/>
            <w:vAlign w:val="bottom"/>
            <w:shd w:val="clear" w:color="auto" w:fill="CCEEFF"/>
          </w:tcPr>
          <w:p>
            <w:pPr>
              <w:spacing w:after="0"/>
              <w:rPr>
                <w:sz w:val="19"/>
                <w:szCs w:val="19"/>
                <w:color w:val="auto"/>
              </w:rPr>
            </w:pP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occupancy</w:t>
            </w:r>
            <w:r>
              <w:rPr>
                <w:rFonts w:ascii="Times New Roman" w:cs="Times New Roman" w:eastAsia="Times New Roman" w:hAnsi="Times New Roman"/>
                <w:sz w:val="8"/>
                <w:szCs w:val="8"/>
                <w:color w:val="auto"/>
              </w:rPr>
              <w:t>(1)</w:t>
            </w:r>
          </w:p>
        </w:tc>
        <w:tc>
          <w:tcPr>
            <w:tcW w:w="160" w:type="dxa"/>
            <w:vAlign w:val="bottom"/>
          </w:tcPr>
          <w:p>
            <w:pPr>
              <w:spacing w:after="0"/>
              <w:rPr>
                <w:sz w:val="21"/>
                <w:szCs w:val="2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88.1%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89.3%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81.6%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(1.2 pts)</w:t>
            </w:r>
          </w:p>
        </w:tc>
        <w:tc>
          <w:tcPr>
            <w:tcW w:w="640" w:type="dxa"/>
            <w:vAlign w:val="bottom"/>
          </w:tcPr>
          <w:p>
            <w:pPr>
              <w:spacing w:after="0"/>
              <w:rPr>
                <w:sz w:val="21"/>
                <w:szCs w:val="21"/>
                <w:color w:val="auto"/>
              </w:rPr>
            </w:pPr>
          </w:p>
        </w:tc>
      </w:tr>
    </w:tbl>
    <w:p>
      <w:pPr>
        <w:spacing w:after="0" w:line="130" w:lineRule="exact"/>
        <w:rPr>
          <w:sz w:val="20"/>
          <w:szCs w:val="20"/>
          <w:color w:val="auto"/>
        </w:rPr>
      </w:pPr>
    </w:p>
    <w:p>
      <w:pPr>
        <w:ind w:left="300" w:hanging="298"/>
        <w:spacing w:after="0"/>
        <w:tabs>
          <w:tab w:leader="none" w:pos="3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Resort occupancy represents all transient, preview, and owner keys divided by total keys available, net of keys out of service.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increase in Resort management and other services revenues reflects higher ancillary revenues, including revenues from food and beverage and golf offerings (resulting in a 6% increase in revenue per occupied key, partially offset by a 2% decrease in occupied keys at resorts with ancillary businesses), and higher management fees and commissions from third-party vacation and other offerings. The decline in occupied keys at resorts with ancillary businesses was primarily in Maui due to the wildfires.</w:t>
      </w:r>
    </w:p>
    <w:p>
      <w:pPr>
        <w:spacing w:after="0" w:line="70"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7"/>
          <w:szCs w:val="17"/>
          <w:color w:val="auto"/>
        </w:rPr>
        <w:t>The increase in Resort management and other services expenses reflects an increase in ancillary expenses of $19 million due to increased volumes sold, inflation and foreign currency exchange rate changes in Mexico, and an increase in customer services and exchange company expenses of $11 million due to incremental headcount, wages, benefits, and other operating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Rental Revenues, Expenses and Margin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0" w:type="dxa"/>
            <w:vAlign w:val="bottom"/>
          </w:tcPr>
          <w:p>
            <w:pPr>
              <w:spacing w:after="0"/>
              <w:rPr>
                <w:sz w:val="1"/>
                <w:szCs w:val="1"/>
                <w:color w:val="auto"/>
              </w:rPr>
            </w:pPr>
          </w:p>
        </w:tc>
      </w:tr>
      <w:tr>
        <w:trPr>
          <w:trHeight w:val="19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2021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398"/>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40" w:type="dxa"/>
            <w:vAlign w:val="bottom"/>
            <w:shd w:val="clear" w:color="auto" w:fill="CCEEFF"/>
          </w:tcPr>
          <w:p>
            <w:pPr>
              <w:spacing w:after="0"/>
              <w:rPr>
                <w:sz w:val="19"/>
                <w:szCs w:val="19"/>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22</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6"/>
              </w:rPr>
              <w:t>4%</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(466)</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(66)</w:t>
            </w:r>
          </w:p>
        </w:tc>
        <w:tc>
          <w:tcPr>
            <w:tcW w:w="32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jc w:val="center"/>
              <w:ind w:right="115"/>
              <w:spacing w:after="0"/>
              <w:rPr>
                <w:sz w:val="20"/>
                <w:szCs w:val="20"/>
                <w:color w:val="auto"/>
              </w:rPr>
            </w:pPr>
            <w:r>
              <w:rPr>
                <w:rFonts w:ascii="Times New Roman" w:cs="Times New Roman" w:eastAsia="Times New Roman" w:hAnsi="Times New Roman"/>
                <w:sz w:val="17"/>
                <w:szCs w:val="17"/>
                <w:color w:val="auto"/>
                <w:w w:val="98"/>
              </w:rPr>
              <w:t>(16%)</w:t>
            </w:r>
          </w:p>
        </w:tc>
        <w:tc>
          <w:tcPr>
            <w:tcW w:w="0" w:type="dxa"/>
            <w:vAlign w:val="bottom"/>
          </w:tcPr>
          <w:p>
            <w:pPr>
              <w:spacing w:after="0"/>
              <w:rPr>
                <w:sz w:val="1"/>
                <w:szCs w:val="1"/>
                <w:color w:val="auto"/>
              </w:rPr>
            </w:pPr>
          </w:p>
        </w:tc>
      </w:tr>
      <w:tr>
        <w:trPr>
          <w:trHeight w:val="235"/>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profit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8"/>
              </w:rPr>
              <w:t>(40%)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Rental profit margin</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60" w:type="dxa"/>
            <w:vAlign w:val="bottom"/>
            <w:tcBorders>
              <w:top w:val="single" w:sz="8" w:color="CCEEFF"/>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rPr>
              <w:t>12.4%</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37"/>
              <w:spacing w:after="0" w:line="193" w:lineRule="exact"/>
              <w:rPr>
                <w:sz w:val="20"/>
                <w:szCs w:val="20"/>
                <w:color w:val="auto"/>
              </w:rPr>
            </w:pPr>
            <w:r>
              <w:rPr>
                <w:rFonts w:ascii="Times New Roman" w:cs="Times New Roman" w:eastAsia="Times New Roman" w:hAnsi="Times New Roman"/>
                <w:sz w:val="17"/>
                <w:szCs w:val="17"/>
                <w:color w:val="auto"/>
              </w:rPr>
              <w:t>11.7%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line="193" w:lineRule="exact"/>
              <w:rPr>
                <w:sz w:val="20"/>
                <w:szCs w:val="20"/>
                <w:color w:val="auto"/>
              </w:rPr>
            </w:pPr>
            <w:r>
              <w:rPr>
                <w:rFonts w:ascii="Times New Roman" w:cs="Times New Roman" w:eastAsia="Times New Roman" w:hAnsi="Times New Roman"/>
                <w:sz w:val="17"/>
                <w:szCs w:val="17"/>
                <w:color w:val="auto"/>
              </w:rPr>
              <w:t>(9.0 pts)</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3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0" w:type="dxa"/>
            <w:vAlign w:val="bottom"/>
          </w:tcPr>
          <w:p>
            <w:pPr>
              <w:spacing w:after="0"/>
              <w:rPr>
                <w:sz w:val="1"/>
                <w:szCs w:val="1"/>
                <w:color w:val="auto"/>
              </w:rPr>
            </w:pPr>
          </w:p>
        </w:tc>
      </w:tr>
      <w:tr>
        <w:trPr>
          <w:trHeight w:val="19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(transient keys in millions)</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438"/>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Transient keys rented</w:t>
            </w:r>
            <w:r>
              <w:rPr>
                <w:rFonts w:ascii="Times New Roman" w:cs="Times New Roman" w:eastAsia="Times New Roman" w:hAnsi="Times New Roman"/>
                <w:sz w:val="8"/>
                <w:szCs w:val="8"/>
                <w:color w:val="auto"/>
              </w:rPr>
              <w:t>(1)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2,072,590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2,073,945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1,933,746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(1,355)</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transient key rate</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268.79</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0.40</w:t>
            </w:r>
          </w:p>
        </w:tc>
        <w:tc>
          <w:tcPr>
            <w:tcW w:w="32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occupancy</w:t>
            </w:r>
            <w:r>
              <w:rPr>
                <w:rFonts w:ascii="Times New Roman" w:cs="Times New Roman" w:eastAsia="Times New Roman" w:hAnsi="Times New Roman"/>
                <w:sz w:val="8"/>
                <w:szCs w:val="8"/>
                <w:color w:val="auto"/>
              </w:rPr>
              <w:t>(2)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68.2%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55.1%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(2.1 pts)</w:t>
            </w: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00" w:hanging="298"/>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Transient keys rented exclude plus points and preview stays.</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Rental occupancy represents transient and preview keys divided by keys available to rent, which is total available keys excluding owner usage.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Rental profit excluding profit from our owned hotels declined $38 million due to a $49 million increase in unsold maintenance fees associated with developer owned inventory, $11 million of decreased profit (due to lower demand, the impact of the Maui wildfires, and an unfavorable change in the mix of keys available to rent), and $5 million of increased costs associated with higher owner utilization of third-party vacation and other offerings. These decreases were partially offset by $21 million of higher plus points revenue and a $6 million reduction in costs associated with occupancy used for marketing and sales activities.</w:t>
      </w:r>
    </w:p>
    <w:p>
      <w:pPr>
        <w:spacing w:after="0" w:line="70"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Rental profit for our owned hotels declined by $6 million, or 34%, primarily attributed to the disposition of our Puerto Vallarta and Branson hotels in 2022 and 2023,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Revenues, Expenses and Margin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10%</w:t>
            </w:r>
          </w:p>
        </w:tc>
      </w:tr>
      <w:tr>
        <w:trPr>
          <w:trHeight w:val="256"/>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expenses</w:t>
            </w:r>
          </w:p>
        </w:tc>
        <w:tc>
          <w:tcPr>
            <w:tcW w:w="160" w:type="dxa"/>
            <w:vAlign w:val="bottom"/>
          </w:tcPr>
          <w:p>
            <w:pPr>
              <w:spacing w:after="0"/>
              <w:rPr>
                <w:sz w:val="22"/>
                <w:szCs w:val="22"/>
                <w:color w:val="auto"/>
              </w:rPr>
            </w:pPr>
          </w:p>
        </w:tc>
        <w:tc>
          <w:tcPr>
            <w:tcW w:w="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60" w:type="dxa"/>
            <w:vAlign w:val="bottom"/>
          </w:tcPr>
          <w:p>
            <w:pPr>
              <w:spacing w:after="0"/>
              <w:rPr>
                <w:sz w:val="22"/>
                <w:szCs w:val="22"/>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8"/>
              </w:rPr>
              <w:t>(82%)</w:t>
            </w: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 financing 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w w:val="98"/>
              </w:rPr>
              <w:t>(40%)</w:t>
            </w: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60" w:type="dxa"/>
            <w:vAlign w:val="bottom"/>
          </w:tcPr>
          <w:p>
            <w:pPr>
              <w:spacing w:after="0"/>
              <w:rPr>
                <w:sz w:val="18"/>
                <w:szCs w:val="18"/>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9"/>
              </w:rPr>
              <w:t>(4%)</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r>
      <w:tr>
        <w:trPr>
          <w:trHeight w:val="20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profit margin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rPr>
              <w:t>64.9%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6"/>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7"/>
                <w:szCs w:val="17"/>
                <w:color w:val="auto"/>
              </w:rPr>
              <w:t>(9.6 pts)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44"/>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6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rPr>
              <w:t>58.1%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4.2 pts</w:t>
            </w:r>
          </w:p>
        </w:tc>
        <w:tc>
          <w:tcPr>
            <w:tcW w:w="600" w:type="dxa"/>
            <w:vAlign w:val="bottom"/>
          </w:tcPr>
          <w:p>
            <w:pPr>
              <w:spacing w:after="0"/>
              <w:rPr>
                <w:sz w:val="21"/>
                <w:szCs w:val="2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7"/>
          <w:szCs w:val="17"/>
          <w:color w:val="auto"/>
        </w:rPr>
        <w:t>The increase in Financing revenues reflects $31 million of higher interest income as a result of a higher average vacation ownership notes receivable balance and a slightly higher average interest rate and $1 million of higher late and service fees, offset by $3 million of higher plus point financing incentive costs (recorded as a reduction of interest income). We plan to continue offering financing incentives to certain customers in the future.</w:t>
      </w:r>
    </w:p>
    <w:p>
      <w:pPr>
        <w:spacing w:after="0" w:line="6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Excluding the $19 million Reserve Alignment recorded in 2022, which reduced the reserve related to our acquired vacation ownership notes receivable (recorded as a reduction of Financing expenses), the decline in Financing expenses is attributed to a reduction in the acquired vacation ownership notes receivable reserve of $3 million during 2023.</w:t>
      </w:r>
    </w:p>
    <w:p>
      <w:pPr>
        <w:spacing w:after="0" w:line="6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increase in consumer financing interest expense is attributable to the higher average securitized debt and a higher average interest rate on our more recent term securitization transactions. We expect consumer financing interest expense to continue to increase as the rates on new securitizations exceed the current weighted average of our portfolio. We expect originations of vacation ownership notes receivable to outpace payoffs. We do not adjust interest rates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397" w:right="399" w:bottom="1440" w:gutter="0" w:footer="0" w:header="0"/>
        </w:sectPr>
      </w:pPr>
    </w:p>
    <w:bookmarkStart w:id="59" w:name="page60"/>
    <w:bookmarkEnd w:id="59"/>
    <w:p>
      <w:pPr>
        <w:ind w:right="140"/>
        <w:spacing w:after="0" w:line="283" w:lineRule="auto"/>
        <w:rPr>
          <w:sz w:val="20"/>
          <w:szCs w:val="20"/>
          <w:color w:val="auto"/>
        </w:rPr>
      </w:pPr>
      <w:r>
        <w:rPr>
          <w:rFonts w:ascii="Times New Roman" w:cs="Times New Roman" w:eastAsia="Times New Roman" w:hAnsi="Times New Roman"/>
          <w:sz w:val="17"/>
          <w:szCs w:val="17"/>
          <w:color w:val="auto"/>
        </w:rPr>
        <w:t>consumer financing offerings at the same pace as, or in lock-step with, broader market interest rates; thus, we expect our financing profit margin to decrease in the near term.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Charges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3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2023 and 2022, the litigation charges relate primarily to our business in Europe.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Royalty Fee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Fiscal Years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60" w:type="dxa"/>
            <w:vAlign w:val="bottom"/>
            <w:tcBorders>
              <w:bottom w:val="single" w:sz="8" w:color="auto"/>
            </w:tcBorders>
          </w:tcPr>
          <w:p>
            <w:pPr>
              <w:spacing w:after="0"/>
              <w:rPr>
                <w:sz w:val="17"/>
                <w:szCs w:val="17"/>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Royalty fee</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rPr>
              <w:t>3</w:t>
            </w:r>
          </w:p>
        </w:tc>
        <w:tc>
          <w:tcPr>
            <w:tcW w:w="5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Royalty fee expense increased $2 million due to increased variable royalty fees paid to Hyatt, which became effective in the fourth quarter of 2022, and a $1 million increase in initial sales of our inventory, which carry a higher royalty fee as compared to sales of pre-owned inventory (two percent versus one percent).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7"/>
                <w:szCs w:val="17"/>
                <w:color w:val="auto"/>
              </w:rPr>
              <w:t>10</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5"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During 2023, we recorded non-cash impairment charges of $8 million related to our investment in a joint venture, $2 million related to an ancillary operation in Europe, and $2 million related to an owned hotel.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2022, we recorded a non-cash impairment charge of $2 million related to an ancillary operation in Europe.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and Other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(8)</w:t>
            </w:r>
          </w:p>
        </w:tc>
        <w:tc>
          <w:tcPr>
            <w:tcW w:w="6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8"/>
              </w:rPr>
              <w:t>(23%)</w:t>
            </w:r>
          </w:p>
        </w:tc>
      </w:tr>
    </w:tbl>
    <w:p>
      <w:pPr>
        <w:spacing w:after="0" w:line="175"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During 2023, we recorded a $9 million reduction in certain pre-acquisition contingencies associated with the ILG Acquisition, $9 million related to the receipt of business interruption and property damage insurance proceeds, $7 million of gains on the disposition of excess real estate, and $4 million of gains associated with the earn out of additional proceeds from the 2019 disposition of a land parcel in Cancun, Mexico.</w:t>
      </w:r>
    </w:p>
    <w:p>
      <w:pPr>
        <w:spacing w:after="0" w:line="6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7"/>
          <w:szCs w:val="17"/>
          <w:color w:val="auto"/>
        </w:rPr>
        <w:t>During 2022, we recorded gains and other income of $33 million related to the strategic decision to dispose of our hotel in Puerto Vallarta, Mexico, $3 million related to the receipt of business interruption insurance proceeds, and $1 million related to property insurance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9"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Exchange &amp; Third-Party Management segment is comprised of the Interval International and Aqua-Aston businesses. The Interval International business offers a variety of membership programs and travel related products to approximately 1.6 million members and the Aqua-Aston business provides property management and rental services to property owners at 25 resorts and lodging properties. Our results include those of VRI Americas for the period prior to its disposition in the second quarter of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9"/>
              </w:rPr>
              <w:t>Fiscal Years</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tcPr>
          <w:p>
            <w:pPr>
              <w:spacing w:after="0"/>
              <w:rPr>
                <w:sz w:val="22"/>
                <w:szCs w:val="22"/>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Pr>
          <w:p>
            <w:pPr>
              <w:spacing w:after="0"/>
              <w:rPr>
                <w:sz w:val="22"/>
                <w:szCs w:val="22"/>
                <w:color w:val="auto"/>
              </w:rPr>
            </w:pPr>
          </w:p>
        </w:tc>
        <w:tc>
          <w:tcPr>
            <w:tcW w:w="480" w:type="dxa"/>
            <w:vAlign w:val="bottom"/>
          </w:tcPr>
          <w:p>
            <w:pPr>
              <w:jc w:val="center"/>
              <w:ind w:right="2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82"/>
              </w:rPr>
              <w:t>—</w:t>
            </w: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w w:val="82"/>
              </w:rPr>
              <w:t>—</w:t>
            </w: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82"/>
              </w:rPr>
              <w:t>—</w:t>
            </w: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35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center"/>
              <w:ind w:right="2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Management and Exchange Profit</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w w:val="96"/>
              </w:rPr>
              <w:t>Fiscal Years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53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206</w:t>
            </w:r>
          </w:p>
        </w:tc>
        <w:tc>
          <w:tcPr>
            <w:tcW w:w="3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226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233</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92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Management and exchange expense</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(120)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left="218"/>
              <w:spacing w:after="0"/>
              <w:rPr>
                <w:sz w:val="20"/>
                <w:szCs w:val="20"/>
                <w:color w:val="auto"/>
              </w:rPr>
            </w:pPr>
            <w:r>
              <w:rPr>
                <w:rFonts w:ascii="Times New Roman" w:cs="Times New Roman" w:eastAsia="Times New Roman" w:hAnsi="Times New Roman"/>
                <w:sz w:val="17"/>
                <w:szCs w:val="17"/>
                <w:color w:val="auto"/>
                <w:w w:val="97"/>
              </w:rPr>
              <w:t>(131)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920" w:type="dxa"/>
            <w:vAlign w:val="bottom"/>
            <w:tcBorders>
              <w:bottom w:val="single" w:sz="8" w:color="CCEEFF"/>
            </w:tcBorders>
          </w:tcPr>
          <w:p>
            <w:pPr>
              <w:jc w:val="center"/>
              <w:ind w:left="55"/>
              <w:spacing w:after="0"/>
              <w:rPr>
                <w:sz w:val="20"/>
                <w:szCs w:val="20"/>
                <w:color w:val="auto"/>
              </w:rPr>
            </w:pPr>
            <w:r>
              <w:rPr>
                <w:rFonts w:ascii="Times New Roman" w:cs="Times New Roman" w:eastAsia="Times New Roman" w:hAnsi="Times New Roman"/>
                <w:sz w:val="17"/>
                <w:szCs w:val="17"/>
                <w:color w:val="auto"/>
                <w:w w:val="96"/>
              </w:rPr>
              <w:t>1%</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gridSpan w:val="2"/>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106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92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(18%)</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Management and exchange profit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3"/>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80"/>
              <w:spacing w:after="0" w:line="193" w:lineRule="exact"/>
              <w:rPr>
                <w:sz w:val="20"/>
                <w:szCs w:val="20"/>
                <w:color w:val="auto"/>
              </w:rPr>
            </w:pPr>
            <w:r>
              <w:rPr>
                <w:rFonts w:ascii="Times New Roman" w:cs="Times New Roman" w:eastAsia="Times New Roman" w:hAnsi="Times New Roman"/>
                <w:sz w:val="17"/>
                <w:szCs w:val="17"/>
                <w:color w:val="auto"/>
              </w:rPr>
              <w:t>42.5%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47.0%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38"/>
              <w:spacing w:after="0" w:line="193" w:lineRule="exact"/>
              <w:rPr>
                <w:sz w:val="20"/>
                <w:szCs w:val="20"/>
                <w:color w:val="auto"/>
              </w:rPr>
            </w:pPr>
            <w:r>
              <w:rPr>
                <w:rFonts w:ascii="Times New Roman" w:cs="Times New Roman" w:eastAsia="Times New Roman" w:hAnsi="Times New Roman"/>
                <w:sz w:val="17"/>
                <w:szCs w:val="17"/>
                <w:color w:val="auto"/>
              </w:rPr>
              <w:t>43.8%</w:t>
            </w:r>
          </w:p>
        </w:tc>
        <w:tc>
          <w:tcPr>
            <w:tcW w:w="120" w:type="dxa"/>
            <w:vAlign w:val="bottom"/>
          </w:tcPr>
          <w:p>
            <w:pPr>
              <w:spacing w:after="0"/>
              <w:rPr>
                <w:sz w:val="16"/>
                <w:szCs w:val="16"/>
                <w:color w:val="auto"/>
              </w:rPr>
            </w:pPr>
          </w:p>
        </w:tc>
        <w:tc>
          <w:tcPr>
            <w:tcW w:w="840" w:type="dxa"/>
            <w:vAlign w:val="bottom"/>
            <w:gridSpan w:val="3"/>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(4.5 pts)</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Excluding the $12 million decrease attributed to the disposition of our VRI Americas business during the second quarter of 2022, management and exchange revenue decreased $8 million or 4%. Interval International management and exchange revenues declined $5 million or 3%, primarily attributed to lower transaction volume and lower membership revenues due to the continued shift in mix to corporate members, which have a lower propensity to transact than our traditional members. Exchange transaction volume declined 5% and average revenue per member decreased 1% compared to the prior year. Aqua-Aston management revenue declined $3 million due to higher property level expenses, which adversely impacted management fees, and a reduction in the number of units managed at a property in Maui.</w:t>
      </w:r>
    </w:p>
    <w:p>
      <w:pPr>
        <w:spacing w:after="0" w:line="73"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7"/>
          <w:szCs w:val="17"/>
          <w:color w:val="auto"/>
        </w:rPr>
        <w:t>Excluding the impact of the disposition of VRI Americas, management and exchange profit decreased by $14 million or 14% from the prior year, primarily attributed to higher information technology costs, marketing and sales costs and higher wages and benefits and lower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397"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Rental Revenues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Borders>
              <w:bottom w:val="single" w:sz="8" w:color="auto"/>
            </w:tcBorders>
          </w:tcPr>
          <w:p>
            <w:pPr>
              <w:spacing w:after="0"/>
              <w:rPr>
                <w:sz w:val="17"/>
                <w:szCs w:val="17"/>
                <w:color w:val="auto"/>
              </w:rPr>
            </w:pPr>
          </w:p>
        </w:tc>
      </w:tr>
      <w:tr>
        <w:trPr>
          <w:trHeight w:val="23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9"/>
              </w:rPr>
              <w:t>(4%)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Lower rental revenues reflect higher rental inventory procurement costs, which are recorded net within Rental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rPr>
              <w:t>4</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2023, we impaired an investment in a management contract.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and Other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Borders>
              <w:bottom w:val="single" w:sz="8" w:color="auto"/>
            </w:tcBorders>
          </w:tcPr>
          <w:p>
            <w:pPr>
              <w:spacing w:after="0"/>
              <w:rPr>
                <w:sz w:val="17"/>
                <w:szCs w:val="17"/>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(14)</w:t>
            </w:r>
          </w:p>
        </w:tc>
        <w:tc>
          <w:tcPr>
            <w:tcW w:w="6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8"/>
              </w:rPr>
              <w:t>(95%)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2023, we recorded a gain on the disposition of excess real estate of $1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2022, we recorded a $17 million gain related to the sale of our VRI Americas business, partially offset by $2 million of foreign currency translation losses.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3 “Acquisitions and Dispositions” for more information on the disposition of VRI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080"/>
          </w:cols>
          <w:pgMar w:left="320" w:top="1397"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6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the Consolidated Property Owners’ Associations.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146"/>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BEFORE INCOME TAXES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NONCONTROLLING INTERESTS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noncontrolling interests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46"/>
        </w:trPr>
        <w:tc>
          <w:tcPr>
            <w:tcW w:w="414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ATTRIBUTABLE TO</w:t>
            </w:r>
          </w:p>
        </w:tc>
        <w:tc>
          <w:tcPr>
            <w:tcW w:w="300" w:type="dxa"/>
            <w:vAlign w:val="bottom"/>
            <w:tcBorders>
              <w:top w:val="single" w:sz="8" w:color="auto"/>
            </w:tcBorders>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1397"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Consolidated Property Owners’ Associations</w:t>
      </w:r>
    </w:p>
    <w:p>
      <w:pPr>
        <w:spacing w:after="0" w:line="11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following table illustrates the impact of certain Consolidated Property Owners’ Associations under the relevant accounting guidance, and the changes attributed to the deconsolidation of individual Consolidated Property Owners’ Associations.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2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500" w:type="dxa"/>
            <w:vAlign w:val="bottom"/>
            <w:gridSpan w:val="2"/>
          </w:tcPr>
          <w:p>
            <w:pPr>
              <w:jc w:val="right"/>
              <w:ind w:right="20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Losses and other expense, 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41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BEFORE INCOME TAXES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NONCONTROLLING INTERESTS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w w:val="99"/>
              </w:rPr>
              <w:t>Net loss (income) attributable to noncontrolling interests</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46"/>
        </w:trPr>
        <w:tc>
          <w:tcPr>
            <w:tcW w:w="36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ATTRIBUTABLE TO</w:t>
            </w:r>
          </w:p>
        </w:tc>
        <w:tc>
          <w:tcPr>
            <w:tcW w:w="2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500" w:type="dxa"/>
            <w:vAlign w:val="bottom"/>
            <w:gridSpan w:val="2"/>
            <w:vMerge w:val="restart"/>
            <w:shd w:val="clear" w:color="auto" w:fill="CCEEFF"/>
          </w:tcPr>
          <w:p>
            <w:pPr>
              <w:jc w:val="right"/>
              <w:ind w:right="20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26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4"/>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2023 vs. 2022</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ind w:right="53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24</w:t>
            </w:r>
          </w:p>
        </w:tc>
        <w:tc>
          <w:tcPr>
            <w:tcW w:w="8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increased due to $31 million of costs related to the implementation of technology, $14 million of increased wages and benefits, $8 million related to new product development initiatives, $6 million of increased insurance expense, $6 million of incremental costs related to compliance activities and $7 million of other miscellaneous expenses, partially offset by a $39 million decrease in variable compensation expense and $9 million of higher allocations of general and administrative expenses to operations.</w:t>
      </w:r>
    </w:p>
    <w:p>
      <w:pPr>
        <w:spacing w:after="0" w:line="7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expect General and administrative expenses to increase in the near term due to the continued impact of increased wages and variable compensation expense and additional investment in upgrading, maintaining, and implementing new technology, including costs associated with our continued transition to software as a service, which are recorded as a component of General and administrative expense as opposed to Depreciation expense.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Restructuring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7"/>
                <w:szCs w:val="17"/>
                <w:color w:val="auto"/>
              </w:rPr>
              <w:t>6</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2023, we realigned our management structure, resulting in severance costs associated with the elimination of certain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Impairment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7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7"/>
                <w:szCs w:val="17"/>
                <w:color w:val="auto"/>
              </w:rPr>
              <w:t>16</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7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During 2023, upon our relocation to our new corporate headquarters, we recorded a non-cash impairment of a right-of-use asset related to operating leases for our legacy corporate headquarters located in Orlando, Florida, as we do not expect proceeds from subleasing the spaces to exceed our future obligations under the operating leases.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(Losses) and Other Income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580" w:type="dxa"/>
            <w:vAlign w:val="bottom"/>
            <w:tcBorders>
              <w:bottom w:val="single" w:sz="8" w:color="auto"/>
            </w:tcBorders>
          </w:tcPr>
          <w:p>
            <w:pPr>
              <w:spacing w:after="0"/>
              <w:rPr>
                <w:sz w:val="17"/>
                <w:szCs w:val="17"/>
                <w:color w:val="auto"/>
              </w:rPr>
            </w:pPr>
          </w:p>
        </w:tc>
      </w:tr>
      <w:tr>
        <w:trPr>
          <w:trHeight w:val="22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7"/>
                <w:szCs w:val="17"/>
                <w:color w:val="auto"/>
              </w:rPr>
              <w:t>29</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6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In 2023, we recorded a $22 million increase to our receivable from Marriott International for indemnified income tax matters (the offsetting accrual is included in the Provision for income taxes line) and $6 million of foreign currency translation gains, partially offset by a $10 million expense attributed to the redemption premium and write-off of unamortized debt issuance costs in connection with the early redemption of our 6.125% Senior Secured Notes due 2025 (“2025 Notes”).</w:t>
      </w:r>
    </w:p>
    <w:p>
      <w:pPr>
        <w:spacing w:after="0" w:line="6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In 2022, we recorded $8 million of foreign currency translation losses, $3 million of non-cash losses pursuant to a change in control of certain Consolidated Property Owners’ Associations as a result of which we ceased consolidating these owners’ associations, $3 million of non-income tax related adjustments to the receivable for the indemnification we expect to receive from Marriott International for indemnified tax matters, partially offset by $2 million of proceeds from corporate owned life insurance.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2023 vs. 2022</w:t>
            </w:r>
          </w:p>
        </w:tc>
      </w:tr>
      <w:tr>
        <w:trPr>
          <w:trHeight w:val="19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Borders>
              <w:bottom w:val="single" w:sz="8" w:color="auto"/>
            </w:tcBorders>
          </w:tcPr>
          <w:p>
            <w:pPr>
              <w:spacing w:after="0"/>
              <w:rPr>
                <w:sz w:val="17"/>
                <w:szCs w:val="17"/>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(27)</w:t>
            </w:r>
          </w:p>
        </w:tc>
        <w:tc>
          <w:tcPr>
            <w:tcW w:w="6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4"/>
              </w:rPr>
              <w:t>(23%)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Interest expense, net is attributed to $20 million of higher interest expense associated with our 2027 Convertible Notes issued in December 2022,</w:t>
      </w:r>
    </w:p>
    <w:p>
      <w:pPr>
        <w:spacing w:after="0" w:line="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$17 million associated with higher borrowings and higher variable interest rates on both the Warehouse Credit Facility and the Revolving Corporate Credit Facility, $10 million of higher interest expense associated with higher variable interest rates and the expiration of a portion of our interest rate hedges on the $900 million term loan facility included in our corporate credit facility Term Loan, $7 million of interest expense related to leased assets and $2 million of higher interest on non-income tax related items. This was partially offset by $16 million of lower interest expense associated with the early redemption of our 2025 Notes, $9 million of lower interest expense associated with our 2022 Convertible Notes which were repaid at maturity and $4 million of higher 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44"/>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80" w:type="dxa"/>
            <w:vAlign w:val="bottom"/>
          </w:tcPr>
          <w:p>
            <w:pPr>
              <w:spacing w:after="0"/>
              <w:rPr>
                <w:sz w:val="21"/>
                <w:szCs w:val="21"/>
                <w:color w:val="auto"/>
              </w:rPr>
            </w:pPr>
          </w:p>
        </w:tc>
        <w:tc>
          <w:tcPr>
            <w:tcW w:w="76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58.4%</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change in our income tax expense is attributable to lower income before income taxes and noncontrolling interests ($49 million) and benefits from state tax rate changes and certain other foreign and permanent differences which were favorable to prior periods ($62 million). These decreases were partially offset by increases in uncertain tax benefits and changes in our valuation allowance ($66 million) of which $22 million is to be indemnified pursuant to a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397"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Agreement dated May 11, 2016 by and among Starwood Hotels &amp; Resorts Worldwide, Inc., Vistana Signature Experiences, Inc., and Interval Leisure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we have recorded a corresponding indemnification asset as a component of Gains (losses) and other income (expense), net on our Income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Footnote 5 “Income Taxes” for additional information.</w:t>
      </w:r>
    </w:p>
    <w:p>
      <w:pPr>
        <w:spacing w:after="0" w:line="1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Organization for Economic Co-operation and Development has proposed a global minimum tax of 15% of reported profits (Pillar 2) that has been agreed upon in principle by over 140 non-U.S. countries. During 2023, many countries took steps to incorporate Pillar 2 model rule concepts into their domestic laws. Although the model rules provide a framework for applying the minimum tax, countries may enact Pillar 2 slightly differently than the model rules and/or on different timelines. While we continue to monitor legislative developments, we do not anticipate Pillar 2 will have a material impact on our long-term financial position.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70"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7"/>
          <w:szCs w:val="17"/>
          <w:color w:val="auto"/>
        </w:rPr>
        <w:t>At December 31, 2023, our corporate debt, net of cash and equivalents, to Adjusted EBITDA ratio was 3.7, above our targeted range of 2.5 to 3.0. We have no material maturities of corporate debt until the third quarter of 2025.</w:t>
      </w:r>
    </w:p>
    <w:p>
      <w:pPr>
        <w:spacing w:after="0" w:line="5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As of December 31, 2023, the interest rate applicable to approximately 80% of our total corporate debt, excluding finance leases and including the impact of interest rate hedges, was effectively fixed. The weighted average interest rate of our total corporate debt, excluding finance leases and including the impact of interest rate hedges, was 3.9% as of December 31, 2023. Approximately 70% of our corporate debt will be fixed once our interest rate hedges mature in April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Liquidity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from Operations</w:t>
      </w:r>
    </w:p>
    <w:p>
      <w:pPr>
        <w:spacing w:after="0" w:line="11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Securitizations</w:t>
      </w:r>
    </w:p>
    <w:p>
      <w:pPr>
        <w:spacing w:after="0" w:line="1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generally collateralized by a single pool of transferred assets, which consist of vacation ownership notes receivable. In connection with each vacation ownership notes receivable securitization, we may retain all or a portion of the securities that are issued. 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We completed two term securitization transactions in 2023 resulting in net proceeds of $806 million.</w:t>
      </w:r>
    </w:p>
    <w:p>
      <w:pPr>
        <w:spacing w:after="0" w:line="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66" w:name="page67"/>
    <w:bookmarkEnd w:id="66"/>
    <w:p>
      <w:pPr>
        <w:spacing w:after="0" w:line="261" w:lineRule="auto"/>
        <w:rPr>
          <w:sz w:val="20"/>
          <w:szCs w:val="20"/>
          <w:color w:val="auto"/>
        </w:rPr>
      </w:pPr>
      <w:r>
        <w:rPr>
          <w:rFonts w:ascii="Times New Roman" w:cs="Times New Roman" w:eastAsia="Times New Roman" w:hAnsi="Times New Roman"/>
          <w:sz w:val="17"/>
          <w:szCs w:val="17"/>
          <w:color w:val="auto"/>
        </w:rPr>
        <w:t>that pool (attributable to the interests we retained) to accelerate the principal payments to investors (taking into account the subordination of the different tranches to the extent there are multiple tranches) until the performance trigger is cured. During 2023, and as of December 31, 2023, we had 14 term securitization transactions outstanding, all of which were in compliance with their respective required parameters. Since 2000, we have issued approximately $8.9 billion of debt securities in securitization transactions in the term ABS market, excluding amounts securitized through warehouse credit facilities or private bank transactions.</w:t>
      </w:r>
    </w:p>
    <w:p>
      <w:pPr>
        <w:spacing w:after="0" w:line="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2023, we amended certain agreements associated with our Warehouse Credit Facility, which increased the borrowing capacity from $425 million to $500 million and extended the revolving period from July 28, 2024 to May 31, 2025. At December 31, 2023, we had $150 million of borrowings outstanding on our Warehouse Credit Facility.</w:t>
      </w:r>
    </w:p>
    <w:p>
      <w:pPr>
        <w:spacing w:after="0" w:line="70"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7"/>
          <w:szCs w:val="17"/>
          <w:color w:val="auto"/>
        </w:rPr>
        <w:t>As of December 31, 2023, $60 million of gross vacation ownership notes receivable were eligible for securitization. See Footnote 15 “Securitized Debt’ and Footnote 19 “Variable Interest Entities” for further information on these facilities.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Corporate Credit Facility</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Our Revolving Corporate Credit Facility, which expires on March 31, 2027, provides for up to $750 million of aggregate borrowings for general corporate needs, including working capital, capital expenditures, letters of credit, and acquisitions. At December 31, 2023, $105 million of borrowings were outstanding on our Revolving Corporate Credit Facility and $24 million of letters of credit were outstanding. See Footnote 16 “Debt” to our Financial Statements for more information on interest rates pertaining to this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of Senior Secured Notes</w:t>
      </w:r>
    </w:p>
    <w:p>
      <w:pPr>
        <w:spacing w:after="0" w:line="11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During 2023, we redeemed, prior to maturity, the remaining $250 million of the 2025 Notes outstanding pursuant to a redemption notice issued in 2022. In connection with this redemption, we incurred charges of $10 million, including a redemption premium and the write-off of unamortized debt issuance costs, which were recorded in Gains (losses) and other income (expense), net on our Income Statement for the year ended December 31,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Uses of Cash</w:t>
      </w:r>
    </w:p>
    <w:p>
      <w:pPr>
        <w:spacing w:after="0" w:line="11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w:t>
      </w:r>
    </w:p>
    <w:p>
      <w:pPr>
        <w:spacing w:after="0" w:line="11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significant variable compensation-related cash outflows associated with payment of annual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9"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color w:val="auto"/>
        </w:rPr>
        <w:t>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net income and adjustments for non-cash items, the following are key drivers of our cash flow from operating activities: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Spending Less Than (In Excess of) Cost of Sales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spending</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for future transfer to inventory</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4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costs</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10"/>
        </w:trPr>
        <w:tc>
          <w:tcPr>
            <w:tcW w:w="4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 spending less than (in excess of) cost of sales</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Although we have significant inventory on hand, we intend to continue selectively pursuing growth opportunities by targeting high-quality inventory that allows us to add desirable new destinations to our systems with new on-site sales locations. Where possible, we will structure transactions to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on balance sheet in key markets where we believe the opportunities will generate acceptable risk adjusted returns.</w:t>
      </w:r>
    </w:p>
    <w:p>
      <w:pPr>
        <w:spacing w:after="0" w:line="7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Through our existing VOI repurchase program, we proactively acquire previously sold VOIs from owners’ associations and individual owners at lower costs than would be required to develop new inventory. Among other reasons for repurchasing inventory, we expect these repurchases will stabilize the future cost of our vacation ownership products.</w:t>
      </w:r>
    </w:p>
    <w:p>
      <w:pPr>
        <w:spacing w:after="0" w:line="6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Our spending for real estate inventory in 2023 was lower than our cost of sales and was primarily related to our purchases under our VOI repurchase programs. Purchase of property for future transfer to inventory included the acquisition of property in Savannah, Georgia and Charleston, South Carolina in 2023. We expect inventory spending to again be less than cost of sales for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Collections Less Than of Originations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Fiscal Years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color w:val="auto"/>
              </w:rPr>
              <w:t>Vacation ownership notes receivable collections — non-</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collections — securitized</w:t>
            </w:r>
          </w:p>
        </w:tc>
        <w:tc>
          <w:tcPr>
            <w:tcW w:w="280" w:type="dxa"/>
            <w:vAlign w:val="bottom"/>
          </w:tcPr>
          <w:p>
            <w:pPr>
              <w:spacing w:after="0"/>
              <w:rPr>
                <w:sz w:val="21"/>
                <w:szCs w:val="21"/>
                <w:color w:val="auto"/>
              </w:rPr>
            </w:pPr>
          </w:p>
        </w:tc>
        <w:tc>
          <w:tcPr>
            <w:tcW w:w="900" w:type="dxa"/>
            <w:vAlign w:val="bottom"/>
          </w:tcPr>
          <w:p>
            <w:pPr>
              <w:jc w:val="center"/>
              <w:ind w:left="397"/>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center"/>
              <w:ind w:left="538"/>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7"/>
                <w:szCs w:val="17"/>
                <w:color w:val="auto"/>
                <w:w w:val="97"/>
              </w:rPr>
              <w:t>(987)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7"/>
                <w:szCs w:val="17"/>
                <w:color w:val="auto"/>
              </w:rPr>
              <w:t>(980)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146"/>
        </w:trPr>
        <w:tc>
          <w:tcPr>
            <w:tcW w:w="4520" w:type="dxa"/>
            <w:vAlign w:val="bottom"/>
          </w:tcPr>
          <w:p>
            <w:pPr>
              <w:ind w:left="220"/>
              <w:spacing w:after="0" w:line="146" w:lineRule="exact"/>
              <w:rPr>
                <w:sz w:val="20"/>
                <w:szCs w:val="20"/>
                <w:color w:val="auto"/>
              </w:rPr>
            </w:pPr>
            <w:r>
              <w:rPr>
                <w:rFonts w:ascii="Times New Roman" w:cs="Times New Roman" w:eastAsia="Times New Roman" w:hAnsi="Times New Roman"/>
                <w:sz w:val="16"/>
                <w:szCs w:val="16"/>
                <w:color w:val="auto"/>
              </w:rPr>
              <w:t>Vacation ownership notes receivable collections less than</w:t>
            </w:r>
          </w:p>
        </w:tc>
        <w:tc>
          <w:tcPr>
            <w:tcW w:w="28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center"/>
              <w:ind w:left="377"/>
              <w:spacing w:after="0"/>
              <w:rPr>
                <w:sz w:val="20"/>
                <w:szCs w:val="20"/>
                <w:color w:val="auto"/>
              </w:rPr>
            </w:pPr>
            <w:r>
              <w:rPr>
                <w:rFonts w:ascii="Times New Roman" w:cs="Times New Roman" w:eastAsia="Times New Roman" w:hAnsi="Times New Roman"/>
                <w:sz w:val="17"/>
                <w:szCs w:val="17"/>
                <w:color w:val="auto"/>
                <w:w w:val="97"/>
              </w:rPr>
              <w:t>(391)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center"/>
              <w:ind w:left="498"/>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tcPr>
          <w:p>
            <w:pPr>
              <w:spacing w:after="0"/>
              <w:rPr>
                <w:sz w:val="12"/>
                <w:szCs w:val="12"/>
                <w:color w:val="auto"/>
              </w:rPr>
            </w:pPr>
          </w:p>
        </w:tc>
        <w:tc>
          <w:tcPr>
            <w:tcW w:w="28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09"/>
        </w:trPr>
        <w:tc>
          <w:tcPr>
            <w:tcW w:w="4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originations</w:t>
            </w: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7"/>
          <w:szCs w:val="17"/>
          <w:color w:val="auto"/>
        </w:rPr>
        <w:t>Vacation ownership notes receivable collections were less than originations in 2023, 2022 and 2021 due to the growth of the average vacation ownership notes receivable portfolio.</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Repurchase of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current share repurchase program:</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5"/>
                <w:szCs w:val="15"/>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Cost Basis of</w:t>
            </w:r>
          </w:p>
        </w:tc>
        <w:tc>
          <w:tcPr>
            <w:tcW w:w="120" w:type="dxa"/>
            <w:vAlign w:val="bottom"/>
          </w:tcPr>
          <w:p>
            <w:pPr>
              <w:spacing w:after="0"/>
              <w:rPr>
                <w:sz w:val="15"/>
                <w:szCs w:val="15"/>
                <w:color w:val="auto"/>
              </w:rPr>
            </w:pPr>
          </w:p>
        </w:tc>
        <w:tc>
          <w:tcPr>
            <w:tcW w:w="1140" w:type="dxa"/>
            <w:vAlign w:val="bottom"/>
            <w:vMerge w:val="restart"/>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Average Price</w:t>
            </w: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Pr>
          <w:p>
            <w:pPr>
              <w:spacing w:after="0"/>
              <w:rPr>
                <w:sz w:val="17"/>
                <w:szCs w:val="17"/>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Paid per Share</w:t>
            </w:r>
          </w:p>
        </w:tc>
        <w:tc>
          <w:tcPr>
            <w:tcW w:w="0" w:type="dxa"/>
            <w:vAlign w:val="bottom"/>
          </w:tcPr>
          <w:p>
            <w:pPr>
              <w:spacing w:after="0"/>
              <w:rPr>
                <w:sz w:val="1"/>
                <w:szCs w:val="1"/>
                <w:color w:val="auto"/>
              </w:rPr>
            </w:pPr>
          </w:p>
        </w:tc>
      </w:tr>
      <w:tr>
        <w:trPr>
          <w:trHeight w:val="224"/>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22,773,218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93.06</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year ended December 31, 2023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2,367,855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120.55</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25,141,073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17 “Stockholders' Equity” to our Financial Statements for further information related to our current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1295"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color w:val="auto"/>
        </w:rPr>
        <w:t>Payment of Dividends to Common Stockholders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distributed cash dividends to holders of common stock during the year ended December 31, 2023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4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1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 per Share</w:t>
            </w:r>
          </w:p>
        </w:tc>
      </w:tr>
      <w:tr>
        <w:trPr>
          <w:trHeight w:val="225"/>
        </w:trPr>
        <w:tc>
          <w:tcPr>
            <w:tcW w:w="22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December 1, 2022</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December 22, 2022</w:t>
            </w: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9"/>
              </w:rPr>
              <w:t>January 5, 2023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43"/>
        </w:trPr>
        <w:tc>
          <w:tcPr>
            <w:tcW w:w="22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February 16, 2023</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March 2, 2023</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March 16, 2023</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43"/>
        </w:trPr>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8"/>
              </w:rPr>
              <w:t>May 11,</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May 25, 2023</w:t>
            </w: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June 8, 2023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44"/>
        </w:trPr>
        <w:tc>
          <w:tcPr>
            <w:tcW w:w="11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September</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7, 2023</w:t>
            </w:r>
          </w:p>
        </w:tc>
        <w:tc>
          <w:tcPr>
            <w:tcW w:w="140" w:type="dxa"/>
            <w:vAlign w:val="bottom"/>
          </w:tcPr>
          <w:p>
            <w:pPr>
              <w:spacing w:after="0"/>
              <w:rPr>
                <w:sz w:val="21"/>
                <w:szCs w:val="21"/>
                <w:color w:val="auto"/>
              </w:rPr>
            </w:pP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September 21, 2023</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October 5, 2023</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bl>
    <w:p>
      <w:pPr>
        <w:spacing w:after="0" w:line="17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On December 7, 2023, our Board of Directors declared a quarterly dividend of $0.76 per share that was paid subsequent to the end of 2023, on January 4, 2024, to stockholders of record as of December 21, 2023.</w:t>
      </w:r>
    </w:p>
    <w:p>
      <w:pPr>
        <w:spacing w:after="0" w:line="50"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7"/>
          <w:szCs w:val="17"/>
          <w:color w:val="auto"/>
        </w:rPr>
        <w:t>Subsequent to the end of 2023, on February 15, 2024, our Board of Directors declared a quarterly dividend of $0.76 per share to be paid on March 14, 2024 to stockholders of record as of February 29, 2024.</w:t>
      </w:r>
    </w:p>
    <w:p>
      <w:pPr>
        <w:spacing w:after="0" w:line="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currently expect to pay quarterly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Cash Requirements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future material cash requirements from known contractual or other obligations as of December 31,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Payments Due by Period</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Less Than 1</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1 - 3 Years</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3 - 5 Years</w:t>
            </w:r>
          </w:p>
        </w:tc>
        <w:tc>
          <w:tcPr>
            <w:tcW w:w="120" w:type="dxa"/>
            <w:vAlign w:val="bottom"/>
          </w:tcPr>
          <w:p>
            <w:pPr>
              <w:spacing w:after="0"/>
              <w:rPr>
                <w:sz w:val="12"/>
                <w:szCs w:val="12"/>
                <w:color w:val="auto"/>
              </w:rPr>
            </w:pPr>
          </w:p>
        </w:tc>
        <w:tc>
          <w:tcPr>
            <w:tcW w:w="100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5"/>
                <w:szCs w:val="15"/>
                <w:b w:val="1"/>
                <w:bCs w:val="1"/>
                <w:color w:val="auto"/>
                <w:w w:val="99"/>
              </w:rPr>
              <w:t>More Than 5</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4"/>
              </w:rPr>
              <w:t>Year</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Years</w:t>
            </w:r>
          </w:p>
        </w:tc>
        <w:tc>
          <w:tcPr>
            <w:tcW w:w="0" w:type="dxa"/>
            <w:vAlign w:val="bottom"/>
          </w:tcPr>
          <w:p>
            <w:pPr>
              <w:spacing w:after="0"/>
              <w:rPr>
                <w:sz w:val="1"/>
                <w:szCs w:val="1"/>
                <w:color w:val="auto"/>
              </w:rPr>
            </w:pPr>
          </w:p>
        </w:tc>
      </w:tr>
      <w:tr>
        <w:trPr>
          <w:trHeight w:val="236"/>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w:t>
            </w:r>
            <w:r>
              <w:rPr>
                <w:rFonts w:ascii="Times New Roman" w:cs="Times New Roman" w:eastAsia="Times New Roman" w:hAnsi="Times New Roman"/>
                <w:sz w:val="19"/>
                <w:szCs w:val="19"/>
                <w:color w:val="auto"/>
                <w:vertAlign w:val="superscript"/>
              </w:rPr>
              <w:t>(1)</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0" w:type="dxa"/>
            <w:vAlign w:val="bottom"/>
          </w:tcPr>
          <w:p>
            <w:pPr>
              <w:spacing w:after="0"/>
              <w:rPr>
                <w:sz w:val="1"/>
                <w:szCs w:val="1"/>
                <w:color w:val="auto"/>
              </w:rPr>
            </w:pP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w:t>
            </w:r>
            <w:r>
              <w:rPr>
                <w:rFonts w:ascii="Times New Roman" w:cs="Times New Roman" w:eastAsia="Times New Roman" w:hAnsi="Times New Roman"/>
                <w:sz w:val="19"/>
                <w:szCs w:val="19"/>
                <w:color w:val="auto"/>
                <w:vertAlign w:val="superscript"/>
              </w:rPr>
              <w:t>(1) (2)</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19"/>
                <w:szCs w:val="19"/>
                <w:color w:val="auto"/>
                <w:vertAlign w:val="superscript"/>
              </w:rPr>
              <w:t>(3)</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56"/>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r>
              <w:rPr>
                <w:rFonts w:ascii="Times New Roman" w:cs="Times New Roman" w:eastAsia="Times New Roman" w:hAnsi="Times New Roman"/>
                <w:sz w:val="19"/>
                <w:szCs w:val="19"/>
                <w:color w:val="auto"/>
                <w:vertAlign w:val="superscript"/>
              </w:rPr>
              <w:t>(4)(5)</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obligations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00" w:hanging="298"/>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principal as well as interest payments and excludes unamortized debt discount and issuance costs.</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Payments based on estimated timing of cash flow associated with securitized notes receivable.</w:t>
      </w:r>
    </w:p>
    <w:p>
      <w:pPr>
        <w:spacing w:after="0" w:line="52" w:lineRule="exact"/>
        <w:rPr>
          <w:rFonts w:ascii="Times New Roman" w:cs="Times New Roman" w:eastAsia="Times New Roman" w:hAnsi="Times New Roman"/>
          <w:sz w:val="22"/>
          <w:szCs w:val="22"/>
          <w:color w:val="auto"/>
          <w:vertAlign w:val="superscript"/>
        </w:rPr>
      </w:pPr>
    </w:p>
    <w:p>
      <w:pPr>
        <w:ind w:left="300" w:right="100" w:hanging="298"/>
        <w:spacing w:after="0" w:line="233" w:lineRule="auto"/>
        <w:tabs>
          <w:tab w:leader="none" w:pos="28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and primarily relate to future purchases of vacation ownership units and information technology assets (hardware and software). Amounts reflected on the consolidated balance sheet as accounts payable and accrued liabilities are excluded from the table above.</w:t>
      </w:r>
    </w:p>
    <w:p>
      <w:pPr>
        <w:spacing w:after="0" w:line="4" w:lineRule="exact"/>
        <w:rPr>
          <w:rFonts w:ascii="Times New Roman" w:cs="Times New Roman" w:eastAsia="Times New Roman" w:hAnsi="Times New Roman"/>
          <w:sz w:val="22"/>
          <w:szCs w:val="22"/>
          <w:color w:val="auto"/>
          <w:vertAlign w:val="superscript"/>
        </w:rPr>
      </w:pPr>
    </w:p>
    <w:p>
      <w:pPr>
        <w:ind w:left="300" w:hanging="298"/>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w:t>
      </w:r>
    </w:p>
    <w:p>
      <w:pPr>
        <w:spacing w:after="0" w:line="51" w:lineRule="exact"/>
        <w:rPr>
          <w:rFonts w:ascii="Times New Roman" w:cs="Times New Roman" w:eastAsia="Times New Roman" w:hAnsi="Times New Roman"/>
          <w:sz w:val="22"/>
          <w:szCs w:val="22"/>
          <w:color w:val="auto"/>
          <w:vertAlign w:val="superscript"/>
        </w:rPr>
      </w:pPr>
    </w:p>
    <w:p>
      <w:pPr>
        <w:jc w:val="both"/>
        <w:ind w:left="300" w:right="380" w:hanging="298"/>
        <w:spacing w:after="0" w:line="228" w:lineRule="auto"/>
        <w:tabs>
          <w:tab w:leader="none" w:pos="28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lease term of the finance lease arrangement for our new corporate headquarters office building located in Orlando, Florida commenced for accounting purposes during the first quarter of 2023, upon substantial completion of construction. See Footnote 14 “Leases” to our Financial Statements for additional information on this lease.</w:t>
      </w:r>
    </w:p>
    <w:p>
      <w:pPr>
        <w:spacing w:after="0" w:line="8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color w:val="auto"/>
        </w:rPr>
        <w:t>Supplemental Guarantor Information</w:t>
      </w:r>
    </w:p>
    <w:p>
      <w:pPr>
        <w:spacing w:after="0" w:line="64"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7"/>
          <w:szCs w:val="17"/>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1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following tables present consolidating financial information as of December 31, 2023, and for the fiscal year ended December 31, 2023, for MVWC and MORI on a stand-alone basis (collectively, the “Issuers”), the Senior Notes Guarantors, the combined non-guarantor subsidiaries of MVWC, and MVW on a consolidated basis.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Condensed Consolidating Balance Sheet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3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3"/>
            <w:vMerge w:val="restart"/>
          </w:tcPr>
          <w:p>
            <w:pPr>
              <w:jc w:val="center"/>
              <w:ind w:right="140"/>
              <w:spacing w:after="0" w:line="128" w:lineRule="exact"/>
              <w:rPr>
                <w:sz w:val="20"/>
                <w:szCs w:val="20"/>
                <w:color w:val="auto"/>
              </w:rPr>
            </w:pPr>
            <w:r>
              <w:rPr>
                <w:rFonts w:ascii="Times New Roman" w:cs="Times New Roman" w:eastAsia="Times New Roman" w:hAnsi="Times New Roman"/>
                <w:sz w:val="14"/>
                <w:szCs w:val="14"/>
                <w:b w:val="1"/>
                <w:bCs w:val="1"/>
                <w:color w:val="auto"/>
              </w:rPr>
              <w:t>Senior Notes</w:t>
            </w:r>
          </w:p>
        </w:tc>
        <w:tc>
          <w:tcPr>
            <w:tcW w:w="120" w:type="dxa"/>
            <w:vAlign w:val="bottom"/>
          </w:tcPr>
          <w:p>
            <w:pPr>
              <w:spacing w:after="0"/>
              <w:rPr>
                <w:sz w:val="4"/>
                <w:szCs w:val="4"/>
                <w:color w:val="auto"/>
              </w:rPr>
            </w:pPr>
          </w:p>
        </w:tc>
        <w:tc>
          <w:tcPr>
            <w:tcW w:w="980" w:type="dxa"/>
            <w:vAlign w:val="bottom"/>
            <w:gridSpan w:val="2"/>
            <w:vMerge w:val="restart"/>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4"/>
                <w:szCs w:val="4"/>
                <w:color w:val="auto"/>
              </w:rPr>
            </w:pPr>
          </w:p>
        </w:tc>
        <w:tc>
          <w:tcPr>
            <w:tcW w:w="900" w:type="dxa"/>
            <w:vAlign w:val="bottom"/>
            <w:gridSpan w:val="2"/>
            <w:vMerge w:val="restart"/>
          </w:tcPr>
          <w:p>
            <w:pPr>
              <w:ind w:left="12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4"/>
                <w:szCs w:val="4"/>
                <w:color w:val="auto"/>
              </w:rPr>
            </w:pPr>
          </w:p>
        </w:tc>
        <w:tc>
          <w:tcPr>
            <w:tcW w:w="820" w:type="dxa"/>
            <w:vAlign w:val="bottom"/>
            <w:vMerge w:val="restart"/>
          </w:tcPr>
          <w:p>
            <w:pPr>
              <w:jc w:val="center"/>
              <w:ind w:right="136"/>
              <w:spacing w:after="0" w:line="128"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57"/>
        </w:trPr>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MVWC</w:t>
            </w:r>
          </w:p>
        </w:tc>
        <w:tc>
          <w:tcPr>
            <w:tcW w:w="120" w:type="dxa"/>
            <w:vAlign w:val="bottom"/>
          </w:tcPr>
          <w:p>
            <w:pPr>
              <w:spacing w:after="0"/>
              <w:rPr>
                <w:sz w:val="4"/>
                <w:szCs w:val="4"/>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MORI</w:t>
            </w:r>
          </w:p>
        </w:tc>
        <w:tc>
          <w:tcPr>
            <w:tcW w:w="10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211"/>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248</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Accounts and contracts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Vacation ownership notes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2,343</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1,260</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854</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subsidiaries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35"/>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5,857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9,680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2,096</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3,049</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MVW stockholders' equity</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4,499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3,573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5,857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9,680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60" w:type="dxa"/>
            <w:vAlign w:val="bottom"/>
            <w:gridSpan w:val="6"/>
          </w:tcPr>
          <w:p>
            <w:pPr>
              <w:spacing w:after="0"/>
              <w:rPr>
                <w:sz w:val="20"/>
                <w:szCs w:val="20"/>
                <w:color w:val="auto"/>
              </w:rPr>
            </w:pPr>
            <w:r>
              <w:rPr>
                <w:rFonts w:ascii="Times New Roman" w:cs="Times New Roman" w:eastAsia="Times New Roman" w:hAnsi="Times New Roman"/>
                <w:sz w:val="17"/>
                <w:szCs w:val="17"/>
                <w:i w:val="1"/>
                <w:iCs w:val="1"/>
                <w:color w:val="auto"/>
              </w:rPr>
              <w:t>Condensed Consolidating Statement of Income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60" w:type="dxa"/>
            <w:vAlign w:val="bottom"/>
            <w:gridSpan w:val="3"/>
          </w:tcPr>
          <w:p>
            <w:pPr>
              <w:jc w:val="center"/>
              <w:ind w:right="140"/>
              <w:spacing w:after="0" w:line="133"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5"/>
                <w:szCs w:val="15"/>
                <w:b w:val="1"/>
                <w:bCs w:val="1"/>
                <w:color w:val="auto"/>
              </w:rPr>
              <w:t>Guarantor</w:t>
            </w:r>
          </w:p>
        </w:tc>
        <w:tc>
          <w:tcPr>
            <w:tcW w:w="220" w:type="dxa"/>
            <w:vAlign w:val="bottom"/>
          </w:tcPr>
          <w:p>
            <w:pPr>
              <w:spacing w:after="0"/>
              <w:rPr>
                <w:sz w:val="12"/>
                <w:szCs w:val="12"/>
                <w:color w:val="auto"/>
              </w:rPr>
            </w:pPr>
          </w:p>
        </w:tc>
        <w:tc>
          <w:tcPr>
            <w:tcW w:w="90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5"/>
                <w:szCs w:val="15"/>
                <w:b w:val="1"/>
                <w:bCs w:val="1"/>
                <w:color w:val="auto"/>
              </w:rPr>
              <w:t>Total</w:t>
            </w:r>
          </w:p>
        </w:tc>
        <w:tc>
          <w:tcPr>
            <w:tcW w:w="220" w:type="dxa"/>
            <w:vAlign w:val="bottom"/>
          </w:tcPr>
          <w:p>
            <w:pPr>
              <w:spacing w:after="0"/>
              <w:rPr>
                <w:sz w:val="12"/>
                <w:szCs w:val="12"/>
                <w:color w:val="auto"/>
              </w:rPr>
            </w:pPr>
          </w:p>
        </w:tc>
        <w:tc>
          <w:tcPr>
            <w:tcW w:w="820" w:type="dxa"/>
            <w:vAlign w:val="bottom"/>
          </w:tcPr>
          <w:p>
            <w:pPr>
              <w:jc w:val="center"/>
              <w:ind w:right="136"/>
              <w:spacing w:after="0" w:line="133" w:lineRule="exact"/>
              <w:rPr>
                <w:sz w:val="20"/>
                <w:szCs w:val="20"/>
                <w:color w:val="auto"/>
              </w:rPr>
            </w:pPr>
            <w:r>
              <w:rPr>
                <w:rFonts w:ascii="Times New Roman" w:cs="Times New Roman" w:eastAsia="Times New Roman" w:hAnsi="Times New Roman"/>
                <w:sz w:val="15"/>
                <w:szCs w:val="15"/>
                <w:b w:val="1"/>
                <w:bCs w:val="1"/>
                <w:color w:val="auto"/>
                <w:w w:val="99"/>
              </w:rPr>
              <w:t>MVW</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7"/>
                <w:szCs w:val="17"/>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MVWC</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MORI</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211"/>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(4,329)</w:t>
            </w: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Benefit from (provision for)</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Equity in net income (loss)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Net loss attributable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6"/>
        </w:trPr>
        <w:tc>
          <w:tcPr>
            <w:tcW w:w="23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8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stockholders</w:t>
            </w:r>
          </w:p>
        </w:tc>
        <w:tc>
          <w:tcPr>
            <w:tcW w:w="1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39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397" w:right="3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See Footnote 2 “Summary of Significant Accounting Policies” to our Financial Statements for a discussion of recently issued accounting pronouncements, including information about new accounting standards and the future adoption of such standards.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6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63"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7"/>
          <w:szCs w:val="17"/>
          <w:color w:val="auto"/>
        </w:rPr>
        <w:t>See Footnote 2 “Summary of Significant Accounting Policies” to our Financial Statements for further information related to our critical accounting policies and estimates, which are as follows:</w:t>
      </w:r>
    </w:p>
    <w:p>
      <w:pPr>
        <w:spacing w:after="0" w:line="1" w:lineRule="exact"/>
        <w:rPr>
          <w:sz w:val="20"/>
          <w:szCs w:val="20"/>
          <w:color w:val="auto"/>
        </w:rPr>
      </w:pPr>
    </w:p>
    <w:p>
      <w:pPr>
        <w:ind w:left="300" w:right="100" w:hanging="298"/>
        <w:spacing w:after="0" w:line="263" w:lineRule="auto"/>
        <w:tabs>
          <w:tab w:leader="none" w:pos="29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including how we recognize revenue under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for the sale of vacation ownership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including our estimates of variable consideration. Revisions to estimates of variable consideration from the sale of vacation ownership products impact the reserve on originated vacation ownership notes receivable and can increase or decrease revenue. See Footnote 6 “Vacation Ownership Notes Receivable” to our Financial Statements for further information on our assessments of our originated vacation ownership notes receivable reserve.</w:t>
      </w:r>
    </w:p>
    <w:p>
      <w:pPr>
        <w:spacing w:after="0" w:line="11" w:lineRule="exact"/>
        <w:rPr>
          <w:rFonts w:ascii="Times New Roman" w:cs="Times New Roman" w:eastAsia="Times New Roman" w:hAnsi="Times New Roman"/>
          <w:sz w:val="17"/>
          <w:szCs w:val="17"/>
          <w:i w:val="1"/>
          <w:iCs w:val="1"/>
          <w:color w:val="auto"/>
        </w:rPr>
      </w:pPr>
    </w:p>
    <w:p>
      <w:pPr>
        <w:ind w:left="300" w:right="380" w:hanging="298"/>
        <w:spacing w:after="0" w:line="282" w:lineRule="auto"/>
        <w:tabs>
          <w:tab w:leader="none" w:pos="29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Inventories and cost of vacation ownership products, </w:t>
      </w:r>
      <w:r>
        <w:rPr>
          <w:rFonts w:ascii="Times New Roman" w:cs="Times New Roman" w:eastAsia="Times New Roman" w:hAnsi="Times New Roman"/>
          <w:sz w:val="17"/>
          <w:szCs w:val="17"/>
          <w:color w:val="auto"/>
        </w:rPr>
        <w:t>which requires estimation of future revenues and product costs to apply a relative sales value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 to the vacation ownership industry and how we evaluate the fair value of our vacation ownership inventory.</w:t>
      </w:r>
    </w:p>
    <w:p>
      <w:pPr>
        <w:ind w:left="300" w:hanging="298"/>
        <w:spacing w:after="0" w:line="263" w:lineRule="auto"/>
        <w:tabs>
          <w:tab w:leader="none" w:pos="29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Valuation of goodwill and other intangible assets, </w:t>
      </w:r>
      <w:r>
        <w:rPr>
          <w:rFonts w:ascii="Times New Roman" w:cs="Times New Roman" w:eastAsia="Times New Roman" w:hAnsi="Times New Roman"/>
          <w:sz w:val="17"/>
          <w:szCs w:val="17"/>
          <w:color w:val="auto"/>
        </w:rPr>
        <w:t>including how we determine the fair value of goodwill and our other intangible assets and reporting units,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how we determine when an impairment loss should be recorded. During the fourth quarter of 2023, we conducted our annual goodwill impairment test and did not record any impairment charges. The estimated fair values of our reporting units exceeded their carrying amounts at the date of their most recent estimated fair value determination. During 2023, we evaluated our other intangible assets for impairment and did not record any impairment charges.</w:t>
      </w:r>
    </w:p>
    <w:p>
      <w:pPr>
        <w:spacing w:after="0" w:line="11" w:lineRule="exact"/>
        <w:rPr>
          <w:rFonts w:ascii="Times New Roman" w:cs="Times New Roman" w:eastAsia="Times New Roman" w:hAnsi="Times New Roman"/>
          <w:sz w:val="17"/>
          <w:szCs w:val="17"/>
          <w:i w:val="1"/>
          <w:iCs w:val="1"/>
          <w:color w:val="auto"/>
        </w:rPr>
      </w:pPr>
    </w:p>
    <w:p>
      <w:pPr>
        <w:ind w:left="300" w:right="240" w:hanging="298"/>
        <w:spacing w:after="0" w:line="263" w:lineRule="auto"/>
        <w:tabs>
          <w:tab w:leader="none" w:pos="29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Accounting for acquired vacation ownership notes receivable</w:t>
      </w:r>
      <w:r>
        <w:rPr>
          <w:rFonts w:ascii="Times New Roman" w:cs="Times New Roman" w:eastAsia="Times New Roman" w:hAnsi="Times New Roman"/>
          <w:sz w:val="17"/>
          <w:szCs w:val="17"/>
          <w:color w:val="auto"/>
        </w:rPr>
        <w:t>, where estimates of future cash flows are based largely on the customer class and the results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static pool analysis. In addition, the valuation of acquired vacation ownership notes receivable includes a material estimate of the fair value of the underlying collateral which would be retained in the event of customer default. See further discussion included in Footnote 6 “Vacation Ownership Notes Receivable” to our Financial Statements.</w:t>
      </w:r>
    </w:p>
    <w:p>
      <w:pPr>
        <w:spacing w:after="0" w:line="11" w:lineRule="exact"/>
        <w:rPr>
          <w:rFonts w:ascii="Times New Roman" w:cs="Times New Roman" w:eastAsia="Times New Roman" w:hAnsi="Times New Roman"/>
          <w:sz w:val="17"/>
          <w:szCs w:val="17"/>
          <w:i w:val="1"/>
          <w:iCs w:val="1"/>
          <w:color w:val="auto"/>
        </w:rPr>
      </w:pPr>
    </w:p>
    <w:p>
      <w:pPr>
        <w:ind w:left="300" w:right="60" w:hanging="298"/>
        <w:spacing w:after="0" w:line="263" w:lineRule="auto"/>
        <w:tabs>
          <w:tab w:leader="none" w:pos="29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including information on how we account for loss contingencies. Accruals for contingent liabilities are recorded when it is probable that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has been incurred, or an asset impaired, and the amount of the loss can be reasonably estimated. Liabilities accrued for legal matters require judgments regarding projected outcomes and range of loss based on historical litigation and settlement experience, recommendations of legal counsel and, if applicable, other experts.</w:t>
      </w:r>
    </w:p>
    <w:p>
      <w:pPr>
        <w:spacing w:after="0" w:line="11" w:lineRule="exact"/>
        <w:rPr>
          <w:rFonts w:ascii="Times New Roman" w:cs="Times New Roman" w:eastAsia="Times New Roman" w:hAnsi="Times New Roman"/>
          <w:sz w:val="17"/>
          <w:szCs w:val="17"/>
          <w:i w:val="1"/>
          <w:iCs w:val="1"/>
          <w:color w:val="auto"/>
        </w:rPr>
      </w:pPr>
    </w:p>
    <w:p>
      <w:pPr>
        <w:ind w:left="300" w:hanging="298"/>
        <w:spacing w:after="0" w:line="260" w:lineRule="auto"/>
        <w:tabs>
          <w:tab w:leader="none" w:pos="296"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including the accounting related to uncertain tax positions and the determination of valuation allowances on our deferred tax assets.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recognition and measurement of uncertain tax positions involves consideration of the amounts and probabilities of various outcomes that could be realized upon ultimate resolution. 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71" w:name="page72"/>
    <w:bookmarkEnd w:id="71"/>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Quantitative and Qualitative Disclosures About Market Risk.</w:t>
      </w:r>
    </w:p>
    <w:p>
      <w:pPr>
        <w:spacing w:after="0" w:line="115" w:lineRule="exact"/>
        <w:rPr>
          <w:sz w:val="20"/>
          <w:szCs w:val="20"/>
          <w:color w:val="auto"/>
        </w:rPr>
      </w:pPr>
    </w:p>
    <w:p>
      <w:pPr>
        <w:ind w:right="520"/>
        <w:spacing w:after="0" w:line="315" w:lineRule="auto"/>
        <w:rPr>
          <w:sz w:val="20"/>
          <w:szCs w:val="20"/>
          <w:color w:val="auto"/>
        </w:rPr>
      </w:pPr>
      <w:r>
        <w:rPr>
          <w:rFonts w:ascii="Times New Roman" w:cs="Times New Roman" w:eastAsia="Times New Roman" w:hAnsi="Times New Roman"/>
          <w:sz w:val="16"/>
          <w:szCs w:val="16"/>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28"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7"/>
          <w:szCs w:val="17"/>
          <w:color w:val="auto"/>
        </w:rPr>
        <w:t>We are exposed to interest rate risk through borrowings on our Warehouse Credit Facility and our Corporate Credit Facility, which includes our Revolving Corporate Credit Facility and our Term Loan, as these facilities bear interest at variable rates. All other interest bearing debt, including securitized debt, incurs interest at fixed rates. Changes in interest rates also impact the fair value of our fixed-rate vacation ownership notes receivable and our fixed-rate debt.</w:t>
      </w:r>
    </w:p>
    <w:p>
      <w:pPr>
        <w:spacing w:after="0" w:line="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manage the interest rate risk on our corporate debt through the use of a combination of fixed-rate debt and interest rate swaps (certain of which expired in September 2023 and the remaining outstanding interest rate swaps will expire in April 2024) that fix a portion of our variable-rate debt. At December 31, 2023, after considering the impact of interest rate swap agreements and excluding finance leases, the interest rate applicable to approximately 80% of our corporate debt was effectively fixed and the interest rate applicable to the remaining 20% (approximately $589 million) was variable. Assuming no outstanding balance on our Revolving Corporate Credit Facility, a 100 basis point increase in the underlying benchmark rate on our variable-rate debt at December 31, 2023 would result in an increase of approximately $5 million in annual cash interest due to the impact of our hedging arrangements discussed in Footnote 16 “Debt” to our Financial Statements. Assuming we had no outstanding hedging arrangements and no outstanding balance on our Revolving Corporate Credit Facility, a 100 basis point increase in the underlying benchmark rate on our variable-rate debt at December 31, 2023 would result in an annual increase in cash interest of approximately $8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scheduled maturities and the total fair value as of year-end 2023 for our financial instruments that are impacted by market risks: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Maturities by Period</w:t>
            </w: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rPr>
              <w:t>Average</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There-</w:t>
            </w:r>
          </w:p>
        </w:tc>
        <w:tc>
          <w:tcPr>
            <w:tcW w:w="96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72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960" w:type="dxa"/>
            <w:vAlign w:val="bottom"/>
            <w:vMerge w:val="restart"/>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w w:val="99"/>
              </w:rPr>
              <w:t>Interest</w:t>
            </w:r>
          </w:p>
        </w:tc>
        <w:tc>
          <w:tcPr>
            <w:tcW w:w="680" w:type="dxa"/>
            <w:vAlign w:val="bottom"/>
            <w:vMerge w:val="restart"/>
          </w:tcPr>
          <w:p>
            <w:pPr>
              <w:jc w:val="right"/>
              <w:ind w:right="143"/>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vMerge w:val="restart"/>
          </w:tcPr>
          <w:p>
            <w:pPr>
              <w:jc w:val="right"/>
              <w:ind w:right="143"/>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740" w:type="dxa"/>
            <w:vAlign w:val="bottom"/>
            <w:vMerge w:val="restart"/>
          </w:tcPr>
          <w:p>
            <w:pPr>
              <w:jc w:val="right"/>
              <w:ind w:right="143"/>
              <w:spacing w:after="0" w:line="154" w:lineRule="exact"/>
              <w:rPr>
                <w:sz w:val="20"/>
                <w:szCs w:val="20"/>
                <w:color w:val="auto"/>
              </w:rPr>
            </w:pPr>
            <w:r>
              <w:rPr>
                <w:rFonts w:ascii="Times New Roman" w:cs="Times New Roman" w:eastAsia="Times New Roman" w:hAnsi="Times New Roman"/>
                <w:sz w:val="15"/>
                <w:szCs w:val="15"/>
                <w:b w:val="1"/>
                <w:bCs w:val="1"/>
                <w:color w:val="auto"/>
              </w:rPr>
              <w:t>2026</w:t>
            </w:r>
          </w:p>
        </w:tc>
        <w:tc>
          <w:tcPr>
            <w:tcW w:w="760" w:type="dxa"/>
            <w:vAlign w:val="bottom"/>
            <w:vMerge w:val="restart"/>
          </w:tcPr>
          <w:p>
            <w:pPr>
              <w:ind w:left="240"/>
              <w:spacing w:after="0" w:line="154" w:lineRule="exact"/>
              <w:rPr>
                <w:sz w:val="20"/>
                <w:szCs w:val="20"/>
                <w:color w:val="auto"/>
              </w:rPr>
            </w:pPr>
            <w:r>
              <w:rPr>
                <w:rFonts w:ascii="Times New Roman" w:cs="Times New Roman" w:eastAsia="Times New Roman" w:hAnsi="Times New Roman"/>
                <w:sz w:val="15"/>
                <w:szCs w:val="15"/>
                <w:b w:val="1"/>
                <w:bCs w:val="1"/>
                <w:color w:val="auto"/>
              </w:rPr>
              <w:t>2027</w:t>
            </w:r>
          </w:p>
        </w:tc>
        <w:tc>
          <w:tcPr>
            <w:tcW w:w="900" w:type="dxa"/>
            <w:vAlign w:val="bottom"/>
            <w:vMerge w:val="restart"/>
          </w:tcPr>
          <w:p>
            <w:pPr>
              <w:jc w:val="right"/>
              <w:ind w:right="303"/>
              <w:spacing w:after="0" w:line="154" w:lineRule="exact"/>
              <w:rPr>
                <w:sz w:val="20"/>
                <w:szCs w:val="20"/>
                <w:color w:val="auto"/>
              </w:rPr>
            </w:pPr>
            <w:r>
              <w:rPr>
                <w:rFonts w:ascii="Times New Roman" w:cs="Times New Roman" w:eastAsia="Times New Roman" w:hAnsi="Times New Roman"/>
                <w:sz w:val="15"/>
                <w:szCs w:val="15"/>
                <w:b w:val="1"/>
                <w:bCs w:val="1"/>
                <w:color w:val="auto"/>
              </w:rPr>
              <w:t>2028</w:t>
            </w:r>
          </w:p>
        </w:tc>
        <w:tc>
          <w:tcPr>
            <w:tcW w:w="660" w:type="dxa"/>
            <w:vAlign w:val="bottom"/>
            <w:vMerge w:val="continue"/>
          </w:tcPr>
          <w:p>
            <w:pPr>
              <w:spacing w:after="0"/>
              <w:rPr>
                <w:sz w:val="6"/>
                <w:szCs w:val="6"/>
                <w:color w:val="auto"/>
              </w:rPr>
            </w:pPr>
          </w:p>
        </w:tc>
        <w:tc>
          <w:tcPr>
            <w:tcW w:w="960" w:type="dxa"/>
            <w:vAlign w:val="bottom"/>
            <w:vMerge w:val="restart"/>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720" w:type="dxa"/>
            <w:vAlign w:val="bottom"/>
            <w:vMerge w:val="restart"/>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60" w:type="dxa"/>
            <w:vAlign w:val="bottom"/>
            <w:vMerge w:val="restart"/>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after</w:t>
            </w:r>
          </w:p>
        </w:tc>
        <w:tc>
          <w:tcPr>
            <w:tcW w:w="9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 in millions)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Value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77"/>
        </w:trPr>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525716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257165" cy="1543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7"/>
          <w:szCs w:val="17"/>
          <w:b w:val="1"/>
          <w:bCs w:val="1"/>
          <w:color w:val="auto"/>
        </w:rPr>
        <w:t>Assets – Maturities represent expected principal receipts; fair values represent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Vacation ownership</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63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208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431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notes receivable —</w:t>
            </w:r>
          </w:p>
        </w:tc>
        <w:tc>
          <w:tcPr>
            <w:tcW w:w="6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non-securitized</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Vacation ownership</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171</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176</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181</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1,020</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1,912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notes receivable —</w:t>
            </w:r>
          </w:p>
        </w:tc>
        <w:tc>
          <w:tcPr>
            <w:tcW w:w="62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securitized</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Contracts receivable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37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53"/>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for financed VOI</w:t>
            </w:r>
          </w:p>
        </w:tc>
        <w:tc>
          <w:tcPr>
            <w:tcW w:w="6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net</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500" w:type="dxa"/>
            <w:vAlign w:val="bottom"/>
            <w:gridSpan w:val="16"/>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Liabilities – Maturities represent expected principal payments; fair values represent liabilities</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Securitized debt</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4.6%</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(2,121)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0" w:type="dxa"/>
            <w:vAlign w:val="bottom"/>
          </w:tcPr>
          <w:p>
            <w:pPr>
              <w:spacing w:after="0"/>
              <w:rPr>
                <w:sz w:val="1"/>
                <w:szCs w:val="1"/>
                <w:color w:val="auto"/>
              </w:rPr>
            </w:pPr>
          </w:p>
        </w:tc>
      </w:tr>
      <w:tr>
        <w:trPr>
          <w:trHeight w:val="245"/>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Term Loan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7.2%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154"/>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Revolving Corporate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7.5%</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(105)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(105)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128"/>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Credit Facility</w:t>
            </w:r>
          </w:p>
        </w:tc>
        <w:tc>
          <w:tcPr>
            <w:tcW w:w="62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Notes</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2028 Notes</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4.8%</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45"/>
        </w:trPr>
        <w:tc>
          <w:tcPr>
            <w:tcW w:w="1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2029 Notes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4.5%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154"/>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2026 Convertible</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128"/>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62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2027 Convertible</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3.3%</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(575)</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128"/>
        </w:trPr>
        <w:tc>
          <w:tcPr>
            <w:tcW w:w="1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w:t>
            </w:r>
          </w:p>
        </w:tc>
        <w:tc>
          <w:tcPr>
            <w:tcW w:w="62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38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38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Non-interest bearing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28"/>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note payable</w:t>
            </w:r>
          </w:p>
        </w:tc>
        <w:tc>
          <w:tcPr>
            <w:tcW w:w="62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3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We are exposed to currency exchange rate risk through investments in foreign subsidiaries that transact business in a currency other than the U.S. dollar and through the revaluation of assets and liabilities denominated in a currency other than the functional currency.</w:t>
      </w:r>
    </w:p>
    <w:p>
      <w:pPr>
        <w:spacing w:after="0" w:line="50"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7"/>
          <w:szCs w:val="17"/>
          <w:color w:val="auto"/>
        </w:rPr>
        <w:t>We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6"/>
        </w:trPr>
        <w:tc>
          <w:tcPr>
            <w:tcW w:w="6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160" w:type="dxa"/>
            <w:vAlign w:val="bottom"/>
          </w:tcPr>
          <w:p>
            <w:pPr>
              <w:spacing w:after="0"/>
              <w:rPr>
                <w:sz w:val="19"/>
                <w:szCs w:val="19"/>
                <w:color w:val="auto"/>
              </w:rPr>
            </w:pPr>
          </w:p>
        </w:tc>
        <w:tc>
          <w:tcPr>
            <w:tcW w:w="6720" w:type="dxa"/>
            <w:vAlign w:val="bottom"/>
            <w:gridSpan w:val="28"/>
          </w:tcPr>
          <w:p>
            <w:pPr>
              <w:ind w:left="60"/>
              <w:spacing w:after="0"/>
              <w:rPr>
                <w:sz w:val="20"/>
                <w:szCs w:val="20"/>
                <w:color w:val="auto"/>
              </w:rPr>
            </w:pPr>
            <w:r>
              <w:rPr>
                <w:rFonts w:ascii="Times New Roman" w:cs="Times New Roman" w:eastAsia="Times New Roman" w:hAnsi="Times New Roman"/>
                <w:sz w:val="17"/>
                <w:szCs w:val="17"/>
                <w:b w:val="1"/>
                <w:bCs w:val="1"/>
                <w:color w:val="auto"/>
              </w:rPr>
              <w:t>Financial Statements and Supplementary Data</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52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The following financial information is included on the pages indicated.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500" w:type="dxa"/>
            <w:vAlign w:val="bottom"/>
            <w:gridSpan w:val="33"/>
          </w:tcPr>
          <w:p>
            <w:pPr>
              <w:spacing w:after="0" w:line="177"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00" w:type="dxa"/>
            <w:vAlign w:val="bottom"/>
            <w:gridSpan w:val="3"/>
          </w:tcPr>
          <w:p>
            <w:pPr>
              <w:jc w:val="center"/>
              <w:ind w:left="175"/>
              <w:spacing w:after="0" w:line="177" w:lineRule="exact"/>
              <w:rPr>
                <w:sz w:val="20"/>
                <w:szCs w:val="20"/>
                <w:color w:val="auto"/>
              </w:rPr>
            </w:pPr>
            <w:r>
              <w:rPr>
                <w:rFonts w:ascii="Times New Roman" w:cs="Times New Roman" w:eastAsia="Times New Roman" w:hAnsi="Times New Roman"/>
                <w:sz w:val="17"/>
                <w:szCs w:val="17"/>
                <w:color w:val="0000FF"/>
                <w:w w:val="93"/>
              </w:rPr>
              <w:t>71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w w:val="99"/>
              </w:rPr>
              <w:t>Management’s Report on Internal Control Over Financial Reporting</w:t>
            </w:r>
          </w:p>
        </w:tc>
        <w:tc>
          <w:tcPr>
            <w:tcW w:w="2860" w:type="dxa"/>
            <w:vAlign w:val="bottom"/>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42)</w:t>
            </w:r>
          </w:p>
        </w:tc>
        <w:tc>
          <w:tcPr>
            <w:tcW w:w="500" w:type="dxa"/>
            <w:vAlign w:val="bottom"/>
            <w:gridSpan w:val="3"/>
            <w:vMerge w:val="restart"/>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80" w:type="dxa"/>
            <w:vAlign w:val="bottom"/>
            <w:gridSpan w:val="29"/>
            <w:vMerge w:val="restart"/>
          </w:tcPr>
          <w:p>
            <w:pPr>
              <w:spacing w:after="0" w:line="179" w:lineRule="exact"/>
              <w:rPr>
                <w:sz w:val="20"/>
                <w:szCs w:val="20"/>
                <w:color w:val="auto"/>
              </w:rPr>
            </w:pPr>
            <w:r>
              <w:rPr>
                <w:rFonts w:ascii="Times New Roman" w:cs="Times New Roman" w:eastAsia="Times New Roman" w:hAnsi="Times New Roman"/>
                <w:sz w:val="17"/>
                <w:szCs w:val="17"/>
                <w:color w:val="0000FF"/>
              </w:rPr>
              <w:t>Internal Control Over Financial Reporting</w:t>
            </w:r>
          </w:p>
        </w:tc>
        <w:tc>
          <w:tcPr>
            <w:tcW w:w="5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80" w:type="dxa"/>
            <w:vAlign w:val="bottom"/>
            <w:gridSpan w:val="29"/>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42)</w:t>
            </w:r>
          </w:p>
        </w:tc>
        <w:tc>
          <w:tcPr>
            <w:tcW w:w="500" w:type="dxa"/>
            <w:vAlign w:val="bottom"/>
            <w:gridSpan w:val="3"/>
            <w:vMerge w:val="restart"/>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13"/>
            <w:vMerge w:val="restart"/>
          </w:tcPr>
          <w:p>
            <w:pPr>
              <w:spacing w:after="0" w:line="179" w:lineRule="exact"/>
              <w:rPr>
                <w:sz w:val="20"/>
                <w:szCs w:val="20"/>
                <w:color w:val="auto"/>
              </w:rPr>
            </w:pPr>
            <w:r>
              <w:rPr>
                <w:rFonts w:ascii="Times New Roman" w:cs="Times New Roman" w:eastAsia="Times New Roman" w:hAnsi="Times New Roman"/>
                <w:sz w:val="17"/>
                <w:szCs w:val="17"/>
                <w:color w:val="0000FF"/>
                <w:w w:val="98"/>
              </w:rPr>
              <w:t>Financial Statements</w:t>
            </w:r>
          </w:p>
        </w:tc>
        <w:tc>
          <w:tcPr>
            <w:tcW w:w="5460" w:type="dxa"/>
            <w:vAlign w:val="bottom"/>
            <w:gridSpan w:val="16"/>
            <w:vMerge w:val="restart"/>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0000FF"/>
            </w:tcBorders>
            <w:gridSpan w:val="13"/>
            <w:vMerge w:val="continue"/>
          </w:tcPr>
          <w:p>
            <w:pPr>
              <w:spacing w:after="0"/>
              <w:rPr>
                <w:sz w:val="4"/>
                <w:szCs w:val="4"/>
                <w:color w:val="auto"/>
              </w:rPr>
            </w:pPr>
          </w:p>
        </w:tc>
        <w:tc>
          <w:tcPr>
            <w:tcW w:w="5460" w:type="dxa"/>
            <w:vAlign w:val="bottom"/>
            <w:gridSpan w:val="16"/>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w w:val="98"/>
              </w:rPr>
              <w:t>Consolidated Statements of Income</w:t>
            </w:r>
          </w:p>
        </w:tc>
        <w:tc>
          <w:tcPr>
            <w:tcW w:w="4880" w:type="dxa"/>
            <w:vAlign w:val="bottom"/>
            <w:gridSpan w:val="11"/>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8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780" w:type="dxa"/>
            <w:vAlign w:val="bottom"/>
            <w:gridSpan w:val="2"/>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8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79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8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81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960" w:type="dxa"/>
            <w:vAlign w:val="bottom"/>
            <w:gridSpan w:val="3"/>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83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1.</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Basis of Presentation</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83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2.</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Summary of Significant Accounting Policies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84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3.</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Acquisitions and Dispositions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96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4.</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Revenue</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98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5.</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Income Taxes</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101</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6.</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Vacation Ownership Notes Receivable</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7.</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Financial Instruments</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109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8.</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Earnings per Share</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w w:val="93"/>
              </w:rPr>
              <w:t>9.</w:t>
            </w:r>
          </w:p>
        </w:tc>
        <w:tc>
          <w:tcPr>
            <w:tcW w:w="7160" w:type="dxa"/>
            <w:vAlign w:val="bottom"/>
            <w:gridSpan w:val="31"/>
          </w:tcPr>
          <w:p>
            <w:pPr>
              <w:ind w:left="20"/>
              <w:spacing w:after="0"/>
              <w:rPr>
                <w:sz w:val="20"/>
                <w:szCs w:val="20"/>
                <w:color w:val="auto"/>
              </w:rPr>
            </w:pPr>
            <w:r>
              <w:rPr>
                <w:rFonts w:ascii="Times New Roman" w:cs="Times New Roman" w:eastAsia="Times New Roman" w:hAnsi="Times New Roman"/>
                <w:sz w:val="17"/>
                <w:szCs w:val="17"/>
                <w:color w:val="0000FF"/>
              </w:rPr>
              <w:t>Inventory</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10.</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Property and Equipment</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11. Goodwill</w:t>
            </w:r>
          </w:p>
        </w:tc>
        <w:tc>
          <w:tcPr>
            <w:tcW w:w="5380" w:type="dxa"/>
            <w:vAlign w:val="bottom"/>
            <w:gridSpan w:val="15"/>
          </w:tcPr>
          <w:p>
            <w:pPr>
              <w:spacing w:after="0"/>
              <w:rPr>
                <w:sz w:val="19"/>
                <w:szCs w:val="19"/>
                <w:color w:val="auto"/>
              </w:rPr>
            </w:pP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12.</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Intangibles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13.</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Contingencies and Commitments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gridSpan w:val="4"/>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000" w:type="dxa"/>
            <w:vAlign w:val="bottom"/>
            <w:gridSpan w:val="12"/>
            <w:shd w:val="clear" w:color="auto" w:fill="0000FF"/>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14.</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Leases</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15.</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Securitized Debt</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16.</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Debt</w:t>
            </w:r>
          </w:p>
        </w:tc>
        <w:tc>
          <w:tcPr>
            <w:tcW w:w="500" w:type="dxa"/>
            <w:vAlign w:val="bottom"/>
            <w:gridSpan w:val="3"/>
          </w:tcPr>
          <w:p>
            <w:pPr>
              <w:jc w:val="center"/>
              <w:ind w:left="175"/>
              <w:spacing w:after="0"/>
              <w:rPr>
                <w:sz w:val="20"/>
                <w:szCs w:val="20"/>
                <w:color w:val="auto"/>
              </w:rPr>
            </w:pPr>
            <w:r>
              <w:rPr>
                <w:rFonts w:ascii="Times New Roman" w:cs="Times New Roman" w:eastAsia="Times New Roman" w:hAnsi="Times New Roman"/>
                <w:sz w:val="17"/>
                <w:szCs w:val="17"/>
                <w:color w:val="0000FF"/>
                <w:w w:val="93"/>
              </w:rPr>
              <w:t>119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17.</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Stockholders' Equity</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123</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18.</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Share-based Compensation</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124</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19.</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Variable Interest Entities</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126</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20.</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Business Segments</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128</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w w:val="93"/>
              </w:rPr>
              <w:t>21.</w:t>
            </w:r>
          </w:p>
        </w:tc>
        <w:tc>
          <w:tcPr>
            <w:tcW w:w="7080" w:type="dxa"/>
            <w:vAlign w:val="bottom"/>
            <w:gridSpan w:val="30"/>
          </w:tcPr>
          <w:p>
            <w:pPr>
              <w:ind w:left="20"/>
              <w:spacing w:after="0"/>
              <w:rPr>
                <w:sz w:val="20"/>
                <w:szCs w:val="20"/>
                <w:color w:val="auto"/>
              </w:rPr>
            </w:pPr>
            <w:r>
              <w:rPr>
                <w:rFonts w:ascii="Times New Roman" w:cs="Times New Roman" w:eastAsia="Times New Roman" w:hAnsi="Times New Roman"/>
                <w:sz w:val="17"/>
                <w:szCs w:val="17"/>
                <w:color w:val="0000FF"/>
              </w:rPr>
              <w:t>Impairment and Restructuring</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3"/>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295"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MANAGEMENT’S REPORT 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7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connection with the preparation of the Company’s annual consolidated financial statements, management has undertaken an assessment of the effectiveness of the Company’s internal control over financial reporting as of December 31, 2023, based on criteria established in Internal Control-Integrated Framework issued by the Committee of Sponsoring Organizations of the Treadway Commission (2013 framework) (the “COSO criteria”).</w:t>
      </w:r>
    </w:p>
    <w:p>
      <w:pPr>
        <w:spacing w:after="0" w:line="16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Based on this assessment, management has concluded that, applying the COSO criteria, as of December 31, 2023,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6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74" w:name="page75"/>
    <w:bookmarkEnd w:id="74"/>
    <w:p>
      <w:pPr>
        <w:ind w:left="27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Marriott Vacations Worldwide Corporation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8"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7"/>
          <w:szCs w:val="17"/>
          <w:color w:val="auto"/>
        </w:rPr>
        <w:t>We have audited Marriott Vacations Worldwide Corporation’s internal control over financial reporting as of December 31, 2023, based on criteria established in Internal Control</w:t>
      </w:r>
      <w:r>
        <w:rPr>
          <w:rFonts w:ascii="Arial" w:cs="Arial" w:eastAsia="Arial" w:hAnsi="Arial"/>
          <w:sz w:val="17"/>
          <w:szCs w:val="17"/>
          <w:color w:val="auto"/>
        </w:rPr>
        <w:t>—</w:t>
      </w:r>
      <w:r>
        <w:rPr>
          <w:rFonts w:ascii="Times New Roman" w:cs="Times New Roman" w:eastAsia="Times New Roman" w:hAnsi="Times New Roman"/>
          <w:sz w:val="17"/>
          <w:szCs w:val="17"/>
          <w:color w:val="auto"/>
        </w:rPr>
        <w:t>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2023, based on the COSO criteria.</w:t>
      </w:r>
    </w:p>
    <w:p>
      <w:pPr>
        <w:spacing w:after="0" w:line="84"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stockholders’ equity and cash flows for each of the three years in the period ended December 31, 2023, and the related notes and our report dated February 27, 2024 expressed an unqualified opinion thereon.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Orlando, Florida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192" w:right="379" w:bottom="1440" w:gutter="0" w:footer="0" w:header="0"/>
        </w:sectPr>
      </w:pPr>
    </w:p>
    <w:bookmarkStart w:id="75" w:name="page76"/>
    <w:bookmarkEnd w:id="75"/>
    <w:p>
      <w:pPr>
        <w:ind w:left="27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Marriott Vacations Worldwide Corporation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Marriott Vacations Worldwide Corporation (the Company) as of December 31, 2023 and 2022, the related consolidated statements of income, comprehensive income,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70" w:lineRule="exact"/>
        <w:rPr>
          <w:sz w:val="20"/>
          <w:szCs w:val="20"/>
          <w:color w:val="auto"/>
        </w:rPr>
      </w:pPr>
    </w:p>
    <w:p>
      <w:pPr>
        <w:jc w:val="both"/>
        <w:ind w:right="380"/>
        <w:spacing w:after="0" w:line="27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w:t>
      </w:r>
      <w:r>
        <w:rPr>
          <w:rFonts w:ascii="Arial" w:cs="Arial" w:eastAsia="Arial" w:hAnsi="Arial"/>
          <w:sz w:val="17"/>
          <w:szCs w:val="17"/>
          <w:color w:val="auto"/>
        </w:rPr>
        <w:t>—</w:t>
      </w:r>
      <w:r>
        <w:rPr>
          <w:rFonts w:ascii="Times New Roman" w:cs="Times New Roman" w:eastAsia="Times New Roman" w:hAnsi="Times New Roman"/>
          <w:sz w:val="17"/>
          <w:szCs w:val="17"/>
          <w:color w:val="auto"/>
        </w:rPr>
        <w:t>Integrated Framework issued by the Committee of Sponsoring Organizations of the Treadway Commission (2013 framework), and our report dated February 27, 2024 expressed an unqualified opinion thereon.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Cost of Vacation Ownership Products</w:t>
      </w:r>
    </w:p>
    <w:p>
      <w:pPr>
        <w:sectPr>
          <w:pgSz w:w="11900" w:h="16838" w:orient="portrait"/>
          <w:cols w:equalWidth="0" w:num="1">
            <w:col w:w="11240"/>
          </w:cols>
          <w:pgMar w:left="320" w:top="1192" w:right="339" w:bottom="1440" w:gutter="0" w:footer="0" w:header="0"/>
        </w:sectPr>
      </w:pPr>
    </w:p>
    <w:p>
      <w:pPr>
        <w:spacing w:after="0" w:line="73"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Company’s cost of vacation ownership products was $224 million for the year ended December 31, 2023. As discussed in Note 2 to the consolidated financial statements, the Company accounts for the cost of vacation ownership products utilizing the relative sales value method in accordance with the authoritative guidance for accounting for real estate time-sharing transactions. Changes in estimates used in applying the relative sales value method are recognized in the period that the changes occur.</w:t>
      </w:r>
    </w:p>
    <w:p>
      <w:pPr>
        <w:spacing w:after="0" w:line="2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Auditing the Company’s application of the relative sales value method was challenging due to the nature and extent of audit effort required as the calculations are complex and contain a significant volume of data. Additionally, the determination of the cost of vacation ownership products was sensitive to the selection and application of assumptions used in estimating future revenues from sale of vacation ownership products which are affected by expectations about future market and economic conditions.</w:t>
      </w:r>
    </w:p>
    <w:p>
      <w:pPr>
        <w:spacing w:after="0" w:line="200" w:lineRule="exact"/>
        <w:rPr>
          <w:sz w:val="20"/>
          <w:szCs w:val="20"/>
          <w:color w:val="auto"/>
        </w:rPr>
      </w:pPr>
    </w:p>
    <w:p>
      <w:pPr>
        <w:sectPr>
          <w:pgSz w:w="11900" w:h="16838" w:orient="portrait"/>
          <w:cols w:equalWidth="0" w:num="2">
            <w:col w:w="1240" w:space="180"/>
            <w:col w:w="9820"/>
          </w:cols>
          <w:pgMar w:left="320" w:top="11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76" w:name="page77"/>
    <w:bookmarkEnd w:id="76"/>
    <w:p>
      <w:pPr>
        <w:ind w:left="20"/>
        <w:spacing w:after="0"/>
        <w:rPr>
          <w:sz w:val="20"/>
          <w:szCs w:val="20"/>
          <w:color w:val="auto"/>
        </w:rPr>
      </w:pPr>
      <w:r>
        <w:rPr>
          <w:rFonts w:ascii="Times New Roman" w:cs="Times New Roman" w:eastAsia="Times New Roman" w:hAnsi="Times New Roman"/>
          <w:sz w:val="16"/>
          <w:szCs w:val="16"/>
          <w:b w:val="1"/>
          <w:bCs w:val="1"/>
          <w:color w:val="auto"/>
        </w:rPr>
        <w:t>Cost of Vacation Ownership Products</w:t>
      </w:r>
    </w:p>
    <w:p>
      <w:pPr>
        <w:sectPr>
          <w:pgSz w:w="11900" w:h="16838" w:orient="portrait"/>
          <w:cols w:equalWidth="0" w:num="1">
            <w:col w:w="11220"/>
          </w:cols>
          <w:pgMar w:left="320" w:top="1333" w:right="359" w:bottom="1440" w:gutter="0" w:footer="0" w:header="0"/>
        </w:sectPr>
      </w:pPr>
    </w:p>
    <w:p>
      <w:pPr>
        <w:spacing w:after="0" w:line="84"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6"/>
          <w:szCs w:val="16"/>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to determine the cost of vacation ownership products. For example, we tested controls over management’s review of the calculations, including the inputs and certain estimates, such as estimated future revenue from sale of vacation ownership products.</w:t>
      </w:r>
    </w:p>
    <w:p>
      <w:pPr>
        <w:spacing w:after="0" w:line="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To test the cost of vacation ownership products, we performed audit procedures that included, among others, assessing the methodologies used, evaluating the estimates discussed above and testing the completeness and accuracy of the data used by the Company in the calculations. For example, we agreed inputs to the calculations to historical data and source documentation and evaluated the estimates used in the calculations, such as estimated future revenue from sale of vacation ownership products, utilizing historical operating results. We involved real estate subject matter resources on our team because the application of the relative sales value method is unique to companies in the real estate time-sharing industry.</w:t>
      </w:r>
    </w:p>
    <w:p>
      <w:pPr>
        <w:spacing w:after="0" w:line="200" w:lineRule="exact"/>
        <w:rPr>
          <w:sz w:val="20"/>
          <w:szCs w:val="20"/>
          <w:color w:val="auto"/>
        </w:rPr>
      </w:pPr>
    </w:p>
    <w:p>
      <w:pPr>
        <w:sectPr>
          <w:pgSz w:w="11900" w:h="16838" w:orient="portrait"/>
          <w:cols w:equalWidth="0" w:num="2">
            <w:col w:w="1340" w:space="80"/>
            <w:col w:w="9800"/>
          </w:cols>
          <w:pgMar w:left="320" w:top="1333" w:right="359" w:bottom="1440" w:gutter="0" w:footer="0" w:header="0"/>
          <w:type w:val="continuous"/>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Valuation of Originated and Acquired Vacation Ownership Notes Receivable</w:t>
      </w:r>
    </w:p>
    <w:p>
      <w:pPr>
        <w:sectPr>
          <w:pgSz w:w="11900" w:h="16838" w:orient="portrait"/>
          <w:cols w:equalWidth="0" w:num="1">
            <w:col w:w="11220"/>
          </w:cols>
          <w:pgMar w:left="320" w:top="1333" w:right="359" w:bottom="1440" w:gutter="0" w:footer="0" w:header="0"/>
          <w:type w:val="continuous"/>
        </w:sectPr>
      </w:pPr>
    </w:p>
    <w:p>
      <w:pPr>
        <w:spacing w:after="0" w:line="84"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line="243"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As of December 31, 2023, the Company’s vacation ownership notes receivable was $2,343 million, of which $2,178 million related to originated vacation ownership notes receivable and $165 million related to acquired vacation ownership notes receivable. As discussed in Note 2 to the consolidated financial statements, for originated notes, the Company records the difference between the vacation ownership note receivable and variable consideration included in the transaction price for the sale of the related vacation ownership products as a reserve on the Company’s originated vacation ownership notes receivable. The Company’s acquired vacation ownership notes receivable are accounted for using the purchased credit deteriorated assets provision of the current expected credit loss model, whereby the Company estimates the reserve of its acquired vacation ownership receivables on a quarterly basis and any changes in the reserve are recorded as financing expense. The estimates of the variable consideration for originated vacation ownership notes receivable and the reserve for credit losses on the acquired vacation ownership notes receivable are based on default rates that are an output of the Company’s static pool analyses and the estimates regarding future defaults.</w:t>
      </w:r>
    </w:p>
    <w:p>
      <w:pPr>
        <w:spacing w:after="0" w:line="7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Auditing the Company’s valuation of originated and acquired vacation ownership notes receivable was challenging due to the nature and extent of audit effort required to test the static pool analyses, which are complex and contain a significant volume of data. Furthermore, the valuation of originated and acquired vacation ownership notes receivable was sensitive to management’s assumptions regarding future default rates.</w:t>
      </w:r>
    </w:p>
    <w:p>
      <w:pPr>
        <w:spacing w:after="0" w:line="6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vacation ownership notes receivable process. For example, we tested controls over management’s review of the static pool analyses, including the significant inputs to the analyses, and review of the assumption regarding future default rates.</w:t>
      </w:r>
    </w:p>
    <w:p>
      <w:pPr>
        <w:spacing w:after="0" w:line="63"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To test the valuation of originated and acquired vacation ownership notes receivable, we performed audit procedures that included, among others, assessing the methodology used, evaluating the assumptions regarding future default rates as discussed above, and testing the completeness and accuracy of the static pool analyses, including the significant inputs to the analyses. For example, we agreed inputs to the static pool analyses to historical data and source documentation. We also compared the assumptions regarding future defaults to the Company’s historical and current default rates and performed a retrospective review of the defaults projected from the analyses. We involved real estate subject matter resources on our team because the static pool analyses are unique to companies in the real estate time-sharing industry.</w:t>
      </w:r>
    </w:p>
    <w:p>
      <w:pPr>
        <w:spacing w:after="0" w:line="200" w:lineRule="exact"/>
        <w:rPr>
          <w:sz w:val="20"/>
          <w:szCs w:val="20"/>
          <w:color w:val="auto"/>
        </w:rPr>
      </w:pPr>
    </w:p>
    <w:p>
      <w:pPr>
        <w:sectPr>
          <w:pgSz w:w="11900" w:h="16838" w:orient="portrait"/>
          <w:cols w:equalWidth="0" w:num="2">
            <w:col w:w="1340" w:space="80"/>
            <w:col w:w="9800"/>
          </w:cols>
          <w:pgMar w:left="320" w:top="1333" w:right="35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Orlando,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33" w:right="359" w:bottom="1440"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2023,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 except per share amounts)</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20" w:type="dxa"/>
            <w:vAlign w:val="bottom"/>
          </w:tcPr>
          <w:p>
            <w:pPr>
              <w:spacing w:after="0"/>
              <w:rPr>
                <w:sz w:val="22"/>
                <w:szCs w:val="22"/>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Marketing and sales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and exchange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Rental</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Financing</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charges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Royalty fee</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0" w:type="dxa"/>
            <w:vAlign w:val="bottom"/>
          </w:tcPr>
          <w:p>
            <w:pPr>
              <w:spacing w:after="0"/>
              <w:rPr>
                <w:sz w:val="1"/>
                <w:szCs w:val="1"/>
                <w:color w:val="auto"/>
              </w:rPr>
            </w:pPr>
          </w:p>
        </w:tc>
      </w:tr>
      <w:tr>
        <w:trPr>
          <w:trHeight w:val="23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59"/>
        </w:trPr>
        <w:tc>
          <w:tcPr>
            <w:tcW w:w="400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INCOME BEFORE INCOME TAXES AND</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noncontrolling interests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46"/>
        </w:trPr>
        <w:tc>
          <w:tcPr>
            <w:tcW w:w="40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NET INCOME ATTRIBUTABLE TO COMMON</w:t>
            </w:r>
          </w:p>
        </w:tc>
        <w:tc>
          <w:tcPr>
            <w:tcW w:w="300" w:type="dxa"/>
            <w:vAlign w:val="bottom"/>
            <w:tcBorders>
              <w:top w:val="single" w:sz="8" w:color="auto"/>
            </w:tcBorders>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Pr>
          <w:p>
            <w:pPr>
              <w:spacing w:after="0"/>
              <w:rPr>
                <w:sz w:val="12"/>
                <w:szCs w:val="12"/>
                <w:color w:val="auto"/>
              </w:rPr>
            </w:pPr>
          </w:p>
        </w:tc>
        <w:tc>
          <w:tcPr>
            <w:tcW w:w="4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0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b w:val="1"/>
                <w:bCs w:val="1"/>
                <w:color w:val="auto"/>
              </w:rPr>
              <w:t>EARNINGS PER SHARE ATTRIBUTABLE TO</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56"/>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tcPr>
          <w:p>
            <w:pPr>
              <w:spacing w:after="0"/>
              <w:rPr>
                <w:sz w:val="22"/>
                <w:szCs w:val="22"/>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DIVIDENDS DECLARED PER SHARE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20" w:type="dxa"/>
            <w:vAlign w:val="bottom"/>
          </w:tcPr>
          <w:p>
            <w:pPr>
              <w:spacing w:after="0"/>
              <w:rPr>
                <w:sz w:val="22"/>
                <w:szCs w:val="22"/>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447"/>
        </w:trPr>
        <w:tc>
          <w:tcPr>
            <w:tcW w:w="5920" w:type="dxa"/>
            <w:vAlign w:val="bottom"/>
            <w:gridSpan w:val="5"/>
          </w:tcPr>
          <w:p>
            <w:pPr>
              <w:ind w:left="2420"/>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1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75565</wp:posOffset>
            </wp:positionV>
            <wp:extent cx="716534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2023,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25"/>
        </w:trPr>
        <w:tc>
          <w:tcPr>
            <w:tcW w:w="40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9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66"/>
        </w:trPr>
        <w:tc>
          <w:tcPr>
            <w:tcW w:w="402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Reclassification of foreign currency translation</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adjustments realized upon disposition of entities</w:t>
            </w:r>
          </w:p>
        </w:tc>
        <w:tc>
          <w:tcPr>
            <w:tcW w:w="90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Derivative instrument adjustment, net of tax</w:t>
            </w:r>
          </w:p>
        </w:tc>
        <w:tc>
          <w:tcPr>
            <w:tcW w:w="9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46"/>
        </w:trPr>
        <w:tc>
          <w:tcPr>
            <w:tcW w:w="402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OTHER COMPREHENSIVE INCOME, NET OF</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TAX</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02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Net loss (income) attributable to noncontrolling</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interests</w:t>
            </w:r>
          </w:p>
        </w:tc>
        <w:tc>
          <w:tcPr>
            <w:tcW w:w="900" w:type="dxa"/>
            <w:vAlign w:val="bottom"/>
          </w:tcPr>
          <w:p>
            <w:pPr>
              <w:spacing w:after="0"/>
              <w:rPr>
                <w:sz w:val="19"/>
                <w:szCs w:val="19"/>
                <w:color w:val="auto"/>
              </w:rPr>
            </w:pP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46"/>
        </w:trPr>
        <w:tc>
          <w:tcPr>
            <w:tcW w:w="402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9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b w:val="1"/>
                <w:bCs w:val="1"/>
                <w:color w:val="auto"/>
              </w:rPr>
              <w:t>ATTRIBUTABLE TO NONCONTROLLING</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b w:val="1"/>
                <w:bCs w:val="1"/>
                <w:color w:val="auto"/>
              </w:rPr>
              <w:t>COMPREHENSIVE INCOME ATTRIBUTABLE TO</w:t>
            </w:r>
          </w:p>
        </w:tc>
        <w:tc>
          <w:tcPr>
            <w:tcW w:w="900" w:type="dxa"/>
            <w:vAlign w:val="bottom"/>
            <w:vMerge w:val="restart"/>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68580</wp:posOffset>
            </wp:positionV>
            <wp:extent cx="716534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Year-End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 except share and per share data)</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5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(including $79 and $85 from VIEs, respectively)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166"/>
        </w:trPr>
        <w:tc>
          <w:tcPr>
            <w:tcW w:w="546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Accounts and contracts receivable, net (including $15 and $13 from VIEs,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179"/>
        </w:trPr>
        <w:tc>
          <w:tcPr>
            <w:tcW w:w="54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Vacation ownership notes receivable, net (including $1,912 and $1,792 from</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VIEs, respectively)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r>
      <w:tr>
        <w:trPr>
          <w:trHeight w:val="25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(including $99 and $76 from VIEs, respectively)</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23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 (including $4 and $5 from VIEs,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 net (including $2,121 and $1,982 from VIEs,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3,088</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3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Contingencies and Commitments (Note 13)</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79"/>
        </w:trPr>
        <w:tc>
          <w:tcPr>
            <w:tcW w:w="54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Preferred stock — $0.01 par value; 2,000,000 shares authorized; none issued or</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54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Common stock — $0.01 par value; 100,000,000 shares authorized; 75,807,882</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75,744,524 shares issued, respectively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Treasury stock — at cost; 40,488,576 and 38,263,442 shares, respectively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3,941</w:t>
            </w:r>
          </w:p>
        </w:tc>
      </w:tr>
      <w:tr>
        <w:trPr>
          <w:trHeight w:val="25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36"/>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MVW STOCKHOLDERS' EQUITY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w:t>
            </w:r>
          </w:p>
        </w:tc>
      </w:tr>
      <w:tr>
        <w:trPr>
          <w:trHeight w:val="25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2,498</w:t>
            </w:r>
          </w:p>
        </w:tc>
      </w:tr>
      <w:tr>
        <w:trPr>
          <w:trHeight w:val="235"/>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abbreviation VIEs above means Variable Interest Entities.</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ectPr>
          <w:pgSz w:w="11900" w:h="16838" w:orient="portrait"/>
          <w:cols w:equalWidth="0" w:num="1">
            <w:col w:w="9019"/>
          </w:cols>
          <w:pgMar w:left="1440" w:top="11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75565</wp:posOffset>
            </wp:positionV>
            <wp:extent cx="716534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type w:val="continuous"/>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2023,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03"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3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6"/>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Pr>
          <w:p>
            <w:pPr>
              <w:spacing w:after="0"/>
              <w:rPr>
                <w:sz w:val="22"/>
                <w:szCs w:val="22"/>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179"/>
        </w:trPr>
        <w:tc>
          <w:tcPr>
            <w:tcW w:w="48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7"/>
                <w:szCs w:val="17"/>
                <w:color w:val="auto"/>
              </w:rPr>
              <w:t>Adjustments to reconcile net income to net cash, cash equivalents,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restricted cash provided by operating activities: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intangibles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reserve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charges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166"/>
        </w:trPr>
        <w:tc>
          <w:tcPr>
            <w:tcW w:w="4800" w:type="dxa"/>
            <w:vAlign w:val="bottom"/>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Net change in assets and liabilities, net of the effects of</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6"/>
        </w:trPr>
        <w:tc>
          <w:tcPr>
            <w:tcW w:w="4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and contracts receivable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r>
      <w:tr>
        <w:trPr>
          <w:trHeight w:val="256"/>
        </w:trPr>
        <w:tc>
          <w:tcPr>
            <w:tcW w:w="4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Vacation ownership notes receivable collections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56"/>
        </w:trPr>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56"/>
        </w:trPr>
        <w:tc>
          <w:tcPr>
            <w:tcW w:w="4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56"/>
        </w:trPr>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 advance deposits and accrued liabilities</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56"/>
        </w:trPr>
        <w:tc>
          <w:tcPr>
            <w:tcW w:w="4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56"/>
        </w:trPr>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Payroll and benefit liabilities</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56"/>
        </w:trPr>
        <w:tc>
          <w:tcPr>
            <w:tcW w:w="4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56"/>
        </w:trPr>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166"/>
        </w:trPr>
        <w:tc>
          <w:tcPr>
            <w:tcW w:w="480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Deconsolidation of certain Consolidated Property Owners'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Associations</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property for future transfer to inventory</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56"/>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59"/>
        </w:trPr>
        <w:tc>
          <w:tcPr>
            <w:tcW w:w="4800" w:type="dxa"/>
            <w:vAlign w:val="bottom"/>
            <w:shd w:val="clear" w:color="auto" w:fill="CCEEFF"/>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provided by</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30"/>
        </w:trPr>
        <w:tc>
          <w:tcPr>
            <w:tcW w:w="4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of a business, net of cash and restricted cash acquired</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166"/>
        </w:trPr>
        <w:tc>
          <w:tcPr>
            <w:tcW w:w="4800" w:type="dxa"/>
            <w:vAlign w:val="bottom"/>
          </w:tcPr>
          <w:p>
            <w:pPr>
              <w:ind w:left="220"/>
              <w:spacing w:after="0" w:line="166" w:lineRule="exact"/>
              <w:rPr>
                <w:sz w:val="20"/>
                <w:szCs w:val="20"/>
                <w:color w:val="auto"/>
              </w:rPr>
            </w:pPr>
            <w:r>
              <w:rPr>
                <w:rFonts w:ascii="Times New Roman" w:cs="Times New Roman" w:eastAsia="Times New Roman" w:hAnsi="Times New Roman"/>
                <w:sz w:val="17"/>
                <w:szCs w:val="17"/>
                <w:color w:val="auto"/>
              </w:rPr>
              <w:t>Proceeds from disposition of subsidiaries, net of cash and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 transferred</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4800" w:type="dxa"/>
            <w:vAlign w:val="bottom"/>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Capital expenditures for property and equipment (excluding</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of note receivable to VIE</w:t>
            </w: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collection of note receivable from VIE</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company owned life insurance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Dispositions, net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159"/>
        </w:trPr>
        <w:tc>
          <w:tcPr>
            <w:tcW w:w="4800" w:type="dxa"/>
            <w:vAlign w:val="bottom"/>
            <w:tcBorders>
              <w:top w:val="single" w:sz="8" w:color="CCEEFF"/>
            </w:tcBorders>
            <w:shd w:val="clear" w:color="auto" w:fill="CCEEFF"/>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(used in)</w:t>
            </w: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230"/>
        </w:trPr>
        <w:tc>
          <w:tcPr>
            <w:tcW w:w="4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provided by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r>
    </w:tbl>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ectPr>
          <w:pgSz w:w="11900" w:h="16838" w:orient="portrait"/>
          <w:cols w:equalWidth="0" w:num="1">
            <w:col w:w="9019"/>
          </w:cols>
          <w:pgMar w:left="1440" w:top="10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75565</wp:posOffset>
            </wp:positionV>
            <wp:extent cx="716534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Years 2023,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4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6"/>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securitization transactions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 of debt related to securitization transactions</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debt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Repayments of debt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convertible note hedges</w:t>
            </w: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issuance of warrants</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 incentive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 payment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56"/>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 of dividends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5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 of withholding taxes on vesting of restricted stock units</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159"/>
        </w:trPr>
        <w:tc>
          <w:tcPr>
            <w:tcW w:w="4780" w:type="dxa"/>
            <w:vAlign w:val="bottom"/>
          </w:tcPr>
          <w:p>
            <w:pPr>
              <w:ind w:left="640"/>
              <w:spacing w:after="0" w:line="159" w:lineRule="exact"/>
              <w:rPr>
                <w:sz w:val="20"/>
                <w:szCs w:val="20"/>
                <w:color w:val="auto"/>
              </w:rPr>
            </w:pPr>
            <w:r>
              <w:rPr>
                <w:rFonts w:ascii="Times New Roman" w:cs="Times New Roman" w:eastAsia="Times New Roman" w:hAnsi="Times New Roman"/>
                <w:sz w:val="17"/>
                <w:szCs w:val="17"/>
                <w:color w:val="auto"/>
              </w:rPr>
              <w:t>Net cash, cash equivalents, and restricted cash used in</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47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financing activities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159"/>
        </w:trPr>
        <w:tc>
          <w:tcPr>
            <w:tcW w:w="47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7"/>
                <w:szCs w:val="17"/>
                <w:color w:val="auto"/>
              </w:rPr>
              <w:t>Effect of changes in exchange rates on cash, cash equivalents, and</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5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year</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1"/>
        </w:trPr>
        <w:tc>
          <w:tcPr>
            <w:tcW w:w="4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issuance of debt in connection with asset acquisition</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4780" w:type="dxa"/>
            <w:vAlign w:val="bottom"/>
          </w:tcPr>
          <w:p>
            <w:pPr>
              <w:ind w:left="120"/>
              <w:spacing w:after="0" w:line="166" w:lineRule="exact"/>
              <w:rPr>
                <w:sz w:val="20"/>
                <w:szCs w:val="20"/>
                <w:color w:val="auto"/>
              </w:rPr>
            </w:pPr>
            <w:r>
              <w:rPr>
                <w:rFonts w:ascii="Times New Roman" w:cs="Times New Roman" w:eastAsia="Times New Roman" w:hAnsi="Times New Roman"/>
                <w:sz w:val="17"/>
                <w:szCs w:val="17"/>
                <w:color w:val="auto"/>
              </w:rPr>
              <w:t>Non-cash issuance of treasury stock in connection with Welk</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transfer from inventory to property and equipment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transfer from property and equipment to inventory</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transfer from other assets to property and equipment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166"/>
        </w:trPr>
        <w:tc>
          <w:tcPr>
            <w:tcW w:w="4780" w:type="dxa"/>
            <w:vAlign w:val="bottom"/>
          </w:tcPr>
          <w:p>
            <w:pPr>
              <w:ind w:left="120"/>
              <w:spacing w:after="0" w:line="166" w:lineRule="exact"/>
              <w:rPr>
                <w:sz w:val="20"/>
                <w:szCs w:val="20"/>
                <w:color w:val="auto"/>
              </w:rPr>
            </w:pPr>
            <w:r>
              <w:rPr>
                <w:rFonts w:ascii="Times New Roman" w:cs="Times New Roman" w:eastAsia="Times New Roman" w:hAnsi="Times New Roman"/>
                <w:sz w:val="17"/>
                <w:szCs w:val="17"/>
                <w:color w:val="auto"/>
              </w:rPr>
              <w:t>Non-cash issuance of treasury stock for employee stock purchase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plan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6"/>
        </w:trPr>
        <w:tc>
          <w:tcPr>
            <w:tcW w:w="4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6"/>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Dividends payable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5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paid, net of amounts capitalized</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166"/>
        </w:trPr>
        <w:tc>
          <w:tcPr>
            <w:tcW w:w="4780" w:type="dxa"/>
            <w:vAlign w:val="bottom"/>
          </w:tcPr>
          <w:p>
            <w:pPr>
              <w:ind w:left="120"/>
              <w:spacing w:after="0" w:line="166" w:lineRule="exact"/>
              <w:rPr>
                <w:sz w:val="20"/>
                <w:szCs w:val="20"/>
                <w:color w:val="auto"/>
              </w:rPr>
            </w:pPr>
            <w:r>
              <w:rPr>
                <w:rFonts w:ascii="Times New Roman" w:cs="Times New Roman" w:eastAsia="Times New Roman" w:hAnsi="Times New Roman"/>
                <w:sz w:val="17"/>
                <w:szCs w:val="17"/>
                <w:color w:val="auto"/>
              </w:rPr>
              <w:t>Income taxes paid, net of refunds (income tax refunds, net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1"/>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taxes paid)</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68580</wp:posOffset>
            </wp:positionV>
            <wp:extent cx="716534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82" w:name="page83"/>
    <w:bookmarkEnd w:id="82"/>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Fiscal Years 2023, 2022 and 2021</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Total MVW</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40" w:type="dxa"/>
            <w:vAlign w:val="bottom"/>
            <w:gridSpan w:val="2"/>
            <w:vMerge w:val="continue"/>
          </w:tcPr>
          <w:p>
            <w:pPr>
              <w:spacing w:after="0"/>
              <w:rPr>
                <w:sz w:val="12"/>
                <w:szCs w:val="12"/>
                <w:color w:val="auto"/>
              </w:rPr>
            </w:pPr>
          </w:p>
        </w:tc>
        <w:tc>
          <w:tcPr>
            <w:tcW w:w="3380" w:type="dxa"/>
            <w:vAlign w:val="bottom"/>
          </w:tcPr>
          <w:p>
            <w:pPr>
              <w:spacing w:after="0"/>
              <w:rPr>
                <w:sz w:val="12"/>
                <w:szCs w:val="12"/>
                <w:color w:val="auto"/>
              </w:rPr>
            </w:pP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143"/>
              <w:spacing w:after="0" w:line="13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1"/>
        </w:trPr>
        <w:tc>
          <w:tcPr>
            <w:tcW w:w="6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338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80" w:type="dxa"/>
            <w:vAlign w:val="bottom"/>
          </w:tcPr>
          <w:p>
            <w:pPr>
              <w:spacing w:after="0"/>
              <w:rPr>
                <w:sz w:val="12"/>
                <w:szCs w:val="12"/>
                <w:color w:val="auto"/>
              </w:rPr>
            </w:pPr>
          </w:p>
        </w:tc>
        <w:tc>
          <w:tcPr>
            <w:tcW w:w="840" w:type="dxa"/>
            <w:vAlign w:val="bottom"/>
            <w:gridSpan w:val="4"/>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33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20" w:type="dxa"/>
            <w:vAlign w:val="bottom"/>
            <w:shd w:val="clear" w:color="auto" w:fill="CCEEFF"/>
          </w:tcPr>
          <w:p>
            <w:pPr>
              <w:spacing w:after="0"/>
              <w:rPr>
                <w:sz w:val="17"/>
                <w:szCs w:val="17"/>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AT YEAR-END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(1,334)</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3,760</w:t>
            </w:r>
          </w:p>
        </w:tc>
        <w:tc>
          <w:tcPr>
            <w:tcW w:w="42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center"/>
              <w:ind w:left="425"/>
              <w:spacing w:after="0"/>
              <w:rPr>
                <w:sz w:val="20"/>
                <w:szCs w:val="20"/>
                <w:color w:val="auto"/>
              </w:rPr>
            </w:pPr>
            <w:r>
              <w:rPr>
                <w:rFonts w:ascii="Times New Roman" w:cs="Times New Roman" w:eastAsia="Times New Roman" w:hAnsi="Times New Roman"/>
                <w:sz w:val="15"/>
                <w:szCs w:val="15"/>
                <w:color w:val="auto"/>
              </w:rPr>
              <w:t>(48)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2,651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2,682</w:t>
            </w: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7"/>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Welk Acquisition</w:t>
            </w: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6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center"/>
              <w:ind w:left="465"/>
              <w:spacing w:after="0"/>
              <w:rPr>
                <w:sz w:val="20"/>
                <w:szCs w:val="20"/>
                <w:color w:val="auto"/>
              </w:rPr>
            </w:pPr>
            <w:r>
              <w:rPr>
                <w:rFonts w:ascii="Times New Roman" w:cs="Times New Roman" w:eastAsia="Times New Roman" w:hAnsi="Times New Roman"/>
                <w:sz w:val="15"/>
                <w:szCs w:val="15"/>
                <w:color w:val="auto"/>
                <w:w w:val="93"/>
              </w:rPr>
              <w:t>11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7"/>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Derivative instrument adjustment</w:t>
            </w: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445"/>
              <w:spacing w:after="0"/>
              <w:rPr>
                <w:sz w:val="20"/>
                <w:szCs w:val="20"/>
                <w:color w:val="auto"/>
              </w:rPr>
            </w:pPr>
            <w:r>
              <w:rPr>
                <w:rFonts w:ascii="Times New Roman" w:cs="Times New Roman" w:eastAsia="Times New Roman" w:hAnsi="Times New Roman"/>
                <w:sz w:val="15"/>
                <w:szCs w:val="15"/>
                <w:color w:val="auto"/>
              </w:rPr>
              <w:t>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02"/>
        </w:trPr>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 w:type="dxa"/>
            <w:vAlign w:val="bottom"/>
          </w:tcPr>
          <w:p>
            <w:pPr>
              <w:spacing w:after="0"/>
              <w:rPr>
                <w:sz w:val="17"/>
                <w:szCs w:val="17"/>
                <w:color w:val="auto"/>
              </w:rPr>
            </w:pP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Share-based compensation plans</w:t>
            </w:r>
          </w:p>
        </w:tc>
        <w:tc>
          <w:tcPr>
            <w:tcW w:w="16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57"/>
        </w:trPr>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5"/>
                <w:szCs w:val="15"/>
                <w:color w:val="auto"/>
              </w:rPr>
              <w:t>Equity component of convertible notes, net of</w:t>
            </w:r>
          </w:p>
        </w:tc>
        <w:tc>
          <w:tcPr>
            <w:tcW w:w="1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9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204"/>
        </w:trPr>
        <w:tc>
          <w:tcPr>
            <w:tcW w:w="640" w:type="dxa"/>
            <w:vAlign w:val="bottom"/>
            <w:gridSpan w:val="2"/>
            <w:vMerge w:val="continue"/>
            <w:shd w:val="clear" w:color="auto" w:fill="CCEEFF"/>
          </w:tcPr>
          <w:p>
            <w:pPr>
              <w:spacing w:after="0"/>
              <w:rPr>
                <w:sz w:val="17"/>
                <w:szCs w:val="17"/>
                <w:color w:val="auto"/>
              </w:rPr>
            </w:pP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issuance costs</w:t>
            </w:r>
          </w:p>
        </w:tc>
        <w:tc>
          <w:tcPr>
            <w:tcW w:w="160" w:type="dxa"/>
            <w:vAlign w:val="bottom"/>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00" w:type="dxa"/>
            <w:vAlign w:val="bottom"/>
            <w:gridSpan w:val="5"/>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Purchase of convertible note hedges</w:t>
            </w:r>
          </w:p>
        </w:tc>
        <w:tc>
          <w:tcPr>
            <w:tcW w:w="16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7"/>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Issuance of warrants</w:t>
            </w: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07"/>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Dividends</w:t>
            </w: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Employee stock plan issuance</w:t>
            </w:r>
          </w:p>
        </w:tc>
        <w:tc>
          <w:tcPr>
            <w:tcW w:w="16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57"/>
        </w:trPr>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40"/>
              <w:spacing w:after="0" w:line="156" w:lineRule="exact"/>
              <w:rPr>
                <w:sz w:val="20"/>
                <w:szCs w:val="20"/>
                <w:color w:val="auto"/>
              </w:rPr>
            </w:pPr>
            <w:r>
              <w:rPr>
                <w:rFonts w:ascii="Times New Roman" w:cs="Times New Roman" w:eastAsia="Times New Roman" w:hAnsi="Times New Roman"/>
                <w:sz w:val="15"/>
                <w:szCs w:val="15"/>
                <w:color w:val="auto"/>
              </w:rPr>
              <w:t>Deconsolidation of certain Consolidated</w:t>
            </w:r>
          </w:p>
        </w:tc>
        <w:tc>
          <w:tcPr>
            <w:tcW w:w="16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4"/>
        </w:trPr>
        <w:tc>
          <w:tcPr>
            <w:tcW w:w="640" w:type="dxa"/>
            <w:vAlign w:val="bottom"/>
            <w:tcBorders>
              <w:bottom w:val="single" w:sz="8" w:color="auto"/>
            </w:tcBorders>
            <w:gridSpan w:val="2"/>
            <w:vMerge w:val="continue"/>
            <w:shd w:val="clear" w:color="auto" w:fill="CCEEFF"/>
          </w:tcPr>
          <w:p>
            <w:pPr>
              <w:spacing w:after="0"/>
              <w:rPr>
                <w:sz w:val="17"/>
                <w:szCs w:val="17"/>
                <w:color w:val="auto"/>
              </w:rPr>
            </w:pPr>
          </w:p>
        </w:tc>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Property Owners' Associations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20" w:type="dxa"/>
            <w:vAlign w:val="bottom"/>
          </w:tcPr>
          <w:p>
            <w:pPr>
              <w:spacing w:after="0"/>
              <w:rPr>
                <w:sz w:val="16"/>
                <w:szCs w:val="16"/>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BALANCE AT YEAR-END 2021</w:t>
            </w:r>
          </w:p>
        </w:tc>
        <w:tc>
          <w:tcPr>
            <w:tcW w:w="16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(1,356)</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4,072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center"/>
              <w:ind w:left="425"/>
              <w:spacing w:after="0"/>
              <w:rPr>
                <w:sz w:val="20"/>
                <w:szCs w:val="20"/>
                <w:color w:val="auto"/>
              </w:rPr>
            </w:pPr>
            <w:r>
              <w:rPr>
                <w:rFonts w:ascii="Times New Roman" w:cs="Times New Roman" w:eastAsia="Times New Roman" w:hAnsi="Times New Roman"/>
                <w:sz w:val="15"/>
                <w:szCs w:val="15"/>
                <w:color w:val="auto"/>
              </w:rPr>
              <w:t>(16)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2,976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2,986</w:t>
            </w:r>
          </w:p>
        </w:tc>
        <w:tc>
          <w:tcPr>
            <w:tcW w:w="0" w:type="dxa"/>
            <w:vAlign w:val="bottom"/>
          </w:tcPr>
          <w:p>
            <w:pPr>
              <w:spacing w:after="0"/>
              <w:rPr>
                <w:sz w:val="1"/>
                <w:szCs w:val="1"/>
                <w:color w:val="auto"/>
              </w:rPr>
            </w:pPr>
          </w:p>
        </w:tc>
      </w:tr>
      <w:tr>
        <w:trPr>
          <w:trHeight w:val="120"/>
        </w:trPr>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Impact of adoption of ASU 2020-06</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195"/>
        </w:trPr>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20" w:type="dxa"/>
            <w:vAlign w:val="bottom"/>
          </w:tcPr>
          <w:p>
            <w:pPr>
              <w:spacing w:after="0"/>
              <w:rPr>
                <w:sz w:val="16"/>
                <w:szCs w:val="16"/>
                <w:color w:val="auto"/>
              </w:rPr>
            </w:pPr>
          </w:p>
        </w:tc>
        <w:tc>
          <w:tcPr>
            <w:tcW w:w="33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OPENING BALANCE 2022</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5"/>
              </w:rPr>
              <w:t>(1,356)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gridSpan w:val="3"/>
          </w:tcPr>
          <w:p>
            <w:pPr>
              <w:jc w:val="right"/>
              <w:ind w:right="6"/>
              <w:spacing w:after="0"/>
              <w:rPr>
                <w:sz w:val="20"/>
                <w:szCs w:val="20"/>
                <w:color w:val="auto"/>
              </w:rPr>
            </w:pPr>
            <w:r>
              <w:rPr>
                <w:rFonts w:ascii="Times New Roman" w:cs="Times New Roman" w:eastAsia="Times New Roman" w:hAnsi="Times New Roman"/>
                <w:sz w:val="15"/>
                <w:szCs w:val="15"/>
                <w:color w:val="auto"/>
                <w:w w:val="94"/>
              </w:rPr>
              <w:t>3,961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5"/>
              </w:rPr>
              <w:t>(16)</w:t>
            </w:r>
          </w:p>
        </w:tc>
        <w:tc>
          <w:tcPr>
            <w:tcW w:w="1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tcPr>
          <w:p>
            <w:pPr>
              <w:spacing w:after="0"/>
              <w:rPr>
                <w:sz w:val="16"/>
                <w:szCs w:val="16"/>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2,896</w:t>
            </w:r>
          </w:p>
        </w:tc>
        <w:tc>
          <w:tcPr>
            <w:tcW w:w="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2,906</w:t>
            </w:r>
          </w:p>
        </w:tc>
        <w:tc>
          <w:tcPr>
            <w:tcW w:w="0" w:type="dxa"/>
            <w:vAlign w:val="bottom"/>
          </w:tcPr>
          <w:p>
            <w:pPr>
              <w:spacing w:after="0"/>
              <w:rPr>
                <w:sz w:val="1"/>
                <w:szCs w:val="1"/>
                <w:color w:val="auto"/>
              </w:rPr>
            </w:pPr>
          </w:p>
        </w:tc>
      </w:tr>
      <w:tr>
        <w:trPr>
          <w:trHeight w:val="207"/>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gridSpan w:val="3"/>
          </w:tcPr>
          <w:p>
            <w:pPr>
              <w:jc w:val="right"/>
              <w:ind w:right="12"/>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7"/>
        </w:trPr>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line="156" w:lineRule="exact"/>
              <w:rPr>
                <w:sz w:val="20"/>
                <w:szCs w:val="20"/>
                <w:color w:val="auto"/>
              </w:rPr>
            </w:pPr>
            <w:r>
              <w:rPr>
                <w:rFonts w:ascii="Times New Roman" w:cs="Times New Roman" w:eastAsia="Times New Roman" w:hAnsi="Times New Roman"/>
                <w:sz w:val="15"/>
                <w:szCs w:val="15"/>
                <w:color w:val="auto"/>
              </w:rPr>
              <w:t>Reclassification of foreign currency translation</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(10)</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4"/>
        </w:trPr>
        <w:tc>
          <w:tcPr>
            <w:tcW w:w="640" w:type="dxa"/>
            <w:vAlign w:val="bottom"/>
            <w:gridSpan w:val="2"/>
            <w:vMerge w:val="continue"/>
            <w:shd w:val="clear" w:color="auto" w:fill="CCEEFF"/>
          </w:tcPr>
          <w:p>
            <w:pPr>
              <w:spacing w:after="0"/>
              <w:rPr>
                <w:sz w:val="17"/>
                <w:szCs w:val="17"/>
                <w:color w:val="auto"/>
              </w:rPr>
            </w:pPr>
          </w:p>
        </w:tc>
        <w:tc>
          <w:tcPr>
            <w:tcW w:w="3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adjustments realized upon disposition of subsidiary</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Derivative instrument adjustment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gridSpan w:val="3"/>
          </w:tcPr>
          <w:p>
            <w:pPr>
              <w:jc w:val="right"/>
              <w:ind w:right="12"/>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45"/>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 for 2022 Convertible Note Hedges</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323"/>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43"/>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Tax effect on equity, convertible notes</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323"/>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42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tcPr>
          <w:p>
            <w:pPr>
              <w:jc w:val="right"/>
              <w:ind w:right="6"/>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4"/>
        </w:trPr>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 w:type="dxa"/>
            <w:vAlign w:val="bottom"/>
            <w:shd w:val="clear" w:color="auto" w:fill="CCEEFF"/>
          </w:tcPr>
          <w:p>
            <w:pPr>
              <w:spacing w:after="0"/>
              <w:rPr>
                <w:sz w:val="17"/>
                <w:szCs w:val="17"/>
                <w:color w:val="auto"/>
              </w:rPr>
            </w:pP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Share-based compensation plans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Purchase of convertible note hedges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207"/>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Issuance of warrants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Expiration of warrants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7"/>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0" w:type="dxa"/>
            <w:vAlign w:val="bottom"/>
          </w:tcPr>
          <w:p>
            <w:pPr>
              <w:spacing w:after="0"/>
              <w:rPr>
                <w:sz w:val="1"/>
                <w:szCs w:val="1"/>
                <w:color w:val="auto"/>
              </w:rPr>
            </w:pPr>
          </w:p>
        </w:tc>
      </w:tr>
      <w:tr>
        <w:trPr>
          <w:trHeight w:val="202"/>
        </w:trPr>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Dividends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07"/>
        </w:trPr>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Employee stock plan issuance</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4"/>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restart"/>
          </w:tcPr>
          <w:p>
            <w:pPr>
              <w:spacing w:after="0"/>
              <w:rPr>
                <w:sz w:val="13"/>
                <w:szCs w:val="13"/>
                <w:color w:val="auto"/>
              </w:rPr>
            </w:pPr>
          </w:p>
        </w:tc>
        <w:tc>
          <w:tcPr>
            <w:tcW w:w="3380" w:type="dxa"/>
            <w:vAlign w:val="bottom"/>
          </w:tcPr>
          <w:p>
            <w:pPr>
              <w:ind w:left="320"/>
              <w:spacing w:after="0" w:line="154" w:lineRule="exact"/>
              <w:rPr>
                <w:sz w:val="20"/>
                <w:szCs w:val="20"/>
                <w:color w:val="auto"/>
              </w:rPr>
            </w:pPr>
            <w:r>
              <w:rPr>
                <w:rFonts w:ascii="Times New Roman" w:cs="Times New Roman" w:eastAsia="Times New Roman" w:hAnsi="Times New Roman"/>
                <w:sz w:val="15"/>
                <w:szCs w:val="15"/>
                <w:color w:val="auto"/>
              </w:rPr>
              <w:t>Deconsolidation of certain Consolidated Property</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3"/>
                <w:szCs w:val="13"/>
                <w:color w:val="auto"/>
              </w:rPr>
            </w:pPr>
          </w:p>
        </w:tc>
        <w:tc>
          <w:tcPr>
            <w:tcW w:w="3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vMerge w:val="restart"/>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1"/>
        </w:trPr>
        <w:tc>
          <w:tcPr>
            <w:tcW w:w="6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3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Owners' Associations</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20" w:type="dxa"/>
            <w:vAlign w:val="bottom"/>
            <w:shd w:val="clear" w:color="auto" w:fill="CCEEFF"/>
          </w:tcPr>
          <w:p>
            <w:pPr>
              <w:spacing w:after="0"/>
              <w:rPr>
                <w:sz w:val="17"/>
                <w:szCs w:val="17"/>
                <w:color w:val="auto"/>
              </w:rPr>
            </w:pPr>
          </w:p>
        </w:tc>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AT YEAR-END 2022</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(2,054)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4"/>
              </w:rPr>
              <w:t>3,941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2,496</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2,498</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Continued - See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40"/>
          </w:cols>
          <w:pgMar w:left="320" w:top="729" w:right="2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w:t>
      </w:r>
    </w:p>
    <w:p>
      <w:pPr>
        <w:ind w:left="100"/>
        <w:spacing w:after="0" w:line="221" w:lineRule="auto"/>
        <w:rPr>
          <w:sz w:val="20"/>
          <w:szCs w:val="20"/>
          <w:color w:val="auto"/>
        </w:rPr>
      </w:pPr>
      <w:r>
        <w:rPr>
          <w:rFonts w:ascii="Times New Roman" w:cs="Times New Roman" w:eastAsia="Times New Roman" w:hAnsi="Times New Roman"/>
          <w:sz w:val="14"/>
          <w:szCs w:val="14"/>
          <w:b w:val="1"/>
          <w:bCs w:val="1"/>
          <w:color w:val="auto"/>
        </w:rPr>
        <w:t>Stock</w:t>
      </w:r>
    </w:p>
    <w:p>
      <w:pPr>
        <w:ind w:left="80"/>
        <w:spacing w:after="0"/>
        <w:rPr>
          <w:sz w:val="20"/>
          <w:szCs w:val="20"/>
          <w:color w:val="auto"/>
        </w:rPr>
      </w:pPr>
      <w:r>
        <w:rPr>
          <w:rFonts w:ascii="Times New Roman" w:cs="Times New Roman" w:eastAsia="Times New Roman" w:hAnsi="Times New Roman"/>
          <w:sz w:val="14"/>
          <w:szCs w:val="14"/>
          <w:b w:val="1"/>
          <w:bCs w:val="1"/>
          <w:color w:val="auto"/>
        </w:rPr>
        <w:t>Issued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75.7</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t>
      </w:r>
    </w:p>
    <w:p>
      <w:pPr>
        <w:spacing w:after="0" w:line="7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5"/>
          <w:szCs w:val="15"/>
          <w:color w:val="auto"/>
        </w:rPr>
        <w:t>—</w:t>
      </w:r>
    </w:p>
    <w:p>
      <w:pPr>
        <w:spacing w:after="0" w:line="7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5"/>
          <w:szCs w:val="15"/>
          <w:color w:val="auto"/>
        </w:rPr>
        <w:t>0.1</w:t>
      </w:r>
    </w:p>
    <w:p>
      <w:pPr>
        <w:spacing w:after="0" w:line="7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5"/>
          <w:szCs w:val="15"/>
          <w:color w:val="auto"/>
        </w:rPr>
        <w:t>—</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19685</wp:posOffset>
            </wp:positionV>
            <wp:extent cx="4057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405765" cy="8255"/>
                    </a:xfrm>
                    <a:prstGeom prst="rect">
                      <a:avLst/>
                    </a:prstGeom>
                    <a:noFill/>
                  </pic:spPr>
                </pic:pic>
              </a:graphicData>
            </a:graphic>
          </wp:anchor>
        </w:drawing>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19685</wp:posOffset>
            </wp:positionV>
            <wp:extent cx="4057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405765"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44450</wp:posOffset>
            </wp:positionV>
            <wp:extent cx="405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405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2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STOCKHOLDERS’ EQUITY </w:t>
      </w:r>
      <w:r>
        <w:rPr>
          <w:rFonts w:ascii="Times New Roman" w:cs="Times New Roman" w:eastAsia="Times New Roman" w:hAnsi="Times New Roman"/>
          <w:sz w:val="17"/>
          <w:szCs w:val="17"/>
          <w:b w:val="1"/>
          <w:bCs w:val="1"/>
          <w:color w:val="auto"/>
        </w:rPr>
        <w:t>(CONTINUED)</w:t>
      </w:r>
    </w:p>
    <w:p>
      <w:pPr>
        <w:spacing w:after="0" w:line="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Fiscal Years 2023, 2022 and 2021</w:t>
      </w:r>
    </w:p>
    <w:p>
      <w:pPr>
        <w:spacing w:after="0" w:line="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5"/>
          <w:szCs w:val="15"/>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Total MVW</w:t>
            </w:r>
          </w:p>
        </w:tc>
        <w:tc>
          <w:tcPr>
            <w:tcW w:w="80" w:type="dxa"/>
            <w:vAlign w:val="bottom"/>
          </w:tcPr>
          <w:p>
            <w:pPr>
              <w:spacing w:after="0"/>
              <w:rPr>
                <w:sz w:val="13"/>
                <w:szCs w:val="13"/>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40" w:type="dxa"/>
            <w:vAlign w:val="bottom"/>
          </w:tcPr>
          <w:p>
            <w:pPr>
              <w:spacing w:after="0"/>
              <w:rPr>
                <w:sz w:val="12"/>
                <w:szCs w:val="12"/>
                <w:color w:val="auto"/>
              </w:rPr>
            </w:pPr>
          </w:p>
        </w:tc>
        <w:tc>
          <w:tcPr>
            <w:tcW w:w="8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00" w:type="dxa"/>
            <w:vAlign w:val="bottom"/>
            <w:vMerge w:val="restart"/>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1"/>
        </w:trPr>
        <w:tc>
          <w:tcPr>
            <w:tcW w:w="32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200" w:type="dxa"/>
            <w:vAlign w:val="bottom"/>
            <w:gridSpan w:val="3"/>
          </w:tcPr>
          <w:p>
            <w:pPr>
              <w:jc w:val="right"/>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 Income</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5"/>
        </w:trPr>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AT YEAR-END 2022</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(2,054)</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5"/>
                <w:szCs w:val="15"/>
                <w:color w:val="auto"/>
              </w:rPr>
              <w:t>593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2,496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2,498</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5"/>
                <w:szCs w:val="15"/>
                <w:color w:val="auto"/>
              </w:rPr>
              <w:t>254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Derivative instrument adjustment</w:t>
            </w:r>
          </w:p>
        </w:tc>
        <w:tc>
          <w:tcPr>
            <w:tcW w:w="1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Share-based compensation plans</w:t>
            </w:r>
          </w:p>
        </w:tc>
        <w:tc>
          <w:tcPr>
            <w:tcW w:w="1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Dividends</w:t>
            </w: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200"/>
        </w:trPr>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AT YEAR-END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(2,332)</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5"/>
                <w:szCs w:val="15"/>
                <w:color w:val="auto"/>
                <w:w w:val="97"/>
              </w:rPr>
              <w:t>$742</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2,382</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2,382</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-940435</wp:posOffset>
            </wp:positionV>
            <wp:extent cx="719963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99630" cy="15430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-632460</wp:posOffset>
            </wp:positionV>
            <wp:extent cx="719963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99630" cy="15430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-323850</wp:posOffset>
            </wp:positionV>
            <wp:extent cx="719963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99630" cy="15430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-1249045</wp:posOffset>
            </wp:positionV>
            <wp:extent cx="719963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9963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180"/>
            <w:col w:w="10560"/>
          </w:cols>
          <w:pgMar w:left="380" w:top="7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68580</wp:posOffset>
            </wp:positionV>
            <wp:extent cx="716534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80"/>
          </w:cols>
          <w:pgMar w:left="380" w:top="729" w:right="239" w:bottom="1440" w:gutter="0" w:footer="0" w:header="0"/>
          <w:type w:val="continuous"/>
        </w:sectPr>
      </w:pPr>
    </w:p>
    <w:bookmarkStart w:id="84" w:name="page85"/>
    <w:bookmarkEnd w:id="84"/>
    <w:p>
      <w:pPr>
        <w:ind w:left="33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1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The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In addition, references throughout to numbered “Footnotes” refer to the numbered Notes in these Notes to Consolidated Financial Statements, unless otherwise noted. We also refer to Marriott International, Inc. as “Marriott International” and Marriott International’s Marriott Bonvoy customer loyalty program as “Marriott Bonvoy.” We use certain other terms that are defined within these Financial Statements.</w:t>
      </w:r>
    </w:p>
    <w:p>
      <w:pPr>
        <w:spacing w:after="0" w:line="7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or loss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accounting for acquired vacation ownership notes receivable, vacation ownership notes receivable reserves, income taxes, and loss contingencies. Actual results could differ from our estimates, and such differences may be material.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reclassified certain prior year amounts to conform with our current year presentation.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Welk</w:t>
      </w:r>
    </w:p>
    <w:p>
      <w:pPr>
        <w:spacing w:after="0" w:line="11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On April 1, 2021 (the “Welk Acquisition Date”), we completed the acquisition of Welk Hospitality Group, Inc. (“Welk”) through a series of transactions (the “Welk Acquisition”), after which Welk became our indirect wholly-owned subsidiary. We refer to the business and brand that we acquired in the Welk Acquisition as “Legacy-Welk.” The Financial Statements in this report for fiscal year 2021 include Welk’s results of operations for the last three quarters of 2021. During 2023, we rebranded all Legacy-Welk resorts as Hyatt Vacation Club resorts. See Footnote 3 “Acquisitions and Dispositions” for more information on the Welk Acquisition.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ILG and Disposition of VRI America</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On September 1,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The businesses acquired from ILG that we currently operate as part of our Vacation Ownership business include Vistana Signature Experiences, which includes vacation ownership products branded as Sheraton or Westin, and Hyatt Vacation Ownership. The businesses acquired from ILG that we currently operate as part of our Exchange &amp; Third-Party Management business include Interval International and Aqua-Aston Hospitality. As part of the ILG Acquisition, we also acquired the Vacation Resorts International (“VRI”) and Trading Places International (“TPI”) businesses (together, the “VRI Americas” business). Our Financial Statements reflect the disposition of the VRI Americas business on April 29, 2022. See Footnote 3 “Acquisitions and Dispositions” for more information on the disposition of VRI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revenue in accordance with Accounting Standards Codification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(“ASC 606”).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Vacation Ownership Products</w:t>
      </w:r>
    </w:p>
    <w:p>
      <w:pPr>
        <w:spacing w:after="0" w:line="117"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7"/>
          <w:szCs w:val="17"/>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In connection with the sale of vacation ownership products, we provide sales incentives to certain purchasers and, in certain cases, membership in a brand affiliated club. Non-cash incentives typically include Marriott Bonvoy points, Hyatt’s customer loyalty program points (“World of Hyatt” points), or an alternative sales incentive that we refer to as “plus points.” Plus points are redeemable for stays at our resorts or for use in an exclusive selection of travel packages provided by affiliate tour operators (the “Explorer Collection” or “BEYOND”), generally up to two years from the date of issuance.</w:t>
      </w:r>
    </w:p>
    <w:p>
      <w:pPr>
        <w:spacing w:after="0" w:line="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Times New Roman" w:cs="Times New Roman" w:eastAsia="Times New Roman" w:hAnsi="Times New Roman"/>
          <w:sz w:val="17"/>
          <w:szCs w:val="17"/>
          <w:i w:val="1"/>
          <w:iCs w:val="1"/>
          <w:color w:val="auto"/>
        </w:rPr>
        <w:t>Financing Revenues</w:t>
      </w:r>
      <w:r>
        <w:rPr>
          <w:rFonts w:ascii="Times New Roman" w:cs="Times New Roman" w:eastAsia="Times New Roman" w:hAnsi="Times New Roman"/>
          <w:sz w:val="17"/>
          <w:szCs w:val="17"/>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7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Our assessment of collectability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primarily rely on historical payment data by customer class as described in “</w:t>
      </w:r>
      <w:r>
        <w:rPr>
          <w:rFonts w:ascii="Times New Roman" w:cs="Times New Roman" w:eastAsia="Times New Roman" w:hAnsi="Times New Roman"/>
          <w:sz w:val="17"/>
          <w:szCs w:val="17"/>
          <w:i w:val="1"/>
          <w:iCs w:val="1"/>
          <w:color w:val="auto"/>
        </w:rPr>
        <w:t>Loan Loss Reserves</w:t>
      </w:r>
      <w:r>
        <w:rPr>
          <w:rFonts w:ascii="Times New Roman" w:cs="Times New Roman" w:eastAsia="Times New Roman" w:hAnsi="Times New Roman"/>
          <w:sz w:val="17"/>
          <w:szCs w:val="17"/>
          <w:color w:val="auto"/>
        </w:rPr>
        <w:t>” below. Variable consideration which has not been included within the transaction price is presented as a reserve on contracts receivable or vacation ownership notes receivable. Revisions to estimates of variable consideration from the sale of vacation ownership products impact the reserve on contracts receivable and originated vacation ownership notes receivable and can increase or decrease revenue. Revenues were reduced during 2023 by $69 million due to changes in our estimates of variable consideration for performance obligations that were satisfied in prior periods, primarily due to the increase in our reserve for vacation ownership notes receivable.</w:t>
      </w:r>
    </w:p>
    <w:p>
      <w:pPr>
        <w:spacing w:after="0" w:line="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the third quarter of 2022, we combined and aligned our accounting methodology to calculate our estimates for the reserve on vacation ownership notes receivable for the Marriott-, Sheraton-, and Westin-brands (“Combined Marriott”), as we expect our future customers to represent a blend of the historical customers for each brand. 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VOI they have acquired.</w:t>
      </w:r>
    </w:p>
    <w:p>
      <w:pPr>
        <w:spacing w:after="0" w:line="70"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See Footnote 6 “Vacation Ownership Notes Receivable” for additional information on our reserve for vacation ownership notes receivable reserve and adjustments recorded for the years presented.</w:t>
      </w:r>
    </w:p>
    <w:p>
      <w:pPr>
        <w:spacing w:after="0" w:line="46"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In addition, we account for cash incentives provided to customers as a reduction of the transaction price. Refer to “</w:t>
      </w:r>
      <w:r>
        <w:rPr>
          <w:rFonts w:ascii="Times New Roman" w:cs="Times New Roman" w:eastAsia="Times New Roman" w:hAnsi="Times New Roman"/>
          <w:sz w:val="17"/>
          <w:szCs w:val="17"/>
          <w:i w:val="1"/>
          <w:iCs w:val="1"/>
          <w:color w:val="auto"/>
        </w:rPr>
        <w:t>Arrangements with Multiple Performance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w:t>
      </w:r>
      <w:r>
        <w:rPr>
          <w:rFonts w:ascii="Times New Roman" w:cs="Times New Roman" w:eastAsia="Times New Roman" w:hAnsi="Times New Roman"/>
          <w:sz w:val="17"/>
          <w:szCs w:val="17"/>
          <w:color w:val="auto"/>
        </w:rPr>
        <w:t>” below for a description of our methods of allocating transaction price to each performance obligation.</w:t>
      </w:r>
    </w:p>
    <w:p>
      <w:pPr>
        <w:spacing w:after="0" w:line="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evaluated our business practices, and the underlying risks and rewards associated with vacation ownership products and the respective timing that such risks and rewards are transferred to the customer in determining the point in time at which control of the vacation ownership product is transferred to the customer. Based upon the different terms of the contracts with the customer and business practices, for the contracts executed in the period prior to the third quarter of 2022, we determined that we transfer control of vacation ownership products at different times for each brand. Prior to the third quarter of 2022, we recognized revenue on the sale of Marriott-branded vacation ownership products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We have historically recognized revenue on the sale of Sheraton-,Westin- and Hyatt-branded vacation ownership products upon expiration of the rescission period.</w:t>
      </w:r>
    </w:p>
    <w:p>
      <w:pPr>
        <w:spacing w:after="0" w:line="11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In the third quarter of 2022, in connection with the affiliation of the Marriott-, Sheraton-, and Westin-branded vacation ownership products through Abound by Marriott Vacations, we modified our business practices and the terms of our Marriott-branded VOI sales contracts to be consistent with the existing terms of our Sheraton- and Westin-branded VOI sales contracts. As a result of these modifications, control of Marriott-branded vacation ownership products is transferred to the customer upon expiration of the statutory rescission period, consistent with the historical method of revenue recognition for sales of Sheraton- and Westin-branded vacation ownership products, resulting in earlier revenue recognition than the historical timing for Marriott-branded VOIs. At the time at which we recognize revenue for Marriott-branded VOI contracts, we temporarily record a contract receivable for both cash contracts and financed contracts, until the time at which we collect the cash or originate a vacation ownership note receivable, which occurs at closing. Marriott-branded VOI sales contracts executed prior to these modifications were accounted for with transfer of control of the VOI occurring at closing. We have not changed contract terms or business practices regarding how control of Hyatt Vacation Club VOIs is transferred to the customer. As such, we recognize revenue on the sale of Hyatt Vacation Club VOIs at expiration of rescission, except that revenue on the sale of VOIs derived from Legacy-Welk is recognized at closing.</w:t>
      </w:r>
    </w:p>
    <w:p>
      <w:pPr>
        <w:spacing w:after="0" w:line="7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Bonvoy points, World of Hyatt points, third-party Explorer Collection offerings, or BEYOND), we evaluated whether we control the underlying good or service prior to delivery to the customer. We concluded that we are an agent for those non-cash incentives which we do not control prior to delivery and as such record the related revenue net of the related cost upon recognition.</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Management and Exchange Revenues and Cost Reimbursements Revenues</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Ancillary Revenues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Management Fee Revenues and Cost Reimbursements Revenues</w:t>
      </w:r>
    </w:p>
    <w:p>
      <w:pPr>
        <w:spacing w:after="0" w:line="117"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17"/>
          <w:szCs w:val="17"/>
          <w:color w:val="auto"/>
        </w:rPr>
        <w:t>We provide day-to-day-management services, including housekeeping services, operation of reservation systems, maintenance and certain accounting and administrative services for owners’ associations, condominium owners and hotels.</w:t>
      </w:r>
    </w:p>
    <w:p>
      <w:pPr>
        <w:spacing w:after="0" w:line="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w:t>
      </w:r>
    </w:p>
    <w:p>
      <w:pPr>
        <w:ind w:firstLine="2"/>
        <w:spacing w:after="0" w:line="253" w:lineRule="auto"/>
        <w:tabs>
          <w:tab w:leader="none" w:pos="20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owners’ associations related to maintenance fees for unsold vacation ownership products, as we have concluded that such payments are consideration payable to a customer.</w:t>
      </w:r>
    </w:p>
    <w:p>
      <w:pPr>
        <w:spacing w:after="0" w:line="7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87" w:name="page88"/>
    <w:bookmarkEnd w:id="87"/>
    <w:p>
      <w:pPr>
        <w:spacing w:after="0" w:line="259" w:lineRule="auto"/>
        <w:rPr>
          <w:sz w:val="20"/>
          <w:szCs w:val="20"/>
          <w:color w:val="auto"/>
        </w:rPr>
      </w:pPr>
      <w:r>
        <w:rPr>
          <w:rFonts w:ascii="Times New Roman" w:cs="Times New Roman" w:eastAsia="Times New Roman" w:hAnsi="Times New Roman"/>
          <w:sz w:val="17"/>
          <w:szCs w:val="17"/>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70"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Other Services Revenues</w:t>
      </w:r>
    </w:p>
    <w:p>
      <w:pPr>
        <w:spacing w:after="0" w:line="11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on our Balance Sheets and are earned regardless of whether exchange services are provided. Generally, Interval Network memberships are cancellable and refundable on a pro-rata basis, with the exception of the Interval Network’s Platinum tier which is non-refundable. Transaction-based fees are typically collected at a point in time.</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Transaction-based fees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Financing Revenues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to fifteen years. Generally, payments commence under the financing contracts 30 to 60 days after closing. We record the difference between the contract receivable or vacation ownership note receivable and the variable consideration included in the transaction price for the sale of the related vacation ownership product as a reserve on our contracts receivable or vacation ownership notes receivable, as applicable. We earn interest income from the financing arrangements on the principal balance outstanding over the life of the arrangement and record that interest income in Financing revenues on our Income Statements. See Footnote 6 “Vacation Ownership Notes Receivable” for additional information related to the accounting for our acquired vacation ownership notes receivable.</w:t>
      </w:r>
    </w:p>
    <w:p>
      <w:pPr>
        <w:spacing w:after="0" w:line="76"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Financing revenues include transaction-based fees we charge to owners and other third parties for services. We recognize fee revenues when services have been rendered</w:t>
      </w:r>
      <w:r>
        <w:rPr>
          <w:rFonts w:ascii="Times New Roman" w:cs="Times New Roman" w:eastAsia="Times New Roman" w:hAnsi="Times New Roman"/>
          <w:sz w:val="17"/>
          <w:szCs w:val="17"/>
          <w:color w:val="EE2724"/>
        </w:rPr>
        <w:t>.</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Rental Revenues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Network and certain other membership programs from seasonal oversupply or underutilized space, as well as sourced resort accommodations.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88" w:name="page89"/>
    <w:bookmarkEnd w:id="88"/>
    <w:p>
      <w:pPr>
        <w:ind w:right="60"/>
        <w:spacing w:after="0" w:line="259" w:lineRule="auto"/>
        <w:rPr>
          <w:sz w:val="20"/>
          <w:szCs w:val="20"/>
          <w:color w:val="auto"/>
        </w:rPr>
      </w:pPr>
      <w:r>
        <w:rPr>
          <w:rFonts w:ascii="Times New Roman" w:cs="Times New Roman" w:eastAsia="Times New Roman" w:hAnsi="Times New Roman"/>
          <w:sz w:val="17"/>
          <w:szCs w:val="17"/>
          <w:color w:val="auto"/>
        </w:rPr>
        <w:t>We receive payments for rentals primarily through credit card charges. We generally recognize rental revenues when occupancy has occurred, which is consistent with the period in which the customer benefits from such service. For certain rental revenues associated with our Exchange &amp; Third-Party Management segment, revenue is recognized when confirmation of the transaction is provided as we concluded we are an agent for these transactions. We recognize rental revenue from the utilization of plus points issued in connection with the sale of vacation ownership products, as described in “</w:t>
      </w:r>
      <w:r>
        <w:rPr>
          <w:rFonts w:ascii="Times New Roman" w:cs="Times New Roman" w:eastAsia="Times New Roman" w:hAnsi="Times New Roman"/>
          <w:sz w:val="17"/>
          <w:szCs w:val="17"/>
          <w:i w:val="1"/>
          <w:iCs w:val="1"/>
          <w:color w:val="auto"/>
        </w:rPr>
        <w:t>Sale of Vacation Ownership Products</w:t>
      </w:r>
      <w:r>
        <w:rPr>
          <w:rFonts w:ascii="Times New Roman" w:cs="Times New Roman" w:eastAsia="Times New Roman" w:hAnsi="Times New Roman"/>
          <w:sz w:val="17"/>
          <w:szCs w:val="17"/>
          <w:color w:val="auto"/>
        </w:rPr>
        <w:t>” above, when occupancy has occurred.</w:t>
      </w:r>
    </w:p>
    <w:p>
      <w:pPr>
        <w:spacing w:after="0" w:line="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Times New Roman" w:cs="Times New Roman" w:eastAsia="Times New Roman" w:hAnsi="Times New Roman"/>
          <w:sz w:val="17"/>
          <w:szCs w:val="17"/>
          <w:i w:val="1"/>
          <w:iCs w:val="1"/>
          <w:color w:val="auto"/>
        </w:rPr>
        <w:t>Real Estate</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Time-Sharing Activities</w:t>
      </w:r>
      <w:r>
        <w:rPr>
          <w:rFonts w:ascii="Times New Roman" w:cs="Times New Roman" w:eastAsia="Times New Roman" w:hAnsi="Times New Roman"/>
          <w:sz w:val="17"/>
          <w:szCs w:val="17"/>
          <w:color w:val="auto"/>
        </w:rPr>
        <w:t>.”</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Arrangements with Multiple Performance Obligations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Receivables, Contract Assets &amp; Contract Liabilities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4 “Revenue and Receivables” for additional information related to our receivables, contract assets and contract liabilities.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Incurred to Sell Vacation Ownership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charge marketing and sales costs we incur to sell vacation ownership products to expense when incurred.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or Loss Per Share Attributable to Common Stockholders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Basic earnings or loss per share attributable to common stockholders is calculated by dividing the earnings or loss available to common stockholders by the weighted average number of common shares outstanding for the period. Diluted earnings or loss per share attributable to common stockholders is calculated to give effect to all potentially dilutive common shares that were outstanding during the reporting period. The dilutive effect of outstanding equity-based compensation awards is reflected in diluted earnings per share attributable to common stockholders by application of the treasury stock method. Any potentially dilutive shares are excluded from the calculation for periods when there is a net loss attributable to common stockholders to avoid anti-dilutive effects.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We allocate the purchase price of an acquisition to the tangible and intangible assets acquired and liabilities assumed based on their estimated fair values at the acquisition date. We recognize the amount by which the purchase price of an acquired entity exceeds the net of the fair values assigned to the assets acquired and liabilities assumed as goodwill. In determining the fair values of assets acquired and liabilities assumed, we use various recognized valuation methods including the income, cost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89" w:name="page90"/>
    <w:bookmarkEnd w:id="89"/>
    <w:p>
      <w:pPr>
        <w:spacing w:after="0" w:line="259" w:lineRule="auto"/>
        <w:rPr>
          <w:sz w:val="20"/>
          <w:szCs w:val="20"/>
          <w:color w:val="auto"/>
        </w:rPr>
      </w:pPr>
      <w:r>
        <w:rPr>
          <w:rFonts w:ascii="Times New Roman" w:cs="Times New Roman" w:eastAsia="Times New Roman" w:hAnsi="Times New Roman"/>
          <w:sz w:val="17"/>
          <w:szCs w:val="17"/>
          <w:color w:val="auto"/>
        </w:rPr>
        <w:t>As part of our accounting for business combinations we are required to determine the useful lives of identifiable intangible assets recognized separately from goodwill. The useful life of an intangible asset is the period over which the asset is expected to contribute directly or indirectly to the future cash flows of the acquired business. An intangible asset with a finite useful life is amortized; an intangible asset with an indefinite useful life is not amortized. We base the estimate of the useful life of an intangible asset on an analysis of all pertinent factors, in particular, all of the following factors with no one factor being more presumptive than the other:</w:t>
      </w:r>
    </w:p>
    <w:p>
      <w:pPr>
        <w:spacing w:after="0" w:line="18" w:lineRule="exact"/>
        <w:rPr>
          <w:sz w:val="20"/>
          <w:szCs w:val="20"/>
          <w:color w:val="auto"/>
        </w:rPr>
      </w:pPr>
    </w:p>
    <w:p>
      <w:pPr>
        <w:ind w:left="460" w:hanging="304"/>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use of the asset.</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useful life of another asset or a group of assets to which the useful life of the intangible asset may relate.</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legal, regulatory, or contractual provisions that may limit the useful life.</w:t>
      </w:r>
    </w:p>
    <w:p>
      <w:pPr>
        <w:spacing w:after="0" w:line="60" w:lineRule="exact"/>
        <w:rPr>
          <w:rFonts w:ascii="Times New Roman" w:cs="Times New Roman" w:eastAsia="Times New Roman" w:hAnsi="Times New Roman"/>
          <w:sz w:val="17"/>
          <w:szCs w:val="17"/>
          <w:color w:val="auto"/>
        </w:rPr>
      </w:pPr>
    </w:p>
    <w:p>
      <w:pPr>
        <w:ind w:left="460" w:right="440" w:hanging="304"/>
        <w:spacing w:after="0" w:line="282" w:lineRule="auto"/>
        <w:tabs>
          <w:tab w:leader="none" w:pos="45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own historical experience in renewing or extending similar arrangements, consistent with our intended use of the asset, regardless of whether those arrangements have explicit renewal or extension provisions.</w:t>
      </w:r>
    </w:p>
    <w:p>
      <w:pPr>
        <w:ind w:left="460" w:hanging="304"/>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obsolescence, demand, competition, and other economic factors.</w:t>
      </w:r>
    </w:p>
    <w:p>
      <w:pPr>
        <w:spacing w:after="0" w:line="60" w:lineRule="exact"/>
        <w:rPr>
          <w:rFonts w:ascii="Times New Roman" w:cs="Times New Roman" w:eastAsia="Times New Roman" w:hAnsi="Times New Roman"/>
          <w:sz w:val="17"/>
          <w:szCs w:val="17"/>
          <w:color w:val="auto"/>
        </w:rPr>
      </w:pPr>
    </w:p>
    <w:p>
      <w:pPr>
        <w:ind w:left="460" w:hanging="304"/>
        <w:spacing w:after="0"/>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maintenance expenditures required to obtain the expected future cash flows from the asset.</w:t>
      </w:r>
    </w:p>
    <w:p>
      <w:pPr>
        <w:spacing w:after="0" w:line="1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If no legal, regulatory, contractual, competitive, economic, or other factors limit the useful life of an intangible asset to the reporting entity, the useful life of the asset is considered to be indefinite. The term indefinite does not mean the same as infinite or indeterminate. The useful life of an intangible asset is indefinite if that life extends beyond the foreseeable horizon; that is, there is no foreseeable limit on the period of time over which it is expected to contribute to the cash flows of the acquired business.</w:t>
      </w:r>
    </w:p>
    <w:p>
      <w:pPr>
        <w:spacing w:after="0" w:line="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Although we believe the assumptions and estimates we have made have been reasonable and appropriate, they are based in part on historical experience and information obtained from the management of the acquired entity and are inherently uncertain. Examples of critical estimates in accounting for acquisitions include but are not limited to future expected cash flows from sales of products and services and related contracts and agreements and discount and long-term growth rates. Unanticipated events and circumstances may occur which could affect the accuracy or validity of our assumptions, estimates or actual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We consolidate entities under our control, including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VIE.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VIE because we are its primary beneficiary.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17"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6"/>
          <w:szCs w:val="16"/>
          <w:color w:val="auto"/>
        </w:rPr>
        <w:t>We have several financial instruments that we are required to disclose at fair value on a recurring basis. See Footnote 7 “Financial Instruments” for further information. We also apply the provisions of fair value measurement to various non-recurring measurements for our financial and non-financial assets and liabilities.</w:t>
      </w:r>
    </w:p>
    <w:p>
      <w:pPr>
        <w:spacing w:after="0" w:line="28"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63" w:lineRule="exact"/>
        <w:rPr>
          <w:sz w:val="20"/>
          <w:szCs w:val="20"/>
          <w:color w:val="auto"/>
        </w:rPr>
      </w:pPr>
    </w:p>
    <w:p>
      <w:pPr>
        <w:ind w:left="460" w:hanging="304"/>
        <w:spacing w:after="0"/>
        <w:tabs>
          <w:tab w:leader="none" w:pos="4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unadjusted quoted prices in active markets for identical assets or liabilities that we have the ability to access at the measurement date.</w:t>
      </w:r>
    </w:p>
    <w:p>
      <w:pPr>
        <w:spacing w:after="0" w:line="111" w:lineRule="exact"/>
        <w:rPr>
          <w:rFonts w:ascii="Times New Roman" w:cs="Times New Roman" w:eastAsia="Times New Roman" w:hAnsi="Times New Roman"/>
          <w:sz w:val="17"/>
          <w:szCs w:val="17"/>
          <w:color w:val="auto"/>
        </w:rPr>
      </w:pPr>
    </w:p>
    <w:p>
      <w:pPr>
        <w:ind w:left="460" w:hanging="304"/>
        <w:spacing w:after="0" w:line="267" w:lineRule="auto"/>
        <w:tabs>
          <w:tab w:leader="none" w:pos="45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63" w:lineRule="exact"/>
        <w:rPr>
          <w:rFonts w:ascii="Times New Roman" w:cs="Times New Roman" w:eastAsia="Times New Roman" w:hAnsi="Times New Roman"/>
          <w:sz w:val="17"/>
          <w:szCs w:val="17"/>
          <w:color w:val="auto"/>
        </w:rPr>
      </w:pPr>
    </w:p>
    <w:p>
      <w:pPr>
        <w:ind w:left="460" w:right="520" w:hanging="304"/>
        <w:spacing w:after="0" w:line="283" w:lineRule="auto"/>
        <w:tabs>
          <w:tab w:leader="none" w:pos="45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investments with an initial purchase maturity of three months or less at the date of purchase to be cash equivalents.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1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Restricted cash primarily consists of cash restricted for use by consolidated owners’ associations which is designated for resort operations and other specific uses, such as reserves, cash held in a reserve account related to vacation ownership notes receivable securitizations, cash collected for maintenance fees to be remitted to owners’ associations, and deposits received and held in escrow, primarily associated with the sale of vacation ownership products.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Accounts receivable are comprised of amounts due from customers, primarily owners’ associations, resort developers, owners and members, credit card receivables, amounts due from taxing authorities, indemnification assets, and other miscellaneous receivables. Accounts receivable outstanding longer than the contractual payment terms are considered past due. We determine our credit loss reserve for accounts receivable by considering a number of factors, including previous loss history, our judgment as to the specific customer’s current ability to pay its obligation and the condition of the general economy. We write off accounts receivable when they become uncollectible once we have exhausted all means of collection. Accounts receivable is presented net of a reserve for credit losses of $5 million and $4 million at December 31, 2023 and December 31, 2022, respectively. Accounts receivable also includes interest receivable on vacation ownership notes receivable. Write-offs of interest receivable are recorded as a reversal of previously recorded interest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Loss Reserves</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 Reserve for Credit Losses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As part of the ILG Acquisition, we acquired existing portfolios of vacation ownership notes receivable. We account for these acquired vacation ownership notes receivable using the purchased credit deteriorated assets provision of the current expected credit loss model, whereby we established a reserve for credit losses and a corresponding increase in the book value of the acquired vacation ownership notes receivable, resulting in no impact to the recorded balance. The estimates of the reserve for credit losses on the acquired vacation ownership notes receivable are based on default rates that are an output of our static pool analyses. Any changes in the reserve for credit losses are recorded as Financing expenses on our Income Statements. For acquired vacation ownership notes receivable, the estimated collateral value is transferred from vacation ownership notes receivable to inventory upon foreclosure or revocation of the related vacation ownership note receivable.</w:t>
      </w:r>
    </w:p>
    <w:p>
      <w:pPr>
        <w:spacing w:after="0" w:line="74"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17"/>
          <w:szCs w:val="17"/>
          <w:color w:val="auto"/>
        </w:rPr>
        <w:t>The vacation ownership notes receivable acquired as part of the Welk Acquisition were recorded at fair value using the purchased credit deteriorated assets provision of the current expected credit loss model, consistent with the principles outlined above.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Contracts Receivable and Originated Vacation Ownership Notes Receivable Reserve</w:t>
      </w:r>
    </w:p>
    <w:p>
      <w:pPr>
        <w:spacing w:after="0" w:line="11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We record the difference between the contract receivable or vacation ownership note receivable and the variable consideration included in the transaction price for the sale of the related vacation ownership product as a reserve on our contracts receivable or originated vacation ownership notes receivable, as applicable. See “Financing Revenues” above for further information.</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Past Due and Defaulted</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Although we consider loans to owners to be past due if we do not receive payment within 30 days of the due date, we suspend accrual of interest only on those loans that are over 90 days past due. For Legacy-MVW vacation ownership notes receivable, we consider loans over 150 days past due to be in default and fully reserve such amounts, less an estimate for reinstatement. For Legacy-ILG and Legacy-Welk vacation ownership notes receivable, we consider loans over 120 days past due to be in default and fully reserve such amounts, less an estimate for reinstatement.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91" w:name="page92"/>
    <w:bookmarkEnd w:id="91"/>
    <w:p>
      <w:pPr>
        <w:ind w:right="100"/>
        <w:spacing w:after="0" w:line="283" w:lineRule="auto"/>
        <w:rPr>
          <w:sz w:val="20"/>
          <w:szCs w:val="20"/>
          <w:color w:val="auto"/>
        </w:rPr>
      </w:pPr>
      <w:r>
        <w:rPr>
          <w:rFonts w:ascii="Times New Roman" w:cs="Times New Roman" w:eastAsia="Times New Roman" w:hAnsi="Times New Roman"/>
          <w:sz w:val="17"/>
          <w:szCs w:val="17"/>
          <w:color w:val="auto"/>
        </w:rPr>
        <w:t>off vacation ownership notes receivable against the reserve once we receive title to the vacation ownership products through the foreclosure or deed-in-lieu process or, in certain circumstances, when revocation is complete.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1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7"/>
          <w:szCs w:val="17"/>
          <w:color w:val="auto"/>
        </w:rPr>
        <w:t>Our inventory consists primarily of completed vacation ownership products.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the cost of vacation ownership products related to variable consideration which has not been included within the transaction price (accordingly, no adjustment is made when inventory is reacquired upon default of the related originated vacation ownership note receivable). These standards provide for changes in estimates within the relative sales value calculations to be accounted for as real estate inventory true-ups, which we refer to as product cost true-up activity, and are recorded in Cost of vacation ownership product expenses on the Income Statements to retrospectively adjust the margin previously recorded subject to those estimates. Product cost true-up activity relating to vacation ownership products increased carrying values of inventory by $36 million, $24 million and $10 million during 2023, 2022 and 2021,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Property and equipment includes our sales centers, golf courses, information technology, including internally developed capitalized software, finance lease assets,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VOIs are classified as property and equipment until they are registered and available for sale. We record property and equipment at cost, including interest and real estate taxes incurred during active development. We capitalize the cost of improvements that extend the useful life of property and equipment when incurred.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7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We also capitalize certain qualified costs incurred in connection with the development of internal use software. Capitalization of internal use software costs begins when the preliminary project stage is completed, management with the relevant authority authorizes and commits to the funding of the software project, and it is probable that the project will be completed and the software will be used to perform the function intended.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7"/>
          <w:szCs w:val="17"/>
          <w:color w:val="auto"/>
        </w:rPr>
        <w:t>We account for leases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(“ASC 842”). We determine if an arrangement is or contains a lease at contract inception. Operating leases include lease arrangements for various land, corporate facilities office space, real estate and equipment. Other operating leases are primarily for office, off-site sales centers and retail space, as well as various equipment supporting our operations, with varying terms and renewal option periods.</w:t>
      </w:r>
    </w:p>
    <w:p>
      <w:pPr>
        <w:spacing w:after="0" w:line="62"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7"/>
          <w:szCs w:val="17"/>
          <w:color w:val="auto"/>
        </w:rPr>
        <w:t>Finance leases include lease arrangements for our new corporate headquarters (commencing in 2023), ancillary and operations space. We also have a long-term finance lease for land underlying an operating hotel. In addition, we also lease various equipment supporting our operations and classify these leases as finance leases in accordance with ASC 842. The depreciable life of these assets is limited to the expected lease term, unless there is a transfer of title or purchase option reasonably certain of exercise.</w:t>
      </w:r>
    </w:p>
    <w:p>
      <w:pPr>
        <w:spacing w:after="0" w:line="7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Right-of-use assets and lease liabilities are recognized based on the present value of lease payments over the lease term at commencement date. Short-term leases, which have an initial term of a year or less, are not recorded on the balance sheet.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Because the rate implicit in our leases is not readily determinable, we use our incremental borrowing rate as the discount rate, which approximates the interest rate at which we could borrow on a collateralized basis with similar terms and payments and in similar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92" w:name="page93"/>
    <w:bookmarkEnd w:id="92"/>
    <w:p>
      <w:pPr>
        <w:ind w:right="60"/>
        <w:spacing w:after="0" w:line="267" w:lineRule="auto"/>
        <w:rPr>
          <w:sz w:val="20"/>
          <w:szCs w:val="20"/>
          <w:color w:val="auto"/>
        </w:rPr>
      </w:pPr>
      <w:r>
        <w:rPr>
          <w:rFonts w:ascii="Times New Roman" w:cs="Times New Roman" w:eastAsia="Times New Roman" w:hAnsi="Times New Roman"/>
          <w:sz w:val="17"/>
          <w:szCs w:val="17"/>
          <w:color w:val="auto"/>
        </w:rPr>
        <w:t>environments. Right-of-use assets exclude the unamortized portion of lease incentives received. Certain of our lease agreements include variable rental payments that are based on a percentage of retail sales over contractual levels and others include rental payments adjusted periodically for inflation. Additionally, with respect to our real estate leases, we do not separate lease and non-lease components.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 and Other Intangible Assets</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assess long-lived assets, including property and equipment, leases, and definite-lived intangible assets,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perform an annual review for the potential impairment of the carrying value of goodwill in the fourth quarter, or more frequently if events or circumstances indicate a possible impairment. For purposes of evaluating goodwill for impairment, we have two reporting units, which are also our reportable operating segments. In evaluating goodwill for impairment, we may assess qualitative factors to determine whether it is more likely than not (that is, a likelihood of more than 50%)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7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Qualitative factors that we consider include, for example, macroeconomic and industry conditions, overall financial performance, and other relevant entity-specific events. If the qualitative assessment is not conclusive, then a quantitative impairment analysis for goodwill is performed at the reporting unit level. We may also choose to perform this quantitative impairment analysis instead of the qualitative analysis. The quantitative impairment analysis compares the fair value of the reporting unit, determined using the income and/or market approach, to its recorded amount. If the recorded amount exceeds the fair value, then a goodwill impairment charge is recorded for the difference up to the recorded amount of goodwill.</w:t>
      </w:r>
    </w:p>
    <w:p>
      <w:pPr>
        <w:spacing w:after="0" w:line="7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the first quarter of 2022, we adopted Accounting Standards Update 2020-06 – “</w:t>
      </w:r>
      <w:r>
        <w:rPr>
          <w:rFonts w:ascii="Times New Roman" w:cs="Times New Roman" w:eastAsia="Times New Roman" w:hAnsi="Times New Roman"/>
          <w:sz w:val="17"/>
          <w:szCs w:val="17"/>
          <w:i w:val="1"/>
          <w:iCs w:val="1"/>
          <w:color w:val="auto"/>
        </w:rPr>
        <w:t>Debt — Debt With Conversion and Other Options (Subtopic 470-20)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Derivatives and Hedging — 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using the modified retrospective method. Prior to the adoption of ASU 2020-06, we had bifurcated our convertible notes into liability and equity 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convertible notes. The excess of the principal amount of the liability over its carrying amount was amortized to interest expense over the term of the convertible notes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93" w:name="page94"/>
    <w:bookmarkEnd w:id="93"/>
    <w:p>
      <w:pPr>
        <w:ind w:right="80"/>
        <w:spacing w:after="0" w:line="254" w:lineRule="auto"/>
        <w:rPr>
          <w:sz w:val="20"/>
          <w:szCs w:val="20"/>
          <w:color w:val="auto"/>
        </w:rPr>
      </w:pPr>
      <w:r>
        <w:rPr>
          <w:rFonts w:ascii="Times New Roman" w:cs="Times New Roman" w:eastAsia="Times New Roman" w:hAnsi="Times New Roman"/>
          <w:sz w:val="17"/>
          <w:szCs w:val="17"/>
          <w:color w:val="auto"/>
        </w:rPr>
        <w:t>Upon adoption of ASU 2020-06, we were no longer required to separate our convertible notes into liability and equity components, and were required to calculate the impact of our convertible notes on diluted earnings per share using the “if-converted” method, regardless of intent to settle or partially settle the debt in cash. Under the “if-converted” method, diluted earnings per share is generally calculated assuming that all of our convertible notes are converted solely into shares of common stock at the beginning of the reporting period, unless the result would be anti-dilutive. The application of the “if-converted” method reduces our reported diluted earnings per share. The impacts of the adoption were recorded as a cumulative effect in the opening balance of retained earnings and the conversion feature related to our convertible notes was reclassified from equity to liabilities. In addition, we eliminated the related equity adjustment associated with the deferred tax liability. The adoption of ASU 2020-06 on January 1, 2022 resulted in an increase in debt of $107 million, a decrease in additional paid-in capital of $111 million, and a decrease in deferred taxes of $27 million, as well as a cumulative effect adjustment to the opening balance of retained earnings of $31 million. We will continue to amortize the remaining debt issuance costs associated with our convertible notes over the respective terms of our convertible notes. The prior period consolidated financial statements have not been retrospectively restated and continue to be reported under the accounting standards in effect for those periods.</w:t>
      </w:r>
    </w:p>
    <w:p>
      <w:pPr>
        <w:spacing w:after="0" w:line="7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Subsequent to the adoption of ASU 2020-06, our convertible senior notes are accounted for entirely as a liability and measured at their amortized cost. See Footnote 8 “Earnings Per Share” and Footnote 16 “Debt” for more information.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If a qualifying hedge is deemed effective, we record changes in fair value in other comprehensive income.</w:t>
      </w:r>
    </w:p>
    <w:p>
      <w:pPr>
        <w:spacing w:after="0" w:line="7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Defined Contribution Plan</w:t>
      </w:r>
    </w:p>
    <w:p>
      <w:pPr>
        <w:spacing w:after="0" w:line="11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owners’ associations) for our participating employees totaling $24 million in 2023, $23 million in 2022, and $19 million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9"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Plan</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Certain members of our senior management have the opportunity to participate in the Marriott Vacations Worldwide Deferred Compensation Plan (the “Deferred Compensation Plan”), which we maintain and administer. Under both the Deferred Compensation Plan and the Marriott International EDC (as defined below), participating employees are able to defer payment and income taxation of a portion of their salary and bonus. It also provides participants with the opportunity for long-term capital appreciation by crediting their accounts with notional earnings.</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Subsequent to the Marriott Spin-Off, we remain liable to reimburse Marriott International for distributions to participants who were employees of Marriott Vacations Worldwide at the time of the Marriott Spin-Off, including earnings thereon.</w:t>
      </w:r>
    </w:p>
    <w:p>
      <w:pPr>
        <w:spacing w:after="0" w:line="7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both 2023 and 2022, participants were able to select a rate of return based on market-based investment alternatives for up to 100% of their contributions and existing balances, with one of those options being a fixed rate of return of 3.5%.</w:t>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We consolidate the liabilities of the Deferred Compensation Plan and the related assets, which consist of the COLI policies held in the rabbi trust. The rabbi trust is considered a VIE. We are the primary beneficiary of the rabbi trust because we direct the activities of the trust and are the beneficiary of the trust. At December 31, 2023 and December 31, 2022, the value of the assets held in the rabbi trust was $99 million and $76 million, respectively, and is included in the Other line within assets on our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Costs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2020, our stockholders approved the Marriott Vacations Worldwide Corporation 2020 Equity Incentive Plan (the “MVW Equity Plan”), which supersedes both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70"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The MVW Equity Plan is maintained for the benefit of our officers, directors, and employees. Under the MVW Equity Plan, we are authorized to award: (1) restricted shares of our common stock and restricted stock units (“RSUs”) of our common stock, (2) stock appreciation rights (“SARs”) relating to our common stock, and (3) options to purchase our common stock.</w:t>
      </w:r>
    </w:p>
    <w:p>
      <w:pPr>
        <w:spacing w:after="0" w:line="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We follow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performance period (typically three years) based upon the achievement over that period of specific quantitative operating financial measures and we recognize compensation expense once it is probable that the corresponding performance condition will be achieved.</w:t>
      </w:r>
    </w:p>
    <w:p>
      <w:pPr>
        <w:spacing w:after="0" w:line="7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SARs awarded under the MVW Equity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at the end of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7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We recognize the expense associated with these awards on our Income Statements based on the fair value of the awards as of the date that the share-based awards are granted and adjust that expense to the estimated number of awards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95" w:name="page96"/>
    <w:bookmarkEnd w:id="95"/>
    <w:p>
      <w:pPr>
        <w:ind w:right="200"/>
        <w:spacing w:after="0" w:line="259" w:lineRule="auto"/>
        <w:rPr>
          <w:sz w:val="20"/>
          <w:szCs w:val="20"/>
          <w:color w:val="auto"/>
        </w:rPr>
      </w:pPr>
      <w:r>
        <w:rPr>
          <w:rFonts w:ascii="Times New Roman" w:cs="Times New Roman" w:eastAsia="Times New Roman" w:hAnsi="Times New Roman"/>
          <w:sz w:val="17"/>
          <w:szCs w:val="17"/>
          <w:color w:val="auto"/>
        </w:rPr>
        <w:t>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issue shares from authorized shares upon the exercise of SARs held by our employees and directors.</w:t>
      </w:r>
    </w:p>
    <w:p>
      <w:pPr>
        <w:spacing w:after="0" w:line="70"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color w:val="auto"/>
        </w:rPr>
        <w:t>For share-based awards granted to non-employee directors, we recognize compensation expense on the grant date based on the fair value of the awards as of that date. See Footnote 18 “Share-Based Compensation” for more information on the MVW Equity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During 2015, our Board of Directors adopted, and our stockholders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Non-U.S. Operations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in the Gains (losses) and other income (expense), net line on our Income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provision for income tax in the period that includes the enactment date.</w:t>
      </w:r>
    </w:p>
    <w:p>
      <w:pPr>
        <w:spacing w:after="0" w:line="7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6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We record a valuation allowance on deferred taxes if we determine it is more likely than not that we will not fully realize the future benefit of deferred tax assets.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70"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We file tax returns after the close of our fiscal year end and adjust our estimated tax receivable or liability to the actual tax receivable or tax due per the filed tax returns in the provision for income tax.</w:t>
      </w:r>
    </w:p>
    <w:p>
      <w:pPr>
        <w:spacing w:after="0" w:line="5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color w:val="auto"/>
        </w:rPr>
        <w:t>For purposes of Global Intangible Low-Taxed Income, we have elected to use the period cost method and therefore have not recorded deferred taxes for basis differences expected to reverse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9" w:right="359" w:bottom="1440" w:gutter="0" w:footer="0" w:header="0"/>
        </w:sectPr>
      </w:pPr>
    </w:p>
    <w:bookmarkStart w:id="96" w:name="page97"/>
    <w:bookmarkEnd w:id="96"/>
    <w:p>
      <w:pPr>
        <w:spacing w:after="0" w:line="259" w:lineRule="auto"/>
        <w:rPr>
          <w:sz w:val="20"/>
          <w:szCs w:val="20"/>
          <w:color w:val="auto"/>
        </w:rPr>
      </w:pPr>
      <w:r>
        <w:rPr>
          <w:rFonts w:ascii="Times New Roman" w:cs="Times New Roman" w:eastAsia="Times New Roman" w:hAnsi="Times New Roman"/>
          <w:sz w:val="17"/>
          <w:szCs w:val="17"/>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 Based on our evaluations of tax positions, we believe that potential tax exposures have been recorded appropriately. Additionally, we recognize accrued interest and penalties related to our unrecognized tax benefits as a component of tax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Standards</w:t>
      </w:r>
    </w:p>
    <w:p>
      <w:pPr>
        <w:spacing w:after="0" w:line="113"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Accounting Standards Update 2022-02 –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Troubled Debt Restructurings and Vintage Disclosures”</w:t>
      </w:r>
      <w:r>
        <w:rPr>
          <w:rFonts w:ascii="Times New Roman" w:cs="Times New Roman" w:eastAsia="Times New Roman" w:hAnsi="Times New Roman"/>
          <w:sz w:val="17"/>
          <w:szCs w:val="17"/>
          <w:color w:val="auto"/>
        </w:rPr>
        <w:t xml:space="preserve"> (“ASU 2022-02”)</w:t>
      </w:r>
    </w:p>
    <w:p>
      <w:pPr>
        <w:spacing w:after="0" w:line="4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In the first quarter of 2023, we adopted accounting standards update (“ASU”) 2022-02, which eliminated the recognition and measurement guidance applicable to troubled debt restructurings for creditors and enhanced disclosure requirements with respect to loan modifications for borrowers experiencing financial difficulty. ASU 2022-02 also requires disclosure of current-period gross write-offs by year of origination to be presented in the vintage disclosures for financing receivables. The adoption of ASU 2022-02 on January 1, 2023, on a prospective basis, did not have a material impact on our financial statements or disclosures other than the addition of incremental disclosures relating to gross write-offs for vacation ownership notes receivable. See Footnote 6 “Vacation Ownership Notes Receivable” for the incremental disclosures required by the adoption of ASU 2022-02.</w:t>
      </w:r>
    </w:p>
    <w:p>
      <w:pPr>
        <w:spacing w:after="0" w:line="69"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Accounting Standards Update 2020-04 – “</w:t>
      </w:r>
      <w:r>
        <w:rPr>
          <w:rFonts w:ascii="Times New Roman" w:cs="Times New Roman" w:eastAsia="Times New Roman" w:hAnsi="Times New Roman"/>
          <w:sz w:val="17"/>
          <w:szCs w:val="17"/>
          <w:i w:val="1"/>
          <w:iCs w:val="1"/>
          <w:color w:val="auto"/>
        </w:rPr>
        <w:t>Reference Rate Reform (Topic 848), Facilitation of the Effects of Reference Rate Reform on Financial Reporting</w:t>
      </w:r>
      <w:r>
        <w:rPr>
          <w:rFonts w:ascii="Times New Roman" w:cs="Times New Roman" w:eastAsia="Times New Roman" w:hAnsi="Times New Roman"/>
          <w:sz w:val="17"/>
          <w:szCs w:val="17"/>
          <w:color w:val="auto"/>
        </w:rPr>
        <w:t>” (“ASU 2020-04”) and Accounting Standards Update 2022-06 – “</w:t>
      </w:r>
      <w:r>
        <w:rPr>
          <w:rFonts w:ascii="Times New Roman" w:cs="Times New Roman" w:eastAsia="Times New Roman" w:hAnsi="Times New Roman"/>
          <w:sz w:val="17"/>
          <w:szCs w:val="17"/>
          <w:i w:val="1"/>
          <w:iCs w:val="1"/>
          <w:color w:val="auto"/>
        </w:rPr>
        <w:t>Reference Rate Reform (Topic 848), Deferral of the Sunset Date of Topic 848</w:t>
      </w:r>
      <w:r>
        <w:rPr>
          <w:rFonts w:ascii="Times New Roman" w:cs="Times New Roman" w:eastAsia="Times New Roman" w:hAnsi="Times New Roman"/>
          <w:sz w:val="17"/>
          <w:szCs w:val="17"/>
          <w:color w:val="auto"/>
        </w:rPr>
        <w:t>” (“ASU 2022-06”)</w:t>
      </w:r>
    </w:p>
    <w:p>
      <w:pPr>
        <w:spacing w:after="0" w:line="4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 2020, the Financial Accounting Standards Board (“FASB”) issued ASU 2020-04, as amended, which provides optional expedients and exceptions to existing guidance on contract modifications and hedge accounting in an effort to ease the financial reporting burdens related to the expected market transition from the USD London Interbank Offered Rate (“LIBOR”) and other interbank offered rates to alternative reference rates. This update was effective upon issuance and issuers generally were able to elect to adopt the optional expedients and exceptions over time through a period ending on December 31, 2022. In December 2022, the FASB issued ASU 2022-06 to extend the temporary accounting rules under Topic 848 from December 31, 2022 to December 31, 2024. During the second quarter of 2023, we amended our Term Loan (as defined in Footnote 16 “Debt”) and our interest rate swaps and collar to reference SOFR (as defined in Footnote 15 “Securitized Debt”) rather than LIBOR. See Footnote 16 “Debt” for more information. Both our Term Loan and the related interest rate swaps and collar transitioned to SOFR at the same time, effective July 31, 2023. As of December 31, 2023, we have no other financial instruments to transition from LIBOR.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Adoption of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2023-07 –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(“ASU 2023-07”)</w:t>
      </w:r>
    </w:p>
    <w:p>
      <w:pPr>
        <w:spacing w:after="0" w:line="11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In November 2023, the FASB issued ASU 2023-07, which updates reportable segment disclosure requirements, primarily through enhanced disclosures about significant segment expenses and information used to assess segment performance. This update is effective for fiscal years beginning after December 15, 2023, and interim periods within fiscal years beginning after December 15, 2024, with early adoption permitted. This update should be applied retrospectively for all prior periods presented in the financial statements. We continue to evaluate the impact that the adoption of this update, including the timing of implementation, will have on our disclosures.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2023-09 –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w:t>
      </w:r>
    </w:p>
    <w:p>
      <w:pPr>
        <w:spacing w:after="0" w:line="1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which is intended to enhance the transparency and decision usefulness of income tax disclosures. ASU 2023-09 primarily enhances and expands both the annual income tax rate reconciliation disclosure and the annual income taxes paid disclosure. This update is effective for fiscal years beginning after December 15, 2024 and may be adopted on a prospective or retrospective basis, with early adoption permitted. We continue to evaluate the impact that the adoption of this update, including the timing of implementation, will have on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3. ACQUISITIONS AND DISPOSITIONS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Welk Acquisition</w:t>
      </w:r>
    </w:p>
    <w:p>
      <w:pPr>
        <w:spacing w:after="0" w:line="117"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We completed the Welk Acquisition on April 1, 2021. The following table presents the fair value of each type of consideration transferred in the Welk Acquisition, as finalized at March 31,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Equivalent shares of Marriott Vacations Worldwide common stock issued</w:t>
            </w:r>
          </w:p>
        </w:tc>
        <w:tc>
          <w:tcPr>
            <w:tcW w:w="6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4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Marriott Vacations Worldwide common stock price per share as of Welk Acquisition Date</w:t>
            </w:r>
          </w:p>
        </w:tc>
        <w:tc>
          <w:tcPr>
            <w:tcW w:w="6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174.18</w:t>
            </w: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Marriott Vacations Worldwide common stock issued</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4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consideration to Welk, net of cash and restricted cash acquired of $48 million</w:t>
            </w:r>
          </w:p>
        </w:tc>
        <w:tc>
          <w:tcPr>
            <w:tcW w:w="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consideration transferred, net of cash and restricted cash acquired</w:t>
            </w:r>
          </w:p>
        </w:tc>
        <w:tc>
          <w:tcPr>
            <w:tcW w:w="68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Values of Assets Acquired and Liabilities Assumed</w:t>
      </w:r>
    </w:p>
    <w:p>
      <w:pPr>
        <w:spacing w:after="0" w:line="1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accounted for the Welk Acquisition as a business combination, which requires us to record the assets acquired and liabilities assumed at fair value as of the Welk Acquisition Date. The values attributed to Vacation ownership notes receivable, Inventory, Property and equipment, Intangible assets, and Securitized debt from VIEs were based on valuations prepared using Level 3 inputs and assumptions in accordance with ASC Topic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(“ASC 820”). The value attributed to Debt was based on Level 2 inputs in accordance with ASC 820. During the first quarter of 2022, we finalized our allocation of the purchase price to the acquired assets and liabilities. The following table presents the fair value of the assets that we acquired and the liabilities that we assumed in connection with the business combination as finalized.</w:t>
      </w:r>
    </w:p>
    <w:tbl>
      <w:tblPr>
        <w:tblLayout w:type="fixed"/>
        <w:tblInd w:w="0" w:type="dxa"/>
        <w:tblCellMar>
          <w:top w:w="0" w:type="dxa"/>
          <w:left w:w="0" w:type="dxa"/>
          <w:bottom w:w="0" w:type="dxa"/>
          <w:right w:w="0" w:type="dxa"/>
        </w:tblCellMar>
      </w:tblPr>
      <w:tr>
        <w:trPr>
          <w:trHeight w:val="166"/>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396"/>
              <w:spacing w:after="0" w:line="166" w:lineRule="exact"/>
              <w:rPr>
                <w:sz w:val="20"/>
                <w:szCs w:val="20"/>
                <w:color w:val="auto"/>
              </w:rPr>
            </w:pPr>
            <w:r>
              <w:rPr>
                <w:rFonts w:ascii="Times New Roman" w:cs="Times New Roman" w:eastAsia="Times New Roman" w:hAnsi="Times New Roman"/>
                <w:sz w:val="15"/>
                <w:szCs w:val="15"/>
                <w:b w:val="1"/>
                <w:bCs w:val="1"/>
                <w:color w:val="auto"/>
              </w:rPr>
              <w:t>April 1, 2021</w:t>
            </w:r>
          </w:p>
        </w:tc>
      </w:tr>
      <w:tr>
        <w:trPr>
          <w:trHeight w:val="204"/>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(as finalized)</w:t>
            </w:r>
          </w:p>
        </w:tc>
      </w:tr>
      <w:tr>
        <w:trPr>
          <w:trHeight w:val="22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8"/>
                <w:szCs w:val="8"/>
                <w:color w:val="auto"/>
              </w:rPr>
              <w:t>(1)</w:t>
            </w: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10"/>
        </w:trPr>
        <w:tc>
          <w:tcPr>
            <w:tcW w:w="648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0"/>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300" w:right="60" w:hanging="298"/>
        <w:spacing w:after="0" w:line="228" w:lineRule="auto"/>
        <w:tabs>
          <w:tab w:leader="none" w:pos="288"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Goodwill is calculated as total consideration transferred, net of cash acquired, less identified net assets acquired. It represents the value that we expect to obtain from growth opportunities from our combined operations and is not deductible for tax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 Forma Results of Operations</w:t>
      </w:r>
    </w:p>
    <w:p>
      <w:pPr>
        <w:spacing w:after="0" w:line="11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7"/>
          <w:szCs w:val="17"/>
          <w:color w:val="auto"/>
        </w:rPr>
        <w:t>The following unaudited pro forma information presents the combined results of operations of Marriott Vacations Worldwide and Legacy-Welk as if we had completed the Welk Acquisition on December 31, 2019, the last day of our 2019 fiscal year, but using the estimates of the fair values of assets and liabilities as of the Welk Acquisition Date set forth above.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Welk Acquisition had occurred at the beginning of the period presented, nor are they indicative of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There were no Welk Acquisition-related costs included in the unaudited pro forma results below for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 ATTRIBUTABLE TO COMMON STOCKHOLDERS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44"/>
        </w:trPr>
        <w:tc>
          <w:tcPr>
            <w:tcW w:w="6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Acquisitions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Savannah, Georgia</w:t>
      </w:r>
    </w:p>
    <w:p>
      <w:pPr>
        <w:spacing w:after="0" w:line="117"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7"/>
          <w:szCs w:val="17"/>
          <w:color w:val="auto"/>
        </w:rPr>
        <w:t>During 2023, we acquired a property in Savannah, Georgia for $19 million. We plan to convert the property into a 73-unit vacation ownership property. The transaction was accounted for as an asset acquisition and was recorded in Property and equipment, 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Charleston, South Carolina</w:t>
      </w:r>
    </w:p>
    <w:p>
      <w:pPr>
        <w:spacing w:after="0" w:line="11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During 2023, we acquired a parcel of land and an adjacent retail space in Charleston, South Carolina for $17 million. We plan to develop the parcel of land into a 50-unit vacation ownership property and use a portion of the retail space to operate a sales center. The transaction was accounted for as an asset acquisition and was recorded in Property and equipment, net.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Bali</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During 2022, we acquired 88 completed vacation ownership units, as well as a sales center, located in Bali, Indonesia for $36 million. The transaction was accounted for as an asset acquisition and the purchase price was allocated to Property and equipment, net. As consideration for the acquisition, we paid $12 million in cash and issued a non-interest bearing note payable for $11 million, of which $6 million was repaid in the first quarter of 2023. Further, we reclassified $13 million of previous deposits associated with the project from Other assets to Property and equipment, net.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Costa Rica</w:t>
      </w:r>
    </w:p>
    <w:p>
      <w:pPr>
        <w:spacing w:after="0" w:line="11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During 2021, we acquired 24 completed vacation ownership units and an operations building located in Costa Rica for $14 million. We accounted for the transaction as an asset acquisition with the purchase price allocated to Inventory ($13 million) and Property and equipment, net ($1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York, New York</w:t>
      </w:r>
    </w:p>
    <w:p>
      <w:pPr>
        <w:spacing w:after="0" w:line="117"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7"/>
          <w:szCs w:val="17"/>
          <w:color w:val="auto"/>
        </w:rPr>
        <w:t>During 2021, we acquired the remaining 120 completed vacation ownership units located at our Marriott Vacation Club Pulse, New York City property for $98 million. We accounted for the transaction as an asset acquisition with the purchase price allocated to Property and equipment, 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 Francisco, California</w:t>
      </w:r>
    </w:p>
    <w:p>
      <w:pPr>
        <w:spacing w:after="0" w:line="11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During 2021, we acquired 44 completed vacation ownership units at our Marriott Vacation Club Pulse, San Francisco property for $34 million. We accounted for the transaction as an asset acquisition with the purchase price allocated to Inventory ($29 million) and Other assets ($5 million).</w:t>
      </w:r>
    </w:p>
    <w:p>
      <w:pPr>
        <w:spacing w:after="0" w:line="5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Additionally, during 2021, we completed the purchase of the remaining inventory at our Marriott Vacation Club Pulse, San Francisco property and wrote off the outstanding management fee receivables deemed uncollectible of $7 million, which was recorded in the Management and exchange expense line on our Income Statement for the year ended December 31, 2021. As part of the purchase, we acquired the remaining 78 completed vacation ownership units, as well as an onsite garage, for $59 million. We accounted for the purchase as an asset acquisition with the purchase price allocated to Inventory ($41 million) and Property and equipment, net ($18 million). Further, we reclassified $10 million of previous deposits associated with the project from Other assets to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i w:val="1"/>
          <w:iCs w:val="1"/>
          <w:color w:val="auto"/>
        </w:rPr>
        <w:t>Dispositions</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During 2022, we disposed of VRI Americas for proceeds of $56 million, net of cash and restricted cash transferred to the buyer of $12 million, after determining that this business was not a core component of our future growth strategy and operating model. The results of VRI Americas are included in our Exchange and Third-Party Management segment through the date of the sale. The net carrying value of VRI Americas as of the date of the disposition was $51 million, including $25 million of goodwill and $20 million of intangible assets. As a result of the disposition, we recorded a gain of $17 million in Gains (losses) and other income (expense), net on our Income Statement for the year ended December 31, 2022.</w:t>
      </w:r>
    </w:p>
    <w:p>
      <w:pPr>
        <w:spacing w:after="0" w:line="7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Additionally, during 2022, we disposed of entities that owned and operated a Vacation Ownership segment hotel in Puerto Vallarta, Mexico, for proceeds of $38 million, net of cash and restricted cash transferred to the buyer of $3 million, consistent with our strategy to dispose of non-strategic assets. The net carrying value of the business disposed of as of the date of the disposition, excluding the cumulative translation adjustment, was $18 million, substantially all of which was for property and equipment. As a result of this disposition, we recorded a gain of $33 million in Gains (losses) and other income (expense), net on our Income Statement for the year ended December 31, 2022, which included the realization of cumulative foreign currency translation gains of $10 million associated with the disposition of these entities.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 AND RECEIVABLES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Revenue by Segment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1293" w:right="4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3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Ancillary revenues</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43"/>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Management fee revenues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and exchange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10"/>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Revenue from Contracts with Customers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detail the timing of revenue from contracts with customers by segment for each of the last three fiscal years.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716534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273" w:right="1440" w:bottom="1440" w:gutter="0" w:footer="0" w:header="0"/>
          <w:type w:val="continuous"/>
        </w:sectPr>
      </w:pPr>
    </w:p>
    <w:bookmarkStart w:id="101" w:name="page102"/>
    <w:bookmarkEnd w:id="101"/>
    <w:tbl>
      <w:tblPr>
        <w:tblLayout w:type="fixed"/>
        <w:tblInd w:w="2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2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16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160" w:type="dxa"/>
            <w:vAlign w:val="bottom"/>
          </w:tcPr>
          <w:p>
            <w:pPr>
              <w:jc w:val="center"/>
              <w:ind w:left="163"/>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680" w:type="dxa"/>
            <w:vAlign w:val="bottom"/>
            <w:vMerge w:val="continue"/>
          </w:tcPr>
          <w:p>
            <w:pPr>
              <w:spacing w:after="0"/>
              <w:rPr>
                <w:sz w:val="13"/>
                <w:szCs w:val="13"/>
                <w:color w:val="auto"/>
              </w:rPr>
            </w:pPr>
          </w:p>
        </w:tc>
        <w:tc>
          <w:tcPr>
            <w:tcW w:w="10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160" w:type="dxa"/>
            <w:vAlign w:val="bottom"/>
          </w:tcPr>
          <w:p>
            <w:pPr>
              <w:jc w:val="center"/>
              <w:ind w:left="183"/>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Vacation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Third-Party</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Goods or services transferred at a point in</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w:t>
            </w:r>
          </w:p>
        </w:tc>
        <w:tc>
          <w:tcPr>
            <w:tcW w:w="0" w:type="dxa"/>
            <w:vAlign w:val="bottom"/>
          </w:tcPr>
          <w:p>
            <w:pPr>
              <w:spacing w:after="0"/>
              <w:rPr>
                <w:sz w:val="1"/>
                <w:szCs w:val="1"/>
                <w:color w:val="auto"/>
              </w:rPr>
            </w:pPr>
          </w:p>
        </w:tc>
      </w:tr>
      <w:tr>
        <w:trPr>
          <w:trHeight w:val="235"/>
        </w:trPr>
        <w:tc>
          <w:tcPr>
            <w:tcW w:w="3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from Contracts with Customers, Contract Assets, &amp; Contract Liabilities</w:t>
      </w:r>
    </w:p>
    <w:p>
      <w:pPr>
        <w:spacing w:after="0" w:line="104" w:lineRule="exact"/>
        <w:rPr>
          <w:sz w:val="20"/>
          <w:szCs w:val="20"/>
          <w:color w:val="auto"/>
        </w:rPr>
      </w:pPr>
    </w:p>
    <w:p>
      <w:pPr>
        <w:ind w:right="880"/>
        <w:spacing w:after="0" w:line="283" w:lineRule="auto"/>
        <w:rPr>
          <w:sz w:val="20"/>
          <w:szCs w:val="20"/>
          <w:color w:val="auto"/>
        </w:rPr>
      </w:pPr>
      <w:r>
        <w:rPr>
          <w:rFonts w:ascii="Times New Roman" w:cs="Times New Roman" w:eastAsia="Times New Roman" w:hAnsi="Times New Roman"/>
          <w:sz w:val="17"/>
          <w:szCs w:val="17"/>
          <w:color w:val="auto"/>
        </w:rPr>
        <w:t>The following table shows the composition of our receivables from contracts with customers and contract liabilities. We had no contract assets at either December 31, 2023 or December 31, 2022.</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40" w:type="dxa"/>
            <w:vAlign w:val="bottom"/>
          </w:tcPr>
          <w:p>
            <w:pPr>
              <w:spacing w:after="0"/>
              <w:rPr>
                <w:sz w:val="17"/>
                <w:szCs w:val="17"/>
                <w:color w:val="auto"/>
              </w:rPr>
            </w:pPr>
          </w:p>
        </w:tc>
        <w:tc>
          <w:tcPr>
            <w:tcW w:w="1620" w:type="dxa"/>
            <w:vAlign w:val="bottom"/>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At December 31, 2022</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and contracts receivable,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4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10"/>
        </w:trPr>
        <w:tc>
          <w:tcPr>
            <w:tcW w:w="4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2,392</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57"/>
        </w:trPr>
        <w:tc>
          <w:tcPr>
            <w:tcW w:w="4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1"/>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Advance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43"/>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35"/>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right="580"/>
        <w:spacing w:after="0" w:line="360" w:lineRule="auto"/>
        <w:rPr>
          <w:sz w:val="20"/>
          <w:szCs w:val="20"/>
          <w:color w:val="auto"/>
        </w:rPr>
      </w:pPr>
      <w:r>
        <w:rPr>
          <w:rFonts w:ascii="Times New Roman" w:cs="Times New Roman" w:eastAsia="Times New Roman" w:hAnsi="Times New Roman"/>
          <w:sz w:val="17"/>
          <w:szCs w:val="17"/>
          <w:color w:val="auto"/>
        </w:rPr>
        <w:t xml:space="preserve">Revenue recognized during the year ended December 31, 2023 that was included in our contract liabilities balance at December 31, 2022 was $290 million. </w:t>
      </w:r>
      <w:r>
        <w:rPr>
          <w:rFonts w:ascii="Times New Roman" w:cs="Times New Roman" w:eastAsia="Times New Roman" w:hAnsi="Times New Roman"/>
          <w:sz w:val="17"/>
          <w:szCs w:val="17"/>
          <w:b w:val="1"/>
          <w:bCs w:val="1"/>
          <w:i w:val="1"/>
          <w:iCs w:val="1"/>
          <w:color w:val="auto"/>
        </w:rPr>
        <w:t>Remaining Performance Obligations</w:t>
      </w:r>
    </w:p>
    <w:p>
      <w:pPr>
        <w:spacing w:after="0" w:line="1" w:lineRule="exact"/>
        <w:rPr>
          <w:sz w:val="20"/>
          <w:szCs w:val="20"/>
          <w:color w:val="auto"/>
        </w:rPr>
      </w:pPr>
    </w:p>
    <w:p>
      <w:pPr>
        <w:jc w:val="both"/>
        <w:ind w:right="160"/>
        <w:spacing w:after="0" w:line="283" w:lineRule="auto"/>
        <w:rPr>
          <w:sz w:val="20"/>
          <w:szCs w:val="20"/>
          <w:color w:val="auto"/>
        </w:rPr>
      </w:pPr>
      <w:r>
        <w:rPr>
          <w:rFonts w:ascii="Times New Roman" w:cs="Times New Roman" w:eastAsia="Times New Roman" w:hAnsi="Times New Roman"/>
          <w:sz w:val="17"/>
          <w:szCs w:val="17"/>
          <w:color w:val="auto"/>
        </w:rPr>
        <w:t>Our remaining performance obligations represent the expected transaction price allocated to our contracts that we expect to recognize as revenue in future periods when we perform under the contracts. At December 31, 2023, approximately 94% of this amount is expected to be recognized as revenue over the next two years.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and Contracts Receivable</w:t>
      </w:r>
    </w:p>
    <w:p>
      <w:pPr>
        <w:spacing w:after="0" w:line="1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40" w:type="dxa"/>
            <w:vAlign w:val="bottom"/>
          </w:tcPr>
          <w:p>
            <w:pPr>
              <w:spacing w:after="0"/>
              <w:rPr>
                <w:sz w:val="17"/>
                <w:szCs w:val="17"/>
                <w:color w:val="auto"/>
              </w:rPr>
            </w:pPr>
          </w:p>
        </w:tc>
        <w:tc>
          <w:tcPr>
            <w:tcW w:w="1620" w:type="dxa"/>
            <w:vAlign w:val="bottom"/>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At December 31, 2022</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from contracts with customers,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receivable</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receivable</w:t>
            </w: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 assets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tax credit receivable</w:t>
            </w: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5"/>
        </w:trPr>
        <w:tc>
          <w:tcPr>
            <w:tcW w:w="4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35" w:right="3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5. INCOME TAXES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our Income (loss) before income taxes and noncontrolling interests for the last three fiscal years: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25"/>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Non-U.S. jurisdictions</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5"/>
        </w:trPr>
        <w:tc>
          <w:tcPr>
            <w:tcW w:w="70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Our (provision for) benefit from income taxes consisted of:</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25"/>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U.S. Federal</w:t>
            </w:r>
          </w:p>
        </w:tc>
        <w:tc>
          <w:tcPr>
            <w:tcW w:w="2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U.S. State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Non-U.S.</w:t>
            </w: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U.S. Federal</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spacing w:after="0"/>
              <w:rPr>
                <w:sz w:val="21"/>
                <w:szCs w:val="21"/>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U.S. State</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3"/>
        </w:trPr>
        <w:tc>
          <w:tcPr>
            <w:tcW w:w="700" w:type="dxa"/>
            <w:vAlign w:val="bottom"/>
            <w:tcBorders>
              <w:bottom w:val="single" w:sz="8" w:color="CCEEFF"/>
            </w:tcBorders>
          </w:tcPr>
          <w:p>
            <w:pPr>
              <w:spacing w:after="0"/>
              <w:rPr>
                <w:sz w:val="21"/>
                <w:szCs w:val="21"/>
                <w:color w:val="auto"/>
              </w:rPr>
            </w:pPr>
          </w:p>
        </w:tc>
        <w:tc>
          <w:tcPr>
            <w:tcW w:w="38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 Non-U.S.</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70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Reconciliation of U.S. Federal Statutory Income Tax Rate to Actual Income Tax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U.S. statutory income tax rate to our effective income tax rate: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statutory income tax rate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state income taxes, net of U.S. federal tax benefit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net of Section 162(m) limitation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7"/>
                <w:szCs w:val="17"/>
                <w:color w:val="auto"/>
              </w:rPr>
              <w:t>Other permanent differences</w:t>
            </w:r>
            <w:r>
              <w:rPr>
                <w:rFonts w:ascii="Times New Roman" w:cs="Times New Roman" w:eastAsia="Times New Roman" w:hAnsi="Times New Roman"/>
                <w:sz w:val="22"/>
                <w:szCs w:val="22"/>
                <w:color w:val="auto"/>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(5.1)</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rate changes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(3.8)</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Non-U.S. income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(0.9)</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17.9</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10.4</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items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(0.2)</w:t>
            </w:r>
          </w:p>
        </w:tc>
      </w:tr>
      <w:tr>
        <w:trPr>
          <w:trHeight w:val="235"/>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Effective rate</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32.9%</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hanging="298"/>
        <w:spacing w:after="0" w:line="228" w:lineRule="auto"/>
        <w:tabs>
          <w:tab w:leader="none" w:pos="28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2023 permanent differences are primarily related to non-taxable income and foreign taxes deducted in the U.S. The 2022 permanent differences primarily relate to non-deductible interest. The 2021 permanent differences primarily relate to the deduction of foreign taxes paid in the U.S.</w:t>
      </w:r>
    </w:p>
    <w:p>
      <w:pPr>
        <w:spacing w:after="0" w:line="136"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7"/>
          <w:szCs w:val="17"/>
          <w:color w:val="auto"/>
        </w:rPr>
        <w:t>For the years ended December 31, 2023, 2022 and 2021, our provision for income taxes included $1 million, $3 million, and $4 million of excess tax benefits resulting from equity incentive plan activities,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conduct business in countries that grant “holidays” from income taxes for ten to thirty-year periods. These holidays expire through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060"/>
          </w:cols>
          <w:pgMar w:left="320" w:top="1397"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As of December 31, 2023, the $28 million tax reserve for non-income tax issues is predominantly related to the ILG Acquisition. We expect that we will be indemnified for liabilities of $4 million in connection with the Legacy-ILG non-income tax matters pursuant to a Tax Matters Agreement dated May 11, 2016 by and among Starwood Hotels &amp; Resorts Worldwide, Inc., Vistana Signature Experiences, Inc., and Interval Leisure Group, Inc., and consequently have recorded a corresponding indemnification asset.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significant components of our deferred tax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2023</w:t>
            </w:r>
          </w:p>
        </w:tc>
        <w:tc>
          <w:tcPr>
            <w:tcW w:w="160" w:type="dxa"/>
            <w:vAlign w:val="bottom"/>
          </w:tcPr>
          <w:p>
            <w:pPr>
              <w:spacing w:after="0"/>
              <w:rPr>
                <w:sz w:val="17"/>
                <w:szCs w:val="17"/>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At Year-End 2022</w:t>
            </w:r>
          </w:p>
        </w:tc>
      </w:tr>
      <w:tr>
        <w:trPr>
          <w:trHeight w:val="238"/>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6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r>
      <w:tr>
        <w:trPr>
          <w:trHeight w:val="256"/>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5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56"/>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Convertible debt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5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compensation</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56"/>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5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56"/>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compensation</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5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operating loss and capital loss carryforwards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56"/>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credits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5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Right-of-use asset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6"/>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6"/>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tax assets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r>
      <w:tr>
        <w:trPr>
          <w:trHeight w:val="256"/>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36"/>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deferred tax assets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43"/>
        </w:trPr>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6"/>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 lived intangible assets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5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sales of VOIs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56"/>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Right-of-use liability</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6"/>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r>
      <w:tr>
        <w:trPr>
          <w:trHeight w:val="243"/>
        </w:trPr>
        <w:tc>
          <w:tcPr>
            <w:tcW w:w="49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10"/>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net deferred tax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In 2023, the change in our valuation allowance is primarily related to certain existing non-U.S. loss carryforwards where future sources of income are no longer available for realization of the losses.</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have $7 million in foreign capital loss carryforwards and $131 million of foreign net operating loss carryforwards, some of which begin expiring in 2024; however, a significant portion of the net operating loss carryforwards have indefinite carryforward periods. We have $13 million of state net operating loss carryforwards, the majority of which will not expire within the next five years. We have U.S. federal foreign tax credit carryforwards of $20 million and $6 million of state tax credit carryforwards.</w:t>
      </w:r>
    </w:p>
    <w:p>
      <w:pPr>
        <w:spacing w:after="0" w:line="7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We continue to treat the undistributed earnings of certain foreign subsidiaries as permanently reinvested. No taxes have been accrued with respect to these undistributed earnings or any outside basis differences. Distribution of profits from foreign subsidiaries is not expected to cause a significant incremental U.S. tax impact in the future; an estimate of the U.S. tax impact is not practicable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20"/>
          </w:cols>
          <w:pgMar w:left="320" w:top="1344"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i w:val="1"/>
          <w:iCs w:val="1"/>
          <w:color w:val="auto"/>
        </w:rPr>
        <w:t>Unrecognized Tax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(excluding interest and penalties)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3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beginning of year</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Increases related to tax positions taken during a prior period</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5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Increases related to tax positions taken during the current period</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Decreases related to tax positions taken during a prior period</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4800" w:type="dxa"/>
            <w:vAlign w:val="bottom"/>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Decreases as a result of a lapse of the applicable statute of</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limitations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end of year</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the unrecognized tax benefits during 2023 is primarily related to $80 million for a proposed tax method change for pre-acquisition Welk.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Unrecognized tax benefits (excluding interest and penalties) of $26 million would impact the effective tax rate if recognized.</w:t>
      </w:r>
    </w:p>
    <w:p>
      <w:pPr>
        <w:spacing w:after="0" w:line="107"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17"/>
          <w:szCs w:val="17"/>
          <w:color w:val="auto"/>
        </w:rPr>
        <w:t>The total amount of gross interest and penalties accrued relating to unrecognized tax benefits was $48 million at December 31, 2023 and $28 million at December 31, 2022, which is predominantly attributable to non-U.S. jurisdictions.</w:t>
      </w:r>
    </w:p>
    <w:p>
      <w:pPr>
        <w:spacing w:after="0" w:line="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anticipate $36 million of unrecognized tax benefits, including interest and penalties, will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7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VACATION OWNERSHIP NOTES RECEIVABLE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vacation ownership notes receivable balances, net of reserves.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6"/>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Originated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Originated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r>
      <w:tr>
        <w:trPr>
          <w:trHeight w:val="222"/>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3"/>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Eligible for securitization</w:t>
            </w:r>
            <w:r>
              <w:rPr>
                <w:rFonts w:ascii="Times New Roman" w:cs="Times New Roman" w:eastAsia="Times New Roman" w:hAnsi="Times New Roman"/>
                <w:sz w:val="8"/>
                <w:szCs w:val="8"/>
                <w:color w:val="auto"/>
              </w:rPr>
              <w:t>(1)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166"/>
        </w:trPr>
        <w:tc>
          <w:tcPr>
            <w:tcW w:w="2200" w:type="dxa"/>
            <w:vAlign w:val="bottom"/>
          </w:tcPr>
          <w:p>
            <w:pPr>
              <w:ind w:left="100"/>
              <w:spacing w:after="0" w:line="166" w:lineRule="exact"/>
              <w:rPr>
                <w:sz w:val="20"/>
                <w:szCs w:val="20"/>
                <w:color w:val="auto"/>
              </w:rPr>
            </w:pPr>
            <w:r>
              <w:rPr>
                <w:rFonts w:ascii="Times New Roman" w:cs="Times New Roman" w:eastAsia="Times New Roman" w:hAnsi="Times New Roman"/>
                <w:sz w:val="17"/>
                <w:szCs w:val="17"/>
                <w:color w:val="auto"/>
              </w:rPr>
              <w:t>Not eligible for</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0"/>
        </w:trPr>
        <w:tc>
          <w:tcPr>
            <w:tcW w:w="2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securitization</w:t>
            </w:r>
            <w:r>
              <w:rPr>
                <w:rFonts w:ascii="Times New Roman" w:cs="Times New Roman" w:eastAsia="Times New Roman" w:hAnsi="Times New Roman"/>
                <w:sz w:val="8"/>
                <w:szCs w:val="8"/>
                <w:color w:val="auto"/>
              </w:rPr>
              <w:t>(1)</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23"/>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Subtotal</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10"/>
        </w:trPr>
        <w:tc>
          <w:tcPr>
            <w:tcW w:w="2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w:t>
            </w:r>
          </w:p>
        </w:tc>
      </w:tr>
      <w:tr>
        <w:trPr>
          <w:trHeight w:val="20"/>
        </w:trPr>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300" w:hanging="298"/>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Footnote 7 “Financial Instruments” for discussion of eligibility of our vacation ownership notes receivable for securitization.</w:t>
      </w:r>
    </w:p>
    <w:p>
      <w:pPr>
        <w:spacing w:after="0" w:line="8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58"/>
        </w:trPr>
        <w:tc>
          <w:tcPr>
            <w:tcW w:w="51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7"/>
                <w:szCs w:val="17"/>
                <w:color w:val="auto"/>
              </w:rPr>
              <w:t>Interest income associated with vacation ownership notes receivable —</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2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175"/>
        </w:trPr>
        <w:tc>
          <w:tcPr>
            <w:tcW w:w="51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Interest income associated with vacation ownership notes receivable —</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non-securitized</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income associated with vacation ownership notes receivable</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960"/>
          </w:cols>
          <w:pgMar w:left="320" w:top="1344" w:right="6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Reserves</w:t>
      </w:r>
    </w:p>
    <w:p>
      <w:pPr>
        <w:spacing w:after="0" w:line="11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5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7"/>
          <w:szCs w:val="17"/>
          <w:color w:val="auto"/>
        </w:rPr>
        <w:t>In the third quarter of 2023, we evaluated our vacation ownership notes receivable reserve in light of trends in delinquencies and default rates. As a result, we increased our originated vacation ownership notes receivable reserve by $59 million. We primarily used a historical period of increased defaults as a basis for estimating the increase in our reserve. This additional reserve adjusted our future default rate estimate, which reflected then-current macroeconomic conditions, including inflation outpacing wage growth, continuing high interest rates, mixed economic indicators and increased global insecurity.</w:t>
      </w:r>
    </w:p>
    <w:p>
      <w:pPr>
        <w:spacing w:after="0" w:line="7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In the third quarter of 2022, in connection with the combination and alignment of the reserves for the Marriott-, Sheraton-, and Westin-brands (see Footnote 2 “Summary of Significant Accounting Policies”), we recorded a reversal of credit loss expense for our acquired vacation ownership notes receivable of $19 million, which was recorded in Financing expenses on our Income Statement for the year ended December 31, 2022, and an increase in the reserve for our originated vacation ownership notes receivable of $21 million, which was recorded as a reduction of Sale of vacation ownership products and partially offset by a corresponding $5 million increase in Cost of vacation ownership products on our Income Statement for the year ended December 31, 2022.</w:t>
      </w:r>
    </w:p>
    <w:p>
      <w:pPr>
        <w:spacing w:after="0" w:line="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In 2020, we increased our vacation ownership notes receivable reserves by $69 million as a result of higher actual and projected default activity which was predominantly due to the COVID-19 pandemic. At that time, we allocated $59 million of the reserve to our originated vacation ownership notes receivable reserve (recorded as a reduction of Sale of vacation ownership products), $10 million to our acquired vacation ownership notes receivable reserve (recorded as an increase in Financing expenses), and a corresponding $19 million reduction in Cost of vacation ownership products on our Income Statement for the year ended December 31, 2020. Given the uncertainty as to which vacation ownership notes receivable (originated or acquired) would default, from 2020 through the second quarter of 2022, we assessed the sufficiency of our reserves for all vacation ownership notes receivable in total. There were no additional adjustments to our vacation ownership notes receivables reserves due to the COVID-19 pandemic during either 2021 or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Quality Indicators - Vacation Ownership Notes Receivable</w:t>
      </w:r>
    </w:p>
    <w:p>
      <w:pPr>
        <w:spacing w:after="0" w:line="11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VOI they have acquired.</w:t>
      </w:r>
    </w:p>
    <w:p>
      <w:pPr>
        <w:spacing w:after="0" w:line="63"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color w:val="auto"/>
        </w:rPr>
        <w:t>The weighted average FICO score within our consolidated vacation ownership notes receivable pool was 723 and 721 at December 31, 2023 and December 31, 2022, respectively, based upon the FICO score of the borrower at the time of origination.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December 31,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7"/>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40" w:type="dxa"/>
            <w:vAlign w:val="bottom"/>
          </w:tcPr>
          <w:p>
            <w:pPr>
              <w:spacing w:after="0"/>
              <w:rPr>
                <w:sz w:val="17"/>
                <w:szCs w:val="17"/>
                <w:color w:val="auto"/>
              </w:rPr>
            </w:pPr>
          </w:p>
        </w:tc>
        <w:tc>
          <w:tcPr>
            <w:tcW w:w="1260" w:type="dxa"/>
            <w:vAlign w:val="bottom"/>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7"/>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3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rPr>
              <w:t>13.7%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6"/>
              <w:spacing w:after="0" w:line="189" w:lineRule="exact"/>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w w:val="98"/>
              </w:rPr>
              <w:t>0.0% to 21.9%</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0.0% to 21.9%</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8"/>
              </w:rPr>
              <w:t>0.0% to 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related to our acquired vacation ownership notes receivable reserve.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Reserve</w:t>
            </w:r>
          </w:p>
        </w:tc>
        <w:tc>
          <w:tcPr>
            <w:tcW w:w="360" w:type="dxa"/>
            <w:vAlign w:val="bottom"/>
            <w:tcBorders>
              <w:bottom w:val="single" w:sz="8" w:color="auto"/>
            </w:tcBorders>
          </w:tcPr>
          <w:p>
            <w:pPr>
              <w:spacing w:after="0"/>
              <w:rPr>
                <w:sz w:val="17"/>
                <w:szCs w:val="17"/>
                <w:color w:val="auto"/>
              </w:rPr>
            </w:pPr>
          </w:p>
        </w:tc>
      </w:tr>
      <w:tr>
        <w:trPr>
          <w:trHeight w:val="20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60" w:type="dxa"/>
            <w:vAlign w:val="bottom"/>
          </w:tcPr>
          <w:p>
            <w:pPr>
              <w:spacing w:after="0"/>
              <w:rPr>
                <w:sz w:val="17"/>
                <w:szCs w:val="17"/>
                <w:color w:val="auto"/>
              </w:rPr>
            </w:pPr>
          </w:p>
        </w:tc>
      </w:tr>
      <w:tr>
        <w:trPr>
          <w:trHeight w:val="21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7"/>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Clean-up call</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7"/>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Recoveries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166"/>
        </w:trPr>
        <w:tc>
          <w:tcPr>
            <w:tcW w:w="3800" w:type="dxa"/>
            <w:vAlign w:val="bottom"/>
          </w:tcPr>
          <w:p>
            <w:pPr>
              <w:ind w:left="100"/>
              <w:spacing w:after="0" w:line="16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30"/>
        </w:trPr>
        <w:tc>
          <w:tcPr>
            <w:tcW w:w="3800" w:type="dxa"/>
            <w:vAlign w:val="bottom"/>
          </w:tcPr>
          <w:p>
            <w:pPr>
              <w:ind w:left="100"/>
              <w:spacing w:after="0" w:line="230" w:lineRule="exact"/>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3800" w:type="dxa"/>
            <w:vAlign w:val="bottom"/>
            <w:shd w:val="clear" w:color="auto" w:fill="CCEEFF"/>
          </w:tcPr>
          <w:p>
            <w:pPr>
              <w:ind w:left="100"/>
              <w:spacing w:after="0" w:line="166" w:lineRule="exact"/>
              <w:rPr>
                <w:sz w:val="20"/>
                <w:szCs w:val="20"/>
                <w:color w:val="auto"/>
              </w:rPr>
            </w:pPr>
            <w:r>
              <w:rPr>
                <w:rFonts w:ascii="Times New Roman" w:cs="Times New Roman" w:eastAsia="Times New Roman" w:hAnsi="Times New Roman"/>
                <w:sz w:val="17"/>
                <w:szCs w:val="17"/>
                <w:color w:val="auto"/>
              </w:rPr>
              <w:t>Initial allowance for credit losses for Legacy-Welk</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23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vacation ownership notes receivable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166"/>
        </w:trPr>
        <w:tc>
          <w:tcPr>
            <w:tcW w:w="3800" w:type="dxa"/>
            <w:vAlign w:val="bottom"/>
          </w:tcPr>
          <w:p>
            <w:pPr>
              <w:ind w:left="100"/>
              <w:spacing w:after="0" w:line="166" w:lineRule="exact"/>
              <w:rPr>
                <w:sz w:val="20"/>
                <w:szCs w:val="20"/>
                <w:color w:val="auto"/>
              </w:rPr>
            </w:pPr>
            <w:r>
              <w:rPr>
                <w:rFonts w:ascii="Times New Roman" w:cs="Times New Roman" w:eastAsia="Times New Roman" w:hAnsi="Times New Roman"/>
                <w:sz w:val="17"/>
                <w:szCs w:val="17"/>
                <w:color w:val="auto"/>
              </w:rPr>
              <w:t>(Decrease) increase in vacation ownership notes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30"/>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receivable reserve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7"/>
        </w:trPr>
        <w:tc>
          <w:tcPr>
            <w:tcW w:w="3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Clean-up call</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7"/>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Recoveries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166"/>
        </w:trPr>
        <w:tc>
          <w:tcPr>
            <w:tcW w:w="3800" w:type="dxa"/>
            <w:vAlign w:val="bottom"/>
            <w:shd w:val="clear" w:color="auto" w:fill="CCEEFF"/>
          </w:tcPr>
          <w:p>
            <w:pPr>
              <w:ind w:left="100"/>
              <w:spacing w:after="0" w:line="16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230"/>
        </w:trPr>
        <w:tc>
          <w:tcPr>
            <w:tcW w:w="38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3800" w:type="dxa"/>
            <w:vAlign w:val="bottom"/>
          </w:tcPr>
          <w:p>
            <w:pPr>
              <w:ind w:left="100"/>
              <w:spacing w:after="0" w:line="166" w:lineRule="exact"/>
              <w:rPr>
                <w:sz w:val="20"/>
                <w:szCs w:val="20"/>
                <w:color w:val="auto"/>
              </w:rPr>
            </w:pPr>
            <w:r>
              <w:rPr>
                <w:rFonts w:ascii="Times New Roman" w:cs="Times New Roman" w:eastAsia="Times New Roman" w:hAnsi="Times New Roman"/>
                <w:sz w:val="17"/>
                <w:szCs w:val="17"/>
                <w:color w:val="auto"/>
              </w:rPr>
              <w:t>(Decrease) increase in vacation ownership notes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30"/>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receivable reserve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7"/>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Clean-up call</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7"/>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Recoveries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166"/>
        </w:trPr>
        <w:tc>
          <w:tcPr>
            <w:tcW w:w="3800" w:type="dxa"/>
            <w:vAlign w:val="bottom"/>
          </w:tcPr>
          <w:p>
            <w:pPr>
              <w:ind w:left="100"/>
              <w:spacing w:after="0" w:line="16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30"/>
        </w:trPr>
        <w:tc>
          <w:tcPr>
            <w:tcW w:w="3800" w:type="dxa"/>
            <w:vAlign w:val="bottom"/>
          </w:tcPr>
          <w:p>
            <w:pPr>
              <w:ind w:left="100"/>
              <w:spacing w:after="0" w:line="230" w:lineRule="exact"/>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3800" w:type="dxa"/>
            <w:vAlign w:val="bottom"/>
            <w:shd w:val="clear" w:color="auto" w:fill="CCEEFF"/>
          </w:tcPr>
          <w:p>
            <w:pPr>
              <w:ind w:left="100"/>
              <w:spacing w:after="0" w:line="166" w:lineRule="exact"/>
              <w:rPr>
                <w:sz w:val="20"/>
                <w:szCs w:val="20"/>
                <w:color w:val="auto"/>
              </w:rPr>
            </w:pPr>
            <w:r>
              <w:rPr>
                <w:rFonts w:ascii="Times New Roman" w:cs="Times New Roman" w:eastAsia="Times New Roman" w:hAnsi="Times New Roman"/>
                <w:sz w:val="17"/>
                <w:szCs w:val="17"/>
                <w:color w:val="auto"/>
              </w:rPr>
              <w:t>(Decrease) increase in vacation ownership notes</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23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receivable reserve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hanging="298"/>
        <w:spacing w:after="0" w:line="228" w:lineRule="auto"/>
        <w:tabs>
          <w:tab w:leader="none" w:pos="288"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acquired vacation ownership notes receivable, before reserves, by brand and borrower FICO score.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gridSpan w:val="17"/>
          </w:tcPr>
          <w:p>
            <w:pPr>
              <w:ind w:left="720"/>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as of December 31, 2023</w:t>
            </w:r>
          </w:p>
        </w:tc>
        <w:tc>
          <w:tcPr>
            <w:tcW w:w="880" w:type="dxa"/>
            <w:vAlign w:val="bottom"/>
            <w:tcBorders>
              <w:bottom w:val="single" w:sz="8" w:color="auto"/>
            </w:tcBorders>
          </w:tcPr>
          <w:p>
            <w:pPr>
              <w:spacing w:after="0"/>
              <w:rPr>
                <w:sz w:val="17"/>
                <w:szCs w:val="17"/>
                <w:color w:val="auto"/>
              </w:rPr>
            </w:pPr>
          </w:p>
        </w:tc>
      </w:tr>
      <w:tr>
        <w:trPr>
          <w:trHeight w:val="199"/>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17"/>
                <w:szCs w:val="17"/>
                <w:color w:val="auto"/>
              </w:rPr>
            </w:pPr>
          </w:p>
        </w:tc>
        <w:tc>
          <w:tcPr>
            <w:tcW w:w="980" w:type="dxa"/>
            <w:vAlign w:val="bottom"/>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380" w:type="dxa"/>
            <w:vAlign w:val="bottom"/>
          </w:tcPr>
          <w:p>
            <w:pPr>
              <w:spacing w:after="0"/>
              <w:rPr>
                <w:sz w:val="17"/>
                <w:szCs w:val="17"/>
                <w:color w:val="auto"/>
              </w:rPr>
            </w:pPr>
          </w:p>
        </w:tc>
        <w:tc>
          <w:tcPr>
            <w:tcW w:w="880" w:type="dxa"/>
            <w:vAlign w:val="bottom"/>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Combined Marriott</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43"/>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and Welk</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35"/>
        </w:trPr>
        <w:tc>
          <w:tcPr>
            <w:tcW w:w="15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77"/>
        </w:trPr>
        <w:tc>
          <w:tcPr>
            <w:tcW w:w="1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17"/>
          </w:tcPr>
          <w:p>
            <w:pPr>
              <w:ind w:left="720"/>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as of December 31, 2022</w:t>
            </w:r>
          </w:p>
        </w:tc>
        <w:tc>
          <w:tcPr>
            <w:tcW w:w="880" w:type="dxa"/>
            <w:vAlign w:val="bottom"/>
            <w:tcBorders>
              <w:bottom w:val="single" w:sz="8" w:color="auto"/>
            </w:tcBorders>
          </w:tcPr>
          <w:p>
            <w:pPr>
              <w:spacing w:after="0"/>
              <w:rPr>
                <w:sz w:val="24"/>
                <w:szCs w:val="24"/>
                <w:color w:val="auto"/>
              </w:rPr>
            </w:pPr>
          </w:p>
        </w:tc>
      </w:tr>
      <w:tr>
        <w:trPr>
          <w:trHeight w:val="199"/>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Combined Marriott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43"/>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and Welk</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35"/>
        </w:trPr>
        <w:tc>
          <w:tcPr>
            <w:tcW w:w="15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000"/>
          </w:cols>
          <w:pgMar w:left="320" w:top="1299" w:right="579" w:bottom="1440" w:gutter="0" w:footer="0" w:header="0"/>
        </w:sectPr>
      </w:pPr>
    </w:p>
    <w:bookmarkStart w:id="107" w:name="page108"/>
    <w:bookmarkEnd w:id="107"/>
    <w:p>
      <w:pPr>
        <w:ind w:right="400"/>
        <w:spacing w:after="0" w:line="283" w:lineRule="auto"/>
        <w:rPr>
          <w:sz w:val="20"/>
          <w:szCs w:val="20"/>
          <w:color w:val="auto"/>
        </w:rPr>
      </w:pPr>
      <w:r>
        <w:rPr>
          <w:rFonts w:ascii="Times New Roman" w:cs="Times New Roman" w:eastAsia="Times New Roman" w:hAnsi="Times New Roman"/>
          <w:sz w:val="17"/>
          <w:szCs w:val="17"/>
          <w:color w:val="auto"/>
        </w:rPr>
        <w:t>The following tables detail the origination year of our acquired vacation ownership notes receivable, before reserves, by brand and borrower FICO score at origination as of December 31, 2023, and gross write-offs by brand for the year ended December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gridSpan w:val="10"/>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 Combined Marriott</w:t>
            </w:r>
          </w:p>
        </w:tc>
      </w:tr>
      <w:tr>
        <w:trPr>
          <w:trHeight w:val="199"/>
        </w:trPr>
        <w:tc>
          <w:tcPr>
            <w:tcW w:w="2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2019 &amp; Prior</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4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600</w:t>
            </w:r>
          </w:p>
        </w:tc>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- 699</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 600</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 Score</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5"/>
        </w:trPr>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27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521"/>
        </w:trPr>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0"/>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 Hyatt &amp; Welk</w:t>
            </w:r>
          </w:p>
        </w:tc>
      </w:tr>
      <w:tr>
        <w:trPr>
          <w:trHeight w:val="19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Pr>
          <w:p>
            <w:pPr>
              <w:spacing w:after="0"/>
              <w:rPr>
                <w:sz w:val="17"/>
                <w:szCs w:val="17"/>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2019 &amp; Prior</w:t>
            </w:r>
          </w:p>
        </w:tc>
        <w:tc>
          <w:tcPr>
            <w:tcW w:w="280" w:type="dxa"/>
            <w:vAlign w:val="bottom"/>
          </w:tcPr>
          <w:p>
            <w:pPr>
              <w:spacing w:after="0"/>
              <w:rPr>
                <w:sz w:val="17"/>
                <w:szCs w:val="17"/>
                <w:color w:val="auto"/>
              </w:rPr>
            </w:pP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w:t>
            </w:r>
          </w:p>
        </w:tc>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4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600</w:t>
            </w:r>
          </w:p>
        </w:tc>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- 699</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 600</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 Score</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
        </w:trPr>
        <w:tc>
          <w:tcPr>
            <w:tcW w:w="27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Originated Vacation Ownership Notes Receivable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December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7"/>
          </w:tcPr>
          <w:p>
            <w:pPr>
              <w:jc w:val="center"/>
              <w:ind w:right="76"/>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40" w:type="dxa"/>
            <w:vAlign w:val="bottom"/>
          </w:tcPr>
          <w:p>
            <w:pPr>
              <w:spacing w:after="0"/>
              <w:rPr>
                <w:sz w:val="17"/>
                <w:szCs w:val="17"/>
                <w:color w:val="auto"/>
              </w:rPr>
            </w:pPr>
          </w:p>
        </w:tc>
        <w:tc>
          <w:tcPr>
            <w:tcW w:w="1260" w:type="dxa"/>
            <w:vAlign w:val="bottom"/>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0" w:type="dxa"/>
            <w:vAlign w:val="bottom"/>
          </w:tcPr>
          <w:p>
            <w:pPr>
              <w:spacing w:after="0"/>
              <w:rPr>
                <w:sz w:val="1"/>
                <w:szCs w:val="1"/>
                <w:color w:val="auto"/>
              </w:rPr>
            </w:pPr>
          </w:p>
        </w:tc>
      </w:tr>
      <w:tr>
        <w:trPr>
          <w:trHeight w:val="23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6"/>
              <w:spacing w:after="0" w:line="189" w:lineRule="exact"/>
              <w:rPr>
                <w:sz w:val="20"/>
                <w:szCs w:val="20"/>
                <w:color w:val="auto"/>
              </w:rPr>
            </w:pPr>
            <w:r>
              <w:rPr>
                <w:rFonts w:ascii="Times New Roman" w:cs="Times New Roman" w:eastAsia="Times New Roman" w:hAnsi="Times New Roman"/>
                <w:sz w:val="17"/>
                <w:szCs w:val="17"/>
                <w:color w:val="auto"/>
              </w:rPr>
              <w:t>12.0%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6"/>
              <w:spacing w:after="0" w:line="189" w:lineRule="exact"/>
              <w:rPr>
                <w:sz w:val="20"/>
                <w:szCs w:val="20"/>
                <w:color w:val="auto"/>
              </w:rPr>
            </w:pPr>
            <w:r>
              <w:rPr>
                <w:rFonts w:ascii="Times New Roman" w:cs="Times New Roman" w:eastAsia="Times New Roman" w:hAnsi="Times New Roman"/>
                <w:sz w:val="17"/>
                <w:szCs w:val="17"/>
                <w:color w:val="auto"/>
              </w:rPr>
              <w:t>13.3%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6"/>
              <w:spacing w:after="0" w:line="189" w:lineRule="exact"/>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rPr>
              <w:t>0.0% to 20.9%</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rPr>
              <w:t>0.0% to 20.9%</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7"/>
                <w:szCs w:val="17"/>
                <w:color w:val="auto"/>
                <w:w w:val="98"/>
              </w:rPr>
              <w:t>0.0% to 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960"/>
          </w:cols>
          <w:pgMar w:left="320" w:top="1401" w:right="619" w:bottom="1440" w:gutter="0" w:footer="0" w:header="0"/>
        </w:sectPr>
      </w:pPr>
    </w:p>
    <w:bookmarkStart w:id="108" w:name="page109"/>
    <w:bookmarkEnd w:id="108"/>
    <w:p>
      <w:pPr>
        <w:spacing w:after="0" w:line="266" w:lineRule="auto"/>
        <w:rPr>
          <w:sz w:val="20"/>
          <w:szCs w:val="20"/>
          <w:color w:val="auto"/>
        </w:rPr>
      </w:pPr>
      <w:r>
        <w:rPr>
          <w:rFonts w:ascii="Times New Roman" w:cs="Times New Roman" w:eastAsia="Times New Roman" w:hAnsi="Times New Roman"/>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7"/>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Reserve</w:t>
            </w:r>
          </w:p>
        </w:tc>
      </w:tr>
      <w:tr>
        <w:trPr>
          <w:trHeight w:val="19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320" w:type="dxa"/>
            <w:vAlign w:val="bottom"/>
          </w:tcPr>
          <w:p>
            <w:pPr>
              <w:spacing w:after="0"/>
              <w:rPr>
                <w:sz w:val="17"/>
                <w:szCs w:val="17"/>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175"/>
        </w:trPr>
        <w:tc>
          <w:tcPr>
            <w:tcW w:w="38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reserve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4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Securitizations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Clean-up call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175"/>
        </w:trPr>
        <w:tc>
          <w:tcPr>
            <w:tcW w:w="38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175"/>
        </w:trPr>
        <w:tc>
          <w:tcPr>
            <w:tcW w:w="38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reserve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4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Securitizations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Clean-up call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175"/>
        </w:trPr>
        <w:tc>
          <w:tcPr>
            <w:tcW w:w="38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175"/>
        </w:trPr>
        <w:tc>
          <w:tcPr>
            <w:tcW w:w="38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reserve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4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Securitizations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Clean-up call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175"/>
        </w:trPr>
        <w:tc>
          <w:tcPr>
            <w:tcW w:w="38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8"/>
                <w:szCs w:val="8"/>
                <w:color w:val="auto"/>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right="120" w:hanging="298"/>
        <w:spacing w:after="0" w:line="228" w:lineRule="auto"/>
        <w:tabs>
          <w:tab w:leader="none" w:pos="288"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originated vacation ownership notes receivable, before reserves, by brand and borrower FICO score.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0" w:type="dxa"/>
            <w:vAlign w:val="bottom"/>
            <w:tcBorders>
              <w:bottom w:val="single" w:sz="8" w:color="auto"/>
            </w:tcBorders>
            <w:gridSpan w:val="13"/>
          </w:tcPr>
          <w:p>
            <w:pPr>
              <w:jc w:val="center"/>
              <w:ind w:right="157"/>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December 31, 2023</w:t>
            </w:r>
          </w:p>
        </w:tc>
      </w:tr>
      <w:tr>
        <w:trPr>
          <w:trHeight w:val="19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880" w:type="dxa"/>
            <w:vAlign w:val="bottom"/>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60" w:type="dxa"/>
            <w:vAlign w:val="bottom"/>
          </w:tcPr>
          <w:p>
            <w:pPr>
              <w:spacing w:after="0"/>
              <w:rPr>
                <w:sz w:val="17"/>
                <w:szCs w:val="17"/>
                <w:color w:val="auto"/>
              </w:rPr>
            </w:pP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Combined Marriott</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r>
      <w:tr>
        <w:trPr>
          <w:trHeight w:val="243"/>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and Welk</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35"/>
        </w:trPr>
        <w:tc>
          <w:tcPr>
            <w:tcW w:w="2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0"/>
        </w:trPr>
        <w:tc>
          <w:tcPr>
            <w:tcW w:w="2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13"/>
          </w:tcPr>
          <w:p>
            <w:pPr>
              <w:jc w:val="center"/>
              <w:ind w:right="157"/>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December 31, 2022</w:t>
            </w:r>
          </w:p>
        </w:tc>
      </w:tr>
      <w:tr>
        <w:trPr>
          <w:trHeight w:val="19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880" w:type="dxa"/>
            <w:vAlign w:val="bottom"/>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700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60" w:type="dxa"/>
            <w:vAlign w:val="bottom"/>
          </w:tcPr>
          <w:p>
            <w:pPr>
              <w:spacing w:after="0"/>
              <w:rPr>
                <w:sz w:val="17"/>
                <w:szCs w:val="17"/>
                <w:color w:val="auto"/>
              </w:rPr>
            </w:pP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Combined Marriott</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r>
      <w:tr>
        <w:trPr>
          <w:trHeight w:val="243"/>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Hyatt and Welk</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35"/>
        </w:trPr>
        <w:tc>
          <w:tcPr>
            <w:tcW w:w="2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20"/>
          </w:cols>
          <w:pgMar w:left="320" w:top="1311" w:right="459" w:bottom="1440" w:gutter="0" w:footer="0" w:header="0"/>
        </w:sectPr>
      </w:pPr>
    </w:p>
    <w:bookmarkStart w:id="109" w:name="page110"/>
    <w:bookmarkEnd w:id="109"/>
    <w:p>
      <w:pPr>
        <w:ind w:right="420"/>
        <w:spacing w:after="0" w:line="283" w:lineRule="auto"/>
        <w:rPr>
          <w:sz w:val="20"/>
          <w:szCs w:val="20"/>
          <w:color w:val="auto"/>
        </w:rPr>
      </w:pPr>
      <w:r>
        <w:rPr>
          <w:rFonts w:ascii="Times New Roman" w:cs="Times New Roman" w:eastAsia="Times New Roman" w:hAnsi="Times New Roman"/>
          <w:sz w:val="17"/>
          <w:szCs w:val="17"/>
          <w:color w:val="auto"/>
        </w:rPr>
        <w:t>The following tables detail the origination year of our originated vacation ownership notes receivable, before reserves, by brand and borrower FICO score at origination as of December 31, 2023, and gross write-offs by brand for the year ended December 31, 2023.</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Combined Marriott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2019 &amp; Prior</w:t>
            </w:r>
          </w:p>
        </w:tc>
        <w:tc>
          <w:tcPr>
            <w:tcW w:w="240" w:type="dxa"/>
            <w:vAlign w:val="bottom"/>
          </w:tcPr>
          <w:p>
            <w:pPr>
              <w:spacing w:after="0"/>
              <w:rPr>
                <w:sz w:val="17"/>
                <w:szCs w:val="17"/>
                <w:color w:val="auto"/>
              </w:rPr>
            </w:pPr>
          </w:p>
        </w:tc>
        <w:tc>
          <w:tcPr>
            <w:tcW w:w="86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w:t>
            </w:r>
          </w:p>
        </w:tc>
        <w:tc>
          <w:tcPr>
            <w:tcW w:w="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r>
      <w:tr>
        <w:trPr>
          <w:trHeight w:val="24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600</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- 699</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w:t>
            </w:r>
          </w:p>
        </w:tc>
      </w:tr>
      <w:tr>
        <w:trPr>
          <w:trHeight w:val="243"/>
        </w:trPr>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 600</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43"/>
        </w:trPr>
        <w:tc>
          <w:tcPr>
            <w:tcW w:w="1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 Score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r>
      <w:tr>
        <w:trPr>
          <w:trHeight w:val="235"/>
        </w:trPr>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r>
      <w:tr>
        <w:trPr>
          <w:trHeight w:val="20"/>
        </w:trPr>
        <w:tc>
          <w:tcPr>
            <w:tcW w:w="1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43"/>
        </w:trPr>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419"/>
        </w:trPr>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5"/>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Hyatt and Welk</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99"/>
        </w:trPr>
        <w:tc>
          <w:tcPr>
            <w:tcW w:w="1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2019 &amp; Prior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4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600</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- 699</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3"/>
        </w:trPr>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&lt; 600</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 Score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5"/>
        </w:trPr>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0"/>
        </w:trPr>
        <w:tc>
          <w:tcPr>
            <w:tcW w:w="1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150"/>
        </w:trPr>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43"/>
        </w:trPr>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write-offs</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on Non-Accrual Status</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For both non-securitized and securitized vacation ownership notes receivable, we estimated the average remaining default rate of 13.00% as of December 31, 2023 and 11.62% as of December 31, 2022. A 0.5 percentage point increase in the estimated default rate would have resulted in an increase in the related vacation ownership notes receivable reserve of $13 million as of December 31, 2023 and $12 million as of December 31, 2022.</w:t>
      </w:r>
    </w:p>
    <w:p>
      <w:pPr>
        <w:spacing w:after="0" w:line="6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following table shows our recorded investment in non-accrual vacation ownership notes receivable, which are vacation ownership notes receivable that are 90 days or more past due.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22225</wp:posOffset>
            </wp:positionV>
            <wp:extent cx="26695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669540" cy="8255"/>
                    </a:xfrm>
                    <a:prstGeom prst="rect">
                      <a:avLst/>
                    </a:prstGeom>
                    <a:noFill/>
                  </pic:spPr>
                </pic:pic>
              </a:graphicData>
            </a:graphic>
          </wp:anchor>
        </w:drawing>
      </w:r>
    </w:p>
    <w:p>
      <w:pPr>
        <w:sectPr>
          <w:pgSz w:w="11900" w:h="16838" w:orient="portrait"/>
          <w:cols w:equalWidth="0" w:num="1">
            <w:col w:w="11100"/>
          </w:cols>
          <w:pgMar w:left="320" w:top="1299" w:right="479" w:bottom="1440" w:gutter="0" w:footer="0" w:header="0"/>
        </w:sectPr>
      </w:pP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Non-Securitized</w:t>
            </w:r>
          </w:p>
        </w:tc>
      </w:tr>
      <w:tr>
        <w:trPr>
          <w:trHeight w:val="178"/>
        </w:trPr>
        <w:tc>
          <w:tcPr>
            <w:tcW w:w="4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Investment in vacation ownership notes receivable on non-</w:t>
            </w: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141</w:t>
            </w: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accrual status at December 31, 2023</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 vacation ownership notes receivable on non-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accrual status at December 31, 2022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-514350</wp:posOffset>
            </wp:positionV>
            <wp:extent cx="5241290" cy="2514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241290" cy="251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90"/>
        </w:trPr>
        <w:tc>
          <w:tcPr>
            <w:tcW w:w="106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4"/>
                <w:szCs w:val="24"/>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396"/>
        </w:trPr>
        <w:tc>
          <w:tcPr>
            <w:tcW w:w="106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4"/>
                <w:szCs w:val="24"/>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bl>
    <w:p>
      <w:pPr>
        <w:spacing w:after="0" w:line="307" w:lineRule="exact"/>
        <w:rPr>
          <w:sz w:val="20"/>
          <w:szCs w:val="20"/>
          <w:color w:val="auto"/>
        </w:rPr>
      </w:pPr>
    </w:p>
    <w:p>
      <w:pPr>
        <w:sectPr>
          <w:pgSz w:w="11900" w:h="16838" w:orient="portrait"/>
          <w:cols w:equalWidth="0" w:num="2">
            <w:col w:w="5380" w:space="120"/>
            <w:col w:w="5600"/>
          </w:cols>
          <w:pgMar w:left="320" w:top="1299" w:right="479" w:bottom="1440" w:gutter="0" w:footer="0" w:header="0"/>
          <w:type w:val="continuous"/>
        </w:sectPr>
      </w:pPr>
    </w:p>
    <w:p>
      <w:pPr>
        <w:spacing w:after="0" w:line="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The following table shows the aging of the recorded investment in principal, before reserves, in vacation ownership notes receivable as of December 31, 2023 and December 31, 2022.</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8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900" w:type="dxa"/>
            <w:vAlign w:val="bottom"/>
          </w:tcPr>
          <w:p>
            <w:pPr>
              <w:jc w:val="center"/>
              <w:ind w:left="23"/>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146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920" w:type="dxa"/>
            <w:vAlign w:val="bottom"/>
          </w:tcPr>
          <w:p>
            <w:pPr>
              <w:jc w:val="center"/>
              <w:ind w:left="23"/>
              <w:spacing w:after="0" w:line="149" w:lineRule="exact"/>
              <w:rPr>
                <w:sz w:val="20"/>
                <w:szCs w:val="20"/>
                <w:color w:val="auto"/>
              </w:rPr>
            </w:pPr>
            <w:r>
              <w:rPr>
                <w:rFonts w:ascii="Times New Roman" w:cs="Times New Roman" w:eastAsia="Times New Roman" w:hAnsi="Times New Roman"/>
                <w:sz w:val="15"/>
                <w:szCs w:val="15"/>
                <w:b w:val="1"/>
                <w:bCs w:val="1"/>
                <w:color w:val="auto"/>
              </w:rPr>
              <w:t>Non-</w:t>
            </w:r>
          </w:p>
        </w:tc>
        <w:tc>
          <w:tcPr>
            <w:tcW w:w="1440" w:type="dxa"/>
            <w:vAlign w:val="bottom"/>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46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20" w:type="dxa"/>
            <w:vAlign w:val="bottom"/>
          </w:tcPr>
          <w:p>
            <w:pPr>
              <w:jc w:val="center"/>
              <w:ind w:left="23"/>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4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00"/>
          </w:cols>
          <w:pgMar w:left="320" w:top="1299" w:right="479" w:bottom="1440" w:gutter="0" w:footer="0" w:header="0"/>
          <w:type w:val="continuous"/>
        </w:sectPr>
      </w:pPr>
    </w:p>
    <w:tbl>
      <w:tblPr>
        <w:tblLayout w:type="fixed"/>
        <w:tblInd w:w="20" w:type="dxa"/>
        <w:tblCellMar>
          <w:top w:w="0" w:type="dxa"/>
          <w:left w:w="0" w:type="dxa"/>
          <w:bottom w:w="0" w:type="dxa"/>
          <w:right w:w="0" w:type="dxa"/>
        </w:tblCellMar>
      </w:tblPr>
      <w:tr>
        <w:trPr>
          <w:trHeight w:val="241"/>
        </w:trPr>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31</w:t>
            </w:r>
          </w:p>
        </w:tc>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90 days past due</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91</w:t>
            </w:r>
          </w:p>
        </w:tc>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120 days past due</w:t>
            </w:r>
          </w:p>
        </w:tc>
        <w:tc>
          <w:tcPr>
            <w:tcW w:w="260" w:type="dxa"/>
            <w:vAlign w:val="bottom"/>
          </w:tcPr>
          <w:p>
            <w:pPr>
              <w:spacing w:after="0"/>
              <w:rPr>
                <w:sz w:val="19"/>
                <w:szCs w:val="19"/>
                <w:color w:val="auto"/>
              </w:rPr>
            </w:pPr>
          </w:p>
        </w:tc>
      </w:tr>
    </w:tbl>
    <w:p>
      <w:pPr>
        <w:spacing w:after="0" w:line="21" w:lineRule="exact"/>
        <w:rPr>
          <w:sz w:val="20"/>
          <w:szCs w:val="20"/>
          <w:color w:val="auto"/>
        </w:rPr>
      </w:pPr>
    </w:p>
    <w:p>
      <w:pPr>
        <w:ind w:left="20" w:right="160"/>
        <w:spacing w:after="0" w:line="238" w:lineRule="auto"/>
        <w:rPr>
          <w:sz w:val="20"/>
          <w:szCs w:val="20"/>
          <w:color w:val="auto"/>
        </w:rPr>
      </w:pPr>
      <w:r>
        <w:rPr>
          <w:rFonts w:ascii="Times New Roman" w:cs="Times New Roman" w:eastAsia="Times New Roman" w:hAnsi="Times New Roman"/>
          <w:sz w:val="17"/>
          <w:szCs w:val="17"/>
          <w:color w:val="auto"/>
        </w:rPr>
        <w:t>Greater than 120 days past due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w:t>
            </w:r>
          </w:p>
        </w:tc>
        <w:tc>
          <w:tcPr>
            <w:tcW w:w="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103</w:t>
            </w:r>
          </w:p>
        </w:tc>
        <w:tc>
          <w:tcPr>
            <w:tcW w:w="5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w:t>
            </w:r>
          </w:p>
        </w:tc>
        <w:tc>
          <w:tcPr>
            <w:tcW w:w="5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43"/>
        </w:trPr>
        <w:tc>
          <w:tcPr>
            <w:tcW w:w="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c>
          <w:tcPr>
            <w:tcW w:w="520" w:type="dxa"/>
            <w:vAlign w:val="bottom"/>
          </w:tcPr>
          <w:p>
            <w:pPr>
              <w:spacing w:after="0"/>
              <w:rPr>
                <w:sz w:val="21"/>
                <w:szCs w:val="21"/>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400" w:type="dxa"/>
            <w:vAlign w:val="bottom"/>
          </w:tcPr>
          <w:p>
            <w:pPr>
              <w:spacing w:after="0"/>
              <w:rPr>
                <w:sz w:val="21"/>
                <w:szCs w:val="21"/>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w:t>
            </w:r>
          </w:p>
        </w:tc>
        <w:tc>
          <w:tcPr>
            <w:tcW w:w="500" w:type="dxa"/>
            <w:vAlign w:val="bottom"/>
          </w:tcPr>
          <w:p>
            <w:pPr>
              <w:spacing w:after="0"/>
              <w:rPr>
                <w:sz w:val="21"/>
                <w:szCs w:val="21"/>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c>
          <w:tcPr>
            <w:tcW w:w="540" w:type="dxa"/>
            <w:vAlign w:val="bottom"/>
          </w:tcPr>
          <w:p>
            <w:pPr>
              <w:spacing w:after="0"/>
              <w:rPr>
                <w:sz w:val="21"/>
                <w:szCs w:val="21"/>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4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395"/>
        </w:trPr>
        <w:tc>
          <w:tcPr>
            <w:tcW w:w="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134</w:t>
            </w:r>
          </w:p>
        </w:tc>
        <w:tc>
          <w:tcPr>
            <w:tcW w:w="52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400" w:type="dxa"/>
            <w:vAlign w:val="bottom"/>
          </w:tcPr>
          <w:p>
            <w:pPr>
              <w:spacing w:after="0"/>
              <w:rPr>
                <w:sz w:val="24"/>
                <w:szCs w:val="24"/>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c>
          <w:tcPr>
            <w:tcW w:w="500" w:type="dxa"/>
            <w:vAlign w:val="bottom"/>
          </w:tcPr>
          <w:p>
            <w:pPr>
              <w:spacing w:after="0"/>
              <w:rPr>
                <w:sz w:val="24"/>
                <w:szCs w:val="24"/>
                <w:color w:val="auto"/>
              </w:rPr>
            </w:pP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119</w:t>
            </w:r>
          </w:p>
        </w:tc>
        <w:tc>
          <w:tcPr>
            <w:tcW w:w="540" w:type="dxa"/>
            <w:vAlign w:val="bottom"/>
          </w:tcPr>
          <w:p>
            <w:pPr>
              <w:spacing w:after="0"/>
              <w:rPr>
                <w:sz w:val="24"/>
                <w:szCs w:val="24"/>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w:t>
            </w: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-250825</wp:posOffset>
            </wp:positionV>
            <wp:extent cx="5257165" cy="2514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257165" cy="251460"/>
                    </a:xfrm>
                    <a:prstGeom prst="rect">
                      <a:avLst/>
                    </a:prstGeom>
                    <a:noFill/>
                  </pic:spPr>
                </pic:pic>
              </a:graphicData>
            </a:graphic>
          </wp:anchor>
        </w:drawing>
        <w:drawing>
          <wp:anchor simplePos="0" relativeHeight="251657728" behindDoc="1" locked="0" layoutInCell="0" allowOverlap="1">
            <wp:simplePos x="0" y="0"/>
            <wp:positionH relativeFrom="column">
              <wp:posOffset>-1636395</wp:posOffset>
            </wp:positionH>
            <wp:positionV relativeFrom="paragraph">
              <wp:posOffset>-559435</wp:posOffset>
            </wp:positionV>
            <wp:extent cx="525716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257165"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00" w:space="580"/>
            <w:col w:w="8520"/>
          </w:cols>
          <w:pgMar w:left="320" w:top="1299" w:right="4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past due</w:t>
            </w: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2,358</w:t>
            </w:r>
          </w:p>
        </w:tc>
        <w:tc>
          <w:tcPr>
            <w:tcW w:w="0" w:type="dxa"/>
            <w:vAlign w:val="bottom"/>
          </w:tcPr>
          <w:p>
            <w:pPr>
              <w:spacing w:after="0"/>
              <w:rPr>
                <w:sz w:val="1"/>
                <w:szCs w:val="1"/>
                <w:color w:val="auto"/>
              </w:rPr>
            </w:pPr>
          </w:p>
        </w:tc>
      </w:tr>
      <w:tr>
        <w:trPr>
          <w:trHeight w:val="146"/>
        </w:trPr>
        <w:tc>
          <w:tcPr>
            <w:tcW w:w="1900" w:type="dxa"/>
            <w:vAlign w:val="bottom"/>
          </w:tcPr>
          <w:p>
            <w:pPr>
              <w:ind w:left="220"/>
              <w:spacing w:after="0" w:line="146" w:lineRule="exact"/>
              <w:rPr>
                <w:sz w:val="20"/>
                <w:szCs w:val="20"/>
                <w:color w:val="auto"/>
              </w:rPr>
            </w:pPr>
            <w:r>
              <w:rPr>
                <w:rFonts w:ascii="Times New Roman" w:cs="Times New Roman" w:eastAsia="Times New Roman" w:hAnsi="Times New Roman"/>
                <w:sz w:val="16"/>
                <w:szCs w:val="16"/>
                <w:color w:val="auto"/>
              </w:rPr>
              <w:t>Total vacation</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ownership notes</w:t>
            </w:r>
          </w:p>
        </w:tc>
        <w:tc>
          <w:tcPr>
            <w:tcW w:w="38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20" w:type="dxa"/>
            <w:vAlign w:val="bottom"/>
          </w:tcPr>
          <w:p>
            <w:pPr>
              <w:spacing w:after="0"/>
              <w:rPr>
                <w:sz w:val="15"/>
                <w:szCs w:val="15"/>
                <w:color w:val="auto"/>
              </w:rPr>
            </w:pPr>
          </w:p>
        </w:tc>
        <w:tc>
          <w:tcPr>
            <w:tcW w:w="3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2,181</w:t>
            </w:r>
          </w:p>
        </w:tc>
        <w:tc>
          <w:tcPr>
            <w:tcW w:w="100" w:type="dxa"/>
            <w:vAlign w:val="bottom"/>
          </w:tcPr>
          <w:p>
            <w:pPr>
              <w:spacing w:after="0"/>
              <w:rPr>
                <w:sz w:val="15"/>
                <w:szCs w:val="15"/>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20" w:type="dxa"/>
            <w:vAlign w:val="bottom"/>
          </w:tcPr>
          <w:p>
            <w:pPr>
              <w:spacing w:after="0"/>
              <w:rPr>
                <w:sz w:val="15"/>
                <w:szCs w:val="15"/>
                <w:color w:val="auto"/>
              </w:rPr>
            </w:pPr>
          </w:p>
        </w:tc>
        <w:tc>
          <w:tcPr>
            <w:tcW w:w="40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tcPr>
          <w:p>
            <w:pPr>
              <w:spacing w:after="0"/>
              <w:rPr>
                <w:sz w:val="15"/>
                <w:szCs w:val="15"/>
                <w:color w:val="auto"/>
              </w:rPr>
            </w:pPr>
          </w:p>
        </w:tc>
        <w:tc>
          <w:tcPr>
            <w:tcW w:w="3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5"/>
                <w:szCs w:val="15"/>
                <w:color w:val="auto"/>
              </w:rPr>
            </w:pP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0" w:type="dxa"/>
            <w:vAlign w:val="bottom"/>
          </w:tcPr>
          <w:p>
            <w:pPr>
              <w:spacing w:after="0"/>
              <w:rPr>
                <w:sz w:val="1"/>
                <w:szCs w:val="1"/>
                <w:color w:val="auto"/>
              </w:rPr>
            </w:pPr>
          </w:p>
        </w:tc>
      </w:tr>
      <w:tr>
        <w:trPr>
          <w:trHeight w:val="200"/>
        </w:trPr>
        <w:tc>
          <w:tcPr>
            <w:tcW w:w="1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receivable</w:t>
            </w:r>
          </w:p>
        </w:tc>
        <w:tc>
          <w:tcPr>
            <w:tcW w:w="3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129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00"/>
          </w:cols>
          <w:pgMar w:left="320" w:top="1299" w:right="47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color w:val="auto"/>
        </w:rPr>
        <w:t>7. FINANCIAL INSTRUMENTS</w:t>
      </w:r>
    </w:p>
    <w:p>
      <w:pPr>
        <w:spacing w:after="0" w:line="1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8"/>
          </w:tcPr>
          <w:p>
            <w:pPr>
              <w:ind w:left="240"/>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6"/>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At December 31, 2022</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160"/>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36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76"/>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23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20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Contracts receivable for financed VOI sales, net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0"/>
        </w:trPr>
        <w:tc>
          <w:tcPr>
            <w:tcW w:w="3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financial assets</w:t>
            </w:r>
          </w:p>
        </w:tc>
        <w:tc>
          <w:tcPr>
            <w:tcW w:w="2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Corporate Credit Facility, net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Notes, net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 Notes, net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 Notes, net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 Convertible notes, net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 Convertible notes, net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Non-interest bearing note payable, net</w:t>
            </w: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5"/>
        </w:trPr>
        <w:tc>
          <w:tcPr>
            <w:tcW w:w="3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200" w:type="dxa"/>
            <w:vAlign w:val="bottom"/>
            <w:tcBorders>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(4,956)</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(4,749)</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gridSpan w:val="8"/>
          </w:tcPr>
          <w:p>
            <w:pPr>
              <w:ind w:left="280"/>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6"/>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At December 31, 2022</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10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00"/>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80"/>
              <w:spacing w:after="0" w:line="149"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36"/>
              <w:spacing w:after="0" w:line="149"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20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36"/>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23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Securitized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Eligible for securitization</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Not eligible for securitization</w:t>
            </w: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36"/>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Non-securitized</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35"/>
        </w:trPr>
        <w:tc>
          <w:tcPr>
            <w:tcW w:w="35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7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111" w:name="page112"/>
    <w:bookmarkEnd w:id="111"/>
    <w:p>
      <w:pPr>
        <w:ind w:right="60"/>
        <w:spacing w:after="0" w:line="261" w:lineRule="auto"/>
        <w:rPr>
          <w:sz w:val="20"/>
          <w:szCs w:val="20"/>
          <w:color w:val="auto"/>
        </w:rPr>
      </w:pPr>
      <w:r>
        <w:rPr>
          <w:rFonts w:ascii="Times New Roman" w:cs="Times New Roman" w:eastAsia="Times New Roman" w:hAnsi="Times New Roman"/>
          <w:sz w:val="17"/>
          <w:szCs w:val="17"/>
          <w:color w:val="auto"/>
        </w:rPr>
        <w:t>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Contracts Receivable for Financed VOI Sales</w:t>
      </w:r>
    </w:p>
    <w:p>
      <w:pPr>
        <w:spacing w:after="0" w:line="1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At the time at which we recognize revenue for Marriott-branded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prepayment rates, and discount rates. We concluded that this fair value measurement should be categorized within Level 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11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Other assets include $99 million of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Securitized Debt</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17"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Term Loan (as defined in Footnote 16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Corporate Credit Facility</w:t>
      </w:r>
    </w:p>
    <w:p>
      <w:pPr>
        <w:spacing w:after="0" w:line="117"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We estimate that the gross carrying value of our Revolving Corporate Credit Facility (as defined in Footnote 16 “Debt”) approximates fair value as the contractual interest rate is variable plus an applicable margin. We concluded that this fair value measurement should be categorized within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2025 Notes, 2028 Notes, and 2029 Notes (each as defined in Footnote 16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Non-Interest Bearing Note Payable</w:t>
      </w:r>
    </w:p>
    <w:p>
      <w:pPr>
        <w:spacing w:after="0" w:line="117"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7"/>
          <w:szCs w:val="17"/>
          <w:color w:val="auto"/>
        </w:rPr>
        <w:t>The carrying value of our non-interest bearing note payable issued in connection with the acquisition of vacation ownership units located in Bali, Indonesia approximates fair value. We concluded that this fair value measurement should be categorized within Level 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EARNINGS PER SHARE</w:t>
      </w:r>
    </w:p>
    <w:p>
      <w:pPr>
        <w:spacing w:after="0" w:line="11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Basic earnings or loss per common share attributable to common stockholders is calculated by dividing net income or loss attributable to common stockholders by the weighted average number of shares of common stock outstanding during the reporting period. Treasury stock is excluded from the weighted average number of shares of common stock outstanding. Diluted earnings or loss per common share attributable to common stockholders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stockholders by application of the treasury stock method using average market prices during the period.</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adopted ASU 2020-06 on January 1, 2022 using the modified retrospective method. ASU 2020-06 is applicable to our convertible notes outstanding as of adoption and requires us to calculate the impact of our convertible notes on diluted earnings per share using the “if-converted” method, regardless of our intent to settle or partially settle the debt in cash. Under the “if-converted” method, shares issuable upon conversion of our convertible notes are assumed to be converted into common stock at the beginning of the period, to the extent dilutive. Earnings per share for 2021 have not been retrospectively restated and continue to be reported under the accounting standards in effect for that period.</w:t>
      </w:r>
    </w:p>
    <w:p>
      <w:pPr>
        <w:spacing w:after="0" w:line="7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the convertible notes are considered to be anti-dilutive and do not impact our calculation of diluted earnings per share attributable to common stockholders for any periods presented herein.</w:t>
      </w:r>
    </w:p>
    <w:p>
      <w:pPr>
        <w:spacing w:after="0" w:line="73"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The table below illustrates the reconciliation of the earnings or loss and number of shares used in our calculation of basic earnings or loss per share attributable to common stockholders.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4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for basic earnings per share</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3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93" w:right="359" w:bottom="1440" w:gutter="0" w:footer="0" w:header="0"/>
        </w:sectPr>
      </w:pPr>
    </w:p>
    <w:bookmarkStart w:id="113" w:name="page114"/>
    <w:bookmarkEnd w:id="113"/>
    <w:p>
      <w:pPr>
        <w:ind w:right="60"/>
        <w:spacing w:after="0" w:line="283" w:lineRule="auto"/>
        <w:rPr>
          <w:sz w:val="20"/>
          <w:szCs w:val="20"/>
          <w:color w:val="auto"/>
        </w:rPr>
      </w:pPr>
      <w:r>
        <w:rPr>
          <w:rFonts w:ascii="Times New Roman" w:cs="Times New Roman" w:eastAsia="Times New Roman" w:hAnsi="Times New Roman"/>
          <w:sz w:val="17"/>
          <w:szCs w:val="17"/>
          <w:color w:val="auto"/>
        </w:rPr>
        <w:t>The table below illustrates the reconciliation of the earnings or loss and number of shares used in our calculation of diluted earnings or loss per share attributable to common stockholders.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2023</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2022</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2021</w:t>
            </w:r>
            <w:r>
              <w:rPr>
                <w:rFonts w:ascii="Times New Roman" w:cs="Times New Roman" w:eastAsia="Times New Roman" w:hAnsi="Times New Roman"/>
                <w:sz w:val="8"/>
                <w:szCs w:val="8"/>
                <w:b w:val="1"/>
                <w:bCs w:val="1"/>
                <w:color w:val="auto"/>
              </w:rPr>
              <w:t>(1)</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166"/>
        </w:trPr>
        <w:tc>
          <w:tcPr>
            <w:tcW w:w="406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Add back of interest expense related to convertible notes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subsequent to the adoption of ASU 2020-06, net of tax</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used to calculate diluted earnings per share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153"/>
        </w:trPr>
        <w:tc>
          <w:tcPr>
            <w:tcW w:w="4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for basic earnings per share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shares outstanding</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Employee SARs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43"/>
        </w:trPr>
        <w:tc>
          <w:tcPr>
            <w:tcW w:w="4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Restricted stock units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43"/>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2022 Convertible Notes ($230 million of principal)</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43"/>
        </w:trPr>
        <w:tc>
          <w:tcPr>
            <w:tcW w:w="4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2026 Convertible Notes ($575 million of principal)</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2027 Convertible Notes ($575 million of principal)</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for diluted earnings per share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w:t>
            </w:r>
          </w:p>
        </w:tc>
      </w:tr>
      <w:tr>
        <w:trPr>
          <w:trHeight w:val="235"/>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hanging="298"/>
        <w:spacing w:after="0" w:line="238" w:lineRule="auto"/>
        <w:tabs>
          <w:tab w:leader="none" w:pos="288"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computations of diluted earnings per share attributable to common stockholders exclude approximately 193,000, 129,000, and 166,000 shares of common stock, the maximum number of shares issuable as of December 31, 2023, December 31, 2022, and December 31, 2021, respectively, upon the vesting of certain performance-based awards, because the performance conditions required to be met for the shares subject to such awards to vest were not achieved by the end of the reporting period.</w:t>
      </w:r>
    </w:p>
    <w:p>
      <w:pPr>
        <w:spacing w:after="0" w:line="8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In accordance with the applicable accounting guidance for calculating earnings per share, for the year ended December 31, 2023, we excluded from our calculation of diluted earnings per share 287,125 shares underlying SARs that may settle in shares of common stock because the exercise prices of such SARs, which ranged from $143.38 to $173.88, were greater than the average market price of our common stock for the applicable period.</w:t>
      </w:r>
    </w:p>
    <w:p>
      <w:pPr>
        <w:spacing w:after="0" w:line="63"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7"/>
          <w:szCs w:val="17"/>
          <w:color w:val="auto"/>
        </w:rPr>
        <w:t>For the year ended December 31, 2022, we excluded from our calculation of diluted earnings per share 199,813 shares underlying SARs that may settle in shares of common stock because the exercise prices of such SARS, which ranged from $159.27 to $173.88, were greater than the average market price of our common stock for the applicable period.</w:t>
      </w:r>
    </w:p>
    <w:p>
      <w:pPr>
        <w:spacing w:after="0" w:line="63"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7"/>
          <w:szCs w:val="17"/>
          <w:color w:val="auto"/>
        </w:rPr>
        <w:t>For the year ended December 31, 2021, we excluded from our calculation of diluted earnings per share 126,804 shares underlying SARs that may settle in shares of common stock because the exercise price of $173.88 of such SARs was greater than the average market price of our common stock for the applicable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INVENTORY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inventory balances: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2023</w:t>
            </w:r>
          </w:p>
        </w:tc>
        <w:tc>
          <w:tcPr>
            <w:tcW w:w="160" w:type="dxa"/>
            <w:vAlign w:val="bottom"/>
          </w:tcPr>
          <w:p>
            <w:pPr>
              <w:spacing w:after="0"/>
              <w:rPr>
                <w:sz w:val="17"/>
                <w:szCs w:val="17"/>
                <w:color w:val="auto"/>
              </w:rPr>
            </w:pPr>
          </w:p>
        </w:tc>
        <w:tc>
          <w:tcPr>
            <w:tcW w:w="1440" w:type="dxa"/>
            <w:vAlign w:val="bottom"/>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At Year-End 2022</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inventory</w:t>
            </w:r>
            <w:r>
              <w:rPr>
                <w:rFonts w:ascii="Times New Roman" w:cs="Times New Roman" w:eastAsia="Times New Roman" w:hAnsi="Times New Roman"/>
                <w:sz w:val="8"/>
                <w:szCs w:val="8"/>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5"/>
        </w:trPr>
        <w:tc>
          <w:tcPr>
            <w:tcW w:w="4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00" w:right="300" w:hanging="298"/>
        <w:spacing w:after="0" w:line="228" w:lineRule="auto"/>
        <w:tabs>
          <w:tab w:leader="none" w:pos="288"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completed inventory that is registered for sale as VOIs and vacation ownership inventory expected to be reacquired pursuant to estimated future defaults on originated vacation ownership notes receivable.</w:t>
      </w:r>
    </w:p>
    <w:p>
      <w:pPr>
        <w:spacing w:after="0" w:line="13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addition to the above, at December 31, 2023 and December 31, 2022, we had $370 million and $428 million, respectively, of completed vacation ownership units which are classified as a component of Property and equipment, net until the time at which they are available and legally registered for sale as vacation ownership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401"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color w:val="auto"/>
        </w:rPr>
        <w:t>10. PROPERTY AND EQUIPMENT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composition of our property and equipment balances: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2023</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2022</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land improvements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other equipment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Information technology</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r>
      <w:tr>
        <w:trPr>
          <w:trHeight w:val="210"/>
        </w:trPr>
        <w:tc>
          <w:tcPr>
            <w:tcW w:w="49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GOODWILL</w:t>
      </w:r>
    </w:p>
    <w:p>
      <w:pPr>
        <w:spacing w:after="0" w:line="115"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17"/>
          <w:szCs w:val="17"/>
          <w:color w:val="auto"/>
        </w:rPr>
        <w:t>The following table details the carrying amount of our goodwill at December 31, 2023 and December 31, 2022, and reflects goodwill attributed to the ILG Acquisition and the Welk Acquisition.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120" w:type="dxa"/>
            <w:vAlign w:val="bottom"/>
          </w:tcPr>
          <w:p>
            <w:pPr>
              <w:spacing w:after="0"/>
              <w:rPr>
                <w:sz w:val="15"/>
                <w:szCs w:val="15"/>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Exchange &amp; Third-</w:t>
            </w:r>
          </w:p>
        </w:tc>
        <w:tc>
          <w:tcPr>
            <w:tcW w:w="140" w:type="dxa"/>
            <w:vAlign w:val="bottom"/>
          </w:tcPr>
          <w:p>
            <w:pPr>
              <w:spacing w:after="0"/>
              <w:rPr>
                <w:sz w:val="15"/>
                <w:szCs w:val="15"/>
                <w:color w:val="auto"/>
              </w:rPr>
            </w:pPr>
          </w:p>
        </w:tc>
        <w:tc>
          <w:tcPr>
            <w:tcW w:w="1440" w:type="dxa"/>
            <w:vAlign w:val="bottom"/>
            <w:vMerge w:val="restart"/>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Total Consolidated</w:t>
            </w:r>
          </w:p>
        </w:tc>
        <w:tc>
          <w:tcPr>
            <w:tcW w:w="0" w:type="dxa"/>
            <w:vAlign w:val="bottom"/>
          </w:tcPr>
          <w:p>
            <w:pPr>
              <w:spacing w:after="0"/>
              <w:rPr>
                <w:sz w:val="1"/>
                <w:szCs w:val="1"/>
                <w:color w:val="auto"/>
              </w:rPr>
            </w:pPr>
          </w:p>
        </w:tc>
      </w:tr>
      <w:tr>
        <w:trPr>
          <w:trHeight w:val="204"/>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Party Management</w:t>
            </w:r>
          </w:p>
        </w:tc>
        <w:tc>
          <w:tcPr>
            <w:tcW w:w="1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w:t>
            </w:r>
          </w:p>
        </w:tc>
        <w:tc>
          <w:tcPr>
            <w:tcW w:w="0" w:type="dxa"/>
            <w:vAlign w:val="bottom"/>
          </w:tcPr>
          <w:p>
            <w:pPr>
              <w:spacing w:after="0"/>
              <w:rPr>
                <w:sz w:val="1"/>
                <w:szCs w:val="1"/>
                <w:color w:val="auto"/>
              </w:rPr>
            </w:pPr>
          </w:p>
        </w:tc>
      </w:tr>
      <w:tr>
        <w:trPr>
          <w:trHeight w:val="256"/>
        </w:trPr>
        <w:tc>
          <w:tcPr>
            <w:tcW w:w="3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Measurement period adjustments</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Disposition of VRI Americas</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6"/>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performed our annual goodwill impairment test as of October 1, 2023 and prepared a quantitative assessment for both the Vacation Ownership and the Exchange</w:t>
      </w:r>
    </w:p>
    <w:p>
      <w:pPr>
        <w:spacing w:after="0" w:line="38" w:lineRule="exact"/>
        <w:rPr>
          <w:sz w:val="20"/>
          <w:szCs w:val="20"/>
          <w:color w:val="auto"/>
        </w:rPr>
      </w:pPr>
    </w:p>
    <w:p>
      <w:pPr>
        <w:ind w:right="620" w:firstLine="2"/>
        <w:spacing w:after="0" w:line="261" w:lineRule="auto"/>
        <w:tabs>
          <w:tab w:leader="none" w:pos="17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Management reporting units. For each reporting unit, the fair value of the reporting unit was in excess of the carrying value and therefore we concluded there was no impairment.</w:t>
      </w:r>
    </w:p>
    <w:p>
      <w:pPr>
        <w:spacing w:after="0" w:line="6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During 2022 we conducted our annual goodwill impairment test, which was a qualitative evaluation, and no impairment charges were recorded. The estimated fair values of all of our reporting units exceeded their carrying values at the date of their most recent estimated fair value determination.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INTANGIBLE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composition of our intangible asset balances: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At Year-End 2023</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2022</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Definite-lived intangible 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43"/>
        </w:trPr>
        <w:tc>
          <w:tcPr>
            <w:tcW w:w="4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Member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r>
      <w:tr>
        <w:trPr>
          <w:trHeight w:val="24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contracts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Trade names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35"/>
        </w:trPr>
        <w:tc>
          <w:tcPr>
            <w:tcW w:w="4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i w:val="1"/>
          <w:iCs w:val="1"/>
          <w:color w:val="auto"/>
        </w:rPr>
        <w:t>Definite-Lived Intangible Assets</w:t>
      </w:r>
    </w:p>
    <w:p>
      <w:pPr>
        <w:spacing w:after="0" w:line="1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Definite-lived intangible assets, all of which were acquired as part of the ILG and Welk Acquisitions, are amortized on a straight-line basis over their estimated useful lives, ranging from 15 to 20 years. We recorded amortization expense of $61 million in the Depreciation and amortization line of our Income Statements for each of the years ended December 31, 2023, 2022, and 2021, and we estimate that our annual amortization expense will continue to be $61 million for each of the next five fiscal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Intangible Assets</w:t>
      </w:r>
    </w:p>
    <w:p>
      <w:pPr>
        <w:spacing w:after="0" w:line="115"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7"/>
          <w:szCs w:val="17"/>
          <w:color w:val="auto"/>
        </w:rPr>
        <w:t>All of our indefinite-lived intangible assets are related to the Exchange &amp; Third-Party Management segment. We performed our annual impairment test of indefinite-lived intangible assets during the fourth quarters of 2023 and 2022, and no impairment charges were recorded in either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CONTINGENCIES AND COMMITMENTS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Commitments and Letters of Credit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we had the following commitments outstanding:</w:t>
      </w:r>
    </w:p>
    <w:p>
      <w:pPr>
        <w:spacing w:after="0" w:line="111" w:lineRule="exact"/>
        <w:rPr>
          <w:sz w:val="20"/>
          <w:szCs w:val="20"/>
          <w:color w:val="auto"/>
        </w:rPr>
      </w:pPr>
    </w:p>
    <w:p>
      <w:pPr>
        <w:ind w:left="300" w:right="20" w:hanging="298"/>
        <w:spacing w:after="0" w:line="267" w:lineRule="auto"/>
        <w:tabs>
          <w:tab w:leader="none" w:pos="2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various contracts for the use of information technology hardware and software that we use in the normal course of business. Our aggregate commitment under these contracts was $110 million, of which we expect $57 million, $27 million, $16 million, $6 million, and $4 million will be paid in 2024, 2025, 2026, 2027, and 2028, respectively.</w:t>
      </w:r>
    </w:p>
    <w:p>
      <w:pPr>
        <w:spacing w:after="0" w:line="63" w:lineRule="exact"/>
        <w:rPr>
          <w:rFonts w:ascii="Times New Roman" w:cs="Times New Roman" w:eastAsia="Times New Roman" w:hAnsi="Times New Roman"/>
          <w:sz w:val="17"/>
          <w:szCs w:val="17"/>
          <w:color w:val="auto"/>
        </w:rPr>
      </w:pPr>
    </w:p>
    <w:p>
      <w:pPr>
        <w:ind w:left="300" w:right="460" w:hanging="298"/>
        <w:spacing w:after="0" w:line="283" w:lineRule="auto"/>
        <w:tabs>
          <w:tab w:leader="none" w:pos="2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to acquire real estate for use in our Vacation Ownership segment via our involvement with a VIE. Refer to Footnote 19 “Variable Interest Entities” for additional information and our activities relating to the VIE involved in this transaction.</w:t>
      </w:r>
    </w:p>
    <w:p>
      <w:pPr>
        <w:spacing w:after="0" w:line="50"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Surety bonds issued as of December 31, 2023 totaled $122 million, the majority of which were requested by federal, state or local governments in connection with our operations.</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As of December 31, 2023, we had $24 million of letters of credit outstanding under our Revolving Corporate Credit Facility (as defined in Footnote 16 “Debt”), of which $23 million were related to and in lieu of reserves required for our most recent outstanding securitization transaction. In addition, as of December 31, 2023, we had $1 million in letters of credit outstanding related to and in lieu of reserves required for several vacation ownership notes receivable securitization transactions outstanding, which were not issued pursuant to, nor do they impact our borrowing capacity under, the Revolving Corporate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Guarantees</w:t>
      </w:r>
    </w:p>
    <w:p>
      <w:pPr>
        <w:spacing w:after="0" w:line="11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of the rental revenue (if any) as our fee or we make up the deficit if the owners have not received their guaranteed amounts. At December 31, 2023, our maximum exposure under fixed dollar guarantees was $5 million, of which $2 million, $1 million, $1 million, $1 million and less than $1 million relate to 2024, 2025, 2026, 2027, and 2028, respectively.</w:t>
      </w:r>
    </w:p>
    <w:p>
      <w:pPr>
        <w:spacing w:after="0" w:line="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December 31, 2023, our expected commitment for 2024 is $11 million, which will ultimately be recorded as a component of rental expense on our income statement.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Contingencies</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4" w:right="379" w:bottom="1440" w:gutter="0" w:footer="0" w:header="0"/>
        </w:sectPr>
      </w:pPr>
    </w:p>
    <w:bookmarkStart w:id="116" w:name="page117"/>
    <w:bookmarkEnd w:id="116"/>
    <w:p>
      <w:pPr>
        <w:ind w:right="40"/>
        <w:spacing w:after="0" w:line="254" w:lineRule="auto"/>
        <w:rPr>
          <w:sz w:val="20"/>
          <w:szCs w:val="20"/>
          <w:color w:val="auto"/>
        </w:rPr>
      </w:pPr>
      <w:r>
        <w:rPr>
          <w:rFonts w:ascii="Times New Roman" w:cs="Times New Roman" w:eastAsia="Times New Roman" w:hAnsi="Times New Roman"/>
          <w:sz w:val="17"/>
          <w:szCs w:val="17"/>
          <w:color w:val="auto"/>
        </w:rPr>
        <w:t>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(such claim, the “Remaining Claim”), with respect to which the plaintiff was granted leave to amend its complaint. The plaintiff filed an amended complaint with respect to the Remaining Claim and appealed the dismissal of the other claims. In June 2023, the appellate court upheld the dismissal of those claims. Plaintiff filed a motion for reconsideration of that appellate ruling, and in October 2023, the appellate court denied that motion. In November 2022, the Court granted our motion to dismiss the amended complaint with respect to the Remaining Claim and again granted plaintiff leave to amend its complaint. The plaintiff filed an amended complaint with respect to the Remaining Claim and again appealed the dismissal of the other claims. In January 2024, the appellate court upheld the dismissal of the other claims. In September 2023, the Court granted our motion to dismiss the amended complaint with respect to the Remaining Claim and denied plaintiff permission to file any additional amended complaints. Plaintiff has appealed that dismissal. We believe we have meritorious defenses to the claims in this matter and intend to vigorously defend against them.</w:t>
      </w:r>
    </w:p>
    <w:p>
      <w:pPr>
        <w:spacing w:after="0" w:line="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have not accrued for the pending matter described above and we cannot estimate a range of the potential liability associated with this pending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carrying values of our leases and the classification on our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Balance Sheet Classification</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2022</w:t>
            </w:r>
          </w:p>
        </w:tc>
      </w:tr>
      <w:tr>
        <w:trPr>
          <w:trHeight w:val="23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Other assets</w:t>
            </w:r>
          </w:p>
        </w:tc>
        <w:tc>
          <w:tcPr>
            <w:tcW w:w="66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56"/>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2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35"/>
        </w:trPr>
        <w:tc>
          <w:tcPr>
            <w:tcW w:w="228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2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Accrued liabilities</w:t>
            </w:r>
          </w:p>
        </w:tc>
        <w:tc>
          <w:tcPr>
            <w:tcW w:w="66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56"/>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Debt, net</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35"/>
        </w:trPr>
        <w:tc>
          <w:tcPr>
            <w:tcW w:w="228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color w:val="auto"/>
        </w:rPr>
        <w:t>The following table presents the lease costs and the classification on our Income Statements for 2023, 2022, and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Income Statement Classification</w:t>
            </w:r>
          </w:p>
        </w:tc>
        <w:tc>
          <w:tcPr>
            <w:tcW w:w="24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161"/>
        </w:trPr>
        <w:tc>
          <w:tcPr>
            <w:tcW w:w="254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226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rPr>
              <w:t>Marketing and sales expense</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75"/>
        </w:trPr>
        <w:tc>
          <w:tcPr>
            <w:tcW w:w="2540" w:type="dxa"/>
            <w:vAlign w:val="bottom"/>
            <w:vMerge w:val="continue"/>
            <w:shd w:val="clear" w:color="auto" w:fill="CCEEFF"/>
          </w:tcPr>
          <w:p>
            <w:pPr>
              <w:spacing w:after="0"/>
              <w:rPr>
                <w:sz w:val="15"/>
                <w:szCs w:val="15"/>
                <w:color w:val="auto"/>
              </w:rPr>
            </w:pPr>
          </w:p>
        </w:tc>
        <w:tc>
          <w:tcPr>
            <w:tcW w:w="23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7"/>
                <w:szCs w:val="17"/>
                <w:color w:val="auto"/>
                <w:w w:val="99"/>
              </w:rPr>
              <w:t>General and administrative</w:t>
            </w: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3"/>
        </w:trPr>
        <w:tc>
          <w:tcPr>
            <w:tcW w:w="2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Financing expense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Marketing and sales expense</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maturity of our operating and finance lease liabilities as of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Finance Leases</w:t>
            </w:r>
            <w:r>
              <w:rPr>
                <w:rFonts w:ascii="Times New Roman" w:cs="Times New Roman" w:eastAsia="Times New Roman" w:hAnsi="Times New Roman"/>
                <w:sz w:val="8"/>
                <w:szCs w:val="8"/>
                <w:b w:val="1"/>
                <w:bCs w:val="1"/>
                <w:color w:val="auto"/>
              </w:rPr>
              <w:t>(1)</w:t>
            </w:r>
          </w:p>
        </w:tc>
        <w:tc>
          <w:tcPr>
            <w:tcW w:w="320" w:type="dxa"/>
            <w:vAlign w:val="bottom"/>
          </w:tcPr>
          <w:p>
            <w:pPr>
              <w:spacing w:after="0"/>
              <w:rPr>
                <w:sz w:val="17"/>
                <w:szCs w:val="17"/>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56"/>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5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56"/>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56"/>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3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56"/>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35"/>
        </w:trPr>
        <w:tc>
          <w:tcPr>
            <w:tcW w:w="3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300" w:hanging="298"/>
        <w:spacing w:after="0"/>
        <w:tabs>
          <w:tab w:leader="none" w:pos="30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new corporate headquarters discussed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Headquarters Finance Lease</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2020, we entered into a finance lease arrangement for our new corporate headquarters in Orlando, Florida. The lease term commenced for accounting purposes during the first quarter of 2023, upon the substantial completion of construction. The lease includes a 26-year lease term consisting of a 16-year initial term plus two five-year renewal options. As of December 31, 2023, the carrying amount of the related finance lease asset was $76 million and the corresponding finance lease liability was $100 million.</w:t>
      </w:r>
    </w:p>
    <w:p>
      <w:pPr>
        <w:spacing w:after="0" w:line="7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Upon our relocation to the new corporate headquarters during the fourth quarter of 2023, we recorded a non-cash impairment charge of $16 million to the right-to-use asset related to the operating leases for our previous corporate headquarters as we do not expect proceeds from subleasing the spaces to exceed our future obligations under the operating leases.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 and Discount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additional information about our lease obligations.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At December 31, 2022</w:t>
            </w:r>
          </w:p>
        </w:tc>
      </w:tr>
      <w:tr>
        <w:trPr>
          <w:trHeight w:val="23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15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r>
      <w:tr>
        <w:trPr>
          <w:trHeight w:val="256"/>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7.6 years</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 years</w:t>
            </w:r>
          </w:p>
        </w:tc>
      </w:tr>
      <w:tr>
        <w:trPr>
          <w:trHeight w:val="25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36.4 years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51.5 years</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w:t>
            </w:r>
          </w:p>
        </w:tc>
      </w:tr>
      <w:tr>
        <w:trPr>
          <w:trHeight w:val="256"/>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for 2023,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49"/>
        </w:trPr>
        <w:tc>
          <w:tcPr>
            <w:tcW w:w="4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Cash paid for amounts included in measurement of lease</w:t>
            </w: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6"/>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2"/>
                <w:szCs w:val="22"/>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2"/>
                <w:szCs w:val="22"/>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56"/>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2"/>
                <w:szCs w:val="22"/>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2"/>
                <w:szCs w:val="22"/>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6"/>
        </w:trPr>
        <w:tc>
          <w:tcPr>
            <w:tcW w:w="45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6"/>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56"/>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2"/>
                <w:szCs w:val="22"/>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2"/>
                <w:szCs w:val="22"/>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SECURITIZED 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securitized debt, net of unamortized debt discount and issuance costs.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At December 31, 2022</w:t>
            </w: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 notes receivable securitizations, gross</w:t>
            </w:r>
            <w:r>
              <w:rPr>
                <w:rFonts w:ascii="Times New Roman" w:cs="Times New Roman" w:eastAsia="Times New Roman" w:hAnsi="Times New Roman"/>
                <w:sz w:val="8"/>
                <w:szCs w:val="8"/>
                <w:color w:val="auto"/>
              </w:rPr>
              <w:t>(1)</w:t>
            </w:r>
          </w:p>
        </w:tc>
        <w:tc>
          <w:tcPr>
            <w:tcW w:w="62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3"/>
        </w:trPr>
        <w:tc>
          <w:tcPr>
            <w:tcW w:w="4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w:t>
            </w:r>
          </w:p>
        </w:tc>
      </w:tr>
      <w:tr>
        <w:trPr>
          <w:trHeight w:val="243"/>
        </w:trPr>
        <w:tc>
          <w:tcPr>
            <w:tcW w:w="4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Facility, gross</w:t>
            </w:r>
            <w:r>
              <w:rPr>
                <w:rFonts w:ascii="Times New Roman" w:cs="Times New Roman" w:eastAsia="Times New Roman" w:hAnsi="Times New Roman"/>
                <w:sz w:val="8"/>
                <w:szCs w:val="8"/>
                <w:color w:val="auto"/>
              </w:rPr>
              <w:t>(2)</w:t>
            </w: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4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43"/>
        </w:trPr>
        <w:tc>
          <w:tcPr>
            <w:tcW w:w="49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35"/>
        </w:trPr>
        <w:tc>
          <w:tcPr>
            <w:tcW w:w="4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300" w:hanging="298"/>
        <w:spacing w:after="0"/>
        <w:tabs>
          <w:tab w:leader="none" w:pos="30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rates as of December 31, 2023 range from 1.5% to 6.6%, with a weighted average interest rate of 4.4%.</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interest rate as of December 31, 2023 was 6.8%.</w:t>
      </w:r>
    </w:p>
    <w:p>
      <w:pPr>
        <w:spacing w:after="0" w:line="18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All of our securitized debt is non-recourse. See Footnote 19 “Variable Interest Entities” for a discussion of the collateral for the non-recourse debt associated with our securitized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anticipated future principal payments for our securitized debt as of December 31,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160" w:type="dxa"/>
            <w:vAlign w:val="bottom"/>
          </w:tcPr>
          <w:p>
            <w:pPr>
              <w:spacing w:after="0"/>
              <w:rPr>
                <w:sz w:val="15"/>
                <w:szCs w:val="15"/>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Warehouse Credit</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restart"/>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line="204" w:lineRule="exact"/>
              <w:rPr>
                <w:sz w:val="20"/>
                <w:szCs w:val="20"/>
                <w:color w:val="auto"/>
              </w:rPr>
            </w:pPr>
            <w:r>
              <w:rPr>
                <w:rFonts w:ascii="Times New Roman" w:cs="Times New Roman" w:eastAsia="Times New Roman" w:hAnsi="Times New Roman"/>
                <w:sz w:val="15"/>
                <w:szCs w:val="15"/>
                <w:b w:val="1"/>
                <w:bCs w:val="1"/>
                <w:color w:val="auto"/>
                <w:w w:val="95"/>
              </w:rPr>
              <w:t>Facility</w:t>
            </w:r>
            <w:r>
              <w:rPr>
                <w:rFonts w:ascii="Times New Roman" w:cs="Times New Roman" w:eastAsia="Times New Roman" w:hAnsi="Times New Roman"/>
                <w:sz w:val="19"/>
                <w:szCs w:val="19"/>
                <w:b w:val="1"/>
                <w:bCs w:val="1"/>
                <w:color w:val="auto"/>
                <w:w w:val="95"/>
                <w:vertAlign w:val="superscript"/>
              </w:rPr>
              <w:t>(1)</w:t>
            </w:r>
          </w:p>
        </w:tc>
        <w:tc>
          <w:tcPr>
            <w:tcW w:w="3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Payments Year</w:t>
            </w: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1"/>
                <w:szCs w:val="21"/>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00" w:hanging="298"/>
        <w:spacing w:after="0"/>
        <w:tabs>
          <w:tab w:leader="none" w:pos="30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future Warehouse Credit Facility renewals.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020"/>
          </w:cols>
          <w:pgMar w:left="320" w:top="1292" w:right="5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Securitizations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2023, and as of December 31, 2023, we had 14 securitized vacation ownership notes receivable pools outstanding, none of which were out of compliance with their respective established parameters.</w:t>
      </w:r>
    </w:p>
    <w:p>
      <w:pPr>
        <w:spacing w:after="0" w:line="73"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During the second quarter of 2023, we securitized a pool of $388 million of vacation ownership notes receivable. In connection with the securitization, $380 million in vacation ownership loan backed notes were issued by MVW 2023-1 LLC (the “2023-1 LLC”) in a private placement. Four classes of vacation ownership loan backed notes were issued by the 2023-1 LLC: $237 million of Class A Notes, $65 million of Class B Notes, $48 million of Class C Notes, and $30 million of Class D Notes. The Class A Notes have an interest rate of 4.93%, the Class B Notes have an interest rate of 5.42%, the Class C Notes have an interest rate of 6.54%, and the Class D Notes have an interest rate of 8.83%. Investors purchased $369 million of the vacation ownership loan backed notes issued by the 2023-1 LLC, composed of the Class A Notes, the Class B Notes, the Class C Notes, and a portion of the Class D Notes, of which we retained $11 million. Proceeds from the transaction, net of fees and a reserve, were used to repay the outstanding obligations on our warehouse credit facility (as defined below) and for other general corporate purposes. The Class D notes that we retained were subsequently sold at par during the second quarter of 2023.</w:t>
      </w:r>
    </w:p>
    <w:p>
      <w:pPr>
        <w:spacing w:after="0" w:line="7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During the fourth quarter of 2023, we securitized a pool of $459 million of vacation ownership notes receivable. In connection with the securitization, $450 million in vacation ownership loan backed notes were issued by MVW 2023-2 LLC (the “2023-2 LLC”) in a private placement. Four classes of vacation ownership loan backed notes were issued by the 2023-2 LLC: $303 million of Class A Notes, $72 million of Class B Notes, $46 million of Class C Notes, and $29 million of Class D Notes. The Class A Notes have an interest rate of 6.18%, the Class B Notes have an interest rate of 6.33%, the Class C Notes have an interest rate of 7.06%, and the Class D Notes have an interest rate of 9.33%, for an overall weighted average interest rate of 6.49%. Proceeds from the transaction, net of fees and a reserve, were used to repay the outstanding obligations on our warehouse credit facility (as defined below) and for other general corporate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Warehouse Credit Facility</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Our warehouse credit facility (the “Warehouse Credit Facility”) allows for the securitization of vacation ownership notes receivable on a revolving non-recourse basis. If not renewed prior to termination, any amounts outstanding under the Warehouse Credit Facility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interest rate applicable to most borrowings under the Warehouse Credit Facility is based on a U.S. Treasury overnight financing rate (Secured Overnight Financing Rate or “SOFR”) plus a 0.10% adjustment (“Adjusted SOFR”). The credit spread for the Warehouse Credit Facility is 135 basis points over Adjusted SOFR. 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typically twice a year.</w:t>
      </w:r>
    </w:p>
    <w:p>
      <w:pPr>
        <w:spacing w:after="0" w:line="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During the second quarter of 2023, we amended certain agreements associated with our Warehouse Credit Facility (the “Warehouse Amendment”). The Warehouse Amendment increased the borrowing capacity of the existing facility from $425 million to $500 million and extended the revolving period from July 28, 2024 to May 31, 2025. The Warehouse Amendment made no other material changes to the Warehouse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95" w:right="359" w:bottom="1440" w:gutter="0" w:footer="0" w:header="0"/>
        </w:sectPr>
      </w:pPr>
    </w:p>
    <w:bookmarkStart w:id="120" w:name="page121"/>
    <w:bookmarkEnd w:id="120"/>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debt balances, net of unamortized debt discount and issuance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20" w:type="dxa"/>
            <w:vAlign w:val="bottom"/>
          </w:tcPr>
          <w:p>
            <w:pPr>
              <w:spacing w:after="0"/>
              <w:rPr>
                <w:sz w:val="17"/>
                <w:szCs w:val="17"/>
                <w:color w:val="auto"/>
              </w:rPr>
            </w:pPr>
          </w:p>
        </w:tc>
        <w:tc>
          <w:tcPr>
            <w:tcW w:w="1600" w:type="dxa"/>
            <w:vAlign w:val="bottom"/>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rPr>
              <w:t>At December 31, 2022</w:t>
            </w: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Credit Facility</w:t>
            </w: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Term Loan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r>
      <w:tr>
        <w:trPr>
          <w:trHeight w:val="243"/>
        </w:trPr>
        <w:tc>
          <w:tcPr>
            <w:tcW w:w="4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Revolving Corporate Credit Facility</w:t>
            </w:r>
            <w:r>
              <w:rPr>
                <w:rFonts w:ascii="Times New Roman" w:cs="Times New Roman" w:eastAsia="Times New Roman" w:hAnsi="Times New Roman"/>
                <w:sz w:val="8"/>
                <w:szCs w:val="8"/>
                <w:color w:val="auto"/>
              </w:rPr>
              <w:t>(1)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issuance costs</w:t>
            </w:r>
            <w:r>
              <w:rPr>
                <w:rFonts w:ascii="Times New Roman" w:cs="Times New Roman" w:eastAsia="Times New Roman" w:hAnsi="Times New Roman"/>
                <w:sz w:val="8"/>
                <w:szCs w:val="8"/>
                <w:color w:val="auto"/>
              </w:rPr>
              <w:t>(2)</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Senior Secured Notes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2025 Notes</w:t>
            </w:r>
          </w:p>
        </w:tc>
        <w:tc>
          <w:tcPr>
            <w:tcW w:w="1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Senior Unsecured Notes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2028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43"/>
        </w:trPr>
        <w:tc>
          <w:tcPr>
            <w:tcW w:w="4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2029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Convertible Notes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2026 Convertible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r>
      <w:tr>
        <w:trPr>
          <w:trHeight w:val="243"/>
        </w:trPr>
        <w:tc>
          <w:tcPr>
            <w:tcW w:w="4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2027 Convertible Notes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43"/>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r>
      <w:tr>
        <w:trPr>
          <w:trHeight w:val="243"/>
        </w:trPr>
        <w:tc>
          <w:tcPr>
            <w:tcW w:w="4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3"/>
        </w:trPr>
        <w:tc>
          <w:tcPr>
            <w:tcW w:w="4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Non-Interest Bearing Note Payable</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4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00" w:hanging="298"/>
        <w:spacing w:after="0"/>
        <w:tabs>
          <w:tab w:leader="none" w:pos="30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interest rate as of December 31, 2023 was 7.46%.</w:t>
      </w:r>
    </w:p>
    <w:p>
      <w:pPr>
        <w:spacing w:after="0" w:line="51" w:lineRule="exact"/>
        <w:rPr>
          <w:rFonts w:ascii="Times New Roman" w:cs="Times New Roman" w:eastAsia="Times New Roman" w:hAnsi="Times New Roman"/>
          <w:sz w:val="22"/>
          <w:szCs w:val="22"/>
          <w:color w:val="auto"/>
          <w:vertAlign w:val="superscript"/>
        </w:rPr>
      </w:pPr>
    </w:p>
    <w:p>
      <w:pPr>
        <w:ind w:left="300" w:hanging="298"/>
        <w:spacing w:after="0" w:line="218" w:lineRule="auto"/>
        <w:tabs>
          <w:tab w:leader="none" w:pos="288"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$5 million of unamortized debt issuance costs as of December 31, 2022. As no cash borrowings were outstanding under the Revolving Corporate Credit Facility at that time, the unamortized debt issuance costs were included in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The following table shows scheduled principal payments for our debt, excluding finance leases, as of December 31,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Payments Year</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9"/>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2028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w w:val="98"/>
              </w:rPr>
              <w:t>Thereafter</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4"/>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166"/>
        </w:trPr>
        <w:tc>
          <w:tcPr>
            <w:tcW w:w="16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Revolving Corporate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Facility</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4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Notes</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 Notes</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166"/>
        </w:trPr>
        <w:tc>
          <w:tcPr>
            <w:tcW w:w="16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2026 Convertible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166"/>
        </w:trPr>
        <w:tc>
          <w:tcPr>
            <w:tcW w:w="164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2027 Convertible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166"/>
        </w:trPr>
        <w:tc>
          <w:tcPr>
            <w:tcW w:w="16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Non-Interest Bearing</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 Payable</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0"/>
        </w:trPr>
        <w:tc>
          <w:tcPr>
            <w:tcW w:w="16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2,893</w:t>
            </w:r>
          </w:p>
        </w:tc>
      </w:tr>
      <w:tr>
        <w:trPr>
          <w:trHeight w:val="20"/>
        </w:trPr>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Credit Facility</w:t>
      </w:r>
    </w:p>
    <w:p>
      <w:pPr>
        <w:spacing w:after="0" w:line="11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$750 million (the “Revolving Corporate Credit Facility”), which includes a letter of credit sub-facility of $75 million, that terminates on March 31, 2027.</w:t>
      </w:r>
    </w:p>
    <w:p>
      <w:pPr>
        <w:spacing w:after="0" w:line="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During the second quarter of 2023, we entered into an amendment to the Corporate Credit Facility (the “Amendment”), which modified the interest rate applicable to borrowings under the Term Loan. Beginning July 31, 2023, the Term Loan references SOFR and is based on “Adjusted Term SOFR,” which is calculated as Term SOFR (as defined in the Amendment), plus a 0.10% adjustment for a one-month interest period, a 0.15% adjustment for a three-month interest period, or a 0.25% adjustment for a six-month interest period, subject to a 0.00% floor.</w:t>
      </w:r>
    </w:p>
    <w:p>
      <w:pPr>
        <w:spacing w:after="0" w:line="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Borrowings under the Revolving Corporate Credit Facility generally bear interest at a floating rate plus an applicable margin that varies from 0.75% to 2.25% depending on the type of loan and our leverage. The interest rate applicable to borrowings under the Revolving Corporate Credit Facility references SOFR and is based on “Adjusted Term SOFR,” which is calculated as Term SOFR (as defined in the Revolver Amendment), plus a 0.10% adjustment, subject to a 0.00% floor. In addition, we pay a commitment fee on the unused availability under the Revolving Corporate Credit Facility at a rate that varies from 25 to 35 basis points per annum, also depending on our leverage.</w:t>
      </w:r>
    </w:p>
    <w:p>
      <w:pPr>
        <w:spacing w:after="0" w:line="7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Any amounts borrowed under the Corporate Credit Facility, as well as obligations with respect to letters of credit issued pursuant to the Revolving Corporate Credit Facility, are secured by a perfected first priority security interest in substantially all of the assets of the borrower under, and guarantors of, that facility (which include MVWC and certain of our direct and indirect, existing and future, domestic subsidiaries, excluding certain bankruptcy remote special purpose subsidiaries).</w:t>
      </w:r>
    </w:p>
    <w:p>
      <w:pPr>
        <w:spacing w:after="0" w:line="6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Prior to 2022, we entered into interest rate swaps and an interest rate collar under which we may pay a fixed rate and receive a floating interest rate to hedge a portion of our interest rate risk on the Term Loan. During the second quarter of 2023, we amended these interest rate swaps and the collar to reference SOFR rather than LIBOR, effective July 31, 2023. As a result of this transition, the fixed rate on the $250 million of interest rate swaps that matured in September 2023 was amended to 2.88%, the fixed rate on the $200 million of interest rate swaps maturing in April 2024 was amended to 2.17%, and the cap strike price on the $100 million interest rate collar was amended to 2.43%. Both the interest rate swaps and the interest rate collar have been designated and qualify as cash flow hedges of interest rate risk and are recorded in Other assets on our Balance Sheet as of December 31, 2023 and December 31, 2022. We characterize payments we make or receive in connection with these derivative instruments as interest expense and a reclassification of accumulated other comprehensive income or loss for presentation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22" w:name="page123"/>
    <w:bookmarkEnd w:id="122"/>
    <w:p>
      <w:pPr>
        <w:spacing w:after="0" w:line="274" w:lineRule="auto"/>
        <w:rPr>
          <w:sz w:val="20"/>
          <w:szCs w:val="20"/>
          <w:color w:val="auto"/>
        </w:rPr>
      </w:pPr>
      <w:r>
        <w:rPr>
          <w:rFonts w:ascii="Times New Roman" w:cs="Times New Roman" w:eastAsia="Times New Roman" w:hAnsi="Times New Roman"/>
          <w:sz w:val="17"/>
          <w:szCs w:val="17"/>
          <w:color w:val="auto"/>
        </w:rPr>
        <w:t>The following table reflects the activity in accumulated other comprehensive income or loss related to our derivative instruments during 2023, 2022 and 2021. There were no reclassifications to the Income Statement for any of the periods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Beginning of Year</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color w:val="auto"/>
                <w:w w:val="98"/>
              </w:rPr>
              <w:t>(39)</w:t>
            </w:r>
          </w:p>
        </w:tc>
      </w:tr>
      <w:tr>
        <w:trPr>
          <w:trHeight w:val="243"/>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(loss) gain before reclassifications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7"/>
                <w:szCs w:val="17"/>
                <w:color w:val="auto"/>
                <w:w w:val="93"/>
              </w:rPr>
              <w:t>21</w:t>
            </w:r>
          </w:p>
        </w:tc>
      </w:tr>
      <w:tr>
        <w:trPr>
          <w:trHeight w:val="23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Instrument Adjustment, End of Year</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color w:val="auto"/>
                <w:w w:val="98"/>
              </w:rPr>
              <w:t>(18)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senior notes include:</w:t>
      </w:r>
    </w:p>
    <w:p>
      <w:pPr>
        <w:spacing w:after="0" w:line="60" w:lineRule="exact"/>
        <w:rPr>
          <w:sz w:val="20"/>
          <w:szCs w:val="20"/>
          <w:color w:val="auto"/>
        </w:rPr>
      </w:pPr>
    </w:p>
    <w:p>
      <w:pPr>
        <w:ind w:left="300" w:right="420" w:hanging="298"/>
        <w:spacing w:after="0" w:line="282" w:lineRule="auto"/>
        <w:tabs>
          <w:tab w:leader="none" w:pos="2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6.125% Senior Secured Notes due 2025 issued in 2020 with a maturity date of September 15, 2025 (the “2025 Notes”), of which none was outstanding as of December 31, 2023.</w:t>
      </w:r>
    </w:p>
    <w:p>
      <w:pPr>
        <w:ind w:left="300" w:right="440" w:hanging="298"/>
        <w:spacing w:after="0" w:line="282" w:lineRule="auto"/>
        <w:tabs>
          <w:tab w:leader="none" w:pos="2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aggregate principal amount of 4.750% Senior Unsecured Notes due 2028 issued in 2019 with a maturity date of January 15, 2028 (the “2028 Notes”).</w:t>
      </w:r>
    </w:p>
    <w:p>
      <w:pPr>
        <w:ind w:left="300" w:hanging="298"/>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4.500% Senior Unsecured Notes due 2029 issued in 2021 with a maturity date of June 15, 2029 (the “2029 Notes”).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Notes</w:t>
      </w:r>
    </w:p>
    <w:p>
      <w:pPr>
        <w:spacing w:after="0" w:line="11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The 2025 Notes were pari passu with, and secured by the same collateral as, our Corporate Credit Facility. We paid interest on the 2025 Notes on May 15 and November 15 of each year. We received net proceeds of approximately $493 million from the offering of the 2025 Notes, after deducting offering expenses and the underwriting discount.</w:t>
      </w:r>
    </w:p>
    <w:p>
      <w:pPr>
        <w:spacing w:after="0" w:line="6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During 2021, we redeemed, prior to maturity, $250 million aggregate principal amount of the 2025 Notes pursuant to the terms of the indenture governing the 2025 Notes. In connection with this redemption, we incurred charges of $19 million, inclusive of a redemption premium and the write-off of unamortized debt issuance costs, which was recorded in Gains (losses) and other income (expense), net line on our Income Statement for the year ended December 31, 2021.</w:t>
      </w:r>
    </w:p>
    <w:p>
      <w:pPr>
        <w:spacing w:after="0" w:line="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During 2023, we redeemed, prior to maturity, the remaining $250 million of the 2025 Notes outstanding pursuant to a redemption notice issued in 2022 and the terms of the indenture governing the 2025 Notes. In connection with this redemption, we incurred charges of $10 million, inclusive of a redemption premium and the write-off of unamortized debt issuance costs, which was recorded in Gains (losses) and other income (expense), net on our Income Statement for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2028 Notes</w:t>
      </w:r>
    </w:p>
    <w:p>
      <w:pPr>
        <w:spacing w:after="0" w:line="11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issued the 2028 Notes under an indenture with The Bank of New York Mellon Trust Company, N.A., as trustee. We received net proceeds of $346 million from the offering, after deducting the underwriting discount and estimated expenses. We pay interest on the 2028 Notes on March 15 and September 15 of each year. We may redeem some or all of the 2028 Notes prior to maturity under the terms provided in the indenture.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2029 Notes</w:t>
      </w:r>
    </w:p>
    <w:p>
      <w:pPr>
        <w:spacing w:after="0" w:line="11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We issued the 2029 Notes under an indenture with The Bank of New York Mellon Trust Company, N.A., as trustee. We received net proceeds of $493 million from the offering, after deducting the underwriting fees and transaction expenses. We pay interest on the 2029 Notes on June 15 and December 15 of each year. We may redeem some or all of the 2029 Notes prior to maturity under the terms provided in the indenture.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2021, we issued $575 million aggregate principal amount of convertible senior notes (the “2026 Convertible Notes”) that bear interest at a rate of 0.00%.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2026 Convertible Notes mature on January 15, 2026, unless repurchased or converted in accordance with their terms prior to that date.</w:t>
      </w:r>
    </w:p>
    <w:p>
      <w:pPr>
        <w:spacing w:after="0" w:line="9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The conversion rate is subject to adjustment for certain events as described in the indenture governing the notes, and was subject to adjustment as of December 31, 2023 to 6.1576 shares of common stock per $1,000 principal amount of 2026 Convertible Notes (equivalent to a conversion price of $162.40 per share of our common stock),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23" w:name="page124"/>
    <w:bookmarkEnd w:id="123"/>
    <w:p>
      <w:pPr>
        <w:ind w:right="20"/>
        <w:spacing w:after="0" w:line="267" w:lineRule="auto"/>
        <w:rPr>
          <w:sz w:val="20"/>
          <w:szCs w:val="20"/>
          <w:color w:val="auto"/>
        </w:rPr>
      </w:pPr>
      <w:r>
        <w:rPr>
          <w:rFonts w:ascii="Times New Roman" w:cs="Times New Roman" w:eastAsia="Times New Roman" w:hAnsi="Times New Roman"/>
          <w:sz w:val="17"/>
          <w:szCs w:val="17"/>
          <w:color w:val="auto"/>
        </w:rPr>
        <w:t>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December 31, 2023, the effective interest rate was 0.55%.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interest expense information related to the 2026 Convertible Notes.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r>
              <w:rPr>
                <w:rFonts w:ascii="Times New Roman" w:cs="Times New Roman" w:eastAsia="Times New Roman" w:hAnsi="Times New Roman"/>
                <w:sz w:val="8"/>
                <w:szCs w:val="8"/>
                <w:color w:val="auto"/>
              </w:rPr>
              <w:t>(1)</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5"/>
        </w:trPr>
        <w:tc>
          <w:tcPr>
            <w:tcW w:w="4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00" w:right="20" w:hanging="298"/>
        <w:spacing w:after="0" w:line="238" w:lineRule="auto"/>
        <w:tabs>
          <w:tab w:leader="none" w:pos="288"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a result of the adoption of ASU 2020-06 during 2022, we no longer account for the liability and equity components of the convertible notes separately, and we reclassified the conversion feature related to the 2026 Convertible Notes from equity to liabilities. Prior period amounts have not been adjusted to reflect our adoption of ASU 2020-06 under the modified retrospective method. See Footnote 2 “Summary of Significant Accounting Policies” for information on our adoption of ASU 2020-06.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 Hedges and Warrants</w:t>
      </w:r>
    </w:p>
    <w:p>
      <w:pPr>
        <w:spacing w:after="0" w:line="11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3.5 million shares of our common stock, and warrant transactions (“2026 Warrants”), whereby we sold to the counterparties to the 2026 Convertible Note Hedges warrants to acquire approximately 3.5 million shares of our common stock in each case, as of December 31, 2023. The strike prices of the 2026 Convertible Note Hedges and the 2026 Warrants were subject to adjustment to approximately $162.40 and $203.00 as of December 31, 2023, respectively, and no 2026 Convertible Note Hedges or 2026 Warrants have been exercised.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2022, we issued $575 million aggregate principal amount of convertible senior notes (the “2027 Convertible Notes”) that bear interest at a rate of 3.25%.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2027 Convertible Notes mature on December 15, 2027, unless earlier repurchased or converted in accordance with their terms prior to that date.</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2027 Convertible Notes are convertible at a rate of 5.2753 shares of common stock per $1,000 principal amount of 2027 Convertible Notes (equivalent to a conversion price of $189.56 per share of our common stock) as of December 31, 2023. The conversion rate is subject to adjustment for certain events as described in the indenture governing the notes. Upon conversion, we will pay or deliver, as the case may be, cash, shares of our common stock, or a combination of cash and shares of our common stock, at our election. As of December 31, 2023, the effective interest rate was 3.88%.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interest expense information related to the 2027 Convertible Notes.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 Hedges and Warrants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in each case, as of December 31, 2023. The strike prices of the 2027 Convertible Note Hedges and the 2027 Warrants were $189.56 and $286.13 as of December 31, 2023, respectively, and no 2027 Convertible Note Hedges or 2027 Warrants have been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Finance Leases</w:t>
      </w:r>
    </w:p>
    <w:p>
      <w:pPr>
        <w:spacing w:after="0" w:line="11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color w:val="auto"/>
        </w:rPr>
        <w:t>See Footnote 14 “Leases” for information on our finance leases. Non-cash financing activities related to our lease liabilities during 2023, 2022, and 2021, were $108 million, $7 million, and $80 million, respectively</w:t>
      </w:r>
      <w:r>
        <w:rPr>
          <w:rFonts w:ascii="Times New Roman" w:cs="Times New Roman" w:eastAsia="Times New Roman" w:hAnsi="Times New Roman"/>
          <w:sz w:val="17"/>
          <w:szCs w:val="17"/>
          <w:color w:val="EE272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i w:val="1"/>
          <w:iCs w:val="1"/>
          <w:color w:val="auto"/>
        </w:rPr>
        <w:t>Security and Guarantees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subject to certain exceptions. In addition, the Corporate Credit Facility, the 2026 Convertible Notes, the 2027 Convertible Notes, the 2028 Notes, and the 2029 Notes are guaranteed by MVWC and certain of our direct and indirect, existing and future, domestic subsidiaries, excluding bankruptcy remote special purpose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STOCKHOLDERS’ EQUITY</w:t>
      </w:r>
    </w:p>
    <w:p>
      <w:pPr>
        <w:spacing w:after="0" w:line="11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Marriott Vacations Worldwide has 100,000,000 authorized shares of common stock, par value of $0.01 per share. At December 31, 2023, there were 75,807,882 shares of Marriott Vacations Worldwide common stock issued, of which 35,319,306 shares were outstanding and 40,488,576 shares were held as treasury stock. At December 31, 2022, there were 75,744,524 shares of Marriott Vacations Worldwide common stock issued, of which 37,481,082 shares were outstanding and 38,263,442 shares were held as treasury stock. Marriott Vacations Worldwide has 2,000,000 authorized shares of preferred stock, par value of $0.01 per share, none of which were issued or outstanding as of December 31, 2023 or December 31,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From time to time, with the approval of our Board of Directors, we may undertake programs to purchase shares of our common stock (each, a “Share Repurchase Program”). During the second quarter of 2023, our Board of Directors increased the then-remaining authorization under our previously approved Share Repurchase Program to authorize purchases up to $600 million and extended the term of this program to December 31, 2024. As of December 31, 2023, approximately $439 million remained available for share repurchases under the Share Repurchase Program.</w:t>
      </w:r>
    </w:p>
    <w:p>
      <w:pPr>
        <w:spacing w:after="0" w:line="7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7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7"/>
          <w:szCs w:val="17"/>
          <w:color w:val="auto"/>
        </w:rPr>
        <w:t>The Inflation Reduction Act of 2022, which was enacted in August 2022, imposes a 1% excise tax on the net value of certain stock repurchases made after December 31, 2022. For purposes of calculating the excise tax, the fair value of certain share issuances may be netted against the fair market value of stock repurchases during the same taxable year. In 2023, we reflected the applicable excise tax in treasury stock as part of the cost basis of the stock repurchased and recorded a corresponding liability for the excise taxes payable in Accrued liabilities on our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Share Repurchase Program: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Cost Basis of Shares</w:t>
            </w:r>
          </w:p>
        </w:tc>
        <w:tc>
          <w:tcPr>
            <w:tcW w:w="12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Average Price Paid</w:t>
            </w:r>
          </w:p>
        </w:tc>
      </w:tr>
      <w:tr>
        <w:trPr>
          <w:trHeight w:val="204"/>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per Share</w:t>
            </w:r>
          </w:p>
        </w:tc>
      </w:tr>
      <w:tr>
        <w:trPr>
          <w:trHeight w:val="22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22,773,218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w:t>
            </w:r>
          </w:p>
        </w:tc>
        <w:tc>
          <w:tcPr>
            <w:tcW w:w="3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93.06</w:t>
            </w:r>
          </w:p>
        </w:tc>
      </w:tr>
      <w:tr>
        <w:trPr>
          <w:trHeight w:val="243"/>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 the year ended December 31, 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2,367,855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360" w:type="dxa"/>
            <w:vAlign w:val="bottom"/>
            <w:tcBorders>
              <w:bottom w:val="single" w:sz="8" w:color="CCEEFF"/>
            </w:tcBorders>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120.55</w:t>
            </w:r>
          </w:p>
        </w:tc>
      </w:tr>
      <w:tr>
        <w:trPr>
          <w:trHeight w:val="235"/>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of December 31,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25,141,073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360" w:type="dxa"/>
            <w:vAlign w:val="bottom"/>
            <w:tcBorders>
              <w:bottom w:val="single" w:sz="8" w:color="CCEEFF"/>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1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7"/>
          <w:szCs w:val="17"/>
          <w:color w:val="auto"/>
        </w:rPr>
        <w:t>We declared cash dividends to holders of common stock during the year ended December 31, 2023 as follows. Any future dividend payments will be subject to the restrictions imposed under the agreements covering our debt, and Board approval. There can be no assurance that we will pay dividends in the future.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Dividend per Share</w:t>
            </w:r>
          </w:p>
        </w:tc>
      </w:tr>
      <w:tr>
        <w:trPr>
          <w:trHeight w:val="225"/>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16, 2023</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2, 2023</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March 16, 2023</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37"/>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May 11, 2023</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May 25, 2023</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June 8, 2023</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49"/>
        </w:trPr>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September 7, 2023</w:t>
            </w:r>
          </w:p>
        </w:tc>
        <w:tc>
          <w:tcPr>
            <w:tcW w:w="2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September 21, 2023</w:t>
            </w:r>
          </w:p>
        </w:tc>
        <w:tc>
          <w:tcPr>
            <w:tcW w:w="2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October 5, 2023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44"/>
        </w:trPr>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December 7, 2023</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December 21, 2023</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January 4, 2024</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bl>
    <w:p>
      <w:pPr>
        <w:spacing w:after="0" w:line="225"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7"/>
          <w:szCs w:val="17"/>
          <w:color w:val="auto"/>
        </w:rPr>
        <w:t>Subsequent to the end of 2023, on February 15, 2024, our Board of Directors declared a quarterly dividend of $0.76 per share to be paid on March 14, 2024 to stockholders of record as of February 29,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SHARE-BASED COMPENSATION</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maintain the MVW Equity Plan for the benefit of our officers, directors, and employees. Under the MVW Equity Plan, we are authorized to award: (1) RSUs of our common stock, (2) SARs relating to our common stock, and (3) stock options to purchase our common stock. A total of 1.8 million shares are authorized for issuance pursuant to grants under the MVW Equity Plan. As of December 31, 2023, approximately 1.5 million shares were available for grants under the MVW Equity Plan.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share-based compensation expense related to award grants to our officers, directors, and employees: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3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3"/>
        </w:trPr>
        <w:tc>
          <w:tcPr>
            <w:tcW w:w="34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4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5"/>
        </w:trPr>
        <w:tc>
          <w:tcPr>
            <w:tcW w:w="3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deferred compensation costs related to unvested awards: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Year-End 2023</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8"/>
                <w:szCs w:val="18"/>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At Year-End 2022</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3"/>
        </w:trPr>
        <w:tc>
          <w:tcPr>
            <w:tcW w:w="4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4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00" w:hanging="298"/>
        <w:spacing w:after="0" w:line="228" w:lineRule="auto"/>
        <w:tabs>
          <w:tab w:leader="none" w:pos="288"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2023, the weighted average remaining term for RSU grants outstanding at year-end 2023 was one to two years and we expect that deferred compensation expense will be recognized over a weighted average period of one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60"/>
          </w:cols>
          <w:pgMar w:left="320" w:top="1344" w:right="4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7"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color w:val="auto"/>
        </w:rPr>
        <w:t>We have issued RSUs that vest over time, which we refer to as service-based RSUs, and RSUs that vest based on performance with respect to established criteria, which we refer to as performance-based RSUs.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our outstanding RSUs and the associated weighted average grant-date fair values: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rPr>
                <w:sz w:val="17"/>
                <w:szCs w:val="17"/>
                <w:color w:val="auto"/>
              </w:rPr>
            </w:pPr>
          </w:p>
        </w:tc>
        <w:tc>
          <w:tcPr>
            <w:tcW w:w="20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Service-based</w:t>
            </w:r>
          </w:p>
        </w:tc>
        <w:tc>
          <w:tcPr>
            <w:tcW w:w="120" w:type="dxa"/>
            <w:vAlign w:val="bottom"/>
          </w:tcPr>
          <w:p>
            <w:pPr>
              <w:spacing w:after="0"/>
              <w:rPr>
                <w:sz w:val="17"/>
                <w:szCs w:val="17"/>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Performance-based</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7"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Average</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20" w:type="dxa"/>
            <w:vAlign w:val="bottom"/>
            <w:vMerge w:val="restart"/>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3"/>
                <w:szCs w:val="13"/>
                <w:color w:val="auto"/>
              </w:rPr>
            </w:pPr>
          </w:p>
        </w:tc>
        <w:tc>
          <w:tcPr>
            <w:tcW w:w="1020" w:type="dxa"/>
            <w:vAlign w:val="bottom"/>
            <w:gridSpan w:val="3"/>
          </w:tcPr>
          <w:p>
            <w:pPr>
              <w:jc w:val="right"/>
              <w:ind w:right="180"/>
              <w:spacing w:after="0" w:line="154" w:lineRule="exact"/>
              <w:rPr>
                <w:sz w:val="20"/>
                <w:szCs w:val="20"/>
                <w:color w:val="auto"/>
              </w:rPr>
            </w:pPr>
            <w:r>
              <w:rPr>
                <w:rFonts w:ascii="Times New Roman" w:cs="Times New Roman" w:eastAsia="Times New Roman" w:hAnsi="Times New Roman"/>
                <w:sz w:val="15"/>
                <w:szCs w:val="15"/>
                <w:b w:val="1"/>
                <w:bCs w:val="1"/>
                <w:color w:val="auto"/>
              </w:rPr>
              <w:t>Grant-Date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3"/>
                <w:szCs w:val="13"/>
                <w:color w:val="auto"/>
              </w:rPr>
            </w:pPr>
          </w:p>
        </w:tc>
        <w:tc>
          <w:tcPr>
            <w:tcW w:w="118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3"/>
                <w:szCs w:val="13"/>
                <w:color w:val="auto"/>
              </w:rPr>
            </w:pPr>
          </w:p>
        </w:tc>
        <w:tc>
          <w:tcPr>
            <w:tcW w:w="106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rPr>
              <w:t>Date Fair</w:t>
            </w: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137"/>
              <w:spacing w:after="0" w:line="154" w:lineRule="exact"/>
              <w:rPr>
                <w:sz w:val="20"/>
                <w:szCs w:val="20"/>
                <w:color w:val="auto"/>
              </w:rPr>
            </w:pPr>
            <w:r>
              <w:rPr>
                <w:rFonts w:ascii="Times New Roman" w:cs="Times New Roman" w:eastAsia="Times New Roman" w:hAnsi="Times New Roman"/>
                <w:sz w:val="15"/>
                <w:szCs w:val="15"/>
                <w:b w:val="1"/>
                <w:bCs w:val="1"/>
                <w:color w:val="auto"/>
                <w:w w:val="97"/>
              </w:rPr>
              <w:t>Date Fair</w:t>
            </w:r>
          </w:p>
        </w:tc>
        <w:tc>
          <w:tcPr>
            <w:tcW w:w="0" w:type="dxa"/>
            <w:vAlign w:val="bottom"/>
          </w:tcPr>
          <w:p>
            <w:pPr>
              <w:spacing w:after="0"/>
              <w:rPr>
                <w:sz w:val="1"/>
                <w:szCs w:val="1"/>
                <w:color w:val="auto"/>
              </w:rPr>
            </w:pPr>
          </w:p>
        </w:tc>
      </w:tr>
      <w:tr>
        <w:trPr>
          <w:trHeight w:val="204"/>
        </w:trPr>
        <w:tc>
          <w:tcPr>
            <w:tcW w:w="1940" w:type="dxa"/>
            <w:vAlign w:val="bottom"/>
          </w:tcPr>
          <w:p>
            <w:pPr>
              <w:spacing w:after="0"/>
              <w:rPr>
                <w:sz w:val="17"/>
                <w:szCs w:val="17"/>
                <w:color w:val="auto"/>
              </w:rPr>
            </w:pPr>
          </w:p>
        </w:tc>
        <w:tc>
          <w:tcPr>
            <w:tcW w:w="1020" w:type="dxa"/>
            <w:vAlign w:val="bottom"/>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RSUs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Per RSU</w:t>
            </w:r>
          </w:p>
        </w:tc>
        <w:tc>
          <w:tcPr>
            <w:tcW w:w="860" w:type="dxa"/>
            <w:vAlign w:val="bottom"/>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RSUs</w:t>
            </w:r>
          </w:p>
        </w:tc>
        <w:tc>
          <w:tcPr>
            <w:tcW w:w="12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Value Per RSU</w:t>
            </w:r>
          </w:p>
        </w:tc>
        <w:tc>
          <w:tcPr>
            <w:tcW w:w="840" w:type="dxa"/>
            <w:vAlign w:val="bottom"/>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RSUs</w:t>
            </w:r>
          </w:p>
        </w:tc>
        <w:tc>
          <w:tcPr>
            <w:tcW w:w="12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Value Per RSU</w:t>
            </w:r>
          </w:p>
        </w:tc>
        <w:tc>
          <w:tcPr>
            <w:tcW w:w="0" w:type="dxa"/>
            <w:vAlign w:val="bottom"/>
          </w:tcPr>
          <w:p>
            <w:pPr>
              <w:spacing w:after="0"/>
              <w:rPr>
                <w:sz w:val="1"/>
                <w:szCs w:val="1"/>
                <w:color w:val="auto"/>
              </w:rPr>
            </w:pPr>
          </w:p>
        </w:tc>
      </w:tr>
      <w:tr>
        <w:trPr>
          <w:trHeight w:val="147"/>
        </w:trPr>
        <w:tc>
          <w:tcPr>
            <w:tcW w:w="19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color w:val="auto"/>
              </w:rPr>
              <w:t>Outstanding at year-end</w:t>
            </w: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728,067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292,446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1,020,513</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118.94</w:t>
            </w:r>
          </w:p>
        </w:tc>
        <w:tc>
          <w:tcPr>
            <w:tcW w:w="0" w:type="dxa"/>
            <w:vAlign w:val="bottom"/>
          </w:tcPr>
          <w:p>
            <w:pPr>
              <w:spacing w:after="0"/>
              <w:rPr>
                <w:sz w:val="1"/>
                <w:szCs w:val="1"/>
                <w:color w:val="auto"/>
              </w:rPr>
            </w:pPr>
          </w:p>
        </w:tc>
      </w:tr>
      <w:tr>
        <w:trPr>
          <w:trHeight w:val="243"/>
        </w:trPr>
        <w:tc>
          <w:tcPr>
            <w:tcW w:w="1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142.15</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114,602</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144.73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318,177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143.08</w:t>
            </w: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(260,633)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(260,633)</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(15,895)</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144.67</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(214,324)</w:t>
            </w:r>
          </w:p>
        </w:tc>
        <w:tc>
          <w:tcPr>
            <w:tcW w:w="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104.82</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(230,219)</w:t>
            </w:r>
          </w:p>
        </w:tc>
        <w:tc>
          <w:tcPr>
            <w:tcW w:w="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107.57</w:t>
            </w:r>
          </w:p>
        </w:tc>
        <w:tc>
          <w:tcPr>
            <w:tcW w:w="0" w:type="dxa"/>
            <w:vAlign w:val="bottom"/>
          </w:tcPr>
          <w:p>
            <w:pPr>
              <w:spacing w:after="0"/>
              <w:rPr>
                <w:sz w:val="1"/>
                <w:szCs w:val="1"/>
                <w:color w:val="auto"/>
              </w:rPr>
            </w:pPr>
          </w:p>
        </w:tc>
      </w:tr>
      <w:tr>
        <w:trPr>
          <w:trHeight w:val="146"/>
        </w:trPr>
        <w:tc>
          <w:tcPr>
            <w:tcW w:w="19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color w:val="auto"/>
              </w:rPr>
              <w:t>Outstanding at year-end</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655,114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847,838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123.91</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148.29</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129.45</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7"/>
          <w:szCs w:val="17"/>
          <w:color w:val="auto"/>
        </w:rPr>
        <w:t>The weighted average grant-date fair value per RSU granted in 2022 and 2021 was $151.86 and $161.42, respectively. The fair value of the RSUs which vested in 2023, 2022, and 2021 was $36 million, $65 million, and $46 million, respectively. The fair value of the RSUs which vested in 2021 included $3 million related to RSUs converted from ILG equity-based RSUs to MVW equity-based RSUs in the ILG Acquisition.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changes in our outstanding SARs and the associated weighted average exercise prices: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1717"/>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49"/>
        </w:trPr>
        <w:tc>
          <w:tcPr>
            <w:tcW w:w="4360" w:type="dxa"/>
            <w:vAlign w:val="bottom"/>
          </w:tcPr>
          <w:p>
            <w:pPr>
              <w:spacing w:after="0"/>
              <w:rPr>
                <w:sz w:val="12"/>
                <w:szCs w:val="12"/>
                <w:color w:val="auto"/>
              </w:rPr>
            </w:pPr>
          </w:p>
        </w:tc>
        <w:tc>
          <w:tcPr>
            <w:tcW w:w="1720" w:type="dxa"/>
            <w:vAlign w:val="bottom"/>
          </w:tcPr>
          <w:p>
            <w:pPr>
              <w:jc w:val="right"/>
              <w:ind w:right="437"/>
              <w:spacing w:after="0" w:line="149"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jc w:val="right"/>
              <w:ind w:right="357"/>
              <w:spacing w:after="0" w:line="149" w:lineRule="exact"/>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4"/>
        </w:trPr>
        <w:tc>
          <w:tcPr>
            <w:tcW w:w="436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5"/>
                <w:szCs w:val="15"/>
                <w:b w:val="1"/>
                <w:bCs w:val="1"/>
                <w:color w:val="auto"/>
              </w:rPr>
              <w:t>SARs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Exercise Price Per SAR</w:t>
            </w:r>
          </w:p>
        </w:tc>
      </w:tr>
      <w:tr>
        <w:trPr>
          <w:trHeight w:val="22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year-end 2022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689,506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114.32</w:t>
            </w:r>
          </w:p>
        </w:tc>
      </w:tr>
      <w:tr>
        <w:trPr>
          <w:trHeight w:val="243"/>
        </w:trPr>
        <w:tc>
          <w:tcPr>
            <w:tcW w:w="4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37,436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153.10</w:t>
            </w:r>
          </w:p>
        </w:tc>
      </w:tr>
      <w:tr>
        <w:trPr>
          <w:trHeight w:val="24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52.09</w:t>
            </w:r>
          </w:p>
        </w:tc>
      </w:tr>
      <w:tr>
        <w:trPr>
          <w:trHeight w:val="243"/>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 or expired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153.10</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year-end 2023</w:t>
            </w:r>
            <w:r>
              <w:rPr>
                <w:rFonts w:ascii="Times New Roman" w:cs="Times New Roman" w:eastAsia="Times New Roman" w:hAnsi="Times New Roman"/>
                <w:sz w:val="8"/>
                <w:szCs w:val="8"/>
                <w:color w:val="auto"/>
              </w:rPr>
              <w:t>(1)(2)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720,028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131" w:lineRule="exact"/>
        <w:rPr>
          <w:sz w:val="20"/>
          <w:szCs w:val="20"/>
          <w:color w:val="auto"/>
        </w:rPr>
      </w:pPr>
    </w:p>
    <w:p>
      <w:pPr>
        <w:ind w:left="300" w:hanging="298"/>
        <w:spacing w:after="0"/>
        <w:tabs>
          <w:tab w:leader="none" w:pos="30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2023, outstanding SARs had an aggregate intrinsic value of $3 million and a weighted average remaining term of 5 years.</w:t>
      </w:r>
    </w:p>
    <w:p>
      <w:pPr>
        <w:spacing w:after="0" w:line="51" w:lineRule="exact"/>
        <w:rPr>
          <w:rFonts w:ascii="Times New Roman" w:cs="Times New Roman" w:eastAsia="Times New Roman" w:hAnsi="Times New Roman"/>
          <w:sz w:val="22"/>
          <w:szCs w:val="22"/>
          <w:color w:val="auto"/>
          <w:vertAlign w:val="superscript"/>
        </w:rPr>
      </w:pPr>
    </w:p>
    <w:p>
      <w:pPr>
        <w:ind w:left="300" w:right="100" w:hanging="298"/>
        <w:spacing w:after="0" w:line="218" w:lineRule="auto"/>
        <w:tabs>
          <w:tab w:leader="none" w:pos="288"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2023, 540,034 SARs with a weighted average exercise price of $104.13, an aggregate intrinsic value of $3 million and a weighted average remaining contractual term of 4 years were exercisable.</w:t>
      </w:r>
    </w:p>
    <w:p>
      <w:pPr>
        <w:spacing w:after="0" w:line="13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weighted average grant-date fair value per SAR granted in 2023, 2022, and 2021 was $58.50, $59.68, and $70.66, respectively. The SARS which vested in 2023 did not have any intrinsic value. The intrinsic value of SARs which vested in 2022 and 2021 was $2 million and $5 million, respectively. The aggregate intrinsic value of SARs which were exercised in 2023, 2022, and 2021 was less than $1 million, $1 million, and $14 million, respectively.</w:t>
      </w:r>
    </w:p>
    <w:p>
      <w:pPr>
        <w:spacing w:after="0" w:line="6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color w:val="auto"/>
        </w:rPr>
        <w:t>The following table outlines the assumptions used to estimate the fair value of grants in 2023, 2022, and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40.47%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42.86%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48.35%</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1.48%</w:t>
            </w: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4.07%</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0.97%</w:t>
            </w:r>
          </w:p>
        </w:tc>
      </w:tr>
      <w:tr>
        <w:trPr>
          <w:trHeight w:val="244"/>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6.25</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VARIABLE INTEREST ENTITIES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 Related to Our Vacation Ownership Notes Receivable Securitizations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general corporate purposes. In a vacation ownership notes receivable securitization, several classes of debt securities issued by a special purpose entity are generally collateralized by a single pool of transferred assets, which consist of vacation ownership notes receivable. With each vacation ownership notes receivable securitization, we may retain all or a portion of the securities that are issued, and certain residual interests.</w:t>
      </w:r>
    </w:p>
    <w:p>
      <w:pPr>
        <w:spacing w:after="0" w:line="7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consolidated assets, which are collateral for the obligations of these VIEs, and consolidated liabilities included on our Balance Sheet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w:t>
      </w:r>
    </w:p>
    <w:p>
      <w:pPr>
        <w:sectPr>
          <w:pgSz w:w="11900" w:h="16838" w:orient="portrait"/>
          <w:cols w:equalWidth="0" w:num="1">
            <w:col w:w="11200"/>
          </w:cols>
          <w:pgMar w:left="320" w:top="1299" w:right="37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Assets</w:t>
      </w:r>
    </w:p>
    <w:p>
      <w:pPr>
        <w:spacing w:after="0" w:line="51" w:lineRule="exact"/>
        <w:rPr>
          <w:sz w:val="20"/>
          <w:szCs w:val="20"/>
          <w:color w:val="auto"/>
        </w:rPr>
      </w:pPr>
    </w:p>
    <w:p>
      <w:pPr>
        <w:ind w:left="100"/>
        <w:spacing w:after="0" w:line="238" w:lineRule="auto"/>
        <w:rPr>
          <w:sz w:val="20"/>
          <w:szCs w:val="20"/>
          <w:color w:val="auto"/>
        </w:rPr>
      </w:pPr>
      <w:r>
        <w:rPr>
          <w:rFonts w:ascii="Times New Roman" w:cs="Times New Roman" w:eastAsia="Times New Roman" w:hAnsi="Times New Roman"/>
          <w:sz w:val="17"/>
          <w:szCs w:val="17"/>
          <w:color w:val="auto"/>
        </w:rPr>
        <w:t>Vacation ownership notes receivable, net of reserves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Interest receivable</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Restricted cash</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Liabilities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Vacation Ownership</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Warehouse</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58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154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5"/>
                <w:szCs w:val="15"/>
                <w:b w:val="1"/>
                <w:bCs w:val="1"/>
                <w:color w:val="auto"/>
              </w:rPr>
              <w:t>Credit</w:t>
            </w:r>
          </w:p>
        </w:tc>
        <w:tc>
          <w:tcPr>
            <w:tcW w:w="1380" w:type="dxa"/>
            <w:vAlign w:val="bottom"/>
            <w:vMerge w:val="restart"/>
          </w:tcPr>
          <w:p>
            <w:pPr>
              <w:ind w:left="5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14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Facility</w:t>
            </w:r>
          </w:p>
        </w:tc>
        <w:tc>
          <w:tcPr>
            <w:tcW w:w="140" w:type="dxa"/>
            <w:vAlign w:val="bottom"/>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-7620</wp:posOffset>
            </wp:positionV>
            <wp:extent cx="524954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249545" cy="15430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4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4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w:t>
            </w:r>
          </w:p>
        </w:tc>
      </w:tr>
      <w:tr>
        <w:trPr>
          <w:trHeight w:val="243"/>
        </w:trPr>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2"/>
        </w:trPr>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0"/>
        </w:trPr>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1,833</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-486410</wp:posOffset>
            </wp:positionV>
            <wp:extent cx="524954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249545" cy="15430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-177800</wp:posOffset>
            </wp:positionV>
            <wp:extent cx="5249545"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249545" cy="16256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3080" w:space="680"/>
            <w:col w:w="7440"/>
          </w:cols>
          <w:pgMar w:left="320" w:top="1299" w:right="37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payable</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3"/>
        </w:trPr>
        <w:tc>
          <w:tcPr>
            <w:tcW w:w="3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Securitized debt</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2,121</w:t>
            </w:r>
          </w:p>
        </w:tc>
      </w:tr>
      <w:tr>
        <w:trPr>
          <w:trHeight w:val="235"/>
        </w:trPr>
        <w:tc>
          <w:tcPr>
            <w:tcW w:w="3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interest income and expense recognized as a result of our involvement with these VIEs during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15"/>
                <w:szCs w:val="15"/>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Vacation Ownership</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Warehouse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Notes Receivable</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4" w:lineRule="exact"/>
              <w:rPr>
                <w:sz w:val="20"/>
                <w:szCs w:val="20"/>
                <w:color w:val="auto"/>
              </w:rPr>
            </w:pPr>
            <w:r>
              <w:rPr>
                <w:rFonts w:ascii="Times New Roman" w:cs="Times New Roman" w:eastAsia="Times New Roman" w:hAnsi="Times New Roman"/>
                <w:sz w:val="15"/>
                <w:szCs w:val="15"/>
                <w:b w:val="1"/>
                <w:bCs w:val="1"/>
                <w:color w:val="auto"/>
              </w:rPr>
              <w:t>Credit</w:t>
            </w:r>
          </w:p>
        </w:tc>
        <w:tc>
          <w:tcPr>
            <w:tcW w:w="320" w:type="dxa"/>
            <w:vAlign w:val="bottom"/>
          </w:tcPr>
          <w:p>
            <w:pPr>
              <w:spacing w:after="0"/>
              <w:rPr>
                <w:sz w:val="13"/>
                <w:szCs w:val="13"/>
                <w:color w:val="auto"/>
              </w:rPr>
            </w:pPr>
          </w:p>
        </w:tc>
        <w:tc>
          <w:tcPr>
            <w:tcW w:w="1060" w:type="dxa"/>
            <w:vAlign w:val="bottom"/>
            <w:vMerge w:val="restart"/>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Facility</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1"/>
                <w:szCs w:val="21"/>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4"/>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99" w:right="37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vacation ownership notes receivable securitization VIEs: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proceeds from vacation ownership notes receivable securitizations</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receipts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receipts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Reserve release</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3"/>
        </w:trPr>
        <w:tc>
          <w:tcPr>
            <w:tcW w:w="5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payments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Voluntary repurchases of defaulted vacation ownership notes receivable, net</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43"/>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Voluntary clean-up call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43"/>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payments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43"/>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Warehouse Credit Facility VIE: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0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vacation ownership notes receivable securitizations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tcPr>
          <w:p>
            <w:pPr>
              <w:spacing w:after="0"/>
              <w:rPr>
                <w:sz w:val="21"/>
                <w:szCs w:val="21"/>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receipts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receipts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Reserve release</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0"/>
        </w:trPr>
        <w:tc>
          <w:tcPr>
            <w:tcW w:w="5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19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payments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Voluntary repurchases of defaulted vacation ownership notes receivable, net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5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Repayment of Warehouse Credit Facility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43"/>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payments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3"/>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3"/>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10"/>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Under the terms of our vacation ownership notes receivable securitizations, we have the right to substitute loans for, or repurchase, defaulted loans at our option, subject to certain limitations. We made voluntary repurchases of defaulted vacation ownership notes receivable, net of substitutions, of $123 million during 2023, $94 million during 2022 and $99 million during 2021. We also made voluntary repurchases of $774 million, $338 million and $200 million of other non-defaulted vacation ownership notes receivable during 2023, 2022 and 2021, respectively, to retire previous vacation ownership notes receivable securitizations.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40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i w:val="1"/>
          <w:iCs w:val="1"/>
          <w:color w:val="auto"/>
        </w:rPr>
        <w:t>Other Variable Interest Entities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during construction. Further, our purchase commitment is generally contingent upon the property being redeveloped to our brand standards. Accordingly, we have not consolidated the VIE. We expect to acquire the property over time and as of December 31, 2023, we expect to make payments for the property as follows: $112 million in 2024, $82 million in 2025, and $41 million in 2026. As of December 31, 2023, our Balance Sheet reflected $2 million in Accounts and contracts receivable, including a note receivable of less than $1 million, $4 million in Property and equipment, net and $1 million in Accrued liabilities. We believe that our maximum exposure to loss as a result of our involvement with this VIE is approximately $5 million as of December 31, 2023. Subsequent to the end of 2023, we fulfilled our outstanding commitment to purchase retail space for $48 million. We have an agreement to sell the retail space to a third party, at cost, upon completion of construction, which we expect to occur in the second half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BUSINESS SEGMENTS</w:t>
      </w:r>
    </w:p>
    <w:p>
      <w:pPr>
        <w:spacing w:after="0" w:line="11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We define our reportable segments based on the way in which the chief operating decision maker (“CODM”), currently our president and chief executive officer, manages the operations of the Company for purposes of allocating resources and assessing performance. We operate in two operating and reportable business segments:</w:t>
      </w:r>
    </w:p>
    <w:p>
      <w:pPr>
        <w:spacing w:after="0" w:line="63" w:lineRule="exact"/>
        <w:rPr>
          <w:sz w:val="20"/>
          <w:szCs w:val="20"/>
          <w:color w:val="auto"/>
        </w:rPr>
      </w:pPr>
    </w:p>
    <w:p>
      <w:pPr>
        <w:ind w:left="300" w:right="80" w:hanging="298"/>
        <w:spacing w:after="0" w:line="257" w:lineRule="auto"/>
        <w:tabs>
          <w:tab w:leader="none" w:pos="2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as well as under Marriott Vacation Club Pulse, an extension of the Marriott Vacation Club brand.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72" w:lineRule="exact"/>
        <w:rPr>
          <w:rFonts w:ascii="Times New Roman" w:cs="Times New Roman" w:eastAsia="Times New Roman" w:hAnsi="Times New Roman"/>
          <w:sz w:val="17"/>
          <w:szCs w:val="17"/>
          <w:color w:val="auto"/>
        </w:rPr>
      </w:pPr>
    </w:p>
    <w:p>
      <w:pPr>
        <w:ind w:left="300" w:hanging="298"/>
        <w:spacing w:after="0" w:line="283" w:lineRule="auto"/>
        <w:tabs>
          <w:tab w:leader="none" w:pos="2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50" w:lineRule="exact"/>
        <w:rPr>
          <w:rFonts w:ascii="Times New Roman" w:cs="Times New Roman" w:eastAsia="Times New Roman" w:hAnsi="Times New Roman"/>
          <w:sz w:val="17"/>
          <w:szCs w:val="17"/>
          <w:color w:val="auto"/>
        </w:rPr>
      </w:pPr>
    </w:p>
    <w:p>
      <w:pPr>
        <w:ind w:left="300" w:hanging="298"/>
        <w:spacing w:after="0" w:line="259" w:lineRule="auto"/>
        <w:tabs>
          <w:tab w:leader="none" w:pos="29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 VRI Americas was part of the Exchange &amp; Third-Party Management segment through the date of sale in April 2022. See Footnote 3 “Acquisitions and Dispositions” for more information on the disposition of VRI Americas.</w:t>
      </w:r>
    </w:p>
    <w:p>
      <w:pPr>
        <w:spacing w:after="0" w:line="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Our CODM uses Adjusted Earnings before Interest Expense, Taxes, Depreciation and Amortization (“Adjusted EBITDA”) to evaluate the profitability of our operating segments, and the components of net income or loss attributable to common stockholders excluded from Adjusted EBITDA are not separately evaluated. Adjusted EBITDA is defined as net income or loss attributable to common stockholders,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0" w:name="page131"/>
    <w:bookmarkEnd w:id="130"/>
    <w:p>
      <w:pPr>
        <w:spacing w:after="0" w:line="283" w:lineRule="auto"/>
        <w:rPr>
          <w:sz w:val="20"/>
          <w:szCs w:val="20"/>
          <w:color w:val="auto"/>
        </w:rPr>
      </w:pPr>
      <w:r>
        <w:rPr>
          <w:rFonts w:ascii="Times New Roman" w:cs="Times New Roman" w:eastAsia="Times New Roman" w:hAnsi="Times New Roman"/>
          <w:sz w:val="17"/>
          <w:szCs w:val="17"/>
          <w:color w:val="auto"/>
        </w:rPr>
        <w:t>Our reconciliation of the aggregate amount of Adjusted EBITDA for our reportable segments to consolidated net income or loss attributable to common stockholders is presented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4,342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291</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revenues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4,633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Consolidated Property Owners’ Associations</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4,656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64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Reconciliation to Net Income Attributable to Common Stockholders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Vacation Ownership</w:t>
            </w:r>
          </w:p>
        </w:tc>
        <w:tc>
          <w:tcPr>
            <w:tcW w:w="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Adjusted EBITDA Exchange &amp; Third-Party</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Reconciling items:</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(118)</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provision</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Certain items</w:t>
            </w:r>
          </w:p>
        </w:tc>
        <w:tc>
          <w:tcPr>
            <w:tcW w:w="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391</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depreciation and amortization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gridSpan w:val="3"/>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Assets</w:t>
            </w: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At December 31, 2022</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assets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360"/>
          </w:cols>
          <w:pgMar w:left="320" w:top="1299" w:right="12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 (including inventory)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540" w:type="dxa"/>
            <w:vAlign w:val="bottom"/>
            <w:gridSpan w:val="5"/>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segment capital expenditures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215</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Excluding Cost Reimbursements</w:t>
            </w: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540" w:type="dxa"/>
            <w:vAlign w:val="bottom"/>
            <w:gridSpan w:val="5"/>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2,886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countries</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403</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3,289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5"/>
                <w:szCs w:val="15"/>
                <w:b w:val="1"/>
                <w:bCs w:val="1"/>
                <w:color w:val="auto"/>
              </w:rPr>
              <w:t>At December 31, 2022</w:t>
            </w: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20" w:type="dxa"/>
            <w:vAlign w:val="bottom"/>
            <w:shd w:val="clear" w:color="auto" w:fill="CCEEFF"/>
          </w:tcPr>
          <w:p>
            <w:pPr>
              <w:spacing w:after="0"/>
              <w:rPr>
                <w:sz w:val="20"/>
                <w:szCs w:val="20"/>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countries</w:t>
            </w: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IMPAIRMENT AND RESTRUCTURING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incurred total impairment charges during 2023, 2022, and 2021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3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management contract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&amp; equipment</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20" w:type="dxa"/>
            <w:vAlign w:val="bottom"/>
          </w:tcPr>
          <w:p>
            <w:pPr>
              <w:spacing w:after="0"/>
              <w:rPr>
                <w:sz w:val="18"/>
                <w:szCs w:val="18"/>
                <w:color w:val="auto"/>
              </w:rPr>
            </w:pP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3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Impairment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14 “Leases” for information on the impairment of our right-to-use operating lease asset.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Costs</w:t>
      </w:r>
    </w:p>
    <w:p>
      <w:pPr>
        <w:spacing w:after="0" w:line="11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During 2023, we realigned our management structure and made additional headcount reductions, resulting in severance costs of $6 million associated with the elimination of certain positions, of which $5 million was accrued on our Balance Sheet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780"/>
          </w:cols>
          <w:pgMar w:left="320" w:top="1305" w:right="799" w:bottom="1440" w:gutter="0" w:footer="0" w:header="0"/>
        </w:sectPr>
      </w:pPr>
    </w:p>
    <w:bookmarkStart w:id="132" w:name="page133"/>
    <w:bookmarkEnd w:id="132"/>
    <w:p>
      <w:pPr>
        <w:spacing w:after="0" w:line="4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1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December 31, 2023,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Internal Control Over Financial Reporting</w:t>
      </w:r>
    </w:p>
    <w:p>
      <w:pPr>
        <w:spacing w:after="0" w:line="11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15"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7"/>
          <w:szCs w:val="17"/>
          <w:color w:val="auto"/>
        </w:rPr>
        <w:t>We made no changes in our internal control over financial reporting during the fourth quarter of 2023 that have materially affected, or are reasonably likely to materially affect, our internal control over financial reporting.</w:t>
      </w:r>
    </w:p>
    <w:p>
      <w:pPr>
        <w:spacing w:after="0" w:line="18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Trading Plans</w:t>
      </w:r>
    </w:p>
    <w:p>
      <w:pPr>
        <w:spacing w:after="0" w:line="111"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7"/>
          <w:szCs w:val="17"/>
          <w:color w:val="auto"/>
        </w:rPr>
        <w:t>During the quarter ended December 31, 2023, no director or Section 16 officer adopted or terminated any Rule 10b5-1 trading arrangements or non-Rule 10b5-1 trading arrangements (in each case, as defined in Item 408(a) of Regulation S-K).</w:t>
      </w:r>
    </w:p>
    <w:p>
      <w:pPr>
        <w:spacing w:after="0" w:line="18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As described below, we incorporate by reference in this Annual Report certain information appearing in the Proxy Statement that we will furnish to our stockholders for our 2024 Annual Meeting of Stockholders (the “Proxy Statement”).</w:t>
      </w:r>
    </w:p>
    <w:p>
      <w:pPr>
        <w:spacing w:after="0" w:line="84"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Our Proxy Statement will be filed with the SEC in connection with our 2024 Annual Meeting of Stockholders. Information regarding executive officers is included in Part I of this Form 10-K as permitted by General Instruction G(3) to Form 10-K. Information required by Item 10 of Form 10-K relating to directors is incorporated by reference to the material captioned “Report on the Board of Directors and its Committees”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Board of Directors has adopted a code of conduct, our Business Conduct Guide, that applies to all of our directors, officers, and associates, including our Chief Executive Officer, Principal Financial Officer, and Chief Accounting Officer. Our Business Conduct Guide is available in the Investor Relations section of our website (marriottvacationsworldwide.com)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located at marriottvacationsworldwide.com within four business days following the date of the amendment or waiver or on a Current Report on Form 8-K.</w:t>
      </w:r>
    </w:p>
    <w:p>
      <w:pPr>
        <w:spacing w:after="0" w:line="107"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5"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“Executive and Director Compensation” and “Compensation Committee Interlocks and Insider Participation” sections of our Proxy Statement.</w:t>
      </w:r>
    </w:p>
    <w:p>
      <w:pPr>
        <w:spacing w:after="0" w:line="84"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1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“Securities Authorized for Issuance Under Equity Compensation Plans” and “Stock Ownership” sections of our Proxy Statement.</w:t>
      </w:r>
    </w:p>
    <w:p>
      <w:pPr>
        <w:spacing w:after="0" w:line="84"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incorporate this information by reference to the “Transactions with Related Persons” and “Director Independence” sections of our Proxy Statement.</w:t>
      </w:r>
    </w:p>
    <w:p>
      <w:pPr>
        <w:spacing w:after="0" w:line="145"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1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7"/>
          <w:szCs w:val="17"/>
          <w:color w:val="auto"/>
        </w:rPr>
        <w:t>We incorporate this information by reference to the “Independent Registered Public Accounting Firm Fee Disclosure” and “Pre-Approval of Independent Auditor Fees and Services Policy” sections of our Proxy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49"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filed as part of this Annual Report: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Financial Statements</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include this portion of Item 15 under Part II, Item 8 of this Annual Report.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60" w:lineRule="exact"/>
        <w:rPr>
          <w:sz w:val="20"/>
          <w:szCs w:val="20"/>
          <w:color w:val="auto"/>
        </w:rPr>
      </w:pPr>
    </w:p>
    <w:p>
      <w:pPr>
        <w:ind w:left="620" w:right="500"/>
        <w:spacing w:after="0" w:line="282" w:lineRule="auto"/>
        <w:rPr>
          <w:sz w:val="20"/>
          <w:szCs w:val="20"/>
          <w:color w:val="auto"/>
        </w:rPr>
      </w:pPr>
      <w:r>
        <w:rPr>
          <w:rFonts w:ascii="Times New Roman" w:cs="Times New Roman" w:eastAsia="Times New Roman" w:hAnsi="Times New Roman"/>
          <w:sz w:val="17"/>
          <w:szCs w:val="17"/>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Exhibits</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documents referenced below are being filed as a part of this Annual Report, unless otherwise noted.</w:t>
      </w:r>
    </w:p>
    <w:p>
      <w:pPr>
        <w:sectPr>
          <w:pgSz w:w="11900" w:h="16838" w:orient="portrait"/>
          <w:cols w:equalWidth="0" w:num="1">
            <w:col w:w="11180"/>
          </w:cols>
          <w:pgMar w:left="320" w:top="1295" w:right="399" w:bottom="1440" w:gutter="0" w:footer="0" w:header="0"/>
        </w:sectPr>
      </w:pPr>
    </w:p>
    <w:p>
      <w:pPr>
        <w:spacing w:after="0" w:line="1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95250</wp:posOffset>
            </wp:positionV>
            <wp:extent cx="5257165" cy="689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257165" cy="689610"/>
                    </a:xfrm>
                    <a:prstGeom prst="rect">
                      <a:avLst/>
                    </a:prstGeom>
                    <a:noFill/>
                  </pic:spPr>
                </pic:pic>
              </a:graphicData>
            </a:graphic>
          </wp:anchor>
        </w:drawing>
      </w:r>
    </w:p>
    <w:p>
      <w:pPr>
        <w:spacing w:after="0" w:line="139" w:lineRule="exact"/>
        <w:rPr>
          <w:sz w:val="20"/>
          <w:szCs w:val="20"/>
          <w:color w:val="auto"/>
        </w:rPr>
      </w:pPr>
    </w:p>
    <w:p>
      <w:pPr>
        <w:spacing w:after="0" w:line="222" w:lineRule="auto"/>
        <w:rPr>
          <w:rFonts w:ascii="Times New Roman" w:cs="Times New Roman" w:eastAsia="Times New Roman" w:hAnsi="Times New Roman"/>
          <w:sz w:val="17"/>
          <w:szCs w:val="17"/>
          <w:u w:val="single" w:color="auto"/>
          <w:color w:val="0000FF"/>
        </w:rPr>
      </w:pPr>
      <w:hyperlink r:id="rId174">
        <w:r>
          <w:rPr>
            <w:rFonts w:ascii="Times New Roman" w:cs="Times New Roman" w:eastAsia="Times New Roman" w:hAnsi="Times New Roman"/>
            <w:sz w:val="17"/>
            <w:szCs w:val="17"/>
            <w:u w:val="single" w:color="auto"/>
            <w:color w:val="0000FF"/>
          </w:rPr>
          <w:t>Separation and Distribution Agreement, entered into</w:t>
        </w:r>
      </w:hyperlink>
      <w:r>
        <w:rPr>
          <w:rFonts w:ascii="Times New Roman" w:cs="Times New Roman" w:eastAsia="Times New Roman" w:hAnsi="Times New Roman"/>
          <w:sz w:val="17"/>
          <w:szCs w:val="17"/>
          <w:u w:val="single" w:color="auto"/>
          <w:color w:val="0000FF"/>
        </w:rPr>
        <w:t xml:space="preserve"> </w:t>
      </w:r>
      <w:hyperlink r:id="rId174">
        <w:r>
          <w:rPr>
            <w:rFonts w:ascii="Times New Roman" w:cs="Times New Roman" w:eastAsia="Times New Roman" w:hAnsi="Times New Roman"/>
            <w:sz w:val="17"/>
            <w:szCs w:val="17"/>
            <w:u w:val="single" w:color="auto"/>
            <w:color w:val="0000FF"/>
          </w:rPr>
          <w:t>on November 17, 2011, among Marriott International,</w:t>
        </w:r>
      </w:hyperlink>
    </w:p>
    <w:p>
      <w:pPr>
        <w:spacing w:after="0" w:line="1" w:lineRule="exact"/>
        <w:rPr>
          <w:sz w:val="20"/>
          <w:szCs w:val="20"/>
          <w:color w:val="auto"/>
        </w:rPr>
      </w:pPr>
    </w:p>
    <w:p>
      <w:pPr>
        <w:ind w:right="40"/>
        <w:spacing w:after="0" w:line="222" w:lineRule="auto"/>
        <w:rPr>
          <w:rFonts w:ascii="Times New Roman" w:cs="Times New Roman" w:eastAsia="Times New Roman" w:hAnsi="Times New Roman"/>
          <w:sz w:val="16"/>
          <w:szCs w:val="16"/>
          <w:u w:val="single" w:color="auto"/>
          <w:color w:val="0000FF"/>
        </w:rPr>
      </w:pPr>
      <w:hyperlink r:id="rId174">
        <w:r>
          <w:rPr>
            <w:rFonts w:ascii="Times New Roman" w:cs="Times New Roman" w:eastAsia="Times New Roman" w:hAnsi="Times New Roman"/>
            <w:sz w:val="16"/>
            <w:szCs w:val="16"/>
            <w:u w:val="single" w:color="auto"/>
            <w:color w:val="0000FF"/>
          </w:rPr>
          <w:t>Inc., Marriott Vacations Worldwide Corporation,</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Marriott Ownership Resorts, Inc., Marriott Resorts</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Hospitality Corporation, MVCI Asia Pacific Pte. Ltd.</w:t>
        </w:r>
      </w:hyperlink>
    </w:p>
    <w:p>
      <w:pPr>
        <w:spacing w:after="0" w:line="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174">
        <w:r>
          <w:rPr>
            <w:rFonts w:ascii="Times New Roman" w:cs="Times New Roman" w:eastAsia="Times New Roman" w:hAnsi="Times New Roman"/>
            <w:sz w:val="17"/>
            <w:szCs w:val="17"/>
            <w:u w:val="single" w:color="auto"/>
            <w:color w:val="0000FF"/>
          </w:rPr>
          <w:t>and MVCO Series LLC</w:t>
        </w:r>
      </w:hyperlink>
    </w:p>
    <w:p>
      <w:pPr>
        <w:spacing w:after="0" w:line="16" w:lineRule="exact"/>
        <w:rPr>
          <w:rFonts w:ascii="Times New Roman" w:cs="Times New Roman" w:eastAsia="Times New Roman" w:hAnsi="Times New Roman"/>
          <w:sz w:val="16"/>
          <w:szCs w:val="16"/>
          <w:u w:val="single" w:color="auto"/>
          <w:color w:val="0000FF"/>
        </w:rPr>
      </w:pPr>
    </w:p>
    <w:p>
      <w:pPr>
        <w:ind w:right="100"/>
        <w:spacing w:after="0" w:line="236" w:lineRule="auto"/>
        <w:rPr>
          <w:rFonts w:ascii="Times New Roman" w:cs="Times New Roman" w:eastAsia="Times New Roman" w:hAnsi="Times New Roman"/>
          <w:sz w:val="16"/>
          <w:szCs w:val="16"/>
          <w:u w:val="single" w:color="auto"/>
          <w:color w:val="0000FF"/>
        </w:rPr>
      </w:pPr>
      <w:hyperlink r:id="rId175">
        <w:r>
          <w:rPr>
            <w:rFonts w:ascii="Times New Roman" w:cs="Times New Roman" w:eastAsia="Times New Roman" w:hAnsi="Times New Roman"/>
            <w:sz w:val="16"/>
            <w:szCs w:val="16"/>
            <w:u w:val="single" w:color="auto"/>
            <w:color w:val="0000FF"/>
          </w:rPr>
          <w:t>Agreement and Plan of Merger, dated as of April 30,</w:t>
        </w:r>
      </w:hyperlink>
      <w:r>
        <w:rPr>
          <w:rFonts w:ascii="Times New Roman" w:cs="Times New Roman" w:eastAsia="Times New Roman" w:hAnsi="Times New Roman"/>
          <w:sz w:val="16"/>
          <w:szCs w:val="16"/>
          <w:u w:val="single" w:color="auto"/>
          <w:color w:val="0000FF"/>
        </w:rPr>
        <w:t xml:space="preserve"> </w:t>
      </w:r>
      <w:hyperlink r:id="rId175">
        <w:r>
          <w:rPr>
            <w:rFonts w:ascii="Times New Roman" w:cs="Times New Roman" w:eastAsia="Times New Roman" w:hAnsi="Times New Roman"/>
            <w:sz w:val="16"/>
            <w:szCs w:val="16"/>
            <w:u w:val="single" w:color="auto"/>
            <w:color w:val="0000FF"/>
          </w:rPr>
          <w:t>2018, by and among Marriott Vacations Worldwide</w:t>
        </w:r>
      </w:hyperlink>
    </w:p>
    <w:p>
      <w:pPr>
        <w:spacing w:after="0" w:line="1" w:lineRule="exact"/>
        <w:rPr>
          <w:sz w:val="20"/>
          <w:szCs w:val="20"/>
          <w:color w:val="auto"/>
        </w:rPr>
      </w:pPr>
    </w:p>
    <w:p>
      <w:pPr>
        <w:ind w:right="300"/>
        <w:spacing w:after="0" w:line="242" w:lineRule="auto"/>
        <w:rPr>
          <w:rFonts w:ascii="Times New Roman" w:cs="Times New Roman" w:eastAsia="Times New Roman" w:hAnsi="Times New Roman"/>
          <w:sz w:val="16"/>
          <w:szCs w:val="16"/>
          <w:u w:val="single" w:color="auto"/>
          <w:color w:val="0000FF"/>
        </w:rPr>
      </w:pPr>
      <w:hyperlink r:id="rId175">
        <w:r>
          <w:rPr>
            <w:rFonts w:ascii="Times New Roman" w:cs="Times New Roman" w:eastAsia="Times New Roman" w:hAnsi="Times New Roman"/>
            <w:sz w:val="16"/>
            <w:szCs w:val="16"/>
            <w:u w:val="single" w:color="auto"/>
            <w:color w:val="0000FF"/>
          </w:rPr>
          <w:t>Corporation, ILG, Inc., Ignite Holdco, Inc., Ignite</w:t>
        </w:r>
      </w:hyperlink>
      <w:r>
        <w:rPr>
          <w:rFonts w:ascii="Times New Roman" w:cs="Times New Roman" w:eastAsia="Times New Roman" w:hAnsi="Times New Roman"/>
          <w:sz w:val="16"/>
          <w:szCs w:val="16"/>
          <w:u w:val="single" w:color="auto"/>
          <w:color w:val="0000FF"/>
        </w:rPr>
        <w:t xml:space="preserve"> </w:t>
      </w:r>
      <w:hyperlink r:id="rId175">
        <w:r>
          <w:rPr>
            <w:rFonts w:ascii="Times New Roman" w:cs="Times New Roman" w:eastAsia="Times New Roman" w:hAnsi="Times New Roman"/>
            <w:sz w:val="16"/>
            <w:szCs w:val="16"/>
            <w:u w:val="single" w:color="auto"/>
            <w:color w:val="0000FF"/>
          </w:rPr>
          <w:t>Holdco Subsidiary, Inc., Volt Merger Sub LLC</w:t>
        </w:r>
        <w:r>
          <w:rPr>
            <w:rFonts w:ascii="Times New Roman" w:cs="Times New Roman" w:eastAsia="Times New Roman" w:hAnsi="Times New Roman"/>
            <w:sz w:val="16"/>
            <w:szCs w:val="16"/>
            <w:u w:val="single" w:color="auto"/>
            <w:color w:val="0000FF"/>
            <w:vertAlign w:val="superscript"/>
          </w:rPr>
          <w:t>(1)</w:t>
        </w:r>
      </w:hyperlink>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Filed</w:t>
            </w: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6"/>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Herewith</w:t>
            </w:r>
          </w:p>
        </w:tc>
        <w:tc>
          <w:tcPr>
            <w:tcW w:w="120" w:type="dxa"/>
            <w:vAlign w:val="bottom"/>
            <w:vMerge w:val="restart"/>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Pr>
          <w:p>
            <w:pPr>
              <w:spacing w:after="0"/>
              <w:rPr>
                <w:sz w:val="17"/>
                <w:szCs w:val="17"/>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80"/>
        <w:spacing w:after="0"/>
        <w:tabs>
          <w:tab w:leader="none" w:pos="1900" w:val="left"/>
          <w:tab w:leader="none" w:pos="260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11/22/2011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80"/>
        <w:spacing w:after="0"/>
        <w:tabs>
          <w:tab w:leader="none" w:pos="1900" w:val="left"/>
          <w:tab w:leader="none" w:pos="268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5/1/2018</w:t>
      </w:r>
    </w:p>
    <w:p>
      <w:pPr>
        <w:spacing w:after="0" w:line="482" w:lineRule="exact"/>
        <w:rPr>
          <w:sz w:val="20"/>
          <w:szCs w:val="20"/>
          <w:color w:val="auto"/>
        </w:rPr>
      </w:pPr>
    </w:p>
    <w:p>
      <w:pPr>
        <w:sectPr>
          <w:pgSz w:w="11900" w:h="16838" w:orient="portrait"/>
          <w:cols w:equalWidth="0" w:num="3">
            <w:col w:w="660" w:space="260"/>
            <w:col w:w="3680" w:space="200"/>
            <w:col w:w="6380"/>
          </w:cols>
          <w:pgMar w:left="320" w:top="129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295" w:right="399" w:bottom="1440" w:gutter="0" w:footer="0" w:header="0"/>
          <w:type w:val="continuous"/>
        </w:sectPr>
      </w:pPr>
    </w:p>
    <w:bookmarkStart w:id="134" w:name="page135"/>
    <w:bookmarkEnd w:id="134"/>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2.3</w:t>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3.1</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3.2</w:t>
      </w:r>
    </w:p>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4.1</w:t>
      </w: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4.2</w:t>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4.5</w:t>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4.6</w:t>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4.7</w:t>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4.8</w:t>
      </w:r>
    </w:p>
    <w:p>
      <w:pPr>
        <w:spacing w:after="0" w:line="200" w:lineRule="exact"/>
        <w:rPr>
          <w:sz w:val="20"/>
          <w:szCs w:val="20"/>
          <w:color w:val="auto"/>
        </w:rPr>
      </w:pPr>
    </w:p>
    <w:p>
      <w:pPr>
        <w:spacing w:after="0" w:line="3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4.9</w:t>
      </w: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4.10</w:t>
      </w:r>
    </w:p>
    <w:p>
      <w:pPr>
        <w:spacing w:after="0" w:line="1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4.11</w:t>
      </w:r>
    </w:p>
    <w:p>
      <w:pPr>
        <w:spacing w:after="0" w:line="3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95250</wp:posOffset>
            </wp:positionV>
            <wp:extent cx="5257165" cy="5842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5257165" cy="584200"/>
                    </a:xfrm>
                    <a:prstGeom prst="rect">
                      <a:avLst/>
                    </a:prstGeom>
                    <a:noFill/>
                  </pic:spPr>
                </pic:pic>
              </a:graphicData>
            </a:graphic>
          </wp:anchor>
        </w:drawing>
      </w:r>
    </w:p>
    <w:p>
      <w:pPr>
        <w:spacing w:after="0" w:line="139" w:lineRule="exact"/>
        <w:rPr>
          <w:sz w:val="20"/>
          <w:szCs w:val="20"/>
          <w:color w:val="auto"/>
        </w:rPr>
      </w:pPr>
    </w:p>
    <w:p>
      <w:pPr>
        <w:spacing w:after="0" w:line="222" w:lineRule="auto"/>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7"/>
            <w:szCs w:val="17"/>
            <w:u w:val="single" w:color="auto"/>
            <w:color w:val="0000FF"/>
          </w:rPr>
          <w:t>Agreement and Plan of Merger by and among Marriott</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Vacations Worldwide Corporation, Sommelier</w:t>
        </w:r>
      </w:hyperlink>
    </w:p>
    <w:p>
      <w:pPr>
        <w:spacing w:after="0" w:line="1" w:lineRule="exact"/>
        <w:rPr>
          <w:sz w:val="20"/>
          <w:szCs w:val="20"/>
          <w:color w:val="auto"/>
        </w:rPr>
      </w:pPr>
    </w:p>
    <w:p>
      <w:pPr>
        <w:ind w:right="280"/>
        <w:spacing w:after="0" w:line="219" w:lineRule="auto"/>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7"/>
            <w:szCs w:val="17"/>
            <w:u w:val="single" w:color="auto"/>
            <w:color w:val="0000FF"/>
          </w:rPr>
          <w:t>Acquisition Corp., Champagne Resorts, Inc., Welk</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Hospitality Group, Inc. and the Shareholder</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Representative, dated as of January 26, 2021</w:t>
        </w:r>
      </w:hyperlink>
    </w:p>
    <w:p>
      <w:pPr>
        <w:spacing w:after="0" w:line="9" w:lineRule="exact"/>
        <w:rPr>
          <w:rFonts w:ascii="Times New Roman" w:cs="Times New Roman" w:eastAsia="Times New Roman" w:hAnsi="Times New Roman"/>
          <w:sz w:val="17"/>
          <w:szCs w:val="17"/>
          <w:u w:val="single" w:color="auto"/>
          <w:color w:val="0000FF"/>
        </w:rPr>
      </w:pPr>
    </w:p>
    <w:p>
      <w:pPr>
        <w:ind w:right="500"/>
        <w:spacing w:after="0" w:line="238" w:lineRule="auto"/>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Second Restated Certificate of Incorporation of</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Marriott Vacations Worldwide Corporation</w:t>
        </w:r>
      </w:hyperlink>
    </w:p>
    <w:p>
      <w:pPr>
        <w:spacing w:after="0" w:line="8" w:lineRule="exact"/>
        <w:rPr>
          <w:sz w:val="20"/>
          <w:szCs w:val="20"/>
          <w:color w:val="auto"/>
        </w:rPr>
      </w:pPr>
    </w:p>
    <w:p>
      <w:pPr>
        <w:ind w:right="300"/>
        <w:spacing w:after="0" w:line="238"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Restated Bylaws of Marriott Vacations Worldwide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Corporation (effective May 12,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-243205</wp:posOffset>
            </wp:positionV>
            <wp:extent cx="5257165" cy="2514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40"/>
        <w:spacing w:after="0" w:line="236" w:lineRule="auto"/>
        <w:rPr>
          <w:rFonts w:ascii="Times New Roman" w:cs="Times New Roman" w:eastAsia="Times New Roman" w:hAnsi="Times New Roman"/>
          <w:sz w:val="16"/>
          <w:szCs w:val="16"/>
          <w:u w:val="single" w:color="auto"/>
          <w:color w:val="0000FF"/>
        </w:rPr>
      </w:pPr>
      <w:hyperlink r:id="rId182">
        <w:r>
          <w:rPr>
            <w:rFonts w:ascii="Times New Roman" w:cs="Times New Roman" w:eastAsia="Times New Roman" w:hAnsi="Times New Roman"/>
            <w:sz w:val="16"/>
            <w:szCs w:val="16"/>
            <w:u w:val="single" w:color="auto"/>
            <w:color w:val="0000FF"/>
          </w:rPr>
          <w:t>Form of certificate representing shares of common</w:t>
        </w:r>
      </w:hyperlink>
      <w:r>
        <w:rPr>
          <w:rFonts w:ascii="Times New Roman" w:cs="Times New Roman" w:eastAsia="Times New Roman" w:hAnsi="Times New Roman"/>
          <w:sz w:val="16"/>
          <w:szCs w:val="16"/>
          <w:u w:val="single" w:color="auto"/>
          <w:color w:val="0000FF"/>
        </w:rPr>
        <w:t xml:space="preserve"> </w:t>
      </w:r>
      <w:hyperlink r:id="rId182">
        <w:r>
          <w:rPr>
            <w:rFonts w:ascii="Times New Roman" w:cs="Times New Roman" w:eastAsia="Times New Roman" w:hAnsi="Times New Roman"/>
            <w:sz w:val="16"/>
            <w:szCs w:val="16"/>
            <w:u w:val="single" w:color="auto"/>
            <w:color w:val="0000FF"/>
          </w:rPr>
          <w:t>stock, par value $0.01 per share, of Marriott Vacations</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Worldwide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4445</wp:posOffset>
            </wp:positionV>
            <wp:extent cx="5257165" cy="5759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5257165" cy="575945"/>
                    </a:xfrm>
                    <a:prstGeom prst="rect">
                      <a:avLst/>
                    </a:prstGeom>
                    <a:noFill/>
                  </pic:spPr>
                </pic:pic>
              </a:graphicData>
            </a:graphic>
          </wp:anchor>
        </w:drawing>
      </w:r>
    </w:p>
    <w:p>
      <w:pPr>
        <w:ind w:right="60"/>
        <w:spacing w:after="0" w:line="220" w:lineRule="auto"/>
        <w:rPr>
          <w:rFonts w:ascii="Times New Roman" w:cs="Times New Roman" w:eastAsia="Times New Roman" w:hAnsi="Times New Roman"/>
          <w:sz w:val="17"/>
          <w:szCs w:val="17"/>
          <w:u w:val="single" w:color="auto"/>
          <w:color w:val="0000FF"/>
        </w:rPr>
      </w:pPr>
      <w:hyperlink r:id="rId184">
        <w:r>
          <w:rPr>
            <w:rFonts w:ascii="Times New Roman" w:cs="Times New Roman" w:eastAsia="Times New Roman" w:hAnsi="Times New Roman"/>
            <w:sz w:val="17"/>
            <w:szCs w:val="17"/>
            <w:u w:val="single" w:color="auto"/>
            <w:color w:val="0000FF"/>
          </w:rPr>
          <w:t>Indenture, dated as of October 1, 2019, by and among</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Marriott Ownership Resorts, Inc., Marriott Vacations</w:t>
        </w:r>
      </w:hyperlink>
    </w:p>
    <w:p>
      <w:pPr>
        <w:ind w:right="200"/>
        <w:spacing w:after="0" w:line="219" w:lineRule="auto"/>
        <w:rPr>
          <w:rFonts w:ascii="Times New Roman" w:cs="Times New Roman" w:eastAsia="Times New Roman" w:hAnsi="Times New Roman"/>
          <w:sz w:val="17"/>
          <w:szCs w:val="17"/>
          <w:u w:val="single" w:color="auto"/>
          <w:color w:val="0000FF"/>
        </w:rPr>
      </w:pPr>
      <w:hyperlink r:id="rId184">
        <w:r>
          <w:rPr>
            <w:rFonts w:ascii="Times New Roman" w:cs="Times New Roman" w:eastAsia="Times New Roman" w:hAnsi="Times New Roman"/>
            <w:sz w:val="17"/>
            <w:szCs w:val="17"/>
            <w:u w:val="single" w:color="auto"/>
            <w:color w:val="0000FF"/>
          </w:rPr>
          <w:t>Worldwide Corporation, as guarantor, the other</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guarantors party thereto and The Bank of New York</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Mellon Trust Company, N.A., as trustee</w:t>
        </w:r>
      </w:hyperlink>
    </w:p>
    <w:p>
      <w:pPr>
        <w:spacing w:after="0" w:line="9" w:lineRule="exact"/>
        <w:rPr>
          <w:rFonts w:ascii="Times New Roman" w:cs="Times New Roman" w:eastAsia="Times New Roman" w:hAnsi="Times New Roman"/>
          <w:sz w:val="17"/>
          <w:szCs w:val="17"/>
          <w:u w:val="single" w:color="auto"/>
          <w:color w:val="0000FF"/>
        </w:rPr>
      </w:pPr>
    </w:p>
    <w:p>
      <w:pPr>
        <w:ind w:right="140"/>
        <w:spacing w:after="0" w:line="238" w:lineRule="auto"/>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u w:val="single" w:color="auto"/>
            <w:color w:val="0000FF"/>
          </w:rPr>
          <w:t>Form of 4.750% Senior Notes due 2028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Exhibit A to Exhibit 4.2 above)</w:t>
      </w:r>
    </w:p>
    <w:p>
      <w:pPr>
        <w:spacing w:after="0" w:line="8" w:lineRule="exact"/>
        <w:rPr>
          <w:rFonts w:ascii="Times New Roman" w:cs="Times New Roman" w:eastAsia="Times New Roman" w:hAnsi="Times New Roman"/>
          <w:sz w:val="17"/>
          <w:szCs w:val="17"/>
          <w:u w:val="single" w:color="auto"/>
          <w:color w:val="0000FF"/>
        </w:rPr>
      </w:pPr>
    </w:p>
    <w:p>
      <w:pPr>
        <w:jc w:val="both"/>
        <w:spacing w:after="0" w:line="222" w:lineRule="auto"/>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Registration Rights Agreement, dated as of October 1,</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2019, by and among Marriott Ownership Resorts,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5759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5257165" cy="575945"/>
                    </a:xfrm>
                    <a:prstGeom prst="rect">
                      <a:avLst/>
                    </a:prstGeom>
                    <a:noFill/>
                  </pic:spPr>
                </pic:pic>
              </a:graphicData>
            </a:graphic>
          </wp:anchor>
        </w:drawing>
      </w:r>
    </w:p>
    <w:p>
      <w:pPr>
        <w:ind w:right="180"/>
        <w:spacing w:after="0" w:line="219" w:lineRule="auto"/>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Marriott Vacations Worldwide Corporation, as</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guarantor, the other guarantors party thereto and J.P.</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Morgan Securities LLC</w:t>
        </w:r>
      </w:hyperlink>
    </w:p>
    <w:p>
      <w:pPr>
        <w:spacing w:after="0" w:line="9" w:lineRule="exact"/>
        <w:rPr>
          <w:rFonts w:ascii="Times New Roman" w:cs="Times New Roman" w:eastAsia="Times New Roman" w:hAnsi="Times New Roman"/>
          <w:sz w:val="17"/>
          <w:szCs w:val="17"/>
          <w:u w:val="single" w:color="auto"/>
          <w:color w:val="0000FF"/>
        </w:rPr>
      </w:pPr>
    </w:p>
    <w:p>
      <w:pPr>
        <w:spacing w:after="0" w:line="222" w:lineRule="auto"/>
        <w:rPr>
          <w:rFonts w:ascii="Times New Roman" w:cs="Times New Roman" w:eastAsia="Times New Roman" w:hAnsi="Times New Roman"/>
          <w:sz w:val="17"/>
          <w:szCs w:val="17"/>
          <w:u w:val="single" w:color="auto"/>
          <w:color w:val="0000FF"/>
        </w:rPr>
      </w:pPr>
      <w:hyperlink r:id="rId187">
        <w:r>
          <w:rPr>
            <w:rFonts w:ascii="Times New Roman" w:cs="Times New Roman" w:eastAsia="Times New Roman" w:hAnsi="Times New Roman"/>
            <w:sz w:val="17"/>
            <w:szCs w:val="17"/>
            <w:u w:val="single" w:color="auto"/>
            <w:color w:val="0000FF"/>
          </w:rPr>
          <w:t>Indenture, dated as of February 2, 2021, by and among</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Marriott Vacations Worldwide Corporation, Marriott</w:t>
        </w:r>
      </w:hyperlink>
    </w:p>
    <w:p>
      <w:pPr>
        <w:spacing w:after="0" w:line="1" w:lineRule="exact"/>
        <w:rPr>
          <w:sz w:val="20"/>
          <w:szCs w:val="20"/>
          <w:color w:val="auto"/>
        </w:rPr>
      </w:pPr>
    </w:p>
    <w:p>
      <w:pPr>
        <w:spacing w:after="0" w:line="219" w:lineRule="auto"/>
        <w:rPr>
          <w:rFonts w:ascii="Times New Roman" w:cs="Times New Roman" w:eastAsia="Times New Roman" w:hAnsi="Times New Roman"/>
          <w:sz w:val="17"/>
          <w:szCs w:val="17"/>
          <w:u w:val="single" w:color="auto"/>
          <w:color w:val="0000FF"/>
        </w:rPr>
      </w:pPr>
      <w:hyperlink r:id="rId187">
        <w:r>
          <w:rPr>
            <w:rFonts w:ascii="Times New Roman" w:cs="Times New Roman" w:eastAsia="Times New Roman" w:hAnsi="Times New Roman"/>
            <w:sz w:val="17"/>
            <w:szCs w:val="17"/>
            <w:u w:val="single" w:color="auto"/>
            <w:color w:val="0000FF"/>
          </w:rPr>
          <w:t>Ownership Resorts, Inc. and the other guarantors party</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thereto and The Bank of New York Mellon Trust</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Company, N.A., as trustee</w:t>
        </w:r>
      </w:hyperlink>
    </w:p>
    <w:p>
      <w:pPr>
        <w:spacing w:after="0" w:line="9" w:lineRule="exact"/>
        <w:rPr>
          <w:rFonts w:ascii="Times New Roman" w:cs="Times New Roman" w:eastAsia="Times New Roman" w:hAnsi="Times New Roman"/>
          <w:sz w:val="17"/>
          <w:szCs w:val="17"/>
          <w:u w:val="single" w:color="auto"/>
          <w:color w:val="0000FF"/>
        </w:rPr>
      </w:pPr>
    </w:p>
    <w:p>
      <w:pPr>
        <w:ind w:right="320"/>
        <w:spacing w:after="0" w:line="238" w:lineRule="auto"/>
        <w:rPr>
          <w:rFonts w:ascii="Times New Roman" w:cs="Times New Roman" w:eastAsia="Times New Roman" w:hAnsi="Times New Roman"/>
          <w:sz w:val="17"/>
          <w:szCs w:val="17"/>
          <w:u w:val="single" w:color="auto"/>
          <w:color w:val="0000FF"/>
        </w:rPr>
      </w:pPr>
      <w:hyperlink r:id="rId187">
        <w:r>
          <w:rPr>
            <w:rFonts w:ascii="Times New Roman" w:cs="Times New Roman" w:eastAsia="Times New Roman" w:hAnsi="Times New Roman"/>
            <w:sz w:val="17"/>
            <w:szCs w:val="17"/>
            <w:u w:val="single" w:color="auto"/>
            <w:color w:val="0000FF"/>
          </w:rPr>
          <w:t>Form of 0.00% Convertible Senior Note due 2026</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(included as Exhibit A to Exhibit 4.5 above)</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-569595</wp:posOffset>
            </wp:positionH>
            <wp:positionV relativeFrom="paragraph">
              <wp:posOffset>-243205</wp:posOffset>
            </wp:positionV>
            <wp:extent cx="5257165" cy="2514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120"/>
        <w:spacing w:after="0" w:line="236" w:lineRule="auto"/>
        <w:rPr>
          <w:rFonts w:ascii="Times New Roman" w:cs="Times New Roman" w:eastAsia="Times New Roman" w:hAnsi="Times New Roman"/>
          <w:sz w:val="16"/>
          <w:szCs w:val="16"/>
          <w:u w:val="single" w:color="auto"/>
          <w:color w:val="0000FF"/>
        </w:rPr>
      </w:pPr>
      <w:hyperlink r:id="rId189">
        <w:r>
          <w:rPr>
            <w:rFonts w:ascii="Times New Roman" w:cs="Times New Roman" w:eastAsia="Times New Roman" w:hAnsi="Times New Roman"/>
            <w:sz w:val="16"/>
            <w:szCs w:val="16"/>
            <w:u w:val="single" w:color="auto"/>
            <w:color w:val="0000FF"/>
          </w:rPr>
          <w:t>Indenture, dated as of June 21, 2021, by and among</w:t>
        </w:r>
      </w:hyperlink>
      <w:r>
        <w:rPr>
          <w:rFonts w:ascii="Times New Roman" w:cs="Times New Roman" w:eastAsia="Times New Roman" w:hAnsi="Times New Roman"/>
          <w:sz w:val="16"/>
          <w:szCs w:val="16"/>
          <w:u w:val="single" w:color="auto"/>
          <w:color w:val="0000FF"/>
        </w:rPr>
        <w:t xml:space="preserve"> </w:t>
      </w:r>
      <w:hyperlink r:id="rId189">
        <w:r>
          <w:rPr>
            <w:rFonts w:ascii="Times New Roman" w:cs="Times New Roman" w:eastAsia="Times New Roman" w:hAnsi="Times New Roman"/>
            <w:sz w:val="16"/>
            <w:szCs w:val="16"/>
            <w:u w:val="single" w:color="auto"/>
            <w:color w:val="0000FF"/>
          </w:rPr>
          <w:t>Marriott Ownership Resorts, Inc., Marriott Vacations</w:t>
        </w:r>
      </w:hyperlink>
    </w:p>
    <w:p>
      <w:pPr>
        <w:spacing w:after="0" w:line="1" w:lineRule="exact"/>
        <w:rPr>
          <w:sz w:val="20"/>
          <w:szCs w:val="20"/>
          <w:color w:val="auto"/>
        </w:rPr>
      </w:pPr>
    </w:p>
    <w:p>
      <w:pPr>
        <w:ind w:right="200"/>
        <w:spacing w:after="0" w:line="219"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Worldwide Corporation, as guarantor, the other</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guarantors party thereto and The Bank of New York</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Mellon Trust Company, N.A., as trustee</w:t>
        </w:r>
      </w:hyperlink>
    </w:p>
    <w:p>
      <w:pPr>
        <w:spacing w:after="0" w:line="9" w:lineRule="exact"/>
        <w:rPr>
          <w:rFonts w:ascii="Times New Roman" w:cs="Times New Roman" w:eastAsia="Times New Roman" w:hAnsi="Times New Roman"/>
          <w:sz w:val="17"/>
          <w:szCs w:val="17"/>
          <w:u w:val="single" w:color="auto"/>
          <w:color w:val="0000FF"/>
        </w:rPr>
      </w:pPr>
    </w:p>
    <w:p>
      <w:pPr>
        <w:ind w:right="140"/>
        <w:spacing w:after="0" w:line="238" w:lineRule="auto"/>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u w:val="single" w:color="auto"/>
            <w:color w:val="0000FF"/>
          </w:rPr>
          <w:t>Form of 4.500% Senior Notes due 2029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(included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Exhibit A to Exhibit 4.7 above)</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-569595</wp:posOffset>
            </wp:positionH>
            <wp:positionV relativeFrom="paragraph">
              <wp:posOffset>-243205</wp:posOffset>
            </wp:positionV>
            <wp:extent cx="5257165" cy="2514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80"/>
        <w:spacing w:after="0" w:line="236" w:lineRule="auto"/>
        <w:rPr>
          <w:rFonts w:ascii="Times New Roman" w:cs="Times New Roman" w:eastAsia="Times New Roman" w:hAnsi="Times New Roman"/>
          <w:sz w:val="16"/>
          <w:szCs w:val="16"/>
          <w:u w:val="single" w:color="auto"/>
          <w:color w:val="0000FF"/>
        </w:rPr>
      </w:pPr>
      <w:hyperlink r:id="rId192">
        <w:r>
          <w:rPr>
            <w:rFonts w:ascii="Times New Roman" w:cs="Times New Roman" w:eastAsia="Times New Roman" w:hAnsi="Times New Roman"/>
            <w:sz w:val="16"/>
            <w:szCs w:val="16"/>
            <w:u w:val="single" w:color="auto"/>
            <w:color w:val="0000FF"/>
          </w:rPr>
          <w:t>Indenture, dated as of December 8, 2022, by and</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among Marriott Vacations Worldwide Corporation, as</w:t>
        </w:r>
      </w:hyperlink>
    </w:p>
    <w:p>
      <w:pPr>
        <w:spacing w:after="0" w:line="1" w:lineRule="exact"/>
        <w:rPr>
          <w:sz w:val="20"/>
          <w:szCs w:val="20"/>
          <w:color w:val="auto"/>
        </w:rPr>
      </w:pPr>
    </w:p>
    <w:p>
      <w:pPr>
        <w:ind w:right="80"/>
        <w:spacing w:after="0" w:line="222" w:lineRule="auto"/>
        <w:rPr>
          <w:rFonts w:ascii="Times New Roman" w:cs="Times New Roman" w:eastAsia="Times New Roman" w:hAnsi="Times New Roman"/>
          <w:sz w:val="16"/>
          <w:szCs w:val="16"/>
          <w:u w:val="single" w:color="auto"/>
          <w:color w:val="0000FF"/>
        </w:rPr>
      </w:pPr>
      <w:hyperlink r:id="rId192">
        <w:r>
          <w:rPr>
            <w:rFonts w:ascii="Times New Roman" w:cs="Times New Roman" w:eastAsia="Times New Roman" w:hAnsi="Times New Roman"/>
            <w:sz w:val="16"/>
            <w:szCs w:val="16"/>
            <w:u w:val="single" w:color="auto"/>
            <w:color w:val="0000FF"/>
          </w:rPr>
          <w:t>issuer, Marriott Ownership Resorts, Inc. and the other</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guarantors party thereto from time to time and The</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New York Bank of Mellon Trust Company, N.A., as</w:t>
        </w:r>
      </w:hyperlink>
    </w:p>
    <w:p>
      <w:pPr>
        <w:spacing w:after="0" w:line="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7"/>
            <w:szCs w:val="17"/>
            <w:u w:val="single" w:color="auto"/>
            <w:color w:val="0000FF"/>
          </w:rPr>
          <w:t>trustee</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-569595</wp:posOffset>
            </wp:positionH>
            <wp:positionV relativeFrom="paragraph">
              <wp:posOffset>4445</wp:posOffset>
            </wp:positionV>
            <wp:extent cx="5257165" cy="2514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260"/>
        <w:spacing w:after="0" w:line="235" w:lineRule="auto"/>
        <w:rPr>
          <w:rFonts w:ascii="Times New Roman" w:cs="Times New Roman" w:eastAsia="Times New Roman" w:hAnsi="Times New Roman"/>
          <w:sz w:val="17"/>
          <w:szCs w:val="17"/>
          <w:u w:val="single" w:color="auto"/>
          <w:color w:val="0000FF"/>
        </w:rPr>
      </w:pPr>
      <w:hyperlink r:id="rId194">
        <w:r>
          <w:rPr>
            <w:rFonts w:ascii="Times New Roman" w:cs="Times New Roman" w:eastAsia="Times New Roman" w:hAnsi="Times New Roman"/>
            <w:sz w:val="17"/>
            <w:szCs w:val="17"/>
            <w:u w:val="single" w:color="auto"/>
            <w:color w:val="0000FF"/>
          </w:rPr>
          <w:t>Form of 3.25% Convertible Senior Notes due 2027</w:t>
        </w:r>
      </w:hyperlink>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(included as Exhibit A to Exhibit 4.10 above)</w:t>
      </w:r>
    </w:p>
    <w:p>
      <w:pPr>
        <w:spacing w:after="0" w:line="2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7"/>
            <w:szCs w:val="17"/>
            <w:u w:val="single" w:color="auto"/>
            <w:color w:val="0000FF"/>
          </w:rPr>
          <w:t>Description of Registered Securities</w:t>
        </w:r>
      </w:hyperlink>
    </w:p>
    <w:p>
      <w:pPr>
        <w:spacing w:after="0" w:line="34" w:lineRule="exact"/>
        <w:rPr>
          <w:rFonts w:ascii="Times New Roman" w:cs="Times New Roman" w:eastAsia="Times New Roman" w:hAnsi="Times New Roman"/>
          <w:sz w:val="16"/>
          <w:szCs w:val="16"/>
          <w:u w:val="single" w:color="auto"/>
          <w:color w:val="0000FF"/>
        </w:rPr>
      </w:pPr>
    </w:p>
    <w:p>
      <w:pPr>
        <w:ind w:right="160"/>
        <w:spacing w:after="0" w:line="222" w:lineRule="auto"/>
        <w:rPr>
          <w:rFonts w:ascii="Times New Roman" w:cs="Times New Roman" w:eastAsia="Times New Roman" w:hAnsi="Times New Roman"/>
          <w:sz w:val="17"/>
          <w:szCs w:val="17"/>
          <w:u w:val="single" w:color="auto"/>
          <w:color w:val="0000FF"/>
        </w:rPr>
      </w:pPr>
      <w:hyperlink r:id="rId196">
        <w:r>
          <w:rPr>
            <w:rFonts w:ascii="Times New Roman" w:cs="Times New Roman" w:eastAsia="Times New Roman" w:hAnsi="Times New Roman"/>
            <w:sz w:val="17"/>
            <w:szCs w:val="17"/>
            <w:u w:val="single" w:color="auto"/>
            <w:color w:val="0000FF"/>
          </w:rPr>
          <w:t>License, Services, and Development Agreement,</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entered into on November 17, 2011, among Marriott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575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5257165" cy="575945"/>
                    </a:xfrm>
                    <a:prstGeom prst="rect">
                      <a:avLst/>
                    </a:prstGeom>
                    <a:noFill/>
                  </pic:spPr>
                </pic:pic>
              </a:graphicData>
            </a:graphic>
          </wp:anchor>
        </w:drawing>
      </w:r>
    </w:p>
    <w:p>
      <w:pPr>
        <w:ind w:right="160"/>
        <w:spacing w:after="0" w:line="219" w:lineRule="auto"/>
        <w:rPr>
          <w:rFonts w:ascii="Times New Roman" w:cs="Times New Roman" w:eastAsia="Times New Roman" w:hAnsi="Times New Roman"/>
          <w:sz w:val="17"/>
          <w:szCs w:val="17"/>
          <w:u w:val="single" w:color="auto"/>
          <w:color w:val="0000FF"/>
        </w:rPr>
      </w:pPr>
      <w:hyperlink r:id="rId196">
        <w:r>
          <w:rPr>
            <w:rFonts w:ascii="Times New Roman" w:cs="Times New Roman" w:eastAsia="Times New Roman" w:hAnsi="Times New Roman"/>
            <w:sz w:val="17"/>
            <w:szCs w:val="17"/>
            <w:u w:val="single" w:color="auto"/>
            <w:color w:val="0000FF"/>
          </w:rPr>
          <w:t>International, Inc., Marriott Worldwide Corporation,</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Marriott Vacations Worldwide Corporation and the</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other signatories thereto</w:t>
        </w:r>
      </w:hyperlink>
    </w:p>
    <w:p>
      <w:pPr>
        <w:spacing w:after="0" w:line="22" w:lineRule="exact"/>
        <w:rPr>
          <w:rFonts w:ascii="Times New Roman" w:cs="Times New Roman" w:eastAsia="Times New Roman" w:hAnsi="Times New Roman"/>
          <w:sz w:val="17"/>
          <w:szCs w:val="17"/>
          <w:u w:val="single" w:color="auto"/>
          <w:color w:val="0000FF"/>
        </w:rPr>
      </w:pPr>
    </w:p>
    <w:p>
      <w:pPr>
        <w:ind w:right="380"/>
        <w:spacing w:after="0" w:line="236" w:lineRule="auto"/>
        <w:rPr>
          <w:rFonts w:ascii="Times New Roman" w:cs="Times New Roman" w:eastAsia="Times New Roman" w:hAnsi="Times New Roman"/>
          <w:sz w:val="16"/>
          <w:szCs w:val="16"/>
          <w:u w:val="single" w:color="auto"/>
          <w:color w:val="0000FF"/>
        </w:rPr>
      </w:pPr>
      <w:hyperlink r:id="rId198">
        <w:r>
          <w:rPr>
            <w:rFonts w:ascii="Times New Roman" w:cs="Times New Roman" w:eastAsia="Times New Roman" w:hAnsi="Times New Roman"/>
            <w:sz w:val="16"/>
            <w:szCs w:val="16"/>
            <w:u w:val="single" w:color="auto"/>
            <w:color w:val="0000FF"/>
          </w:rPr>
          <w:t>Letter Agreement, dated as of February 21, 2013,</w:t>
        </w:r>
      </w:hyperlink>
      <w:r>
        <w:rPr>
          <w:rFonts w:ascii="Times New Roman" w:cs="Times New Roman" w:eastAsia="Times New Roman" w:hAnsi="Times New Roman"/>
          <w:sz w:val="16"/>
          <w:szCs w:val="16"/>
          <w:u w:val="single" w:color="auto"/>
          <w:color w:val="0000FF"/>
        </w:rPr>
        <w:t xml:space="preserve"> </w:t>
      </w:r>
      <w:hyperlink r:id="rId198">
        <w:r>
          <w:rPr>
            <w:rFonts w:ascii="Times New Roman" w:cs="Times New Roman" w:eastAsia="Times New Roman" w:hAnsi="Times New Roman"/>
            <w:sz w:val="16"/>
            <w:szCs w:val="16"/>
            <w:u w:val="single" w:color="auto"/>
            <w:color w:val="0000FF"/>
          </w:rPr>
          <w:t>between Marriott International, Inc. and Marriott</w:t>
        </w:r>
      </w:hyperlink>
    </w:p>
    <w:p>
      <w:pPr>
        <w:spacing w:after="0" w:line="1" w:lineRule="exact"/>
        <w:rPr>
          <w:sz w:val="20"/>
          <w:szCs w:val="20"/>
          <w:color w:val="auto"/>
        </w:rPr>
      </w:pPr>
    </w:p>
    <w:p>
      <w:pPr>
        <w:ind w:right="80"/>
        <w:spacing w:after="0" w:line="227" w:lineRule="auto"/>
        <w:rPr>
          <w:rFonts w:ascii="Times New Roman" w:cs="Times New Roman" w:eastAsia="Times New Roman" w:hAnsi="Times New Roman"/>
          <w:sz w:val="17"/>
          <w:szCs w:val="17"/>
          <w:u w:val="single" w:color="auto"/>
          <w:color w:val="0000FF"/>
        </w:rPr>
      </w:pPr>
      <w:hyperlink r:id="rId198">
        <w:r>
          <w:rPr>
            <w:rFonts w:ascii="Times New Roman" w:cs="Times New Roman" w:eastAsia="Times New Roman" w:hAnsi="Times New Roman"/>
            <w:sz w:val="17"/>
            <w:szCs w:val="17"/>
            <w:u w:val="single" w:color="auto"/>
            <w:color w:val="0000FF"/>
          </w:rPr>
          <w:t>Vacations Worldwide Corporation, supplementing the</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License, Services, and Development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7620</wp:posOffset>
            </wp:positionV>
            <wp:extent cx="5257165" cy="681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5257165" cy="681355"/>
                    </a:xfrm>
                    <a:prstGeom prst="rect">
                      <a:avLst/>
                    </a:prstGeom>
                    <a:noFill/>
                  </pic:spPr>
                </pic:pic>
              </a:graphicData>
            </a:graphic>
          </wp:anchor>
        </w:drawing>
      </w:r>
    </w:p>
    <w:p>
      <w:pPr>
        <w:spacing w:after="0" w:line="78" w:lineRule="exact"/>
        <w:rPr>
          <w:sz w:val="20"/>
          <w:szCs w:val="20"/>
          <w:color w:val="auto"/>
        </w:rPr>
      </w:pPr>
    </w:p>
    <w:p>
      <w:pPr>
        <w:ind w:right="20"/>
        <w:spacing w:after="0" w:line="216" w:lineRule="auto"/>
        <w:rPr>
          <w:rFonts w:ascii="Times New Roman" w:cs="Times New Roman" w:eastAsia="Times New Roman" w:hAnsi="Times New Roman"/>
          <w:sz w:val="17"/>
          <w:szCs w:val="17"/>
          <w:u w:val="single" w:color="auto"/>
          <w:color w:val="0000FF"/>
        </w:rPr>
      </w:pPr>
      <w:hyperlink r:id="rId200">
        <w:r>
          <w:rPr>
            <w:rFonts w:ascii="Times New Roman" w:cs="Times New Roman" w:eastAsia="Times New Roman" w:hAnsi="Times New Roman"/>
            <w:sz w:val="17"/>
            <w:szCs w:val="17"/>
            <w:u w:val="single" w:color="auto"/>
            <w:color w:val="0000FF"/>
          </w:rPr>
          <w:t>Letter Agreement, dated May 9, 2016, among Marriott</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Vacations Worldwide Corporation, Marriott</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Worldwide Corporation and Marriott International,</w:t>
        </w:r>
      </w:hyperlink>
    </w:p>
    <w:p>
      <w:pPr>
        <w:spacing w:after="0" w:line="1" w:lineRule="exact"/>
        <w:rPr>
          <w:rFonts w:ascii="Times New Roman" w:cs="Times New Roman" w:eastAsia="Times New Roman" w:hAnsi="Times New Roman"/>
          <w:sz w:val="17"/>
          <w:szCs w:val="17"/>
          <w:u w:val="single" w:color="auto"/>
          <w:color w:val="0000FF"/>
        </w:rPr>
      </w:pPr>
    </w:p>
    <w:p>
      <w:pPr>
        <w:ind w:right="920"/>
        <w:spacing w:after="0" w:line="227" w:lineRule="auto"/>
        <w:rPr>
          <w:rFonts w:ascii="Times New Roman" w:cs="Times New Roman" w:eastAsia="Times New Roman" w:hAnsi="Times New Roman"/>
          <w:sz w:val="17"/>
          <w:szCs w:val="17"/>
          <w:u w:val="single" w:color="auto"/>
          <w:color w:val="0000FF"/>
        </w:rPr>
      </w:pPr>
      <w:hyperlink r:id="rId200">
        <w:r>
          <w:rPr>
            <w:rFonts w:ascii="Times New Roman" w:cs="Times New Roman" w:eastAsia="Times New Roman" w:hAnsi="Times New Roman"/>
            <w:sz w:val="17"/>
            <w:szCs w:val="17"/>
            <w:u w:val="single" w:color="auto"/>
            <w:color w:val="0000FF"/>
          </w:rPr>
          <w:t>Inc. relating to the License, Services, and</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Development Agreement</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r>
      <w:tr>
        <w:trPr>
          <w:trHeight w:val="55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1/26/2021</w:t>
            </w:r>
          </w:p>
        </w:tc>
      </w:tr>
      <w:tr>
        <w:trPr>
          <w:trHeight w:val="65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5/15/2023</w:t>
            </w:r>
          </w:p>
        </w:tc>
      </w:tr>
      <w:tr>
        <w:trPr>
          <w:trHeight w:val="39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8/4/2023</w:t>
            </w:r>
          </w:p>
        </w:tc>
      </w:tr>
      <w:tr>
        <w:trPr>
          <w:trHeight w:val="473"/>
        </w:trPr>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10/14/2011</w:t>
            </w:r>
          </w:p>
        </w:tc>
      </w:tr>
      <w:tr>
        <w:trPr>
          <w:trHeight w:val="741"/>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10/1/2019</w:t>
            </w:r>
          </w:p>
        </w:tc>
      </w:tr>
      <w:tr>
        <w:trPr>
          <w:trHeight w:val="65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10/1/2019</w:t>
            </w:r>
          </w:p>
        </w:tc>
      </w:tr>
      <w:tr>
        <w:trPr>
          <w:trHeight w:val="65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10/1/2019</w:t>
            </w:r>
          </w:p>
        </w:tc>
      </w:tr>
      <w:tr>
        <w:trPr>
          <w:trHeight w:val="907"/>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2/3/2021</w:t>
            </w:r>
          </w:p>
        </w:tc>
      </w:tr>
      <w:tr>
        <w:trPr>
          <w:trHeight w:val="65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2/3/2021</w:t>
            </w:r>
          </w:p>
        </w:tc>
      </w:tr>
      <w:tr>
        <w:trPr>
          <w:trHeight w:val="65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6/22/2021</w:t>
            </w:r>
          </w:p>
        </w:tc>
      </w:tr>
      <w:tr>
        <w:trPr>
          <w:trHeight w:val="65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6/22/2021</w:t>
            </w:r>
          </w:p>
        </w:tc>
      </w:tr>
      <w:tr>
        <w:trPr>
          <w:trHeight w:val="728"/>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12/8/2022</w:t>
            </w:r>
          </w:p>
        </w:tc>
      </w:tr>
      <w:tr>
        <w:trPr>
          <w:trHeight w:val="741"/>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12/8/2022</w:t>
            </w:r>
          </w:p>
        </w:tc>
      </w:tr>
      <w:tr>
        <w:trPr>
          <w:trHeight w:val="319"/>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3/2/2020</w:t>
            </w:r>
          </w:p>
        </w:tc>
      </w:tr>
      <w:tr>
        <w:trPr>
          <w:trHeight w:val="575"/>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11/22/2011</w:t>
            </w:r>
          </w:p>
        </w:tc>
      </w:tr>
      <w:tr>
        <w:trPr>
          <w:trHeight w:val="830"/>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4/25/2013</w:t>
            </w:r>
          </w:p>
        </w:tc>
      </w:tr>
      <w:tr>
        <w:trPr>
          <w:trHeight w:val="907"/>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7/21/2016</w:t>
            </w:r>
          </w:p>
        </w:tc>
      </w:tr>
    </w:tbl>
    <w:p>
      <w:pPr>
        <w:spacing w:after="0" w:line="544" w:lineRule="exact"/>
        <w:rPr>
          <w:sz w:val="20"/>
          <w:szCs w:val="20"/>
          <w:color w:val="auto"/>
        </w:rPr>
      </w:pPr>
    </w:p>
    <w:p>
      <w:pPr>
        <w:sectPr>
          <w:pgSz w:w="11900" w:h="16838" w:orient="portrait"/>
          <w:cols w:equalWidth="0" w:num="4">
            <w:col w:w="560" w:space="240"/>
            <w:col w:w="3740" w:space="240"/>
            <w:col w:w="600" w:space="220"/>
            <w:col w:w="4439"/>
          </w:cols>
          <w:pgMar w:left="420" w:top="1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68580</wp:posOffset>
            </wp:positionV>
            <wp:extent cx="716534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039"/>
          </w:cols>
          <w:pgMar w:left="420" w:top="1286" w:right="1440" w:bottom="1440" w:gutter="0" w:footer="0" w:header="0"/>
          <w:type w:val="continuous"/>
        </w:sectPr>
      </w:pPr>
    </w:p>
    <w:bookmarkStart w:id="135" w:name="page136"/>
    <w:bookmarkEnd w:id="135"/>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34290</wp:posOffset>
            </wp:positionV>
            <wp:extent cx="4787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10.10</w:t>
      </w:r>
    </w:p>
    <w:p>
      <w:pPr>
        <w:spacing w:after="0" w:line="200" w:lineRule="exact"/>
        <w:rPr>
          <w:sz w:val="20"/>
          <w:szCs w:val="20"/>
          <w:color w:val="auto"/>
        </w:rPr>
      </w:pPr>
    </w:p>
    <w:p>
      <w:pPr>
        <w:spacing w:after="0" w:line="3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10.11</w:t>
      </w: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10.13</w:t>
      </w:r>
    </w:p>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10.14</w:t>
      </w:r>
    </w:p>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10.15</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10.16</w:t>
      </w:r>
    </w:p>
    <w:p>
      <w:pPr>
        <w:spacing w:after="0" w:line="3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10.17</w:t>
      </w:r>
    </w:p>
    <w:p>
      <w:pPr>
        <w:spacing w:after="0" w:line="3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10.18</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left="-9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95250</wp:posOffset>
            </wp:positionV>
            <wp:extent cx="24015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2401570" cy="8255"/>
                    </a:xfrm>
                    <a:prstGeom prst="rect">
                      <a:avLst/>
                    </a:prstGeom>
                    <a:noFill/>
                  </pic:spPr>
                </pic:pic>
              </a:graphicData>
            </a:graphic>
          </wp:anchor>
        </w:drawing>
      </w:r>
    </w:p>
    <w:p>
      <w:pPr>
        <w:spacing w:after="0" w:line="139" w:lineRule="exact"/>
        <w:rPr>
          <w:sz w:val="20"/>
          <w:szCs w:val="20"/>
          <w:color w:val="auto"/>
        </w:rPr>
      </w:pPr>
    </w:p>
    <w:p>
      <w:pPr>
        <w:ind w:right="200"/>
        <w:spacing w:after="0" w:line="222" w:lineRule="auto"/>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First Amendment to License, Services, and</w:t>
        </w:r>
      </w:hyperlink>
      <w:r>
        <w:rPr>
          <w:rFonts w:ascii="Times New Roman" w:cs="Times New Roman" w:eastAsia="Times New Roman" w:hAnsi="Times New Roman"/>
          <w:sz w:val="17"/>
          <w:szCs w:val="17"/>
          <w:u w:val="single" w:color="auto"/>
          <w:color w:val="0000FF"/>
        </w:rPr>
        <w:t xml:space="preserve"> </w:t>
      </w:r>
      <w:hyperlink r:id="rId204">
        <w:r>
          <w:rPr>
            <w:rFonts w:ascii="Times New Roman" w:cs="Times New Roman" w:eastAsia="Times New Roman" w:hAnsi="Times New Roman"/>
            <w:sz w:val="17"/>
            <w:szCs w:val="17"/>
            <w:u w:val="single" w:color="auto"/>
            <w:color w:val="0000FF"/>
          </w:rPr>
          <w:t>Development Agreement, dated as of February 26,</w:t>
        </w:r>
      </w:hyperlink>
    </w:p>
    <w:p>
      <w:pPr>
        <w:spacing w:after="0" w:line="1" w:lineRule="exact"/>
        <w:rPr>
          <w:sz w:val="20"/>
          <w:szCs w:val="20"/>
          <w:color w:val="auto"/>
        </w:rPr>
      </w:pPr>
    </w:p>
    <w:p>
      <w:pPr>
        <w:ind w:right="240"/>
        <w:spacing w:after="0" w:line="209" w:lineRule="auto"/>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2018, among Marriott International, Inc., Marriott</w:t>
        </w:r>
      </w:hyperlink>
      <w:r>
        <w:rPr>
          <w:rFonts w:ascii="Times New Roman" w:cs="Times New Roman" w:eastAsia="Times New Roman" w:hAnsi="Times New Roman"/>
          <w:sz w:val="17"/>
          <w:szCs w:val="17"/>
          <w:u w:val="single" w:color="auto"/>
          <w:color w:val="0000FF"/>
        </w:rPr>
        <w:t xml:space="preserve"> </w:t>
      </w:r>
      <w:hyperlink r:id="rId204">
        <w:r>
          <w:rPr>
            <w:rFonts w:ascii="Times New Roman" w:cs="Times New Roman" w:eastAsia="Times New Roman" w:hAnsi="Times New Roman"/>
            <w:sz w:val="17"/>
            <w:szCs w:val="17"/>
            <w:u w:val="single" w:color="auto"/>
            <w:color w:val="0000FF"/>
          </w:rPr>
          <w:t>Worldwide Corporation, Marriott Vacations</w:t>
        </w:r>
      </w:hyperlink>
      <w:r>
        <w:rPr>
          <w:rFonts w:ascii="Times New Roman" w:cs="Times New Roman" w:eastAsia="Times New Roman" w:hAnsi="Times New Roman"/>
          <w:sz w:val="17"/>
          <w:szCs w:val="17"/>
          <w:u w:val="single" w:color="auto"/>
          <w:color w:val="0000FF"/>
        </w:rPr>
        <w:t xml:space="preserve"> </w:t>
      </w:r>
      <w:hyperlink r:id="rId204">
        <w:r>
          <w:rPr>
            <w:rFonts w:ascii="Times New Roman" w:cs="Times New Roman" w:eastAsia="Times New Roman" w:hAnsi="Times New Roman"/>
            <w:sz w:val="17"/>
            <w:szCs w:val="17"/>
            <w:u w:val="single" w:color="auto"/>
            <w:color w:val="0000FF"/>
          </w:rPr>
          <w:t>Worldwide Corporation and the other signatories</w:t>
        </w:r>
      </w:hyperlink>
    </w:p>
    <w:p>
      <w:pPr>
        <w:spacing w:after="0"/>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thereto</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-569595</wp:posOffset>
            </wp:positionH>
            <wp:positionV relativeFrom="paragraph">
              <wp:posOffset>4445</wp:posOffset>
            </wp:positionV>
            <wp:extent cx="5257165" cy="681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5257165" cy="681355"/>
                    </a:xfrm>
                    <a:prstGeom prst="rect">
                      <a:avLst/>
                    </a:prstGeom>
                    <a:noFill/>
                  </pic:spPr>
                </pic:pic>
              </a:graphicData>
            </a:graphic>
          </wp:anchor>
        </w:drawing>
      </w:r>
    </w:p>
    <w:p>
      <w:pPr>
        <w:ind w:right="40"/>
        <w:spacing w:after="0" w:line="220" w:lineRule="auto"/>
        <w:rPr>
          <w:rFonts w:ascii="Times New Roman" w:cs="Times New Roman" w:eastAsia="Times New Roman" w:hAnsi="Times New Roman"/>
          <w:sz w:val="17"/>
          <w:szCs w:val="17"/>
          <w:u w:val="single" w:color="auto"/>
          <w:color w:val="0000FF"/>
        </w:rPr>
      </w:pPr>
      <w:hyperlink r:id="rId206">
        <w:r>
          <w:rPr>
            <w:rFonts w:ascii="Times New Roman" w:cs="Times New Roman" w:eastAsia="Times New Roman" w:hAnsi="Times New Roman"/>
            <w:sz w:val="17"/>
            <w:szCs w:val="17"/>
            <w:u w:val="single" w:color="auto"/>
            <w:color w:val="0000FF"/>
          </w:rPr>
          <w:t>Amended and Restated Side Letter Agreement, dated</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as of February 26, 2018 by among Marriott</w:t>
        </w:r>
      </w:hyperlink>
    </w:p>
    <w:p>
      <w:pPr>
        <w:ind w:right="80"/>
        <w:spacing w:after="0" w:line="209" w:lineRule="auto"/>
        <w:rPr>
          <w:rFonts w:ascii="Times New Roman" w:cs="Times New Roman" w:eastAsia="Times New Roman" w:hAnsi="Times New Roman"/>
          <w:sz w:val="17"/>
          <w:szCs w:val="17"/>
          <w:u w:val="single" w:color="auto"/>
          <w:color w:val="0000FF"/>
        </w:rPr>
      </w:pPr>
      <w:hyperlink r:id="rId206">
        <w:r>
          <w:rPr>
            <w:rFonts w:ascii="Times New Roman" w:cs="Times New Roman" w:eastAsia="Times New Roman" w:hAnsi="Times New Roman"/>
            <w:sz w:val="17"/>
            <w:szCs w:val="17"/>
            <w:u w:val="single" w:color="auto"/>
            <w:color w:val="0000FF"/>
          </w:rPr>
          <w:t>International, Inc., Marriott Worldwide Corporation,</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Marriott Rewards, LLC, Marriott Vacations</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Worldwide Corporation and Marriott Ownership</w:t>
        </w:r>
      </w:hyperlink>
    </w:p>
    <w:p>
      <w:pPr>
        <w:spacing w:after="0"/>
        <w:rPr>
          <w:rFonts w:ascii="Times New Roman" w:cs="Times New Roman" w:eastAsia="Times New Roman" w:hAnsi="Times New Roman"/>
          <w:sz w:val="17"/>
          <w:szCs w:val="17"/>
          <w:u w:val="single" w:color="auto"/>
          <w:color w:val="0000FF"/>
        </w:rPr>
      </w:pPr>
      <w:hyperlink r:id="rId206">
        <w:r>
          <w:rPr>
            <w:rFonts w:ascii="Times New Roman" w:cs="Times New Roman" w:eastAsia="Times New Roman" w:hAnsi="Times New Roman"/>
            <w:sz w:val="17"/>
            <w:szCs w:val="17"/>
            <w:u w:val="single" w:color="auto"/>
            <w:color w:val="0000FF"/>
          </w:rPr>
          <w:t>Resorts, Inc.†</w:t>
        </w:r>
      </w:hyperlink>
    </w:p>
    <w:p>
      <w:pPr>
        <w:spacing w:after="0" w:line="8" w:lineRule="exact"/>
        <w:rPr>
          <w:rFonts w:ascii="Times New Roman" w:cs="Times New Roman" w:eastAsia="Times New Roman" w:hAnsi="Times New Roman"/>
          <w:sz w:val="17"/>
          <w:szCs w:val="17"/>
          <w:u w:val="single" w:color="auto"/>
          <w:color w:val="0000FF"/>
        </w:rPr>
      </w:pPr>
    </w:p>
    <w:p>
      <w:pPr>
        <w:ind w:right="240"/>
        <w:spacing w:after="0" w:line="220" w:lineRule="auto"/>
        <w:rPr>
          <w:rFonts w:ascii="Times New Roman" w:cs="Times New Roman" w:eastAsia="Times New Roman" w:hAnsi="Times New Roman"/>
          <w:sz w:val="17"/>
          <w:szCs w:val="17"/>
          <w:u w:val="single" w:color="auto"/>
          <w:color w:val="0000FF"/>
        </w:rPr>
      </w:pPr>
      <w:hyperlink r:id="rId207">
        <w:r>
          <w:rPr>
            <w:rFonts w:ascii="Times New Roman" w:cs="Times New Roman" w:eastAsia="Times New Roman" w:hAnsi="Times New Roman"/>
            <w:sz w:val="17"/>
            <w:szCs w:val="17"/>
            <w:u w:val="single" w:color="auto"/>
            <w:color w:val="0000FF"/>
          </w:rPr>
          <w:t>Letter Agreement, effective as of January 1, 2022,</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between Marriott International, Inc., Marriott</w:t>
        </w:r>
      </w:hyperlink>
    </w:p>
    <w:p>
      <w:pPr>
        <w:ind w:right="80"/>
        <w:spacing w:after="0" w:line="209" w:lineRule="auto"/>
        <w:rPr>
          <w:rFonts w:ascii="Times New Roman" w:cs="Times New Roman" w:eastAsia="Times New Roman" w:hAnsi="Times New Roman"/>
          <w:sz w:val="17"/>
          <w:szCs w:val="17"/>
          <w:u w:val="single" w:color="auto"/>
          <w:color w:val="0000FF"/>
        </w:rPr>
      </w:pPr>
      <w:hyperlink r:id="rId207">
        <w:r>
          <w:rPr>
            <w:rFonts w:ascii="Times New Roman" w:cs="Times New Roman" w:eastAsia="Times New Roman" w:hAnsi="Times New Roman"/>
            <w:sz w:val="17"/>
            <w:szCs w:val="17"/>
            <w:u w:val="single" w:color="auto"/>
            <w:color w:val="0000FF"/>
          </w:rPr>
          <w:t>Worldwide Corporation, Marriott Vacations</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Worldwide Corporation, Starwood Hotels &amp; Resorts</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Worldwide, LLC, Marriott Ownership Resorts, Inc.,</w:t>
        </w:r>
      </w:hyperlink>
    </w:p>
    <w:p>
      <w:pPr>
        <w:spacing w:after="0"/>
        <w:rPr>
          <w:rFonts w:ascii="Times New Roman" w:cs="Times New Roman" w:eastAsia="Times New Roman" w:hAnsi="Times New Roman"/>
          <w:sz w:val="17"/>
          <w:szCs w:val="17"/>
          <w:u w:val="single" w:color="auto"/>
          <w:color w:val="0000FF"/>
        </w:rPr>
      </w:pPr>
      <w:hyperlink r:id="rId207">
        <w:r>
          <w:rPr>
            <w:rFonts w:ascii="Times New Roman" w:cs="Times New Roman" w:eastAsia="Times New Roman" w:hAnsi="Times New Roman"/>
            <w:sz w:val="17"/>
            <w:szCs w:val="17"/>
            <w:u w:val="single" w:color="auto"/>
            <w:color w:val="0000FF"/>
          </w:rPr>
          <w:t>Vistana Signature Experiences, Inc. and ILG, LLC</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-569595</wp:posOffset>
            </wp:positionH>
            <wp:positionV relativeFrom="paragraph">
              <wp:posOffset>4445</wp:posOffset>
            </wp:positionV>
            <wp:extent cx="5257165" cy="6813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5257165" cy="681355"/>
                    </a:xfrm>
                    <a:prstGeom prst="rect">
                      <a:avLst/>
                    </a:prstGeom>
                    <a:noFill/>
                  </pic:spPr>
                </pic:pic>
              </a:graphicData>
            </a:graphic>
          </wp:anchor>
        </w:drawing>
      </w:r>
    </w:p>
    <w:p>
      <w:pPr>
        <w:ind w:right="200"/>
        <w:spacing w:after="0" w:line="220" w:lineRule="auto"/>
        <w:rPr>
          <w:rFonts w:ascii="Times New Roman" w:cs="Times New Roman" w:eastAsia="Times New Roman" w:hAnsi="Times New Roman"/>
          <w:sz w:val="17"/>
          <w:szCs w:val="17"/>
          <w:u w:val="single" w:color="auto"/>
          <w:color w:val="0000FF"/>
        </w:rPr>
      </w:pPr>
      <w:hyperlink r:id="rId209">
        <w:r>
          <w:rPr>
            <w:rFonts w:ascii="Times New Roman" w:cs="Times New Roman" w:eastAsia="Times New Roman" w:hAnsi="Times New Roman"/>
            <w:sz w:val="17"/>
            <w:szCs w:val="17"/>
            <w:u w:val="single" w:color="auto"/>
            <w:color w:val="0000FF"/>
          </w:rPr>
          <w:t>Marketing Track Amendment, dated as of May 19,</w:t>
        </w:r>
      </w:hyperlink>
      <w:r>
        <w:rPr>
          <w:rFonts w:ascii="Times New Roman" w:cs="Times New Roman" w:eastAsia="Times New Roman" w:hAnsi="Times New Roman"/>
          <w:sz w:val="17"/>
          <w:szCs w:val="17"/>
          <w:u w:val="single" w:color="auto"/>
          <w:color w:val="0000FF"/>
        </w:rPr>
        <w:t xml:space="preserve"> </w:t>
      </w:r>
      <w:hyperlink r:id="rId209">
        <w:r>
          <w:rPr>
            <w:rFonts w:ascii="Times New Roman" w:cs="Times New Roman" w:eastAsia="Times New Roman" w:hAnsi="Times New Roman"/>
            <w:sz w:val="17"/>
            <w:szCs w:val="17"/>
            <w:u w:val="single" w:color="auto"/>
            <w:color w:val="0000FF"/>
          </w:rPr>
          <w:t>2022, to the Marriott License, Services and</w:t>
        </w:r>
      </w:hyperlink>
    </w:p>
    <w:p>
      <w:pPr>
        <w:ind w:right="80"/>
        <w:spacing w:after="0" w:line="209" w:lineRule="auto"/>
        <w:rPr>
          <w:rFonts w:ascii="Times New Roman" w:cs="Times New Roman" w:eastAsia="Times New Roman" w:hAnsi="Times New Roman"/>
          <w:sz w:val="17"/>
          <w:szCs w:val="17"/>
          <w:u w:val="single" w:color="auto"/>
          <w:color w:val="0000FF"/>
        </w:rPr>
      </w:pPr>
      <w:hyperlink r:id="rId209">
        <w:r>
          <w:rPr>
            <w:rFonts w:ascii="Times New Roman" w:cs="Times New Roman" w:eastAsia="Times New Roman" w:hAnsi="Times New Roman"/>
            <w:sz w:val="17"/>
            <w:szCs w:val="17"/>
            <w:u w:val="single" w:color="auto"/>
            <w:color w:val="0000FF"/>
          </w:rPr>
          <w:t>Development Agreement for Marriott Projects dated</w:t>
        </w:r>
      </w:hyperlink>
      <w:r>
        <w:rPr>
          <w:rFonts w:ascii="Times New Roman" w:cs="Times New Roman" w:eastAsia="Times New Roman" w:hAnsi="Times New Roman"/>
          <w:sz w:val="17"/>
          <w:szCs w:val="17"/>
          <w:u w:val="single" w:color="auto"/>
          <w:color w:val="0000FF"/>
        </w:rPr>
        <w:t xml:space="preserve"> </w:t>
      </w:r>
      <w:hyperlink r:id="rId209">
        <w:r>
          <w:rPr>
            <w:rFonts w:ascii="Times New Roman" w:cs="Times New Roman" w:eastAsia="Times New Roman" w:hAnsi="Times New Roman"/>
            <w:sz w:val="17"/>
            <w:szCs w:val="17"/>
            <w:u w:val="single" w:color="auto"/>
            <w:color w:val="0000FF"/>
          </w:rPr>
          <w:t>November 19, 2011, by and among Marriott</w:t>
        </w:r>
      </w:hyperlink>
      <w:r>
        <w:rPr>
          <w:rFonts w:ascii="Times New Roman" w:cs="Times New Roman" w:eastAsia="Times New Roman" w:hAnsi="Times New Roman"/>
          <w:sz w:val="17"/>
          <w:szCs w:val="17"/>
          <w:u w:val="single" w:color="auto"/>
          <w:color w:val="0000FF"/>
        </w:rPr>
        <w:t xml:space="preserve"> </w:t>
      </w:r>
      <w:hyperlink r:id="rId209">
        <w:r>
          <w:rPr>
            <w:rFonts w:ascii="Times New Roman" w:cs="Times New Roman" w:eastAsia="Times New Roman" w:hAnsi="Times New Roman"/>
            <w:sz w:val="17"/>
            <w:szCs w:val="17"/>
            <w:u w:val="single" w:color="auto"/>
            <w:color w:val="0000FF"/>
          </w:rPr>
          <w:t>International, Inc., Marriott Worldwide Corporation,</w:t>
        </w:r>
      </w:hyperlink>
    </w:p>
    <w:p>
      <w:pPr>
        <w:spacing w:after="0"/>
        <w:rPr>
          <w:rFonts w:ascii="Times New Roman" w:cs="Times New Roman" w:eastAsia="Times New Roman" w:hAnsi="Times New Roman"/>
          <w:sz w:val="17"/>
          <w:szCs w:val="17"/>
          <w:u w:val="single" w:color="auto"/>
          <w:color w:val="0000FF"/>
        </w:rPr>
      </w:pPr>
      <w:hyperlink r:id="rId209">
        <w:r>
          <w:rPr>
            <w:rFonts w:ascii="Times New Roman" w:cs="Times New Roman" w:eastAsia="Times New Roman" w:hAnsi="Times New Roman"/>
            <w:sz w:val="17"/>
            <w:szCs w:val="17"/>
            <w:u w:val="single" w:color="auto"/>
            <w:color w:val="0000FF"/>
          </w:rPr>
          <w:t>and Marriott Vacations Worldwide Corporation</w:t>
        </w:r>
      </w:hyperlink>
    </w:p>
    <w:p>
      <w:pPr>
        <w:spacing w:after="0" w:line="8" w:lineRule="exact"/>
        <w:rPr>
          <w:rFonts w:ascii="Times New Roman" w:cs="Times New Roman" w:eastAsia="Times New Roman" w:hAnsi="Times New Roman"/>
          <w:sz w:val="17"/>
          <w:szCs w:val="17"/>
          <w:u w:val="single" w:color="auto"/>
          <w:color w:val="0000FF"/>
        </w:rPr>
      </w:pPr>
    </w:p>
    <w:p>
      <w:pPr>
        <w:spacing w:after="0" w:line="220" w:lineRule="auto"/>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License, Services, and Development Agreement,</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entered into on November 17, 2011, among The Ritz-</w:t>
        </w:r>
      </w:hyperlink>
    </w:p>
    <w:p>
      <w:pPr>
        <w:ind w:right="140"/>
        <w:spacing w:after="0" w:line="219" w:lineRule="auto"/>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Carlton Hotel Company, L.L.C., Marriott Vacations</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Worldwide Corporation and the other signatories</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thereto</w:t>
        </w:r>
      </w:hyperlink>
    </w:p>
    <w:p>
      <w:pPr>
        <w:spacing w:after="0" w:line="9" w:lineRule="exact"/>
        <w:rPr>
          <w:rFonts w:ascii="Times New Roman" w:cs="Times New Roman" w:eastAsia="Times New Roman" w:hAnsi="Times New Roman"/>
          <w:sz w:val="17"/>
          <w:szCs w:val="17"/>
          <w:u w:val="single" w:color="auto"/>
          <w:color w:val="0000FF"/>
        </w:rPr>
      </w:pPr>
    </w:p>
    <w:p>
      <w:pPr>
        <w:ind w:right="200"/>
        <w:spacing w:after="0" w:line="222" w:lineRule="auto"/>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First Amendment to License, Services, and</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Development Agreement, dated as of February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5759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5257165" cy="575945"/>
                    </a:xfrm>
                    <a:prstGeom prst="rect">
                      <a:avLst/>
                    </a:prstGeom>
                    <a:noFill/>
                  </pic:spPr>
                </pic:pic>
              </a:graphicData>
            </a:graphic>
          </wp:anchor>
        </w:drawing>
      </w:r>
    </w:p>
    <w:p>
      <w:pPr>
        <w:ind w:right="200"/>
        <w:spacing w:after="0" w:line="219" w:lineRule="auto"/>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2018, among The Ritz-Carlton Hotel Company,</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L.L.C., Marriott Vacations Worldwide Corporation</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and the other signatures thereto</w:t>
        </w:r>
      </w:hyperlink>
    </w:p>
    <w:p>
      <w:pPr>
        <w:spacing w:after="0" w:line="22" w:lineRule="exact"/>
        <w:rPr>
          <w:rFonts w:ascii="Times New Roman" w:cs="Times New Roman" w:eastAsia="Times New Roman" w:hAnsi="Times New Roman"/>
          <w:sz w:val="17"/>
          <w:szCs w:val="17"/>
          <w:u w:val="single" w:color="auto"/>
          <w:color w:val="0000FF"/>
        </w:rPr>
      </w:pPr>
    </w:p>
    <w:p>
      <w:pPr>
        <w:ind w:right="20"/>
        <w:spacing w:after="0" w:line="222" w:lineRule="auto"/>
        <w:rPr>
          <w:rFonts w:ascii="Times New Roman" w:cs="Times New Roman" w:eastAsia="Times New Roman" w:hAnsi="Times New Roman"/>
          <w:sz w:val="17"/>
          <w:szCs w:val="17"/>
          <w:u w:val="single" w:color="auto"/>
          <w:color w:val="0000FF"/>
        </w:rPr>
      </w:pPr>
      <w:hyperlink r:id="rId213">
        <w:r>
          <w:rPr>
            <w:rFonts w:ascii="Times New Roman" w:cs="Times New Roman" w:eastAsia="Times New Roman" w:hAnsi="Times New Roman"/>
            <w:sz w:val="17"/>
            <w:szCs w:val="17"/>
            <w:u w:val="single" w:color="auto"/>
            <w:color w:val="0000FF"/>
          </w:rPr>
          <w:t>Employee Benefits and Other Employment Matters</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Allocation Agreement, entered into on November 17,</w:t>
        </w:r>
      </w:hyperlink>
    </w:p>
    <w:p>
      <w:pPr>
        <w:spacing w:after="0" w:line="1" w:lineRule="exact"/>
        <w:rPr>
          <w:sz w:val="20"/>
          <w:szCs w:val="20"/>
          <w:color w:val="auto"/>
        </w:rPr>
      </w:pPr>
    </w:p>
    <w:p>
      <w:pPr>
        <w:ind w:right="520"/>
        <w:spacing w:after="0" w:line="242" w:lineRule="auto"/>
        <w:rPr>
          <w:rFonts w:ascii="Times New Roman" w:cs="Times New Roman" w:eastAsia="Times New Roman" w:hAnsi="Times New Roman"/>
          <w:sz w:val="16"/>
          <w:szCs w:val="16"/>
          <w:u w:val="single" w:color="auto"/>
          <w:color w:val="0000FF"/>
        </w:rPr>
      </w:pPr>
      <w:hyperlink r:id="rId213">
        <w:r>
          <w:rPr>
            <w:rFonts w:ascii="Times New Roman" w:cs="Times New Roman" w:eastAsia="Times New Roman" w:hAnsi="Times New Roman"/>
            <w:sz w:val="16"/>
            <w:szCs w:val="16"/>
            <w:u w:val="single" w:color="auto"/>
            <w:color w:val="0000FF"/>
          </w:rPr>
          <w:t>2011, between Marriott International, Inc. and</w:t>
        </w:r>
      </w:hyperlink>
      <w:r>
        <w:rPr>
          <w:rFonts w:ascii="Times New Roman" w:cs="Times New Roman" w:eastAsia="Times New Roman" w:hAnsi="Times New Roman"/>
          <w:sz w:val="16"/>
          <w:szCs w:val="16"/>
          <w:u w:val="single" w:color="auto"/>
          <w:color w:val="0000FF"/>
        </w:rPr>
        <w:t xml:space="preserve"> </w:t>
      </w:r>
      <w:hyperlink r:id="rId213">
        <w:r>
          <w:rPr>
            <w:rFonts w:ascii="Times New Roman" w:cs="Times New Roman" w:eastAsia="Times New Roman" w:hAnsi="Times New Roman"/>
            <w:sz w:val="16"/>
            <w:szCs w:val="16"/>
            <w:u w:val="single" w:color="auto"/>
            <w:color w:val="0000FF"/>
          </w:rPr>
          <w:t>Marriott Vacations Worldwide Corporation</w:t>
        </w:r>
      </w:hyperlink>
    </w:p>
    <w:p>
      <w:pPr>
        <w:spacing w:after="0" w:line="7" w:lineRule="exact"/>
        <w:rPr>
          <w:sz w:val="20"/>
          <w:szCs w:val="20"/>
          <w:color w:val="auto"/>
        </w:rPr>
      </w:pPr>
    </w:p>
    <w:p>
      <w:pPr>
        <w:ind w:right="40"/>
        <w:spacing w:after="0" w:line="236" w:lineRule="auto"/>
        <w:rPr>
          <w:rFonts w:ascii="Times New Roman" w:cs="Times New Roman" w:eastAsia="Times New Roman" w:hAnsi="Times New Roman"/>
          <w:sz w:val="16"/>
          <w:szCs w:val="16"/>
          <w:u w:val="single" w:color="auto"/>
          <w:color w:val="0000FF"/>
        </w:rPr>
      </w:pPr>
      <w:hyperlink r:id="rId214">
        <w:r>
          <w:rPr>
            <w:rFonts w:ascii="Times New Roman" w:cs="Times New Roman" w:eastAsia="Times New Roman" w:hAnsi="Times New Roman"/>
            <w:sz w:val="16"/>
            <w:szCs w:val="16"/>
            <w:u w:val="single" w:color="auto"/>
            <w:color w:val="0000FF"/>
          </w:rPr>
          <w:t>Tax Sharing and Indemnification Agreement, entered</w:t>
        </w:r>
      </w:hyperlink>
      <w:r>
        <w:rPr>
          <w:rFonts w:ascii="Times New Roman" w:cs="Times New Roman" w:eastAsia="Times New Roman" w:hAnsi="Times New Roman"/>
          <w:sz w:val="16"/>
          <w:szCs w:val="16"/>
          <w:u w:val="single" w:color="auto"/>
          <w:color w:val="0000FF"/>
        </w:rPr>
        <w:t xml:space="preserve"> </w:t>
      </w:r>
      <w:hyperlink r:id="rId214">
        <w:r>
          <w:rPr>
            <w:rFonts w:ascii="Times New Roman" w:cs="Times New Roman" w:eastAsia="Times New Roman" w:hAnsi="Times New Roman"/>
            <w:sz w:val="16"/>
            <w:szCs w:val="16"/>
            <w:u w:val="single" w:color="auto"/>
            <w:color w:val="0000FF"/>
          </w:rPr>
          <w:t>into on November 17, 2011, between Marriott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4622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5257165" cy="462280"/>
                    </a:xfrm>
                    <a:prstGeom prst="rect">
                      <a:avLst/>
                    </a:prstGeom>
                    <a:noFill/>
                  </pic:spPr>
                </pic:pic>
              </a:graphicData>
            </a:graphic>
          </wp:anchor>
        </w:drawing>
      </w:r>
    </w:p>
    <w:p>
      <w:pPr>
        <w:ind w:right="40"/>
        <w:spacing w:after="0" w:line="227" w:lineRule="auto"/>
        <w:rPr>
          <w:rFonts w:ascii="Times New Roman" w:cs="Times New Roman" w:eastAsia="Times New Roman" w:hAnsi="Times New Roman"/>
          <w:sz w:val="17"/>
          <w:szCs w:val="17"/>
          <w:u w:val="single" w:color="auto"/>
          <w:color w:val="0000FF"/>
        </w:rPr>
      </w:pPr>
      <w:hyperlink r:id="rId214">
        <w:r>
          <w:rPr>
            <w:rFonts w:ascii="Times New Roman" w:cs="Times New Roman" w:eastAsia="Times New Roman" w:hAnsi="Times New Roman"/>
            <w:sz w:val="17"/>
            <w:szCs w:val="17"/>
            <w:u w:val="single" w:color="auto"/>
            <w:color w:val="0000FF"/>
          </w:rPr>
          <w:t>International, Inc. and Marriott Vacations Worldwide</w:t>
        </w:r>
      </w:hyperlink>
      <w:r>
        <w:rPr>
          <w:rFonts w:ascii="Times New Roman" w:cs="Times New Roman" w:eastAsia="Times New Roman" w:hAnsi="Times New Roman"/>
          <w:sz w:val="17"/>
          <w:szCs w:val="17"/>
          <w:u w:val="single" w:color="auto"/>
          <w:color w:val="0000FF"/>
        </w:rPr>
        <w:t xml:space="preserve"> </w:t>
      </w:r>
      <w:hyperlink r:id="rId214">
        <w:r>
          <w:rPr>
            <w:rFonts w:ascii="Times New Roman" w:cs="Times New Roman" w:eastAsia="Times New Roman" w:hAnsi="Times New Roman"/>
            <w:sz w:val="17"/>
            <w:szCs w:val="17"/>
            <w:u w:val="single" w:color="auto"/>
            <w:color w:val="0000FF"/>
          </w:rPr>
          <w:t>Corporation</w:t>
        </w:r>
      </w:hyperlink>
    </w:p>
    <w:p>
      <w:pPr>
        <w:spacing w:after="0" w:line="8" w:lineRule="exact"/>
        <w:rPr>
          <w:sz w:val="20"/>
          <w:szCs w:val="20"/>
          <w:color w:val="auto"/>
        </w:rPr>
      </w:pPr>
    </w:p>
    <w:p>
      <w:pPr>
        <w:ind w:right="20"/>
        <w:spacing w:after="0" w:line="236" w:lineRule="auto"/>
        <w:rPr>
          <w:rFonts w:ascii="Times New Roman" w:cs="Times New Roman" w:eastAsia="Times New Roman" w:hAnsi="Times New Roman"/>
          <w:sz w:val="16"/>
          <w:szCs w:val="16"/>
          <w:u w:val="single" w:color="auto"/>
          <w:color w:val="0000FF"/>
        </w:rPr>
      </w:pPr>
      <w:hyperlink r:id="rId216">
        <w:r>
          <w:rPr>
            <w:rFonts w:ascii="Times New Roman" w:cs="Times New Roman" w:eastAsia="Times New Roman" w:hAnsi="Times New Roman"/>
            <w:sz w:val="16"/>
            <w:szCs w:val="16"/>
            <w:u w:val="single" w:color="auto"/>
            <w:color w:val="0000FF"/>
          </w:rPr>
          <w:t>Amendment, dated August 2, 2012, between Marriott</w:t>
        </w:r>
      </w:hyperlink>
      <w:r>
        <w:rPr>
          <w:rFonts w:ascii="Times New Roman" w:cs="Times New Roman" w:eastAsia="Times New Roman" w:hAnsi="Times New Roman"/>
          <w:sz w:val="16"/>
          <w:szCs w:val="16"/>
          <w:u w:val="single" w:color="auto"/>
          <w:color w:val="0000FF"/>
        </w:rPr>
        <w:t xml:space="preserve"> </w:t>
      </w:r>
      <w:hyperlink r:id="rId216">
        <w:r>
          <w:rPr>
            <w:rFonts w:ascii="Times New Roman" w:cs="Times New Roman" w:eastAsia="Times New Roman" w:hAnsi="Times New Roman"/>
            <w:sz w:val="16"/>
            <w:szCs w:val="16"/>
            <w:u w:val="single" w:color="auto"/>
            <w:color w:val="0000FF"/>
          </w:rPr>
          <w:t>International, Inc. and Marriott Vacations Worldwide</w:t>
        </w:r>
      </w:hyperlink>
    </w:p>
    <w:p>
      <w:pPr>
        <w:spacing w:after="0" w:line="1" w:lineRule="exact"/>
        <w:rPr>
          <w:sz w:val="20"/>
          <w:szCs w:val="20"/>
          <w:color w:val="auto"/>
        </w:rPr>
      </w:pPr>
    </w:p>
    <w:p>
      <w:pPr>
        <w:ind w:right="80"/>
        <w:spacing w:after="0" w:line="227"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Corporation, to the Tax Sharing and Indemnification</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Agreement</w:t>
        </w:r>
      </w:hyperlink>
    </w:p>
    <w:p>
      <w:pPr>
        <w:spacing w:after="0" w:line="8" w:lineRule="exact"/>
        <w:rPr>
          <w:sz w:val="20"/>
          <w:szCs w:val="20"/>
          <w:color w:val="auto"/>
        </w:rPr>
      </w:pPr>
    </w:p>
    <w:p>
      <w:pPr>
        <w:ind w:right="120"/>
        <w:spacing w:after="0" w:line="222"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Marriott Bonvoy Affiliation Agreement, dated as of</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November 10, 2021, by and among Marriott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5759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5257165" cy="575945"/>
                    </a:xfrm>
                    <a:prstGeom prst="rect">
                      <a:avLst/>
                    </a:prstGeom>
                    <a:noFill/>
                  </pic:spPr>
                </pic:pic>
              </a:graphicData>
            </a:graphic>
          </wp:anchor>
        </w:drawing>
      </w:r>
    </w:p>
    <w:p>
      <w:pPr>
        <w:ind w:right="100"/>
        <w:spacing w:after="0" w:line="219"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International, Inc., Marriott Rewards, LLC, Marriott</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Vacations Worldwide Corporation and Marriott</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Ownership Resorts, Inc.</w:t>
        </w:r>
      </w:hyperlink>
    </w:p>
    <w:p>
      <w:pPr>
        <w:spacing w:after="0" w:line="9" w:lineRule="exact"/>
        <w:rPr>
          <w:rFonts w:ascii="Times New Roman" w:cs="Times New Roman" w:eastAsia="Times New Roman" w:hAnsi="Times New Roman"/>
          <w:sz w:val="17"/>
          <w:szCs w:val="17"/>
          <w:u w:val="single" w:color="auto"/>
          <w:color w:val="0000FF"/>
        </w:rPr>
      </w:pPr>
    </w:p>
    <w:p>
      <w:pPr>
        <w:jc w:val="both"/>
        <w:spacing w:after="0" w:line="222" w:lineRule="auto"/>
        <w:rPr>
          <w:rFonts w:ascii="Times New Roman" w:cs="Times New Roman" w:eastAsia="Times New Roman" w:hAnsi="Times New Roman"/>
          <w:sz w:val="17"/>
          <w:szCs w:val="17"/>
          <w:u w:val="single" w:color="auto"/>
          <w:color w:val="0000FF"/>
        </w:rPr>
      </w:pPr>
      <w:hyperlink r:id="rId219">
        <w:r>
          <w:rPr>
            <w:rFonts w:ascii="Times New Roman" w:cs="Times New Roman" w:eastAsia="Times New Roman" w:hAnsi="Times New Roman"/>
            <w:sz w:val="17"/>
            <w:szCs w:val="17"/>
            <w:u w:val="single" w:color="auto"/>
            <w:color w:val="0000FF"/>
          </w:rPr>
          <w:t>Termination of Noncompetition Agreement, dated as</w:t>
        </w:r>
      </w:hyperlink>
      <w:r>
        <w:rPr>
          <w:rFonts w:ascii="Times New Roman" w:cs="Times New Roman" w:eastAsia="Times New Roman" w:hAnsi="Times New Roman"/>
          <w:sz w:val="17"/>
          <w:szCs w:val="17"/>
          <w:u w:val="single" w:color="auto"/>
          <w:color w:val="0000FF"/>
        </w:rPr>
        <w:t xml:space="preserve"> </w:t>
      </w:r>
      <w:hyperlink r:id="rId219">
        <w:r>
          <w:rPr>
            <w:rFonts w:ascii="Times New Roman" w:cs="Times New Roman" w:eastAsia="Times New Roman" w:hAnsi="Times New Roman"/>
            <w:sz w:val="17"/>
            <w:szCs w:val="17"/>
            <w:u w:val="single" w:color="auto"/>
            <w:color w:val="0000FF"/>
          </w:rPr>
          <w:t>of February 26, 2018, between Marriott International,</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219">
        <w:r>
          <w:rPr>
            <w:rFonts w:ascii="Times New Roman" w:cs="Times New Roman" w:eastAsia="Times New Roman" w:hAnsi="Times New Roman"/>
            <w:sz w:val="17"/>
            <w:szCs w:val="17"/>
            <w:u w:val="single" w:color="auto"/>
            <w:color w:val="0000FF"/>
          </w:rPr>
          <w:t>Inc. and Marriott Vacations Worldwide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4445</wp:posOffset>
            </wp:positionV>
            <wp:extent cx="5257165" cy="2514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20"/>
        <w:spacing w:after="0" w:line="255" w:lineRule="auto"/>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u w:val="single" w:color="auto"/>
            <w:color w:val="0000FF"/>
          </w:rPr>
          <w:t>Marriott Vacations Worldwide Corporation Amended</w:t>
        </w:r>
      </w:hyperlink>
      <w:r>
        <w:rPr>
          <w:rFonts w:ascii="Times New Roman" w:cs="Times New Roman" w:eastAsia="Times New Roman" w:hAnsi="Times New Roman"/>
          <w:sz w:val="16"/>
          <w:szCs w:val="16"/>
          <w:u w:val="single" w:color="auto"/>
          <w:color w:val="0000FF"/>
        </w:rPr>
        <w:t xml:space="preserve"> </w:t>
      </w:r>
      <w:hyperlink r:id="rId221">
        <w:r>
          <w:rPr>
            <w:rFonts w:ascii="Times New Roman" w:cs="Times New Roman" w:eastAsia="Times New Roman" w:hAnsi="Times New Roman"/>
            <w:sz w:val="16"/>
            <w:szCs w:val="16"/>
            <w:u w:val="single" w:color="auto"/>
            <w:color w:val="0000FF"/>
          </w:rPr>
          <w:t>and Restated Stock and Cash Incentive Plan</w:t>
        </w:r>
        <w:r>
          <w:rPr>
            <w:rFonts w:ascii="Times New Roman" w:cs="Times New Roman" w:eastAsia="Times New Roman" w:hAnsi="Times New Roman"/>
            <w:sz w:val="16"/>
            <w:szCs w:val="16"/>
            <w:color w:val="000000"/>
          </w:rPr>
          <w:t>*</w:t>
        </w:r>
      </w:hyperlink>
    </w:p>
    <w:p>
      <w:pPr>
        <w:spacing w:after="0" w:line="1" w:lineRule="exact"/>
        <w:rPr>
          <w:sz w:val="20"/>
          <w:szCs w:val="20"/>
          <w:color w:val="auto"/>
        </w:rPr>
      </w:pPr>
    </w:p>
    <w:p>
      <w:pPr>
        <w:ind w:right="60"/>
        <w:spacing w:after="0" w:line="222" w:lineRule="auto"/>
        <w:rPr>
          <w:rFonts w:ascii="Times New Roman" w:cs="Times New Roman" w:eastAsia="Times New Roman" w:hAnsi="Times New Roman"/>
          <w:sz w:val="17"/>
          <w:szCs w:val="17"/>
          <w:u w:val="single" w:color="auto"/>
          <w:color w:val="0000FF"/>
        </w:rPr>
      </w:pPr>
      <w:hyperlink r:id="rId222">
        <w:r>
          <w:rPr>
            <w:rFonts w:ascii="Times New Roman" w:cs="Times New Roman" w:eastAsia="Times New Roman" w:hAnsi="Times New Roman"/>
            <w:sz w:val="17"/>
            <w:szCs w:val="17"/>
            <w:u w:val="single" w:color="auto"/>
            <w:color w:val="0000FF"/>
          </w:rPr>
          <w:t>Form of Restricted Stock Unit Agreement – Marriott</w:t>
        </w:r>
      </w:hyperlink>
      <w:r>
        <w:rPr>
          <w:rFonts w:ascii="Times New Roman" w:cs="Times New Roman" w:eastAsia="Times New Roman" w:hAnsi="Times New Roman"/>
          <w:sz w:val="17"/>
          <w:szCs w:val="17"/>
          <w:u w:val="single" w:color="auto"/>
          <w:color w:val="0000FF"/>
        </w:rPr>
        <w:t xml:space="preserve"> </w:t>
      </w:r>
      <w:hyperlink r:id="rId222">
        <w:r>
          <w:rPr>
            <w:rFonts w:ascii="Times New Roman" w:cs="Times New Roman" w:eastAsia="Times New Roman" w:hAnsi="Times New Roman"/>
            <w:sz w:val="17"/>
            <w:szCs w:val="17"/>
            <w:u w:val="single" w:color="auto"/>
            <w:color w:val="0000FF"/>
          </w:rPr>
          <w:t>Vacations Worldwide Corporation Stock and Cash</w:t>
        </w:r>
      </w:hyperlink>
    </w:p>
    <w:p>
      <w:pPr>
        <w:spacing w:after="0" w:line="1" w:lineRule="exact"/>
        <w:rPr>
          <w:sz w:val="20"/>
          <w:szCs w:val="20"/>
          <w:color w:val="auto"/>
        </w:rPr>
      </w:pPr>
    </w:p>
    <w:p>
      <w:pPr>
        <w:spacing w:after="0"/>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u w:val="single" w:color="auto"/>
            <w:color w:val="0000FF"/>
          </w:rPr>
          <w:t>Incentive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4445</wp:posOffset>
            </wp:positionV>
            <wp:extent cx="5257165" cy="356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5257165" cy="356870"/>
                    </a:xfrm>
                    <a:prstGeom prst="rect">
                      <a:avLst/>
                    </a:prstGeom>
                    <a:noFill/>
                  </pic:spPr>
                </pic:pic>
              </a:graphicData>
            </a:graphic>
          </wp:anchor>
        </w:drawing>
      </w:r>
    </w:p>
    <w:p>
      <w:pPr>
        <w:spacing w:after="0" w:line="233" w:lineRule="auto"/>
        <w:rPr>
          <w:rFonts w:ascii="Times New Roman" w:cs="Times New Roman" w:eastAsia="Times New Roman" w:hAnsi="Times New Roman"/>
          <w:sz w:val="16"/>
          <w:szCs w:val="16"/>
          <w:u w:val="single" w:color="auto"/>
          <w:color w:val="0000FF"/>
        </w:rPr>
      </w:pPr>
      <w:hyperlink r:id="rId224">
        <w:r>
          <w:rPr>
            <w:rFonts w:ascii="Times New Roman" w:cs="Times New Roman" w:eastAsia="Times New Roman" w:hAnsi="Times New Roman"/>
            <w:sz w:val="16"/>
            <w:szCs w:val="16"/>
            <w:u w:val="single" w:color="auto"/>
            <w:color w:val="0000FF"/>
          </w:rPr>
          <w:t>Form of Stock Appreciation Right Agreement –</w:t>
        </w:r>
      </w:hyperlink>
      <w:r>
        <w:rPr>
          <w:rFonts w:ascii="Times New Roman" w:cs="Times New Roman" w:eastAsia="Times New Roman" w:hAnsi="Times New Roman"/>
          <w:sz w:val="16"/>
          <w:szCs w:val="16"/>
          <w:u w:val="single" w:color="auto"/>
          <w:color w:val="0000FF"/>
        </w:rPr>
        <w:t xml:space="preserve"> </w:t>
      </w:r>
      <w:hyperlink r:id="rId224">
        <w:r>
          <w:rPr>
            <w:rFonts w:ascii="Times New Roman" w:cs="Times New Roman" w:eastAsia="Times New Roman" w:hAnsi="Times New Roman"/>
            <w:sz w:val="16"/>
            <w:szCs w:val="16"/>
            <w:u w:val="single" w:color="auto"/>
            <w:color w:val="0000FF"/>
          </w:rPr>
          <w:t>Marriott Vacations Worldwide Corporation Stock and</w:t>
        </w:r>
      </w:hyperlink>
    </w:p>
    <w:p>
      <w:pPr>
        <w:spacing w:after="0" w:line="1" w:lineRule="exact"/>
        <w:rPr>
          <w:sz w:val="20"/>
          <w:szCs w:val="20"/>
          <w:color w:val="auto"/>
        </w:rPr>
      </w:pPr>
    </w:p>
    <w:p>
      <w:pPr>
        <w:spacing w:after="0"/>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u w:val="single" w:color="auto"/>
            <w:color w:val="0000FF"/>
          </w:rPr>
          <w:t>Cash Incentive Plan</w:t>
        </w:r>
        <w:r>
          <w:rPr>
            <w:rFonts w:ascii="Times New Roman" w:cs="Times New Roman" w:eastAsia="Times New Roman" w:hAnsi="Times New Roman"/>
            <w:sz w:val="17"/>
            <w:szCs w:val="17"/>
            <w:color w:val="000000"/>
          </w:rPr>
          <w:t>*</w:t>
        </w:r>
      </w:hyperlink>
    </w:p>
    <w:p>
      <w:pPr>
        <w:spacing w:after="0" w:line="8" w:lineRule="exact"/>
        <w:rPr>
          <w:sz w:val="20"/>
          <w:szCs w:val="20"/>
          <w:color w:val="auto"/>
        </w:rPr>
      </w:pPr>
    </w:p>
    <w:p>
      <w:pPr>
        <w:spacing w:after="0" w:line="233" w:lineRule="auto"/>
        <w:rPr>
          <w:rFonts w:ascii="Times New Roman" w:cs="Times New Roman" w:eastAsia="Times New Roman" w:hAnsi="Times New Roman"/>
          <w:sz w:val="16"/>
          <w:szCs w:val="16"/>
          <w:u w:val="single" w:color="auto"/>
          <w:color w:val="0000FF"/>
        </w:rPr>
      </w:pPr>
      <w:hyperlink r:id="rId225">
        <w:r>
          <w:rPr>
            <w:rFonts w:ascii="Times New Roman" w:cs="Times New Roman" w:eastAsia="Times New Roman" w:hAnsi="Times New Roman"/>
            <w:sz w:val="16"/>
            <w:szCs w:val="16"/>
            <w:u w:val="single" w:color="auto"/>
            <w:color w:val="0000FF"/>
          </w:rPr>
          <w:t>Form of Performance Unit Award Agreement –</w:t>
        </w:r>
      </w:hyperlink>
      <w:r>
        <w:rPr>
          <w:rFonts w:ascii="Times New Roman" w:cs="Times New Roman" w:eastAsia="Times New Roman" w:hAnsi="Times New Roman"/>
          <w:sz w:val="16"/>
          <w:szCs w:val="16"/>
          <w:u w:val="single" w:color="auto"/>
          <w:color w:val="0000FF"/>
        </w:rPr>
        <w:t xml:space="preserve"> </w:t>
      </w:r>
      <w:hyperlink r:id="rId225">
        <w:r>
          <w:rPr>
            <w:rFonts w:ascii="Times New Roman" w:cs="Times New Roman" w:eastAsia="Times New Roman" w:hAnsi="Times New Roman"/>
            <w:sz w:val="16"/>
            <w:szCs w:val="16"/>
            <w:u w:val="single" w:color="auto"/>
            <w:color w:val="0000FF"/>
          </w:rPr>
          <w:t>Marriott Vacations Worldwide Corporation Stock and</w:t>
        </w:r>
      </w:hyperlink>
    </w:p>
    <w:p>
      <w:pPr>
        <w:spacing w:after="0" w:line="1" w:lineRule="exact"/>
        <w:rPr>
          <w:sz w:val="20"/>
          <w:szCs w:val="20"/>
          <w:color w:val="auto"/>
        </w:rPr>
      </w:pPr>
    </w:p>
    <w:p>
      <w:pPr>
        <w:spacing w:after="0"/>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u w:val="single" w:color="auto"/>
            <w:color w:val="0000FF"/>
          </w:rPr>
          <w:t>Cash Incentive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34290</wp:posOffset>
            </wp:positionV>
            <wp:extent cx="4946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r>
      <w:tr>
        <w:trPr>
          <w:trHeight w:val="63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2/27/2018</w:t>
            </w:r>
          </w:p>
        </w:tc>
      </w:tr>
      <w:tr>
        <w:trPr>
          <w:trHeight w:val="107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2/27/2018</w:t>
            </w:r>
          </w:p>
        </w:tc>
      </w:tr>
      <w:tr>
        <w:trPr>
          <w:trHeight w:val="107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3/1/2022</w:t>
            </w:r>
          </w:p>
        </w:tc>
      </w:tr>
      <w:tr>
        <w:trPr>
          <w:trHeight w:val="107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8/9/2022</w:t>
            </w:r>
          </w:p>
        </w:tc>
      </w:tr>
      <w:tr>
        <w:trPr>
          <w:trHeight w:val="997"/>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11/22/2011</w:t>
            </w:r>
          </w:p>
        </w:tc>
      </w:tr>
      <w:tr>
        <w:trPr>
          <w:trHeight w:val="907"/>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2/27/2018</w:t>
            </w:r>
          </w:p>
        </w:tc>
      </w:tr>
      <w:tr>
        <w:trPr>
          <w:trHeight w:val="830"/>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11/22/2011</w:t>
            </w:r>
          </w:p>
        </w:tc>
      </w:tr>
      <w:tr>
        <w:trPr>
          <w:trHeight w:val="741"/>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11/22/2011</w:t>
            </w:r>
          </w:p>
        </w:tc>
      </w:tr>
      <w:tr>
        <w:trPr>
          <w:trHeight w:val="741"/>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10/18/2012</w:t>
            </w:r>
          </w:p>
        </w:tc>
      </w:tr>
      <w:tr>
        <w:trPr>
          <w:trHeight w:val="830"/>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3/1/2022</w:t>
            </w:r>
          </w:p>
        </w:tc>
      </w:tr>
      <w:tr>
        <w:trPr>
          <w:trHeight w:val="728"/>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2/27/2018</w:t>
            </w:r>
          </w:p>
        </w:tc>
      </w:tr>
      <w:tr>
        <w:trPr>
          <w:trHeight w:val="48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2/23/2017</w:t>
            </w:r>
          </w:p>
        </w:tc>
      </w:tr>
      <w:tr>
        <w:trPr>
          <w:trHeight w:val="47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12/9/2011</w:t>
            </w:r>
          </w:p>
        </w:tc>
      </w:tr>
      <w:tr>
        <w:trPr>
          <w:trHeight w:val="56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12/9/2011</w:t>
            </w:r>
          </w:p>
        </w:tc>
      </w:tr>
      <w:tr>
        <w:trPr>
          <w:trHeight w:val="56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3/16/2012</w:t>
            </w:r>
          </w:p>
        </w:tc>
      </w:tr>
    </w:tbl>
    <w:p>
      <w:pPr>
        <w:spacing w:after="0" w:line="370" w:lineRule="exact"/>
        <w:rPr>
          <w:sz w:val="20"/>
          <w:szCs w:val="20"/>
          <w:color w:val="auto"/>
        </w:rPr>
      </w:pPr>
    </w:p>
    <w:p>
      <w:pPr>
        <w:sectPr>
          <w:pgSz w:w="11900" w:h="16838" w:orient="portrait"/>
          <w:cols w:equalWidth="0" w:num="4">
            <w:col w:w="560" w:space="240"/>
            <w:col w:w="3660" w:space="320"/>
            <w:col w:w="600" w:space="220"/>
            <w:col w:w="4439"/>
          </w:cols>
          <w:pgMar w:left="420" w:top="1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68580</wp:posOffset>
            </wp:positionV>
            <wp:extent cx="716534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039"/>
          </w:cols>
          <w:pgMar w:left="420" w:top="1286" w:right="1440" w:bottom="1440" w:gutter="0" w:footer="0" w:header="0"/>
          <w:type w:val="continuous"/>
        </w:sectPr>
      </w:pPr>
    </w:p>
    <w:bookmarkStart w:id="136" w:name="page137"/>
    <w:bookmarkEnd w:id="136"/>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10.19</w:t>
      </w: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10.20</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10.21</w:t>
      </w:r>
    </w:p>
    <w:p>
      <w:pPr>
        <w:spacing w:after="0" w:line="2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10.22</w:t>
      </w:r>
    </w:p>
    <w:p>
      <w:pPr>
        <w:spacing w:after="0" w:line="3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10.23</w:t>
      </w:r>
    </w:p>
    <w:p>
      <w:pPr>
        <w:spacing w:after="0" w:line="3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10.24</w:t>
      </w:r>
    </w:p>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10.25</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10.26</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10.27</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10.28</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10.29</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10.34</w:t>
      </w:r>
    </w:p>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10.35</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10.36</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10.37</w:t>
      </w: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10.38</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95250</wp:posOffset>
            </wp:positionV>
            <wp:extent cx="5257165" cy="300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5257165" cy="300355"/>
                    </a:xfrm>
                    <a:prstGeom prst="rect">
                      <a:avLst/>
                    </a:prstGeom>
                    <a:noFill/>
                  </pic:spPr>
                </pic:pic>
              </a:graphicData>
            </a:graphic>
          </wp:anchor>
        </w:drawing>
      </w:r>
    </w:p>
    <w:p>
      <w:pPr>
        <w:spacing w:after="0" w:line="152" w:lineRule="exact"/>
        <w:rPr>
          <w:sz w:val="20"/>
          <w:szCs w:val="20"/>
          <w:color w:val="auto"/>
        </w:rPr>
      </w:pPr>
    </w:p>
    <w:p>
      <w:pPr>
        <w:ind w:right="560"/>
        <w:spacing w:after="0" w:line="255" w:lineRule="auto"/>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u w:val="single" w:color="auto"/>
            <w:color w:val="0000FF"/>
          </w:rPr>
          <w:t>Form of Non-Employee Director Share Award</w:t>
        </w:r>
      </w:hyperlink>
      <w:r>
        <w:rPr>
          <w:rFonts w:ascii="Times New Roman" w:cs="Times New Roman" w:eastAsia="Times New Roman" w:hAnsi="Times New Roman"/>
          <w:sz w:val="17"/>
          <w:szCs w:val="17"/>
          <w:u w:val="single" w:color="auto"/>
          <w:color w:val="0000FF"/>
        </w:rPr>
        <w:t xml:space="preserve"> </w:t>
      </w:r>
      <w:hyperlink r:id="rId229">
        <w:r>
          <w:rPr>
            <w:rFonts w:ascii="Times New Roman" w:cs="Times New Roman" w:eastAsia="Times New Roman" w:hAnsi="Times New Roman"/>
            <w:sz w:val="17"/>
            <w:szCs w:val="17"/>
            <w:u w:val="single" w:color="auto"/>
            <w:color w:val="0000FF"/>
          </w:rPr>
          <w:t>Confirmation</w:t>
        </w:r>
        <w:r>
          <w:rPr>
            <w:rFonts w:ascii="Times New Roman" w:cs="Times New Roman" w:eastAsia="Times New Roman" w:hAnsi="Times New Roman"/>
            <w:sz w:val="22"/>
            <w:szCs w:val="22"/>
            <w:color w:val="000000"/>
            <w:vertAlign w:val="superscript"/>
          </w:rPr>
          <w:t>(1)</w:t>
        </w:r>
      </w:hyperlink>
    </w:p>
    <w:p>
      <w:pPr>
        <w:spacing w:after="0" w:line="1" w:lineRule="exact"/>
        <w:rPr>
          <w:sz w:val="20"/>
          <w:szCs w:val="20"/>
          <w:color w:val="auto"/>
        </w:rPr>
      </w:pPr>
    </w:p>
    <w:p>
      <w:pPr>
        <w:ind w:right="120"/>
        <w:spacing w:after="0" w:line="252" w:lineRule="auto"/>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u w:val="single" w:color="auto"/>
            <w:color w:val="0000FF"/>
          </w:rPr>
          <w:t>Form of Non-Employee Director Stock Appreciation</w:t>
        </w:r>
      </w:hyperlink>
      <w:r>
        <w:rPr>
          <w:rFonts w:ascii="Times New Roman" w:cs="Times New Roman" w:eastAsia="Times New Roman" w:hAnsi="Times New Roman"/>
          <w:sz w:val="17"/>
          <w:szCs w:val="17"/>
          <w:u w:val="single" w:color="auto"/>
          <w:color w:val="0000FF"/>
        </w:rPr>
        <w:t xml:space="preserve"> </w:t>
      </w:r>
      <w:hyperlink r:id="rId230">
        <w:r>
          <w:rPr>
            <w:rFonts w:ascii="Times New Roman" w:cs="Times New Roman" w:eastAsia="Times New Roman" w:hAnsi="Times New Roman"/>
            <w:sz w:val="17"/>
            <w:szCs w:val="17"/>
            <w:u w:val="single" w:color="auto"/>
            <w:color w:val="0000FF"/>
          </w:rPr>
          <w:t>Right Award Agreement</w:t>
        </w:r>
        <w:r>
          <w:rPr>
            <w:rFonts w:ascii="Times New Roman" w:cs="Times New Roman" w:eastAsia="Times New Roman" w:hAnsi="Times New Roman"/>
            <w:sz w:val="22"/>
            <w:szCs w:val="22"/>
            <w:color w:val="000000"/>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-23495</wp:posOffset>
            </wp:positionV>
            <wp:extent cx="5257165" cy="1949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5257165" cy="194945"/>
                    </a:xfrm>
                    <a:prstGeom prst="rect">
                      <a:avLst/>
                    </a:prstGeom>
                    <a:noFill/>
                  </pic:spPr>
                </pic:pic>
              </a:graphicData>
            </a:graphic>
          </wp:anchor>
        </w:drawing>
      </w:r>
    </w:p>
    <w:p>
      <w:pPr>
        <w:spacing w:after="0"/>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u w:val="single" w:color="auto"/>
            <w:color w:val="0000FF"/>
          </w:rPr>
          <w:t>Form of Director Stock Unit Agreement</w:t>
        </w:r>
      </w:hyperlink>
      <w:r>
        <w:rPr>
          <w:rFonts w:ascii="Times New Roman" w:cs="Times New Roman" w:eastAsia="Times New Roman" w:hAnsi="Times New Roman"/>
          <w:sz w:val="22"/>
          <w:szCs w:val="22"/>
          <w:color w:val="000000"/>
          <w:vertAlign w:val="superscript"/>
        </w:rPr>
        <w:t>(1)</w:t>
      </w:r>
    </w:p>
    <w:p>
      <w:pPr>
        <w:spacing w:after="0"/>
        <w:rPr>
          <w:rFonts w:ascii="Times New Roman" w:cs="Times New Roman" w:eastAsia="Times New Roman" w:hAnsi="Times New Roman"/>
          <w:sz w:val="17"/>
          <w:szCs w:val="17"/>
          <w:u w:val="single" w:color="auto"/>
          <w:color w:val="0000FF"/>
        </w:rPr>
      </w:pPr>
      <w:hyperlink r:id="rId233">
        <w:r>
          <w:rPr>
            <w:rFonts w:ascii="Times New Roman" w:cs="Times New Roman" w:eastAsia="Times New Roman" w:hAnsi="Times New Roman"/>
            <w:sz w:val="17"/>
            <w:szCs w:val="17"/>
            <w:u w:val="single" w:color="auto"/>
            <w:color w:val="0000FF"/>
          </w:rPr>
          <w:t>Form of Stock Appreciation Right Agreement -</w:t>
        </w:r>
      </w:hyperlink>
    </w:p>
    <w:p>
      <w:pPr>
        <w:ind w:right="400"/>
        <w:spacing w:after="0" w:line="234" w:lineRule="auto"/>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u w:val="single" w:color="auto"/>
            <w:color w:val="0000FF"/>
          </w:rPr>
          <w:t>Marriott Vacations Worldwide Corporation 2020</w:t>
        </w:r>
      </w:hyperlink>
      <w:r>
        <w:rPr>
          <w:rFonts w:ascii="Times New Roman" w:cs="Times New Roman" w:eastAsia="Times New Roman" w:hAnsi="Times New Roman"/>
          <w:sz w:val="17"/>
          <w:szCs w:val="17"/>
          <w:u w:val="single" w:color="auto"/>
          <w:color w:val="0000FF"/>
        </w:rPr>
        <w:t xml:space="preserve"> </w:t>
      </w:r>
      <w:hyperlink r:id="rId233">
        <w:r>
          <w:rPr>
            <w:rFonts w:ascii="Times New Roman" w:cs="Times New Roman" w:eastAsia="Times New Roman" w:hAnsi="Times New Roman"/>
            <w:sz w:val="17"/>
            <w:szCs w:val="17"/>
            <w:u w:val="single" w:color="auto"/>
            <w:color w:val="0000FF"/>
          </w:rPr>
          <w:t>Equity Incentive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635</wp:posOffset>
            </wp:positionV>
            <wp:extent cx="5257165" cy="356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5257165" cy="356870"/>
                    </a:xfrm>
                    <a:prstGeom prst="rect">
                      <a:avLst/>
                    </a:prstGeom>
                    <a:noFill/>
                  </pic:spPr>
                </pic:pic>
              </a:graphicData>
            </a:graphic>
          </wp:anchor>
        </w:drawing>
      </w:r>
    </w:p>
    <w:p>
      <w:pPr>
        <w:ind w:right="140"/>
        <w:spacing w:after="0" w:line="220" w:lineRule="auto"/>
        <w:rPr>
          <w:rFonts w:ascii="Times New Roman" w:cs="Times New Roman" w:eastAsia="Times New Roman" w:hAnsi="Times New Roman"/>
          <w:sz w:val="17"/>
          <w:szCs w:val="17"/>
          <w:u w:val="single" w:color="auto"/>
          <w:color w:val="0000FF"/>
        </w:rPr>
      </w:pPr>
      <w:hyperlink r:id="rId235">
        <w:r>
          <w:rPr>
            <w:rFonts w:ascii="Times New Roman" w:cs="Times New Roman" w:eastAsia="Times New Roman" w:hAnsi="Times New Roman"/>
            <w:sz w:val="17"/>
            <w:szCs w:val="17"/>
            <w:u w:val="single" w:color="auto"/>
            <w:color w:val="0000FF"/>
          </w:rPr>
          <w:t>Form of Restricted Stock Unit Agreement - Marriott</w:t>
        </w:r>
      </w:hyperlink>
      <w:r>
        <w:rPr>
          <w:rFonts w:ascii="Times New Roman" w:cs="Times New Roman" w:eastAsia="Times New Roman" w:hAnsi="Times New Roman"/>
          <w:sz w:val="17"/>
          <w:szCs w:val="17"/>
          <w:u w:val="single" w:color="auto"/>
          <w:color w:val="0000FF"/>
        </w:rPr>
        <w:t xml:space="preserve"> </w:t>
      </w:r>
      <w:hyperlink r:id="rId235">
        <w:r>
          <w:rPr>
            <w:rFonts w:ascii="Times New Roman" w:cs="Times New Roman" w:eastAsia="Times New Roman" w:hAnsi="Times New Roman"/>
            <w:sz w:val="17"/>
            <w:szCs w:val="17"/>
            <w:u w:val="single" w:color="auto"/>
            <w:color w:val="0000FF"/>
          </w:rPr>
          <w:t>Vacations Worldwide Corporation 2020 Equity</w:t>
        </w:r>
      </w:hyperlink>
    </w:p>
    <w:p>
      <w:pPr>
        <w:spacing w:after="0"/>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u w:val="single" w:color="auto"/>
            <w:color w:val="0000FF"/>
          </w:rPr>
          <w:t>Incentive Plan</w:t>
        </w:r>
        <w:r>
          <w:rPr>
            <w:rFonts w:ascii="Times New Roman" w:cs="Times New Roman" w:eastAsia="Times New Roman" w:hAnsi="Times New Roman"/>
            <w:sz w:val="17"/>
            <w:szCs w:val="17"/>
            <w:color w:val="000000"/>
          </w:rPr>
          <w:t>*</w:t>
        </w:r>
      </w:hyperlink>
    </w:p>
    <w:p>
      <w:pPr>
        <w:spacing w:after="0" w:line="230" w:lineRule="auto"/>
        <w:rPr>
          <w:rFonts w:ascii="Times New Roman" w:cs="Times New Roman" w:eastAsia="Times New Roman" w:hAnsi="Times New Roman"/>
          <w:sz w:val="17"/>
          <w:szCs w:val="17"/>
          <w:u w:val="single" w:color="auto"/>
          <w:color w:val="0000FF"/>
        </w:rPr>
      </w:pPr>
      <w:hyperlink r:id="rId236">
        <w:r>
          <w:rPr>
            <w:rFonts w:ascii="Times New Roman" w:cs="Times New Roman" w:eastAsia="Times New Roman" w:hAnsi="Times New Roman"/>
            <w:sz w:val="17"/>
            <w:szCs w:val="17"/>
            <w:u w:val="single" w:color="auto"/>
            <w:color w:val="0000FF"/>
          </w:rPr>
          <w:t>Form of Performance Unit Agreement - Marriott</w:t>
        </w:r>
      </w:hyperlink>
    </w:p>
    <w:p>
      <w:pPr>
        <w:ind w:right="520"/>
        <w:spacing w:after="0" w:line="234" w:lineRule="auto"/>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u w:val="single" w:color="auto"/>
            <w:color w:val="0000FF"/>
          </w:rPr>
          <w:t>Vacations Worldwide Corporation 2020 Equity</w:t>
        </w:r>
      </w:hyperlink>
      <w:r>
        <w:rPr>
          <w:rFonts w:ascii="Times New Roman" w:cs="Times New Roman" w:eastAsia="Times New Roman" w:hAnsi="Times New Roman"/>
          <w:sz w:val="17"/>
          <w:szCs w:val="17"/>
          <w:u w:val="single" w:color="auto"/>
          <w:color w:val="0000FF"/>
        </w:rPr>
        <w:t xml:space="preserve"> </w:t>
      </w:r>
      <w:hyperlink r:id="rId236">
        <w:r>
          <w:rPr>
            <w:rFonts w:ascii="Times New Roman" w:cs="Times New Roman" w:eastAsia="Times New Roman" w:hAnsi="Times New Roman"/>
            <w:sz w:val="17"/>
            <w:szCs w:val="17"/>
            <w:u w:val="single" w:color="auto"/>
            <w:color w:val="0000FF"/>
          </w:rPr>
          <w:t>Incentive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635</wp:posOffset>
            </wp:positionV>
            <wp:extent cx="5257165" cy="2514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40"/>
        <w:spacing w:after="0" w:line="235" w:lineRule="auto"/>
        <w:rPr>
          <w:sz w:val="20"/>
          <w:szCs w:val="20"/>
          <w:color w:val="auto"/>
        </w:rPr>
      </w:pPr>
      <w:r>
        <w:rPr>
          <w:rFonts w:ascii="Times New Roman" w:cs="Times New Roman" w:eastAsia="Times New Roman" w:hAnsi="Times New Roman"/>
          <w:sz w:val="17"/>
          <w:szCs w:val="17"/>
          <w:u w:val="single" w:color="auto"/>
          <w:color w:val="0000FF"/>
        </w:rPr>
        <w:t>Marriott Vacations Worldwide Corporation Change in Control Severance Plan</w:t>
      </w:r>
      <w:r>
        <w:rPr>
          <w:rFonts w:ascii="Times New Roman" w:cs="Times New Roman" w:eastAsia="Times New Roman" w:hAnsi="Times New Roman"/>
          <w:sz w:val="17"/>
          <w:szCs w:val="17"/>
          <w:color w:val="000000"/>
        </w:rPr>
        <w:t>*</w:t>
      </w:r>
    </w:p>
    <w:p>
      <w:pPr>
        <w:spacing w:after="0" w:line="9" w:lineRule="exact"/>
        <w:rPr>
          <w:sz w:val="20"/>
          <w:szCs w:val="20"/>
          <w:color w:val="auto"/>
        </w:rPr>
      </w:pPr>
    </w:p>
    <w:p>
      <w:pPr>
        <w:ind w:right="480"/>
        <w:spacing w:after="0" w:line="238" w:lineRule="auto"/>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u w:val="single" w:color="auto"/>
            <w:color w:val="0000FF"/>
          </w:rPr>
          <w:t>Form of Participation Agreement for Change in</w:t>
        </w:r>
      </w:hyperlink>
      <w:r>
        <w:rPr>
          <w:rFonts w:ascii="Times New Roman" w:cs="Times New Roman" w:eastAsia="Times New Roman" w:hAnsi="Times New Roman"/>
          <w:sz w:val="17"/>
          <w:szCs w:val="17"/>
          <w:u w:val="single" w:color="auto"/>
          <w:color w:val="0000FF"/>
        </w:rPr>
        <w:t xml:space="preserve"> </w:t>
      </w:r>
      <w:hyperlink r:id="rId238">
        <w:r>
          <w:rPr>
            <w:rFonts w:ascii="Times New Roman" w:cs="Times New Roman" w:eastAsia="Times New Roman" w:hAnsi="Times New Roman"/>
            <w:sz w:val="17"/>
            <w:szCs w:val="17"/>
            <w:u w:val="single" w:color="auto"/>
            <w:color w:val="0000FF"/>
          </w:rPr>
          <w:t>Control Severance Plan</w:t>
        </w:r>
        <w:r>
          <w:rPr>
            <w:rFonts w:ascii="Times New Roman" w:cs="Times New Roman" w:eastAsia="Times New Roman" w:hAnsi="Times New Roman"/>
            <w:sz w:val="17"/>
            <w:szCs w:val="17"/>
            <w:color w:val="000000"/>
          </w:rPr>
          <w:t>*</w:t>
        </w:r>
      </w:hyperlink>
    </w:p>
    <w:p>
      <w:pPr>
        <w:spacing w:after="0" w:line="8" w:lineRule="exact"/>
        <w:rPr>
          <w:sz w:val="20"/>
          <w:szCs w:val="20"/>
          <w:color w:val="auto"/>
        </w:rPr>
      </w:pPr>
    </w:p>
    <w:p>
      <w:pPr>
        <w:ind w:right="140"/>
        <w:spacing w:after="0" w:line="258" w:lineRule="auto"/>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u w:val="single" w:color="auto"/>
            <w:color w:val="0000FF"/>
          </w:rPr>
          <w:t>Marriott Vacations Worldwide Corporation Deferred</w:t>
        </w:r>
      </w:hyperlink>
      <w:r>
        <w:rPr>
          <w:rFonts w:ascii="Times New Roman" w:cs="Times New Roman" w:eastAsia="Times New Roman" w:hAnsi="Times New Roman"/>
          <w:sz w:val="16"/>
          <w:szCs w:val="16"/>
          <w:u w:val="single" w:color="auto"/>
          <w:color w:val="0000FF"/>
        </w:rPr>
        <w:t xml:space="preserve"> </w:t>
      </w:r>
      <w:hyperlink r:id="rId239">
        <w:r>
          <w:rPr>
            <w:rFonts w:ascii="Times New Roman" w:cs="Times New Roman" w:eastAsia="Times New Roman" w:hAnsi="Times New Roman"/>
            <w:sz w:val="16"/>
            <w:szCs w:val="16"/>
            <w:u w:val="single" w:color="auto"/>
            <w:color w:val="0000FF"/>
          </w:rPr>
          <w:t>Compensation Plan Revised July 29, 2022</w:t>
        </w:r>
        <w:r>
          <w:rPr>
            <w:rFonts w:ascii="Times New Roman" w:cs="Times New Roman" w:eastAsia="Times New Roman" w:hAnsi="Times New Roman"/>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-248285</wp:posOffset>
            </wp:positionV>
            <wp:extent cx="5257165" cy="2514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60"/>
        <w:spacing w:after="0" w:line="238" w:lineRule="auto"/>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u w:val="single" w:color="auto"/>
            <w:color w:val="0000FF"/>
          </w:rPr>
          <w:t>Marriott Vacations Worldwide Corporation Executive</w:t>
        </w:r>
      </w:hyperlink>
      <w:r>
        <w:rPr>
          <w:rFonts w:ascii="Times New Roman" w:cs="Times New Roman" w:eastAsia="Times New Roman" w:hAnsi="Times New Roman"/>
          <w:sz w:val="17"/>
          <w:szCs w:val="17"/>
          <w:u w:val="single" w:color="auto"/>
          <w:color w:val="0000FF"/>
        </w:rPr>
        <w:t xml:space="preserve"> </w:t>
      </w:r>
      <w:hyperlink r:id="rId241">
        <w:r>
          <w:rPr>
            <w:rFonts w:ascii="Times New Roman" w:cs="Times New Roman" w:eastAsia="Times New Roman" w:hAnsi="Times New Roman"/>
            <w:sz w:val="17"/>
            <w:szCs w:val="17"/>
            <w:u w:val="single" w:color="auto"/>
            <w:color w:val="0000FF"/>
          </w:rPr>
          <w:t>Long-Term Disability Plan</w:t>
        </w:r>
        <w:r>
          <w:rPr>
            <w:rFonts w:ascii="Times New Roman" w:cs="Times New Roman" w:eastAsia="Times New Roman" w:hAnsi="Times New Roman"/>
            <w:sz w:val="17"/>
            <w:szCs w:val="17"/>
            <w:color w:val="000000"/>
          </w:rPr>
          <w:t>*</w:t>
        </w:r>
      </w:hyperlink>
    </w:p>
    <w:p>
      <w:pPr>
        <w:spacing w:after="0" w:line="8" w:lineRule="exact"/>
        <w:rPr>
          <w:sz w:val="20"/>
          <w:szCs w:val="20"/>
          <w:color w:val="auto"/>
        </w:rPr>
      </w:pPr>
    </w:p>
    <w:p>
      <w:pPr>
        <w:ind w:right="60"/>
        <w:spacing w:after="0" w:line="238" w:lineRule="auto"/>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u w:val="single" w:color="auto"/>
            <w:color w:val="0000FF"/>
          </w:rPr>
          <w:t>Marriott Vacations Worldwide Corporation Employee</w:t>
        </w:r>
      </w:hyperlink>
      <w:r>
        <w:rPr>
          <w:rFonts w:ascii="Times New Roman" w:cs="Times New Roman" w:eastAsia="Times New Roman" w:hAnsi="Times New Roman"/>
          <w:sz w:val="17"/>
          <w:szCs w:val="17"/>
          <w:u w:val="single" w:color="auto"/>
          <w:color w:val="0000FF"/>
        </w:rPr>
        <w:t xml:space="preserve"> </w:t>
      </w:r>
      <w:hyperlink r:id="rId242">
        <w:r>
          <w:rPr>
            <w:rFonts w:ascii="Times New Roman" w:cs="Times New Roman" w:eastAsia="Times New Roman" w:hAnsi="Times New Roman"/>
            <w:sz w:val="17"/>
            <w:szCs w:val="17"/>
            <w:u w:val="single" w:color="auto"/>
            <w:color w:val="0000FF"/>
          </w:rPr>
          <w:t>Stock Purchase Plan</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-243205</wp:posOffset>
            </wp:positionV>
            <wp:extent cx="5257165" cy="2514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240"/>
        <w:spacing w:after="0" w:line="236" w:lineRule="auto"/>
        <w:rPr>
          <w:rFonts w:ascii="Times New Roman" w:cs="Times New Roman" w:eastAsia="Times New Roman" w:hAnsi="Times New Roman"/>
          <w:sz w:val="16"/>
          <w:szCs w:val="16"/>
          <w:u w:val="single" w:color="auto"/>
          <w:color w:val="0000FF"/>
        </w:rPr>
      </w:pPr>
      <w:hyperlink r:id="rId244">
        <w:r>
          <w:rPr>
            <w:rFonts w:ascii="Times New Roman" w:cs="Times New Roman" w:eastAsia="Times New Roman" w:hAnsi="Times New Roman"/>
            <w:sz w:val="16"/>
            <w:szCs w:val="16"/>
            <w:u w:val="single" w:color="auto"/>
            <w:color w:val="0000FF"/>
          </w:rPr>
          <w:t>Credit Agreement, dated as of August 31, 2018,</w:t>
        </w:r>
      </w:hyperlink>
      <w:r>
        <w:rPr>
          <w:rFonts w:ascii="Times New Roman" w:cs="Times New Roman" w:eastAsia="Times New Roman" w:hAnsi="Times New Roman"/>
          <w:sz w:val="16"/>
          <w:szCs w:val="16"/>
          <w:u w:val="single" w:color="auto"/>
          <w:color w:val="0000FF"/>
        </w:rPr>
        <w:t xml:space="preserve"> </w:t>
      </w:r>
      <w:hyperlink r:id="rId244">
        <w:r>
          <w:rPr>
            <w:rFonts w:ascii="Times New Roman" w:cs="Times New Roman" w:eastAsia="Times New Roman" w:hAnsi="Times New Roman"/>
            <w:sz w:val="16"/>
            <w:szCs w:val="16"/>
            <w:u w:val="single" w:color="auto"/>
            <w:color w:val="0000FF"/>
          </w:rPr>
          <w:t>among Marriott Vacations Worldwide Corporation,</w:t>
        </w:r>
      </w:hyperlink>
    </w:p>
    <w:p>
      <w:pPr>
        <w:spacing w:after="0" w:line="1" w:lineRule="exact"/>
        <w:rPr>
          <w:sz w:val="20"/>
          <w:szCs w:val="20"/>
          <w:color w:val="auto"/>
        </w:rPr>
      </w:pPr>
    </w:p>
    <w:p>
      <w:pPr>
        <w:ind w:right="240"/>
        <w:spacing w:after="0" w:line="219" w:lineRule="auto"/>
        <w:rPr>
          <w:rFonts w:ascii="Times New Roman" w:cs="Times New Roman" w:eastAsia="Times New Roman" w:hAnsi="Times New Roman"/>
          <w:sz w:val="17"/>
          <w:szCs w:val="17"/>
          <w:u w:val="single" w:color="auto"/>
          <w:color w:val="0000FF"/>
        </w:rPr>
      </w:pPr>
      <w:hyperlink r:id="rId244">
        <w:r>
          <w:rPr>
            <w:rFonts w:ascii="Times New Roman" w:cs="Times New Roman" w:eastAsia="Times New Roman" w:hAnsi="Times New Roman"/>
            <w:sz w:val="17"/>
            <w:szCs w:val="17"/>
            <w:u w:val="single" w:color="auto"/>
            <w:color w:val="0000FF"/>
          </w:rPr>
          <w:t>Marriott Ownership Resorts, Inc., the lenders party</w:t>
        </w:r>
      </w:hyperlink>
      <w:r>
        <w:rPr>
          <w:rFonts w:ascii="Times New Roman" w:cs="Times New Roman" w:eastAsia="Times New Roman" w:hAnsi="Times New Roman"/>
          <w:sz w:val="17"/>
          <w:szCs w:val="17"/>
          <w:u w:val="single" w:color="auto"/>
          <w:color w:val="0000FF"/>
        </w:rPr>
        <w:t xml:space="preserve"> </w:t>
      </w:r>
      <w:hyperlink r:id="rId244">
        <w:r>
          <w:rPr>
            <w:rFonts w:ascii="Times New Roman" w:cs="Times New Roman" w:eastAsia="Times New Roman" w:hAnsi="Times New Roman"/>
            <w:sz w:val="17"/>
            <w:szCs w:val="17"/>
            <w:u w:val="single" w:color="auto"/>
            <w:color w:val="0000FF"/>
          </w:rPr>
          <w:t>thereto and JPMorgan Chase Bank, N.A., as</w:t>
        </w:r>
      </w:hyperlink>
      <w:r>
        <w:rPr>
          <w:rFonts w:ascii="Times New Roman" w:cs="Times New Roman" w:eastAsia="Times New Roman" w:hAnsi="Times New Roman"/>
          <w:sz w:val="17"/>
          <w:szCs w:val="17"/>
          <w:u w:val="single" w:color="auto"/>
          <w:color w:val="0000FF"/>
        </w:rPr>
        <w:t xml:space="preserve"> </w:t>
      </w:r>
      <w:hyperlink r:id="rId244">
        <w:r>
          <w:rPr>
            <w:rFonts w:ascii="Times New Roman" w:cs="Times New Roman" w:eastAsia="Times New Roman" w:hAnsi="Times New Roman"/>
            <w:sz w:val="17"/>
            <w:szCs w:val="17"/>
            <w:u w:val="single" w:color="auto"/>
            <w:color w:val="0000FF"/>
          </w:rPr>
          <w:t>administrative agent</w:t>
        </w:r>
      </w:hyperlink>
    </w:p>
    <w:p>
      <w:pPr>
        <w:spacing w:after="0" w:line="9" w:lineRule="exact"/>
        <w:rPr>
          <w:rFonts w:ascii="Times New Roman" w:cs="Times New Roman" w:eastAsia="Times New Roman" w:hAnsi="Times New Roman"/>
          <w:sz w:val="17"/>
          <w:szCs w:val="17"/>
          <w:u w:val="single" w:color="auto"/>
          <w:color w:val="0000FF"/>
        </w:rPr>
      </w:pPr>
    </w:p>
    <w:p>
      <w:pPr>
        <w:ind w:right="200"/>
        <w:spacing w:after="0" w:line="222" w:lineRule="auto"/>
        <w:rPr>
          <w:rFonts w:ascii="Times New Roman" w:cs="Times New Roman" w:eastAsia="Times New Roman" w:hAnsi="Times New Roman"/>
          <w:sz w:val="17"/>
          <w:szCs w:val="17"/>
          <w:u w:val="single" w:color="auto"/>
          <w:color w:val="0000FF"/>
        </w:rPr>
      </w:pPr>
      <w:hyperlink r:id="rId245">
        <w:r>
          <w:rPr>
            <w:rFonts w:ascii="Times New Roman" w:cs="Times New Roman" w:eastAsia="Times New Roman" w:hAnsi="Times New Roman"/>
            <w:sz w:val="17"/>
            <w:szCs w:val="17"/>
            <w:u w:val="single" w:color="auto"/>
            <w:color w:val="0000FF"/>
          </w:rPr>
          <w:t>Amendment No. 1 to Credit Agreement, dated as of</w:t>
        </w:r>
      </w:hyperlink>
      <w:r>
        <w:rPr>
          <w:rFonts w:ascii="Times New Roman" w:cs="Times New Roman" w:eastAsia="Times New Roman" w:hAnsi="Times New Roman"/>
          <w:sz w:val="17"/>
          <w:szCs w:val="17"/>
          <w:u w:val="single" w:color="auto"/>
          <w:color w:val="0000FF"/>
        </w:rPr>
        <w:t xml:space="preserve"> </w:t>
      </w:r>
      <w:hyperlink r:id="rId245">
        <w:r>
          <w:rPr>
            <w:rFonts w:ascii="Times New Roman" w:cs="Times New Roman" w:eastAsia="Times New Roman" w:hAnsi="Times New Roman"/>
            <w:sz w:val="17"/>
            <w:szCs w:val="17"/>
            <w:u w:val="single" w:color="auto"/>
            <w:color w:val="0000FF"/>
          </w:rPr>
          <w:t>December 3, 2019, among Marriott Vacations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681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5257165" cy="681355"/>
                    </a:xfrm>
                    <a:prstGeom prst="rect">
                      <a:avLst/>
                    </a:prstGeom>
                    <a:noFill/>
                  </pic:spPr>
                </pic:pic>
              </a:graphicData>
            </a:graphic>
          </wp:anchor>
        </w:drawing>
      </w:r>
    </w:p>
    <w:p>
      <w:pPr>
        <w:ind w:right="60"/>
        <w:spacing w:after="0" w:line="209" w:lineRule="auto"/>
        <w:rPr>
          <w:rFonts w:ascii="Times New Roman" w:cs="Times New Roman" w:eastAsia="Times New Roman" w:hAnsi="Times New Roman"/>
          <w:sz w:val="17"/>
          <w:szCs w:val="17"/>
          <w:u w:val="single" w:color="auto"/>
          <w:color w:val="0000FF"/>
        </w:rPr>
      </w:pPr>
      <w:hyperlink r:id="rId245">
        <w:r>
          <w:rPr>
            <w:rFonts w:ascii="Times New Roman" w:cs="Times New Roman" w:eastAsia="Times New Roman" w:hAnsi="Times New Roman"/>
            <w:sz w:val="17"/>
            <w:szCs w:val="17"/>
            <w:u w:val="single" w:color="auto"/>
            <w:color w:val="0000FF"/>
          </w:rPr>
          <w:t>Worldwide Corporation, Marriott Ownership Resorts,</w:t>
        </w:r>
      </w:hyperlink>
      <w:r>
        <w:rPr>
          <w:rFonts w:ascii="Times New Roman" w:cs="Times New Roman" w:eastAsia="Times New Roman" w:hAnsi="Times New Roman"/>
          <w:sz w:val="17"/>
          <w:szCs w:val="17"/>
          <w:u w:val="single" w:color="auto"/>
          <w:color w:val="0000FF"/>
        </w:rPr>
        <w:t xml:space="preserve"> </w:t>
      </w:r>
      <w:hyperlink r:id="rId245">
        <w:r>
          <w:rPr>
            <w:rFonts w:ascii="Times New Roman" w:cs="Times New Roman" w:eastAsia="Times New Roman" w:hAnsi="Times New Roman"/>
            <w:sz w:val="17"/>
            <w:szCs w:val="17"/>
            <w:u w:val="single" w:color="auto"/>
            <w:color w:val="0000FF"/>
          </w:rPr>
          <w:t>Inc., Interval Acquisition Corp., the lenders party</w:t>
        </w:r>
      </w:hyperlink>
      <w:r>
        <w:rPr>
          <w:rFonts w:ascii="Times New Roman" w:cs="Times New Roman" w:eastAsia="Times New Roman" w:hAnsi="Times New Roman"/>
          <w:sz w:val="17"/>
          <w:szCs w:val="17"/>
          <w:u w:val="single" w:color="auto"/>
          <w:color w:val="0000FF"/>
        </w:rPr>
        <w:t xml:space="preserve"> </w:t>
      </w:r>
      <w:hyperlink r:id="rId245">
        <w:r>
          <w:rPr>
            <w:rFonts w:ascii="Times New Roman" w:cs="Times New Roman" w:eastAsia="Times New Roman" w:hAnsi="Times New Roman"/>
            <w:sz w:val="17"/>
            <w:szCs w:val="17"/>
            <w:u w:val="single" w:color="auto"/>
            <w:color w:val="0000FF"/>
          </w:rPr>
          <w:t>thereto and JPMorgan Chase Bank, N.A., as</w:t>
        </w:r>
      </w:hyperlink>
    </w:p>
    <w:p>
      <w:pPr>
        <w:spacing w:after="0"/>
        <w:rPr>
          <w:rFonts w:ascii="Times New Roman" w:cs="Times New Roman" w:eastAsia="Times New Roman" w:hAnsi="Times New Roman"/>
          <w:sz w:val="17"/>
          <w:szCs w:val="17"/>
          <w:u w:val="single" w:color="auto"/>
          <w:color w:val="0000FF"/>
        </w:rPr>
      </w:pPr>
      <w:hyperlink r:id="rId245">
        <w:r>
          <w:rPr>
            <w:rFonts w:ascii="Times New Roman" w:cs="Times New Roman" w:eastAsia="Times New Roman" w:hAnsi="Times New Roman"/>
            <w:sz w:val="17"/>
            <w:szCs w:val="17"/>
            <w:u w:val="single" w:color="auto"/>
            <w:color w:val="0000FF"/>
          </w:rPr>
          <w:t>administrative agent</w:t>
        </w:r>
      </w:hyperlink>
    </w:p>
    <w:p>
      <w:pPr>
        <w:spacing w:after="0" w:line="8" w:lineRule="exact"/>
        <w:rPr>
          <w:rFonts w:ascii="Times New Roman" w:cs="Times New Roman" w:eastAsia="Times New Roman" w:hAnsi="Times New Roman"/>
          <w:sz w:val="17"/>
          <w:szCs w:val="17"/>
          <w:u w:val="single" w:color="auto"/>
          <w:color w:val="0000FF"/>
        </w:rPr>
      </w:pPr>
    </w:p>
    <w:p>
      <w:pPr>
        <w:ind w:right="60"/>
        <w:spacing w:after="0" w:line="233" w:lineRule="auto"/>
        <w:rPr>
          <w:rFonts w:ascii="Times New Roman" w:cs="Times New Roman" w:eastAsia="Times New Roman" w:hAnsi="Times New Roman"/>
          <w:sz w:val="16"/>
          <w:szCs w:val="16"/>
          <w:u w:val="single" w:color="auto"/>
          <w:color w:val="0000FF"/>
        </w:rPr>
      </w:pPr>
      <w:hyperlink r:id="rId247">
        <w:r>
          <w:rPr>
            <w:rFonts w:ascii="Times New Roman" w:cs="Times New Roman" w:eastAsia="Times New Roman" w:hAnsi="Times New Roman"/>
            <w:sz w:val="16"/>
            <w:szCs w:val="16"/>
            <w:u w:val="single" w:color="auto"/>
            <w:color w:val="0000FF"/>
          </w:rPr>
          <w:t>Amendment No. 2 to Credit Agreement dated as of</w:t>
        </w:r>
      </w:hyperlink>
      <w:r>
        <w:rPr>
          <w:rFonts w:ascii="Times New Roman" w:cs="Times New Roman" w:eastAsia="Times New Roman" w:hAnsi="Times New Roman"/>
          <w:sz w:val="16"/>
          <w:szCs w:val="16"/>
          <w:u w:val="single" w:color="auto"/>
          <w:color w:val="0000FF"/>
        </w:rPr>
        <w:t xml:space="preserve"> </w:t>
      </w:r>
      <w:hyperlink r:id="rId247">
        <w:r>
          <w:rPr>
            <w:rFonts w:ascii="Times New Roman" w:cs="Times New Roman" w:eastAsia="Times New Roman" w:hAnsi="Times New Roman"/>
            <w:sz w:val="16"/>
            <w:szCs w:val="16"/>
            <w:u w:val="single" w:color="auto"/>
            <w:color w:val="0000FF"/>
          </w:rPr>
          <w:t>April 27, 2023, among Marriott Vacations Worldwide</w:t>
        </w:r>
      </w:hyperlink>
    </w:p>
    <w:p>
      <w:pPr>
        <w:spacing w:after="0" w:line="1" w:lineRule="exact"/>
        <w:rPr>
          <w:sz w:val="20"/>
          <w:szCs w:val="20"/>
          <w:color w:val="auto"/>
        </w:rPr>
      </w:pPr>
    </w:p>
    <w:p>
      <w:pPr>
        <w:ind w:right="80"/>
        <w:spacing w:after="0" w:line="219" w:lineRule="auto"/>
        <w:rPr>
          <w:rFonts w:ascii="Times New Roman" w:cs="Times New Roman" w:eastAsia="Times New Roman" w:hAnsi="Times New Roman"/>
          <w:sz w:val="17"/>
          <w:szCs w:val="17"/>
          <w:u w:val="single" w:color="auto"/>
          <w:color w:val="0000FF"/>
        </w:rPr>
      </w:pPr>
      <w:hyperlink r:id="rId247">
        <w:r>
          <w:rPr>
            <w:rFonts w:ascii="Times New Roman" w:cs="Times New Roman" w:eastAsia="Times New Roman" w:hAnsi="Times New Roman"/>
            <w:sz w:val="17"/>
            <w:szCs w:val="17"/>
            <w:u w:val="single" w:color="auto"/>
            <w:color w:val="0000FF"/>
          </w:rPr>
          <w:t>Corporation, Marriott Ownership Resorts, Inc., and</w:t>
        </w:r>
      </w:hyperlink>
      <w:r>
        <w:rPr>
          <w:rFonts w:ascii="Times New Roman" w:cs="Times New Roman" w:eastAsia="Times New Roman" w:hAnsi="Times New Roman"/>
          <w:sz w:val="17"/>
          <w:szCs w:val="17"/>
          <w:u w:val="single" w:color="auto"/>
          <w:color w:val="0000FF"/>
        </w:rPr>
        <w:t xml:space="preserve"> </w:t>
      </w:r>
      <w:hyperlink r:id="rId247">
        <w:r>
          <w:rPr>
            <w:rFonts w:ascii="Times New Roman" w:cs="Times New Roman" w:eastAsia="Times New Roman" w:hAnsi="Times New Roman"/>
            <w:sz w:val="17"/>
            <w:szCs w:val="17"/>
            <w:u w:val="single" w:color="auto"/>
            <w:color w:val="0000FF"/>
          </w:rPr>
          <w:t>JPMorgan Chase Bank, N.A., as administrative agent</w:t>
        </w:r>
      </w:hyperlink>
      <w:r>
        <w:rPr>
          <w:rFonts w:ascii="Times New Roman" w:cs="Times New Roman" w:eastAsia="Times New Roman" w:hAnsi="Times New Roman"/>
          <w:sz w:val="17"/>
          <w:szCs w:val="17"/>
          <w:u w:val="single" w:color="auto"/>
          <w:color w:val="0000FF"/>
        </w:rPr>
        <w:t xml:space="preserve"> </w:t>
      </w:r>
      <w:hyperlink r:id="rId247">
        <w:r>
          <w:rPr>
            <w:rFonts w:ascii="Times New Roman" w:cs="Times New Roman" w:eastAsia="Times New Roman" w:hAnsi="Times New Roman"/>
            <w:sz w:val="17"/>
            <w:szCs w:val="17"/>
            <w:u w:val="single" w:color="auto"/>
            <w:color w:val="0000FF"/>
          </w:rPr>
          <w:t>and collateral agent</w:t>
        </w:r>
      </w:hyperlink>
    </w:p>
    <w:p>
      <w:pPr>
        <w:spacing w:after="0" w:line="9" w:lineRule="exact"/>
        <w:rPr>
          <w:rFonts w:ascii="Times New Roman" w:cs="Times New Roman" w:eastAsia="Times New Roman" w:hAnsi="Times New Roman"/>
          <w:sz w:val="17"/>
          <w:szCs w:val="17"/>
          <w:u w:val="single" w:color="auto"/>
          <w:color w:val="0000FF"/>
        </w:rPr>
      </w:pPr>
    </w:p>
    <w:p>
      <w:pPr>
        <w:ind w:right="140"/>
        <w:spacing w:after="0" w:line="222" w:lineRule="auto"/>
        <w:rPr>
          <w:rFonts w:ascii="Times New Roman" w:cs="Times New Roman" w:eastAsia="Times New Roman" w:hAnsi="Times New Roman"/>
          <w:sz w:val="17"/>
          <w:szCs w:val="17"/>
          <w:u w:val="single" w:color="auto"/>
          <w:color w:val="0000FF"/>
        </w:rPr>
      </w:pPr>
      <w:hyperlink r:id="rId248">
        <w:r>
          <w:rPr>
            <w:rFonts w:ascii="Times New Roman" w:cs="Times New Roman" w:eastAsia="Times New Roman" w:hAnsi="Times New Roman"/>
            <w:sz w:val="17"/>
            <w:szCs w:val="17"/>
            <w:u w:val="single" w:color="auto"/>
            <w:color w:val="0000FF"/>
          </w:rPr>
          <w:t>Incremental Facility Amendment, dated as of March</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31, 2022, by and among Marriott Vacations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681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5257165" cy="681355"/>
                    </a:xfrm>
                    <a:prstGeom prst="rect">
                      <a:avLst/>
                    </a:prstGeom>
                    <a:noFill/>
                  </pic:spPr>
                </pic:pic>
              </a:graphicData>
            </a:graphic>
          </wp:anchor>
        </w:drawing>
      </w:r>
    </w:p>
    <w:p>
      <w:pPr>
        <w:ind w:right="60"/>
        <w:spacing w:after="0" w:line="222" w:lineRule="auto"/>
        <w:rPr>
          <w:rFonts w:ascii="Times New Roman" w:cs="Times New Roman" w:eastAsia="Times New Roman" w:hAnsi="Times New Roman"/>
          <w:sz w:val="16"/>
          <w:szCs w:val="16"/>
          <w:u w:val="single" w:color="auto"/>
          <w:color w:val="0000FF"/>
        </w:rPr>
      </w:pPr>
      <w:hyperlink r:id="rId248">
        <w:r>
          <w:rPr>
            <w:rFonts w:ascii="Times New Roman" w:cs="Times New Roman" w:eastAsia="Times New Roman" w:hAnsi="Times New Roman"/>
            <w:sz w:val="16"/>
            <w:szCs w:val="16"/>
            <w:u w:val="single" w:color="auto"/>
            <w:color w:val="0000FF"/>
          </w:rPr>
          <w:t>Worldwide Corporation, Marriott Ownership Resorts,</w:t>
        </w:r>
      </w:hyperlink>
      <w:r>
        <w:rPr>
          <w:rFonts w:ascii="Times New Roman" w:cs="Times New Roman" w:eastAsia="Times New Roman" w:hAnsi="Times New Roman"/>
          <w:sz w:val="16"/>
          <w:szCs w:val="16"/>
          <w:u w:val="single" w:color="auto"/>
          <w:color w:val="0000FF"/>
        </w:rPr>
        <w:t xml:space="preserve"> </w:t>
      </w:r>
      <w:hyperlink r:id="rId248">
        <w:r>
          <w:rPr>
            <w:rFonts w:ascii="Times New Roman" w:cs="Times New Roman" w:eastAsia="Times New Roman" w:hAnsi="Times New Roman"/>
            <w:sz w:val="16"/>
            <w:szCs w:val="16"/>
            <w:u w:val="single" w:color="auto"/>
            <w:color w:val="0000FF"/>
          </w:rPr>
          <w:t>Inc., as borrower, JPMorgan Chase Bank, N.A., as</w:t>
        </w:r>
      </w:hyperlink>
      <w:r>
        <w:rPr>
          <w:rFonts w:ascii="Times New Roman" w:cs="Times New Roman" w:eastAsia="Times New Roman" w:hAnsi="Times New Roman"/>
          <w:sz w:val="16"/>
          <w:szCs w:val="16"/>
          <w:u w:val="single" w:color="auto"/>
          <w:color w:val="0000FF"/>
        </w:rPr>
        <w:t xml:space="preserve"> </w:t>
      </w:r>
      <w:hyperlink r:id="rId248">
        <w:r>
          <w:rPr>
            <w:rFonts w:ascii="Times New Roman" w:cs="Times New Roman" w:eastAsia="Times New Roman" w:hAnsi="Times New Roman"/>
            <w:sz w:val="16"/>
            <w:szCs w:val="16"/>
            <w:u w:val="single" w:color="auto"/>
            <w:color w:val="0000FF"/>
          </w:rPr>
          <w:t>administrative agent and collateral agent, and the</w:t>
        </w:r>
      </w:hyperlink>
    </w:p>
    <w:p>
      <w:pPr>
        <w:spacing w:after="0" w:line="1"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7"/>
          <w:szCs w:val="17"/>
          <w:u w:val="single" w:color="auto"/>
          <w:color w:val="0000FF"/>
        </w:rPr>
      </w:pPr>
      <w:hyperlink r:id="rId248">
        <w:r>
          <w:rPr>
            <w:rFonts w:ascii="Times New Roman" w:cs="Times New Roman" w:eastAsia="Times New Roman" w:hAnsi="Times New Roman"/>
            <w:sz w:val="17"/>
            <w:szCs w:val="17"/>
            <w:u w:val="single" w:color="auto"/>
            <w:color w:val="0000FF"/>
          </w:rPr>
          <w:t>incremental lenders party thereto</w:t>
        </w:r>
      </w:hyperlink>
    </w:p>
    <w:p>
      <w:pPr>
        <w:spacing w:after="0" w:line="8" w:lineRule="exact"/>
        <w:rPr>
          <w:rFonts w:ascii="Times New Roman" w:cs="Times New Roman" w:eastAsia="Times New Roman" w:hAnsi="Times New Roman"/>
          <w:sz w:val="16"/>
          <w:szCs w:val="16"/>
          <w:u w:val="single" w:color="auto"/>
          <w:color w:val="0000FF"/>
        </w:rPr>
      </w:pPr>
    </w:p>
    <w:p>
      <w:pPr>
        <w:ind w:right="220"/>
        <w:spacing w:after="0" w:line="220" w:lineRule="auto"/>
        <w:rPr>
          <w:rFonts w:ascii="Times New Roman" w:cs="Times New Roman" w:eastAsia="Times New Roman" w:hAnsi="Times New Roman"/>
          <w:sz w:val="17"/>
          <w:szCs w:val="17"/>
          <w:u w:val="single" w:color="auto"/>
          <w:color w:val="0000FF"/>
        </w:rPr>
      </w:pPr>
      <w:hyperlink r:id="rId250">
        <w:r>
          <w:rPr>
            <w:rFonts w:ascii="Times New Roman" w:cs="Times New Roman" w:eastAsia="Times New Roman" w:hAnsi="Times New Roman"/>
            <w:sz w:val="17"/>
            <w:szCs w:val="17"/>
            <w:u w:val="single" w:color="auto"/>
            <w:color w:val="0000FF"/>
          </w:rPr>
          <w:t>Joinder Agreement, dated as of September 1, 2018,</w:t>
        </w:r>
      </w:hyperlink>
      <w:r>
        <w:rPr>
          <w:rFonts w:ascii="Times New Roman" w:cs="Times New Roman" w:eastAsia="Times New Roman" w:hAnsi="Times New Roman"/>
          <w:sz w:val="17"/>
          <w:szCs w:val="17"/>
          <w:u w:val="single" w:color="auto"/>
          <w:color w:val="0000FF"/>
        </w:rPr>
        <w:t xml:space="preserve"> </w:t>
      </w:r>
      <w:hyperlink r:id="rId250">
        <w:r>
          <w:rPr>
            <w:rFonts w:ascii="Times New Roman" w:cs="Times New Roman" w:eastAsia="Times New Roman" w:hAnsi="Times New Roman"/>
            <w:sz w:val="17"/>
            <w:szCs w:val="17"/>
            <w:u w:val="single" w:color="auto"/>
            <w:color w:val="0000FF"/>
          </w:rPr>
          <w:t>among Interval Acquisition Corp. and JPMorgan</w:t>
        </w:r>
      </w:hyperlink>
    </w:p>
    <w:p>
      <w:pPr>
        <w:spacing w:after="0"/>
        <w:rPr>
          <w:rFonts w:ascii="Times New Roman" w:cs="Times New Roman" w:eastAsia="Times New Roman" w:hAnsi="Times New Roman"/>
          <w:sz w:val="17"/>
          <w:szCs w:val="17"/>
          <w:u w:val="single" w:color="auto"/>
          <w:color w:val="0000FF"/>
        </w:rPr>
      </w:pPr>
      <w:hyperlink r:id="rId250">
        <w:r>
          <w:rPr>
            <w:rFonts w:ascii="Times New Roman" w:cs="Times New Roman" w:eastAsia="Times New Roman" w:hAnsi="Times New Roman"/>
            <w:sz w:val="17"/>
            <w:szCs w:val="17"/>
            <w:u w:val="single" w:color="auto"/>
            <w:color w:val="0000FF"/>
          </w:rPr>
          <w:t>Chase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4445</wp:posOffset>
            </wp:positionV>
            <wp:extent cx="5257165" cy="2514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ind w:right="420"/>
        <w:spacing w:after="0" w:line="235" w:lineRule="auto"/>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u w:val="single" w:color="auto"/>
            <w:color w:val="0000FF"/>
          </w:rPr>
          <w:t>Deferred Compensation Plan for Non-Employee</w:t>
        </w:r>
      </w:hyperlink>
      <w:r>
        <w:rPr>
          <w:rFonts w:ascii="Times New Roman" w:cs="Times New Roman" w:eastAsia="Times New Roman" w:hAnsi="Times New Roman"/>
          <w:sz w:val="17"/>
          <w:szCs w:val="17"/>
          <w:u w:val="single" w:color="auto"/>
          <w:color w:val="0000FF"/>
        </w:rPr>
        <w:t xml:space="preserve"> </w:t>
      </w:r>
      <w:hyperlink r:id="rId252">
        <w:r>
          <w:rPr>
            <w:rFonts w:ascii="Times New Roman" w:cs="Times New Roman" w:eastAsia="Times New Roman" w:hAnsi="Times New Roman"/>
            <w:sz w:val="17"/>
            <w:szCs w:val="17"/>
            <w:u w:val="single" w:color="auto"/>
            <w:color w:val="0000FF"/>
          </w:rPr>
          <w:t>Directors</w:t>
        </w:r>
        <w:r>
          <w:rPr>
            <w:rFonts w:ascii="Times New Roman" w:cs="Times New Roman" w:eastAsia="Times New Roman" w:hAnsi="Times New Roman"/>
            <w:sz w:val="17"/>
            <w:szCs w:val="17"/>
            <w:color w:val="000000"/>
          </w:rPr>
          <w:t>*</w:t>
        </w:r>
      </w:hyperlink>
    </w:p>
    <w:p>
      <w:pPr>
        <w:spacing w:after="0" w:line="9" w:lineRule="exact"/>
        <w:rPr>
          <w:sz w:val="20"/>
          <w:szCs w:val="20"/>
          <w:color w:val="auto"/>
        </w:rPr>
      </w:pPr>
    </w:p>
    <w:p>
      <w:pPr>
        <w:ind w:right="40"/>
        <w:spacing w:after="0" w:line="238" w:lineRule="auto"/>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u w:val="single" w:color="auto"/>
            <w:color w:val="0000FF"/>
          </w:rPr>
          <w:t>Interval Leisure Group, Inc. 2013 Stock and Incentive</w:t>
        </w:r>
      </w:hyperlink>
      <w:r>
        <w:rPr>
          <w:rFonts w:ascii="Times New Roman" w:cs="Times New Roman" w:eastAsia="Times New Roman" w:hAnsi="Times New Roman"/>
          <w:sz w:val="17"/>
          <w:szCs w:val="17"/>
          <w:u w:val="single" w:color="auto"/>
          <w:color w:val="0000FF"/>
        </w:rPr>
        <w:t xml:space="preserve"> </w:t>
      </w:r>
      <w:hyperlink r:id="rId253">
        <w:r>
          <w:rPr>
            <w:rFonts w:ascii="Times New Roman" w:cs="Times New Roman" w:eastAsia="Times New Roman" w:hAnsi="Times New Roman"/>
            <w:sz w:val="17"/>
            <w:szCs w:val="17"/>
            <w:u w:val="single" w:color="auto"/>
            <w:color w:val="0000FF"/>
          </w:rPr>
          <w:t>Compensation Plan, as amended</w:t>
        </w:r>
        <w:r>
          <w:rPr>
            <w:rFonts w:ascii="Times New Roman" w:cs="Times New Roman" w:eastAsia="Times New Roman" w:hAnsi="Times New Roman"/>
            <w:sz w:val="17"/>
            <w:szCs w:val="17"/>
            <w:color w:val="000000"/>
          </w:rPr>
          <w:t>*</w:t>
        </w:r>
      </w:hyperlink>
    </w:p>
    <w:p>
      <w:pPr>
        <w:spacing w:after="0" w:line="8" w:lineRule="exact"/>
        <w:rPr>
          <w:sz w:val="20"/>
          <w:szCs w:val="20"/>
          <w:color w:val="auto"/>
        </w:rPr>
      </w:pPr>
    </w:p>
    <w:p>
      <w:pPr>
        <w:ind w:right="200"/>
        <w:spacing w:after="0" w:line="236" w:lineRule="auto"/>
        <w:rPr>
          <w:rFonts w:ascii="Times New Roman" w:cs="Times New Roman" w:eastAsia="Times New Roman" w:hAnsi="Times New Roman"/>
          <w:sz w:val="16"/>
          <w:szCs w:val="16"/>
          <w:u w:val="single" w:color="auto"/>
          <w:color w:val="0000FF"/>
        </w:rPr>
      </w:pPr>
      <w:hyperlink r:id="rId254">
        <w:r>
          <w:rPr>
            <w:rFonts w:ascii="Times New Roman" w:cs="Times New Roman" w:eastAsia="Times New Roman" w:hAnsi="Times New Roman"/>
            <w:sz w:val="16"/>
            <w:szCs w:val="16"/>
            <w:u w:val="single" w:color="auto"/>
            <w:color w:val="0000FF"/>
          </w:rPr>
          <w:t>Form of Terms and Conditions for Annual RSU</w:t>
        </w:r>
      </w:hyperlink>
      <w:r>
        <w:rPr>
          <w:rFonts w:ascii="Times New Roman" w:cs="Times New Roman" w:eastAsia="Times New Roman" w:hAnsi="Times New Roman"/>
          <w:sz w:val="16"/>
          <w:szCs w:val="16"/>
          <w:u w:val="single" w:color="auto"/>
          <w:color w:val="0000FF"/>
        </w:rPr>
        <w:t xml:space="preserve"> </w:t>
      </w:r>
      <w:hyperlink r:id="rId254">
        <w:r>
          <w:rPr>
            <w:rFonts w:ascii="Times New Roman" w:cs="Times New Roman" w:eastAsia="Times New Roman" w:hAnsi="Times New Roman"/>
            <w:sz w:val="16"/>
            <w:szCs w:val="16"/>
            <w:u w:val="single" w:color="auto"/>
            <w:color w:val="0000FF"/>
          </w:rPr>
          <w:t>Awards under the Interval Leisure Group, Inc.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356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5257165" cy="356870"/>
                    </a:xfrm>
                    <a:prstGeom prst="rect">
                      <a:avLst/>
                    </a:prstGeom>
                    <a:noFill/>
                  </pic:spPr>
                </pic:pic>
              </a:graphicData>
            </a:graphic>
          </wp:anchor>
        </w:drawing>
      </w:r>
    </w:p>
    <w:p>
      <w:pPr>
        <w:spacing w:after="0"/>
        <w:rPr>
          <w:rFonts w:ascii="Times New Roman" w:cs="Times New Roman" w:eastAsia="Times New Roman" w:hAnsi="Times New Roman"/>
          <w:sz w:val="17"/>
          <w:szCs w:val="17"/>
          <w:color w:val="0000FF"/>
        </w:rPr>
      </w:pPr>
      <w:hyperlink r:id="rId254">
        <w:r>
          <w:rPr>
            <w:rFonts w:ascii="Times New Roman" w:cs="Times New Roman" w:eastAsia="Times New Roman" w:hAnsi="Times New Roman"/>
            <w:sz w:val="17"/>
            <w:szCs w:val="17"/>
            <w:u w:val="single" w:color="auto"/>
            <w:color w:val="0000FF"/>
          </w:rPr>
          <w:t>Stock and Incentive Compensation Plan</w:t>
        </w:r>
        <w:r>
          <w:rPr>
            <w:rFonts w:ascii="Times New Roman" w:cs="Times New Roman" w:eastAsia="Times New Roman" w:hAnsi="Times New Roman"/>
            <w:sz w:val="17"/>
            <w:szCs w:val="17"/>
            <w:color w:val="000000"/>
          </w:rPr>
          <w:t>*</w:t>
        </w:r>
      </w:hyperlink>
    </w:p>
    <w:p>
      <w:pPr>
        <w:spacing w:after="0" w:line="16" w:lineRule="exact"/>
        <w:rPr>
          <w:sz w:val="20"/>
          <w:szCs w:val="20"/>
          <w:color w:val="auto"/>
        </w:rPr>
      </w:pPr>
    </w:p>
    <w:p>
      <w:pPr>
        <w:spacing w:after="0" w:line="222" w:lineRule="auto"/>
        <w:rPr>
          <w:rFonts w:ascii="Times New Roman" w:cs="Times New Roman" w:eastAsia="Times New Roman" w:hAnsi="Times New Roman"/>
          <w:sz w:val="17"/>
          <w:szCs w:val="17"/>
          <w:u w:val="single" w:color="auto"/>
          <w:color w:val="0000FF"/>
        </w:rPr>
      </w:pPr>
      <w:hyperlink r:id="rId256">
        <w:r>
          <w:rPr>
            <w:rFonts w:ascii="Times New Roman" w:cs="Times New Roman" w:eastAsia="Times New Roman" w:hAnsi="Times New Roman"/>
            <w:sz w:val="17"/>
            <w:szCs w:val="17"/>
            <w:u w:val="single" w:color="auto"/>
            <w:color w:val="0000FF"/>
          </w:rPr>
          <w:t>Employee Matters Agreement, dated as of October 27,</w:t>
        </w:r>
      </w:hyperlink>
      <w:r>
        <w:rPr>
          <w:rFonts w:ascii="Times New Roman" w:cs="Times New Roman" w:eastAsia="Times New Roman" w:hAnsi="Times New Roman"/>
          <w:sz w:val="17"/>
          <w:szCs w:val="17"/>
          <w:u w:val="single" w:color="auto"/>
          <w:color w:val="0000FF"/>
        </w:rPr>
        <w:t xml:space="preserve"> </w:t>
      </w:r>
      <w:hyperlink r:id="rId256">
        <w:r>
          <w:rPr>
            <w:rFonts w:ascii="Times New Roman" w:cs="Times New Roman" w:eastAsia="Times New Roman" w:hAnsi="Times New Roman"/>
            <w:sz w:val="17"/>
            <w:szCs w:val="17"/>
            <w:u w:val="single" w:color="auto"/>
            <w:color w:val="0000FF"/>
          </w:rPr>
          <w:t>2015 among Interval Leisure Group, Inc., Starwood</w:t>
        </w:r>
      </w:hyperlink>
    </w:p>
    <w:p>
      <w:pPr>
        <w:spacing w:after="0" w:line="1" w:lineRule="exact"/>
        <w:rPr>
          <w:sz w:val="20"/>
          <w:szCs w:val="20"/>
          <w:color w:val="auto"/>
        </w:rPr>
      </w:pPr>
    </w:p>
    <w:p>
      <w:pPr>
        <w:ind w:right="560"/>
        <w:spacing w:after="0" w:line="242" w:lineRule="auto"/>
        <w:rPr>
          <w:rFonts w:ascii="Times New Roman" w:cs="Times New Roman" w:eastAsia="Times New Roman" w:hAnsi="Times New Roman"/>
          <w:sz w:val="16"/>
          <w:szCs w:val="16"/>
          <w:u w:val="single" w:color="auto"/>
          <w:color w:val="0000FF"/>
        </w:rPr>
      </w:pPr>
      <w:hyperlink r:id="rId256">
        <w:r>
          <w:rPr>
            <w:rFonts w:ascii="Times New Roman" w:cs="Times New Roman" w:eastAsia="Times New Roman" w:hAnsi="Times New Roman"/>
            <w:sz w:val="16"/>
            <w:szCs w:val="16"/>
            <w:u w:val="single" w:color="auto"/>
            <w:color w:val="0000FF"/>
          </w:rPr>
          <w:t>Hotels &amp; Resorts Worldwide, Inc. and Vistana</w:t>
        </w:r>
      </w:hyperlink>
      <w:r>
        <w:rPr>
          <w:rFonts w:ascii="Times New Roman" w:cs="Times New Roman" w:eastAsia="Times New Roman" w:hAnsi="Times New Roman"/>
          <w:sz w:val="16"/>
          <w:szCs w:val="16"/>
          <w:u w:val="single" w:color="auto"/>
          <w:color w:val="0000FF"/>
        </w:rPr>
        <w:t xml:space="preserve"> </w:t>
      </w:r>
      <w:hyperlink r:id="rId256">
        <w:r>
          <w:rPr>
            <w:rFonts w:ascii="Times New Roman" w:cs="Times New Roman" w:eastAsia="Times New Roman" w:hAnsi="Times New Roman"/>
            <w:sz w:val="16"/>
            <w:szCs w:val="16"/>
            <w:u w:val="single" w:color="auto"/>
            <w:color w:val="0000FF"/>
          </w:rPr>
          <w:t>Signature Experiences, Inc., as amended</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Date Filed</w:t>
            </w:r>
          </w:p>
        </w:tc>
      </w:tr>
      <w:tr>
        <w:trPr>
          <w:trHeight w:val="32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8/4/2023</w:t>
            </w:r>
          </w:p>
        </w:tc>
      </w:tr>
      <w:tr>
        <w:trPr>
          <w:trHeight w:val="460"/>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8/4/2023</w:t>
            </w:r>
          </w:p>
        </w:tc>
      </w:tr>
      <w:tr>
        <w:trPr>
          <w:trHeight w:val="38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8/4/2023</w:t>
            </w:r>
          </w:p>
        </w:tc>
      </w:tr>
      <w:tr>
        <w:trPr>
          <w:trHeight w:val="434"/>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10.22</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2/27/2023</w:t>
            </w:r>
          </w:p>
        </w:tc>
      </w:tr>
      <w:tr>
        <w:trPr>
          <w:trHeight w:val="56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10.23</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2/27/2023</w:t>
            </w:r>
          </w:p>
        </w:tc>
      </w:tr>
      <w:tr>
        <w:trPr>
          <w:trHeight w:val="56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10.24</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2/27/2023</w:t>
            </w:r>
          </w:p>
        </w:tc>
      </w:tr>
      <w:tr>
        <w:trPr>
          <w:trHeight w:val="88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10.26</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2/27/2023</w:t>
            </w:r>
          </w:p>
        </w:tc>
      </w:tr>
      <w:tr>
        <w:trPr>
          <w:trHeight w:val="39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8/9/2022</w:t>
            </w:r>
          </w:p>
        </w:tc>
      </w:tr>
      <w:tr>
        <w:trPr>
          <w:trHeight w:val="39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10.21</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2/26/2015</w:t>
            </w:r>
          </w:p>
        </w:tc>
      </w:tr>
      <w:tr>
        <w:trPr>
          <w:trHeight w:val="39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6/11/2015</w:t>
            </w:r>
          </w:p>
        </w:tc>
      </w:tr>
      <w:tr>
        <w:trPr>
          <w:trHeight w:val="652"/>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9/5/2018</w:t>
            </w:r>
          </w:p>
        </w:tc>
      </w:tr>
      <w:tr>
        <w:trPr>
          <w:trHeight w:val="984"/>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10.38</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3/2/2020</w:t>
            </w:r>
          </w:p>
        </w:tc>
      </w:tr>
      <w:tr>
        <w:trPr>
          <w:trHeight w:val="997"/>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8/4/2023</w:t>
            </w:r>
          </w:p>
        </w:tc>
      </w:tr>
      <w:tr>
        <w:trPr>
          <w:trHeight w:val="984"/>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4/6/2022</w:t>
            </w:r>
          </w:p>
        </w:tc>
      </w:tr>
      <w:tr>
        <w:trPr>
          <w:trHeight w:val="818"/>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9/5/2018</w:t>
            </w:r>
          </w:p>
        </w:tc>
      </w:tr>
      <w:tr>
        <w:trPr>
          <w:trHeight w:val="48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S-1</w:t>
            </w:r>
            <w:r>
              <w:rPr>
                <w:rFonts w:ascii="Times New Roman" w:cs="Times New Roman" w:eastAsia="Times New Roman" w:hAnsi="Times New Roman"/>
                <w:sz w:val="9"/>
                <w:szCs w:val="9"/>
                <w:color w:val="auto"/>
                <w:w w:val="99"/>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10.12</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8/1/2018</w:t>
            </w:r>
          </w:p>
        </w:tc>
      </w:tr>
      <w:tr>
        <w:trPr>
          <w:trHeight w:val="396"/>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S-8</w:t>
            </w:r>
            <w:r>
              <w:rPr>
                <w:rFonts w:ascii="Times New Roman" w:cs="Times New Roman" w:eastAsia="Times New Roman" w:hAnsi="Times New Roman"/>
                <w:sz w:val="9"/>
                <w:szCs w:val="9"/>
                <w:color w:val="auto"/>
                <w:w w:val="99"/>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8/5/2016</w:t>
            </w:r>
          </w:p>
        </w:tc>
      </w:tr>
      <w:tr>
        <w:trPr>
          <w:trHeight w:val="533"/>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2"/>
              </w:rPr>
              <w:t>10-Q</w:t>
            </w:r>
            <w:r>
              <w:rPr>
                <w:rFonts w:ascii="Times New Roman" w:cs="Times New Roman" w:eastAsia="Times New Roman" w:hAnsi="Times New Roman"/>
                <w:sz w:val="19"/>
                <w:szCs w:val="19"/>
                <w:color w:val="auto"/>
                <w:w w:val="92"/>
                <w:vertAlign w:val="superscript"/>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5/8/2014</w:t>
            </w:r>
          </w:p>
        </w:tc>
      </w:tr>
      <w:tr>
        <w:trPr>
          <w:trHeight w:val="604"/>
        </w:trPr>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8-K</w:t>
            </w:r>
            <w:r>
              <w:rPr>
                <w:rFonts w:ascii="Times New Roman" w:cs="Times New Roman" w:eastAsia="Times New Roman" w:hAnsi="Times New Roman"/>
                <w:sz w:val="9"/>
                <w:szCs w:val="9"/>
                <w:color w:val="auto"/>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5/12/2016</w:t>
            </w:r>
          </w:p>
        </w:tc>
      </w:tr>
    </w:tbl>
    <w:p>
      <w:pPr>
        <w:spacing w:after="0" w:line="456" w:lineRule="exact"/>
        <w:rPr>
          <w:sz w:val="20"/>
          <w:szCs w:val="20"/>
          <w:color w:val="auto"/>
        </w:rPr>
      </w:pPr>
    </w:p>
    <w:p>
      <w:pPr>
        <w:sectPr>
          <w:pgSz w:w="11900" w:h="16838" w:orient="portrait"/>
          <w:cols w:equalWidth="0" w:num="4">
            <w:col w:w="560" w:space="240"/>
            <w:col w:w="3720" w:space="260"/>
            <w:col w:w="600" w:space="220"/>
            <w:col w:w="4439"/>
          </w:cols>
          <w:pgMar w:left="420" w:top="1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68580</wp:posOffset>
            </wp:positionV>
            <wp:extent cx="716534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039"/>
          </w:cols>
          <w:pgMar w:left="420" w:top="1286" w:right="1440" w:bottom="1440" w:gutter="0" w:footer="0" w:header="0"/>
          <w:type w:val="continuous"/>
        </w:sectPr>
      </w:pPr>
    </w:p>
    <w:bookmarkStart w:id="137" w:name="page138"/>
    <w:bookmarkEnd w:id="137"/>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38"/>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23"/>
        </w:trPr>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gridSpan w:val="3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94967277"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94967277"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45"/>
          </w:tcPr>
          <w:p>
            <w:pPr>
              <w:spacing w:after="0" w:line="172"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License, Services and Development Agreement, dated</w:t>
              </w:r>
            </w:hyperlink>
          </w:p>
        </w:tc>
        <w:tc>
          <w:tcPr>
            <w:tcW w:w="0" w:type="dxa"/>
            <w:vAlign w:val="bottom"/>
          </w:tcPr>
          <w:p>
            <w:pPr>
              <w:spacing w:after="0"/>
              <w:rPr>
                <w:sz w:val="1"/>
                <w:szCs w:val="1"/>
                <w:color w:val="auto"/>
              </w:rPr>
            </w:pPr>
          </w:p>
        </w:tc>
      </w:tr>
      <w:tr>
        <w:trPr>
          <w:trHeight w:val="146"/>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10.39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31"/>
          </w:tcPr>
          <w:p>
            <w:pPr>
              <w:spacing w:after="0" w:line="146"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as of May 11, 2016, among Interval Leisure Group,</w:t>
              </w:r>
            </w:hyperlink>
          </w:p>
        </w:tc>
        <w:tc>
          <w:tcPr>
            <w:tcW w:w="260" w:type="dxa"/>
            <w:vAlign w:val="bottom"/>
            <w:tcBorders>
              <w:top w:val="single" w:sz="8" w:color="0000FF"/>
            </w:tcBorders>
            <w:gridSpan w:val="13"/>
          </w:tcPr>
          <w:p>
            <w:pPr>
              <w:spacing w:after="0"/>
              <w:rPr>
                <w:sz w:val="12"/>
                <w:szCs w:val="12"/>
                <w:color w:val="auto"/>
              </w:rPr>
            </w:pPr>
          </w:p>
        </w:tc>
        <w:tc>
          <w:tcPr>
            <w:tcW w:w="4294967277"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45"/>
            <w:vMerge w:val="restart"/>
          </w:tcPr>
          <w:p>
            <w:pPr>
              <w:spacing w:after="0" w:line="159"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Inc., Starwood Hotels &amp; Resorts Worldwide, Inc. and</w:t>
              </w:r>
            </w:hyperlink>
          </w:p>
        </w:tc>
        <w:tc>
          <w:tcPr>
            <w:tcW w:w="0" w:type="dxa"/>
            <w:vAlign w:val="bottom"/>
          </w:tcPr>
          <w:p>
            <w:pPr>
              <w:spacing w:after="0"/>
              <w:rPr>
                <w:sz w:val="1"/>
                <w:szCs w:val="1"/>
                <w:color w:val="auto"/>
              </w:rPr>
            </w:pPr>
          </w:p>
        </w:tc>
      </w:tr>
      <w:tr>
        <w:trPr>
          <w:trHeight w:val="50"/>
        </w:trPr>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780" w:type="dxa"/>
            <w:vAlign w:val="bottom"/>
            <w:gridSpan w:val="4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top w:val="single" w:sz="8" w:color="0000FF"/>
            </w:tcBorders>
            <w:gridSpan w:val="42"/>
          </w:tcPr>
          <w:p>
            <w:pPr>
              <w:spacing w:after="0" w:line="146"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Vistana Signature Experiences, Inc.</w:t>
              </w:r>
            </w:hyperlink>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45"/>
          </w:tcPr>
          <w:p>
            <w:pPr>
              <w:spacing w:after="0"/>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Tax Matters Agreement, dated as of May 11, 2016,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10.40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bottom w:val="single" w:sz="8" w:color="0000FF"/>
            </w:tcBorders>
            <w:gridSpan w:val="41"/>
          </w:tcPr>
          <w:p>
            <w:pPr>
              <w:spacing w:after="0" w:line="146"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among Interval Leisure Group, Inc., Starwood Hotels</w:t>
              </w:r>
            </w:hyperlink>
          </w:p>
        </w:tc>
        <w:tc>
          <w:tcPr>
            <w:tcW w:w="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45"/>
            <w:vMerge w:val="restart"/>
          </w:tcPr>
          <w:p>
            <w:pPr>
              <w:spacing w:after="0" w:line="159" w:lineRule="exact"/>
              <w:rPr>
                <w:rFonts w:ascii="Times New Roman" w:cs="Times New Roman" w:eastAsia="Times New Roman" w:hAnsi="Times New Roman"/>
                <w:sz w:val="17"/>
                <w:szCs w:val="17"/>
                <w:color w:val="0000FF"/>
              </w:rPr>
            </w:pPr>
            <w:hyperlink r:id="rId259">
              <w:r>
                <w:rPr>
                  <w:rFonts w:ascii="Times New Roman" w:cs="Times New Roman" w:eastAsia="Times New Roman" w:hAnsi="Times New Roman"/>
                  <w:sz w:val="17"/>
                  <w:szCs w:val="17"/>
                  <w:color w:val="0000FF"/>
                </w:rPr>
                <w:t>&amp; Resorts Worldwide, Inc. and Vistana Signature</w:t>
              </w:r>
            </w:hyperlink>
          </w:p>
        </w:tc>
        <w:tc>
          <w:tcPr>
            <w:tcW w:w="0" w:type="dxa"/>
            <w:vAlign w:val="bottom"/>
          </w:tcPr>
          <w:p>
            <w:pPr>
              <w:spacing w:after="0"/>
              <w:rPr>
                <w:sz w:val="1"/>
                <w:szCs w:val="1"/>
                <w:color w:val="auto"/>
              </w:rPr>
            </w:pPr>
          </w:p>
        </w:tc>
      </w:tr>
      <w:tr>
        <w:trPr>
          <w:trHeight w:val="50"/>
        </w:trPr>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780" w:type="dxa"/>
            <w:vAlign w:val="bottom"/>
            <w:gridSpan w:val="4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5"/>
          </w:tcPr>
          <w:p>
            <w:pPr>
              <w:spacing w:after="0" w:line="146"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Experiences, Inc.</w:t>
              </w:r>
            </w:hyperlink>
          </w:p>
        </w:tc>
        <w:tc>
          <w:tcPr>
            <w:tcW w:w="2180" w:type="dxa"/>
            <w:vAlign w:val="bottom"/>
            <w:tcBorders>
              <w:top w:val="single" w:sz="8" w:color="0000FF"/>
            </w:tcBorders>
            <w:gridSpan w:val="20"/>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rFonts w:ascii="Times New Roman" w:cs="Times New Roman" w:eastAsia="Times New Roman" w:hAnsi="Times New Roman"/>
                <w:sz w:val="17"/>
                <w:szCs w:val="17"/>
                <w:color w:val="0000FF"/>
              </w:rPr>
            </w:pPr>
            <w:hyperlink r:id="rId260">
              <w:r>
                <w:rPr>
                  <w:rFonts w:ascii="Times New Roman" w:cs="Times New Roman" w:eastAsia="Times New Roman" w:hAnsi="Times New Roman"/>
                  <w:sz w:val="17"/>
                  <w:szCs w:val="17"/>
                  <w:color w:val="0000FF"/>
                </w:rPr>
                <w:t>Termination of Noncompetition Agreement, effective</w:t>
              </w:r>
            </w:hyperlink>
          </w:p>
        </w:tc>
        <w:tc>
          <w:tcPr>
            <w:tcW w:w="0" w:type="dxa"/>
            <w:vAlign w:val="bottom"/>
          </w:tcPr>
          <w:p>
            <w:pPr>
              <w:spacing w:after="0"/>
              <w:rPr>
                <w:sz w:val="1"/>
                <w:szCs w:val="1"/>
                <w:color w:val="auto"/>
              </w:rPr>
            </w:pPr>
          </w:p>
        </w:tc>
      </w:tr>
      <w:tr>
        <w:trPr>
          <w:trHeight w:val="146"/>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10.41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22"/>
          </w:tcPr>
          <w:p>
            <w:pPr>
              <w:spacing w:after="0" w:line="146"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September 1, 2018, between Starwood Hotels &amp;</w:t>
              </w:r>
            </w:hyperlink>
          </w:p>
        </w:tc>
        <w:tc>
          <w:tcPr>
            <w:tcW w:w="440" w:type="dxa"/>
            <w:vAlign w:val="bottom"/>
            <w:tcBorders>
              <w:top w:val="single" w:sz="8" w:color="0000FF"/>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gridSpan w:val="45"/>
          </w:tcPr>
          <w:p>
            <w:pPr>
              <w:spacing w:after="0" w:line="159" w:lineRule="exact"/>
              <w:rPr>
                <w:rFonts w:ascii="Times New Roman" w:cs="Times New Roman" w:eastAsia="Times New Roman" w:hAnsi="Times New Roman"/>
                <w:sz w:val="17"/>
                <w:szCs w:val="17"/>
                <w:color w:val="0000FF"/>
              </w:rPr>
            </w:pPr>
            <w:hyperlink r:id="rId260">
              <w:r>
                <w:rPr>
                  <w:rFonts w:ascii="Times New Roman" w:cs="Times New Roman" w:eastAsia="Times New Roman" w:hAnsi="Times New Roman"/>
                  <w:sz w:val="17"/>
                  <w:szCs w:val="17"/>
                  <w:color w:val="0000FF"/>
                </w:rPr>
                <w:t>Resorts Worldwide, LLC (formerly Starwood Hotels</w:t>
              </w:r>
            </w:hyperlink>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60" w:type="dxa"/>
            <w:vAlign w:val="bottom"/>
            <w:tcBorders>
              <w:top w:val="single" w:sz="8" w:color="0000FF"/>
            </w:tcBorders>
            <w:gridSpan w:val="37"/>
          </w:tcPr>
          <w:p>
            <w:pPr>
              <w:spacing w:after="0" w:line="146"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&amp; Resorts Worldwide, Inc.) and Vistana Signatures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5"/>
          </w:tcPr>
          <w:p>
            <w:pPr>
              <w:spacing w:after="0" w:line="146"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Experiences, Inc.</w:t>
              </w:r>
            </w:hyperlink>
          </w:p>
        </w:tc>
        <w:tc>
          <w:tcPr>
            <w:tcW w:w="23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45"/>
          </w:tcPr>
          <w:p>
            <w:pPr>
              <w:spacing w:after="0"/>
              <w:rPr>
                <w:rFonts w:ascii="Times New Roman" w:cs="Times New Roman" w:eastAsia="Times New Roman" w:hAnsi="Times New Roman"/>
                <w:sz w:val="17"/>
                <w:szCs w:val="17"/>
                <w:color w:val="0000FF"/>
              </w:rPr>
            </w:pPr>
            <w:hyperlink r:id="rId261">
              <w:r>
                <w:rPr>
                  <w:rFonts w:ascii="Times New Roman" w:cs="Times New Roman" w:eastAsia="Times New Roman" w:hAnsi="Times New Roman"/>
                  <w:sz w:val="17"/>
                  <w:szCs w:val="17"/>
                  <w:color w:val="0000FF"/>
                </w:rPr>
                <w:t>Letter of Agreement, effective September 1, 2018,</w:t>
              </w:r>
            </w:hyperlink>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27"/>
          </w:tcPr>
          <w:p>
            <w:pPr>
              <w:spacing w:after="0" w:line="146"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among Marriott Vacations Worldwide Corporation,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10.42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bottom w:val="single" w:sz="8" w:color="0000FF"/>
            </w:tcBorders>
            <w:gridSpan w:val="29"/>
          </w:tcPr>
          <w:p>
            <w:pPr>
              <w:spacing w:after="0" w:line="159" w:lineRule="exact"/>
              <w:rPr>
                <w:rFonts w:ascii="Times New Roman" w:cs="Times New Roman" w:eastAsia="Times New Roman" w:hAnsi="Times New Roman"/>
                <w:sz w:val="17"/>
                <w:szCs w:val="17"/>
                <w:color w:val="0000FF"/>
                <w:w w:val="96"/>
              </w:rPr>
            </w:pPr>
            <w:hyperlink r:id="rId261">
              <w:r>
                <w:rPr>
                  <w:rFonts w:ascii="Times New Roman" w:cs="Times New Roman" w:eastAsia="Times New Roman" w:hAnsi="Times New Roman"/>
                  <w:sz w:val="17"/>
                  <w:szCs w:val="17"/>
                  <w:color w:val="0000FF"/>
                  <w:w w:val="96"/>
                </w:rPr>
                <w:t>Marriott Ownership Resorts, Inc., Vistana Signatures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gridSpan w:val="38"/>
          </w:tcPr>
          <w:p>
            <w:pPr>
              <w:spacing w:after="0" w:line="146"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Experiences, Inc., ILG, LLC, Marriott International,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Borders>
              <w:top w:val="single" w:sz="8" w:color="0000FF"/>
            </w:tcBorders>
            <w:gridSpan w:val="32"/>
          </w:tcPr>
          <w:p>
            <w:pPr>
              <w:spacing w:after="0" w:line="146"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Inc., Marriott Worldwide Corporation, Marriott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19"/>
          </w:tcPr>
          <w:p>
            <w:pPr>
              <w:spacing w:after="0" w:line="159" w:lineRule="exact"/>
              <w:rPr>
                <w:rFonts w:ascii="Times New Roman" w:cs="Times New Roman" w:eastAsia="Times New Roman" w:hAnsi="Times New Roman"/>
                <w:sz w:val="17"/>
                <w:szCs w:val="17"/>
                <w:color w:val="0000FF"/>
              </w:rPr>
            </w:pPr>
            <w:hyperlink r:id="rId261">
              <w:r>
                <w:rPr>
                  <w:rFonts w:ascii="Times New Roman" w:cs="Times New Roman" w:eastAsia="Times New Roman" w:hAnsi="Times New Roman"/>
                  <w:sz w:val="17"/>
                  <w:szCs w:val="17"/>
                  <w:color w:val="0000FF"/>
                </w:rPr>
                <w:t>Rewards, LLC and Starwood Hotels &amp; Resorts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4"/>
          </w:tcPr>
          <w:p>
            <w:pPr>
              <w:spacing w:after="0" w:line="146"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Worldwide, LLC</w:t>
              </w:r>
            </w:hyperlink>
          </w:p>
        </w:tc>
        <w:tc>
          <w:tcPr>
            <w:tcW w:w="20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0000FF"/>
                </w:rPr>
                <w:t>Amendment No. 2 to the Interval Leisure Group, Inc.</w:t>
              </w:r>
            </w:hyperlink>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top w:val="single" w:sz="8" w:color="0000FF"/>
            </w:tcBorders>
            <w:gridSpan w:val="40"/>
          </w:tcPr>
          <w:p>
            <w:pPr>
              <w:spacing w:after="0" w:line="146"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2013 Stock and Incentive Compensation Plan, dated</w:t>
              </w:r>
            </w:hyperlink>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33"/>
          </w:tcPr>
          <w:p>
            <w:pPr>
              <w:spacing w:after="0" w:line="159" w:lineRule="exact"/>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0000FF"/>
                </w:rPr>
                <w:t>February 25, 2018</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2020 Amended and Restated Employment Agreement</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Borders>
              <w:top w:val="single" w:sz="8" w:color="0000FF"/>
            </w:tcBorders>
            <w:gridSpan w:val="43"/>
          </w:tcPr>
          <w:p>
            <w:pPr>
              <w:spacing w:after="0" w:line="146" w:lineRule="exact"/>
              <w:rPr>
                <w:sz w:val="20"/>
                <w:szCs w:val="20"/>
                <w:color w:val="auto"/>
              </w:rPr>
            </w:pPr>
            <w:r>
              <w:rPr>
                <w:rFonts w:ascii="Times New Roman" w:cs="Times New Roman" w:eastAsia="Times New Roman" w:hAnsi="Times New Roman"/>
                <w:sz w:val="16"/>
                <w:szCs w:val="16"/>
                <w:color w:val="0000FF"/>
              </w:rPr>
              <w:t>between Marriott Vacations Worldwide Corporation</w:t>
            </w: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31"/>
          </w:tcPr>
          <w:p>
            <w:pPr>
              <w:spacing w:after="0" w:line="159" w:lineRule="exact"/>
              <w:rPr>
                <w:sz w:val="20"/>
                <w:szCs w:val="20"/>
                <w:color w:val="auto"/>
              </w:rPr>
            </w:pPr>
            <w:r>
              <w:rPr>
                <w:rFonts w:ascii="Times New Roman" w:cs="Times New Roman" w:eastAsia="Times New Roman" w:hAnsi="Times New Roman"/>
                <w:sz w:val="17"/>
                <w:szCs w:val="17"/>
                <w:color w:val="0000FF"/>
              </w:rPr>
              <w:t>and Jeanette E. Marbert</w:t>
            </w:r>
            <w:r>
              <w:rPr>
                <w:rFonts w:ascii="Times New Roman" w:cs="Times New Roman" w:eastAsia="Times New Roman" w:hAnsi="Times New Roman"/>
                <w:sz w:val="17"/>
                <w:szCs w:val="17"/>
                <w:color w:val="000000"/>
              </w:rPr>
              <w:t>*</w:t>
            </w: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2020 Salary Reduction Agreement between Marriott</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top w:val="single" w:sz="8" w:color="0000FF"/>
            </w:tcBorders>
            <w:gridSpan w:val="36"/>
          </w:tcPr>
          <w:p>
            <w:pPr>
              <w:spacing w:after="0" w:line="146" w:lineRule="exact"/>
              <w:rPr>
                <w:sz w:val="20"/>
                <w:szCs w:val="20"/>
                <w:color w:val="auto"/>
              </w:rPr>
            </w:pPr>
            <w:r>
              <w:rPr>
                <w:rFonts w:ascii="Times New Roman" w:cs="Times New Roman" w:eastAsia="Times New Roman" w:hAnsi="Times New Roman"/>
                <w:sz w:val="16"/>
                <w:szCs w:val="16"/>
                <w:color w:val="0000FF"/>
              </w:rPr>
              <w:t>Vacations Worldwide Corporation and Jeanette E.</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26"/>
          </w:tcPr>
          <w:p>
            <w:pPr>
              <w:spacing w:after="0" w:line="159" w:lineRule="exact"/>
              <w:rPr>
                <w:sz w:val="20"/>
                <w:szCs w:val="20"/>
                <w:color w:val="auto"/>
              </w:rPr>
            </w:pPr>
            <w:r>
              <w:rPr>
                <w:rFonts w:ascii="Times New Roman" w:cs="Times New Roman" w:eastAsia="Times New Roman" w:hAnsi="Times New Roman"/>
                <w:sz w:val="17"/>
                <w:szCs w:val="17"/>
                <w:color w:val="0000FF"/>
              </w:rPr>
              <w:t>Marbert</w:t>
            </w:r>
            <w:r>
              <w:rPr>
                <w:rFonts w:ascii="Times New Roman" w:cs="Times New Roman" w:eastAsia="Times New Roman" w:hAnsi="Times New Roman"/>
                <w:sz w:val="17"/>
                <w:szCs w:val="17"/>
                <w:color w:val="000000"/>
              </w:rPr>
              <w:t>*</w:t>
            </w: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44"/>
          </w:tcPr>
          <w:p>
            <w:pPr>
              <w:spacing w:after="0"/>
              <w:rPr>
                <w:rFonts w:ascii="Times New Roman" w:cs="Times New Roman" w:eastAsia="Times New Roman" w:hAnsi="Times New Roman"/>
                <w:sz w:val="17"/>
                <w:szCs w:val="17"/>
                <w:color w:val="0000FF"/>
              </w:rPr>
            </w:pPr>
            <w:hyperlink r:id="rId263">
              <w:r>
                <w:rPr>
                  <w:rFonts w:ascii="Times New Roman" w:cs="Times New Roman" w:eastAsia="Times New Roman" w:hAnsi="Times New Roman"/>
                  <w:sz w:val="17"/>
                  <w:szCs w:val="17"/>
                  <w:color w:val="0000FF"/>
                </w:rPr>
                <w:t>Amended and Restated Marriott Vacations Worldwide</w:t>
              </w:r>
            </w:hyperlink>
          </w:p>
        </w:tc>
        <w:tc>
          <w:tcPr>
            <w:tcW w:w="4294967277"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45"/>
            <w:vMerge w:val="restart"/>
          </w:tcPr>
          <w:p>
            <w:pPr>
              <w:spacing w:after="0" w:line="146" w:lineRule="exact"/>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Corporation 2020 Equity Incentive Plan</w:t>
              </w:r>
            </w:hyperlink>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780" w:type="dxa"/>
            <w:vAlign w:val="bottom"/>
            <w:gridSpan w:val="4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w w:val="99"/>
              </w:rPr>
            </w:pPr>
            <w:hyperlink r:id="rId264">
              <w:r>
                <w:rPr>
                  <w:rFonts w:ascii="Times New Roman" w:cs="Times New Roman" w:eastAsia="Times New Roman" w:hAnsi="Times New Roman"/>
                  <w:sz w:val="17"/>
                  <w:szCs w:val="17"/>
                  <w:color w:val="0000FF"/>
                  <w:w w:val="99"/>
                </w:rPr>
                <w:t>Form of Call Option Transaction Confirmation</w:t>
              </w:r>
            </w:hyperlink>
          </w:p>
        </w:tc>
        <w:tc>
          <w:tcPr>
            <w:tcW w:w="580" w:type="dxa"/>
            <w:vAlign w:val="bottom"/>
            <w:gridSpan w:val="2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45"/>
          </w:tcPr>
          <w:p>
            <w:pPr>
              <w:spacing w:after="0"/>
              <w:rPr>
                <w:rFonts w:ascii="Times New Roman" w:cs="Times New Roman" w:eastAsia="Times New Roman" w:hAnsi="Times New Roman"/>
                <w:sz w:val="17"/>
                <w:szCs w:val="17"/>
                <w:color w:val="0000FF"/>
              </w:rPr>
            </w:pPr>
            <w:hyperlink r:id="rId265">
              <w:r>
                <w:rPr>
                  <w:rFonts w:ascii="Times New Roman" w:cs="Times New Roman" w:eastAsia="Times New Roman" w:hAnsi="Times New Roman"/>
                  <w:sz w:val="17"/>
                  <w:szCs w:val="17"/>
                  <w:color w:val="0000FF"/>
                </w:rPr>
                <w:t>Form of Warrant Confirmation</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bottom w:val="single" w:sz="8" w:color="0000FF"/>
            </w:tcBorders>
            <w:gridSpan w:val="35"/>
          </w:tcPr>
          <w:p>
            <w:pPr>
              <w:spacing w:after="0"/>
              <w:rPr>
                <w:rFonts w:ascii="Times New Roman" w:cs="Times New Roman" w:eastAsia="Times New Roman" w:hAnsi="Times New Roman"/>
                <w:sz w:val="17"/>
                <w:szCs w:val="17"/>
                <w:color w:val="0000FF"/>
              </w:rPr>
            </w:pPr>
            <w:hyperlink r:id="rId266">
              <w:r>
                <w:rPr>
                  <w:rFonts w:ascii="Times New Roman" w:cs="Times New Roman" w:eastAsia="Times New Roman" w:hAnsi="Times New Roman"/>
                  <w:sz w:val="17"/>
                  <w:szCs w:val="17"/>
                  <w:color w:val="0000FF"/>
                </w:rPr>
                <w:t>Form of Base Call Option Transaction Confirmation</w:t>
              </w:r>
            </w:hyperlink>
          </w:p>
        </w:tc>
        <w:tc>
          <w:tcPr>
            <w:tcW w:w="1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w w:val="99"/>
              </w:rPr>
            </w:pPr>
            <w:hyperlink r:id="rId267">
              <w:r>
                <w:rPr>
                  <w:rFonts w:ascii="Times New Roman" w:cs="Times New Roman" w:eastAsia="Times New Roman" w:hAnsi="Times New Roman"/>
                  <w:sz w:val="17"/>
                  <w:szCs w:val="17"/>
                  <w:color w:val="0000FF"/>
                  <w:w w:val="99"/>
                </w:rPr>
                <w:t>Form of Base Warrant Confirmation</w:t>
              </w:r>
            </w:hyperlink>
          </w:p>
        </w:tc>
        <w:tc>
          <w:tcPr>
            <w:tcW w:w="1300" w:type="dxa"/>
            <w:vAlign w:val="bottom"/>
            <w:gridSpan w:val="3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45"/>
          </w:tcPr>
          <w:p>
            <w:pPr>
              <w:spacing w:after="0"/>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Umbrella IP Amendment, dated as of March 4, 2022,</w:t>
              </w:r>
            </w:hyperlink>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28"/>
          </w:tcPr>
          <w:p>
            <w:pPr>
              <w:spacing w:after="0" w:line="146"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to the Marriott License, Services and Development</w:t>
              </w:r>
            </w:hyperlink>
          </w:p>
        </w:tc>
        <w:tc>
          <w:tcPr>
            <w:tcW w:w="220" w:type="dxa"/>
            <w:vAlign w:val="bottom"/>
            <w:tcBorders>
              <w:top w:val="single" w:sz="8" w:color="0000FF"/>
            </w:tcBorders>
            <w:gridSpan w:val="11"/>
          </w:tcPr>
          <w:p>
            <w:pPr>
              <w:spacing w:after="0"/>
              <w:rPr>
                <w:sz w:val="12"/>
                <w:szCs w:val="12"/>
                <w:color w:val="auto"/>
              </w:rPr>
            </w:pPr>
          </w:p>
        </w:tc>
        <w:tc>
          <w:tcPr>
            <w:tcW w:w="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10.51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bottom w:val="single" w:sz="8" w:color="0000FF"/>
            </w:tcBorders>
            <w:gridSpan w:val="39"/>
          </w:tcPr>
          <w:p>
            <w:pPr>
              <w:spacing w:after="0" w:line="159" w:lineRule="exact"/>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Agreement for Marriott Projects dated November 19,</w:t>
              </w:r>
            </w:hyperlink>
          </w:p>
        </w:tc>
        <w:tc>
          <w:tcPr>
            <w:tcW w:w="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780" w:type="dxa"/>
            <w:vAlign w:val="bottom"/>
            <w:gridSpan w:val="45"/>
            <w:vMerge w:val="restart"/>
          </w:tcPr>
          <w:p>
            <w:pPr>
              <w:spacing w:after="0" w:line="146"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2011, by and among Marriott International, Inc.,</w:t>
              </w:r>
            </w:hyperlink>
          </w:p>
        </w:tc>
        <w:tc>
          <w:tcPr>
            <w:tcW w:w="0" w:type="dxa"/>
            <w:vAlign w:val="bottom"/>
          </w:tcPr>
          <w:p>
            <w:pPr>
              <w:spacing w:after="0"/>
              <w:rPr>
                <w:sz w:val="1"/>
                <w:szCs w:val="1"/>
                <w:color w:val="auto"/>
              </w:rPr>
            </w:pPr>
          </w:p>
        </w:tc>
      </w:tr>
      <w:tr>
        <w:trPr>
          <w:trHeight w:val="50"/>
        </w:trPr>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780" w:type="dxa"/>
            <w:vAlign w:val="bottom"/>
            <w:gridSpan w:val="4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Borders>
              <w:top w:val="single" w:sz="8" w:color="0000FF"/>
            </w:tcBorders>
            <w:gridSpan w:val="22"/>
          </w:tcPr>
          <w:p>
            <w:pPr>
              <w:spacing w:after="0" w:line="146"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Marriott Worldwide Corporation, and Marriott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tcBorders>
            <w:gridSpan w:val="16"/>
          </w:tcPr>
          <w:p>
            <w:pPr>
              <w:spacing w:after="0" w:line="159" w:lineRule="exact"/>
              <w:rPr>
                <w:rFonts w:ascii="Times New Roman" w:cs="Times New Roman" w:eastAsia="Times New Roman" w:hAnsi="Times New Roman"/>
                <w:sz w:val="17"/>
                <w:szCs w:val="17"/>
                <w:color w:val="0000FF"/>
              </w:rPr>
            </w:pPr>
            <w:hyperlink r:id="rId268">
              <w:r>
                <w:rPr>
                  <w:rFonts w:ascii="Times New Roman" w:cs="Times New Roman" w:eastAsia="Times New Roman" w:hAnsi="Times New Roman"/>
                  <w:sz w:val="17"/>
                  <w:szCs w:val="17"/>
                  <w:color w:val="0000FF"/>
                </w:rPr>
                <w:t>Vacations Worldwide Corporation</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10.52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Form of Stock Appreciation Right Agreement -</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20"/>
          </w:tcPr>
          <w:p>
            <w:pPr>
              <w:spacing w:after="0" w:line="146" w:lineRule="exact"/>
              <w:rPr>
                <w:sz w:val="20"/>
                <w:szCs w:val="20"/>
                <w:color w:val="auto"/>
              </w:rPr>
            </w:pPr>
            <w:r>
              <w:rPr>
                <w:rFonts w:ascii="Times New Roman" w:cs="Times New Roman" w:eastAsia="Times New Roman" w:hAnsi="Times New Roman"/>
                <w:sz w:val="16"/>
                <w:szCs w:val="16"/>
                <w:color w:val="0000FF"/>
              </w:rPr>
              <w:t>Marriott Vacations Worldwide Corporation 2020</w:t>
            </w: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gridSpan w:val="23"/>
          </w:tcPr>
          <w:p>
            <w:pPr>
              <w:spacing w:after="0" w:line="159" w:lineRule="exact"/>
              <w:rPr>
                <w:sz w:val="20"/>
                <w:szCs w:val="20"/>
                <w:color w:val="auto"/>
              </w:rPr>
            </w:pPr>
            <w:r>
              <w:rPr>
                <w:rFonts w:ascii="Times New Roman" w:cs="Times New Roman" w:eastAsia="Times New Roman" w:hAnsi="Times New Roman"/>
                <w:sz w:val="17"/>
                <w:szCs w:val="17"/>
                <w:color w:val="0000FF"/>
              </w:rPr>
              <w:t>Equity Incentive Plan</w:t>
            </w:r>
            <w:r>
              <w:rPr>
                <w:rFonts w:ascii="Times New Roman" w:cs="Times New Roman" w:eastAsia="Times New Roman" w:hAnsi="Times New Roman"/>
                <w:sz w:val="17"/>
                <w:szCs w:val="17"/>
                <w:color w:val="000000"/>
              </w:rPr>
              <w:t>*</w:t>
            </w: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10.53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Form of Restricted Stock Unit Agreement - Marriott</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tcBorders>
              <w:top w:val="single" w:sz="8" w:color="0000FF"/>
            </w:tcBorders>
            <w:gridSpan w:val="35"/>
          </w:tcPr>
          <w:p>
            <w:pPr>
              <w:spacing w:after="0" w:line="146" w:lineRule="exact"/>
              <w:rPr>
                <w:sz w:val="20"/>
                <w:szCs w:val="20"/>
                <w:color w:val="auto"/>
              </w:rPr>
            </w:pPr>
            <w:r>
              <w:rPr>
                <w:rFonts w:ascii="Times New Roman" w:cs="Times New Roman" w:eastAsia="Times New Roman" w:hAnsi="Times New Roman"/>
                <w:sz w:val="16"/>
                <w:szCs w:val="16"/>
                <w:color w:val="0000FF"/>
              </w:rPr>
              <w:t>Vacations Worldwide Corporation 2020 Equity</w:t>
            </w:r>
          </w:p>
        </w:tc>
        <w:tc>
          <w:tcPr>
            <w:tcW w:w="1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18"/>
          </w:tcPr>
          <w:p>
            <w:pPr>
              <w:spacing w:after="0" w:line="159" w:lineRule="exact"/>
              <w:rPr>
                <w:sz w:val="20"/>
                <w:szCs w:val="20"/>
                <w:color w:val="auto"/>
              </w:rPr>
            </w:pPr>
            <w:r>
              <w:rPr>
                <w:rFonts w:ascii="Times New Roman" w:cs="Times New Roman" w:eastAsia="Times New Roman" w:hAnsi="Times New Roman"/>
                <w:sz w:val="17"/>
                <w:szCs w:val="17"/>
                <w:color w:val="0000FF"/>
              </w:rPr>
              <w:t>Incentive Plan</w:t>
            </w:r>
            <w:r>
              <w:rPr>
                <w:rFonts w:ascii="Times New Roman" w:cs="Times New Roman" w:eastAsia="Times New Roman" w:hAnsi="Times New Roman"/>
                <w:sz w:val="17"/>
                <w:szCs w:val="17"/>
                <w:color w:val="000000"/>
              </w:rPr>
              <w:t>*</w:t>
            </w: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Form of Performance Unit Agreement - Marriott</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Borders>
              <w:top w:val="single" w:sz="8" w:color="0000FF"/>
            </w:tcBorders>
            <w:gridSpan w:val="24"/>
          </w:tcPr>
          <w:p>
            <w:pPr>
              <w:spacing w:after="0" w:line="146" w:lineRule="exact"/>
              <w:rPr>
                <w:sz w:val="20"/>
                <w:szCs w:val="20"/>
                <w:color w:val="auto"/>
              </w:rPr>
            </w:pPr>
            <w:r>
              <w:rPr>
                <w:rFonts w:ascii="Times New Roman" w:cs="Times New Roman" w:eastAsia="Times New Roman" w:hAnsi="Times New Roman"/>
                <w:sz w:val="16"/>
                <w:szCs w:val="16"/>
                <w:color w:val="0000FF"/>
              </w:rPr>
              <w:t>Vacations Worldwide Corporation 2020 Equity</w:t>
            </w:r>
          </w:p>
        </w:tc>
        <w:tc>
          <w:tcPr>
            <w:tcW w:w="14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8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18"/>
          </w:tcPr>
          <w:p>
            <w:pPr>
              <w:spacing w:after="0" w:line="159" w:lineRule="exact"/>
              <w:rPr>
                <w:sz w:val="20"/>
                <w:szCs w:val="20"/>
                <w:color w:val="auto"/>
              </w:rPr>
            </w:pPr>
            <w:r>
              <w:rPr>
                <w:rFonts w:ascii="Times New Roman" w:cs="Times New Roman" w:eastAsia="Times New Roman" w:hAnsi="Times New Roman"/>
                <w:sz w:val="17"/>
                <w:szCs w:val="17"/>
                <w:color w:val="0000FF"/>
              </w:rPr>
              <w:t>Incentive Plan</w:t>
            </w:r>
            <w:r>
              <w:rPr>
                <w:rFonts w:ascii="Times New Roman" w:cs="Times New Roman" w:eastAsia="Times New Roman" w:hAnsi="Times New Roman"/>
                <w:sz w:val="17"/>
                <w:szCs w:val="17"/>
                <w:color w:val="000000"/>
              </w:rPr>
              <w:t>*</w:t>
            </w:r>
          </w:p>
        </w:tc>
        <w:tc>
          <w:tcPr>
            <w:tcW w:w="60" w:type="dxa"/>
            <w:vAlign w:val="bottom"/>
            <w:gridSpan w:val="3"/>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21.1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Subsidiaries of Marriott Vacations Worldwide</w:t>
            </w:r>
          </w:p>
        </w:tc>
        <w:tc>
          <w:tcPr>
            <w:tcW w:w="0" w:type="dxa"/>
            <w:vAlign w:val="bottom"/>
          </w:tcPr>
          <w:p>
            <w:pPr>
              <w:spacing w:after="0"/>
              <w:rPr>
                <w:sz w:val="1"/>
                <w:szCs w:val="1"/>
                <w:color w:val="auto"/>
              </w:rPr>
            </w:pPr>
          </w:p>
        </w:tc>
      </w:tr>
      <w:tr>
        <w:trPr>
          <w:trHeight w:val="109"/>
        </w:trPr>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120" w:type="dxa"/>
            <w:vAlign w:val="bottom"/>
            <w:tcBorders>
              <w:top w:val="single" w:sz="8" w:color="0000FF"/>
            </w:tcBorders>
            <w:gridSpan w:val="15"/>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Corporation</w:t>
            </w:r>
          </w:p>
        </w:tc>
        <w:tc>
          <w:tcPr>
            <w:tcW w:w="660" w:type="dxa"/>
            <w:vAlign w:val="bottom"/>
            <w:gridSpan w:val="30"/>
            <w:vMerge w:val="restart"/>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120" w:type="dxa"/>
            <w:vAlign w:val="bottom"/>
            <w:gridSpan w:val="15"/>
            <w:vMerge w:val="continue"/>
          </w:tcPr>
          <w:p>
            <w:pPr>
              <w:spacing w:after="0"/>
              <w:rPr>
                <w:sz w:val="3"/>
                <w:szCs w:val="3"/>
                <w:color w:val="auto"/>
              </w:rPr>
            </w:pPr>
          </w:p>
        </w:tc>
        <w:tc>
          <w:tcPr>
            <w:tcW w:w="660" w:type="dxa"/>
            <w:vAlign w:val="bottom"/>
            <w:gridSpan w:val="30"/>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List of the Issuer and its Guarantor Subsidiaries</w:t>
            </w:r>
          </w:p>
        </w:tc>
        <w:tc>
          <w:tcPr>
            <w:tcW w:w="50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w w:val="98"/>
              </w:rPr>
              <w:t>Consent of Ernst &amp; Young LLP</w:t>
            </w:r>
          </w:p>
        </w:tc>
        <w:tc>
          <w:tcPr>
            <w:tcW w:w="1620" w:type="dxa"/>
            <w:vAlign w:val="bottom"/>
            <w:gridSpan w:val="35"/>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24.1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gridSpan w:val="45"/>
          </w:tcPr>
          <w:p>
            <w:pPr>
              <w:spacing w:after="0"/>
              <w:rPr>
                <w:sz w:val="20"/>
                <w:szCs w:val="20"/>
                <w:color w:val="auto"/>
              </w:rPr>
            </w:pPr>
            <w:r>
              <w:rPr>
                <w:rFonts w:ascii="Times New Roman" w:cs="Times New Roman" w:eastAsia="Times New Roman" w:hAnsi="Times New Roman"/>
                <w:sz w:val="17"/>
                <w:szCs w:val="17"/>
                <w:color w:val="auto"/>
              </w:rPr>
              <w:t>Powers of Attorney (included on the signature pages</w:t>
            </w:r>
          </w:p>
        </w:tc>
        <w:tc>
          <w:tcPr>
            <w:tcW w:w="0" w:type="dxa"/>
            <w:vAlign w:val="bottom"/>
          </w:tcPr>
          <w:p>
            <w:pPr>
              <w:spacing w:after="0"/>
              <w:rPr>
                <w:sz w:val="1"/>
                <w:szCs w:val="1"/>
                <w:color w:val="auto"/>
              </w:rPr>
            </w:pPr>
          </w:p>
        </w:tc>
      </w:tr>
      <w:tr>
        <w:trPr>
          <w:trHeight w:val="141"/>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45"/>
            <w:vMerge w:val="restart"/>
          </w:tcPr>
          <w:p>
            <w:pPr>
              <w:spacing w:after="0"/>
              <w:rPr>
                <w:sz w:val="20"/>
                <w:szCs w:val="20"/>
                <w:color w:val="auto"/>
              </w:rPr>
            </w:pPr>
            <w:r>
              <w:rPr>
                <w:rFonts w:ascii="Times New Roman" w:cs="Times New Roman" w:eastAsia="Times New Roman" w:hAnsi="Times New Roman"/>
                <w:sz w:val="17"/>
                <w:szCs w:val="17"/>
                <w:color w:val="auto"/>
              </w:rPr>
              <w:t>hereto)</w:t>
            </w: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780" w:type="dxa"/>
            <w:vAlign w:val="bottom"/>
            <w:gridSpan w:val="4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tcBorders>
              <w:bottom w:val="single" w:sz="8" w:color="0000FF"/>
            </w:tcBorders>
            <w:gridSpan w:val="31"/>
          </w:tcPr>
          <w:p>
            <w:pPr>
              <w:spacing w:after="0" w:line="187" w:lineRule="exact"/>
              <w:rPr>
                <w:sz w:val="20"/>
                <w:szCs w:val="20"/>
                <w:color w:val="auto"/>
              </w:rPr>
            </w:pPr>
            <w:r>
              <w:rPr>
                <w:rFonts w:ascii="Times New Roman" w:cs="Times New Roman" w:eastAsia="Times New Roman" w:hAnsi="Times New Roman"/>
                <w:sz w:val="17"/>
                <w:szCs w:val="17"/>
                <w:color w:val="0000FF"/>
                <w:w w:val="99"/>
              </w:rPr>
              <w:t>Certification of Chief Executive Officer pursuant to</w:t>
            </w:r>
          </w:p>
        </w:tc>
        <w:tc>
          <w:tcPr>
            <w:tcW w:w="2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45"/>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Rule 13a-14(a) of the Securities Exchange Act of 1934</w:t>
            </w:r>
          </w:p>
        </w:tc>
        <w:tc>
          <w:tcPr>
            <w:tcW w:w="0" w:type="dxa"/>
            <w:vAlign w:val="bottom"/>
          </w:tcPr>
          <w:p>
            <w:pPr>
              <w:spacing w:after="0"/>
              <w:rPr>
                <w:sz w:val="1"/>
                <w:szCs w:val="1"/>
                <w:color w:val="auto"/>
              </w:rPr>
            </w:pPr>
          </w:p>
        </w:tc>
      </w:tr>
      <w:tr>
        <w:trPr>
          <w:trHeight w:val="42"/>
        </w:trPr>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780" w:type="dxa"/>
            <w:vAlign w:val="bottom"/>
            <w:tcBorders>
              <w:bottom w:val="single" w:sz="8" w:color="0000FF"/>
            </w:tcBorders>
            <w:gridSpan w:val="4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w:t>
            </w:r>
          </w:p>
        </w:tc>
        <w:tc>
          <w:tcPr>
            <w:tcW w:w="2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45"/>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Rule 13a-14(a) of the Securities Exchange Act of 1934</w:t>
            </w:r>
          </w:p>
        </w:tc>
        <w:tc>
          <w:tcPr>
            <w:tcW w:w="0" w:type="dxa"/>
            <w:vAlign w:val="bottom"/>
          </w:tcPr>
          <w:p>
            <w:pPr>
              <w:spacing w:after="0"/>
              <w:rPr>
                <w:sz w:val="1"/>
                <w:szCs w:val="1"/>
                <w:color w:val="auto"/>
              </w:rPr>
            </w:pPr>
          </w:p>
        </w:tc>
      </w:tr>
      <w:tr>
        <w:trPr>
          <w:trHeight w:val="42"/>
        </w:trPr>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780" w:type="dxa"/>
            <w:vAlign w:val="bottom"/>
            <w:tcBorders>
              <w:bottom w:val="single" w:sz="8" w:color="0000FF"/>
            </w:tcBorders>
            <w:gridSpan w:val="4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Certification by Chief Executive Officer Pursuant to</w:t>
            </w: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19"/>
          </w:tcPr>
          <w:p>
            <w:pPr>
              <w:spacing w:after="0" w:line="146" w:lineRule="exact"/>
              <w:rPr>
                <w:sz w:val="20"/>
                <w:szCs w:val="20"/>
                <w:color w:val="auto"/>
              </w:rPr>
            </w:pPr>
            <w:r>
              <w:rPr>
                <w:rFonts w:ascii="Times New Roman" w:cs="Times New Roman" w:eastAsia="Times New Roman" w:hAnsi="Times New Roman"/>
                <w:sz w:val="16"/>
                <w:szCs w:val="16"/>
                <w:color w:val="0000FF"/>
              </w:rPr>
              <w:t>18 U.S.C. Section 1350, as adopted pursuant to</w:t>
            </w:r>
          </w:p>
        </w:tc>
        <w:tc>
          <w:tcPr>
            <w:tcW w:w="360" w:type="dxa"/>
            <w:vAlign w:val="bottom"/>
            <w:tcBorders>
              <w:top w:val="single" w:sz="8" w:color="0000FF"/>
            </w:tcBorders>
            <w:gridSpan w:val="15"/>
          </w:tcPr>
          <w:p>
            <w:pPr>
              <w:spacing w:after="0"/>
              <w:rPr>
                <w:sz w:val="12"/>
                <w:szCs w:val="12"/>
                <w:color w:val="auto"/>
              </w:rPr>
            </w:pPr>
          </w:p>
        </w:tc>
        <w:tc>
          <w:tcPr>
            <w:tcW w:w="18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-6595745</wp:posOffset>
            </wp:positionV>
            <wp:extent cx="5257165" cy="5759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9">
                      <a:extLst>
                        <a:ext uri="{28A0092B-C50C-407E-A947-70E740481C1C}"/>
                      </a:extLst>
                    </a:blip>
                    <a:srcRect/>
                    <a:stretch>
                      <a:fillRect/>
                    </a:stretch>
                  </pic:blipFill>
                  <pic:spPr bwMode="auto">
                    <a:xfrm>
                      <a:off x="0" y="0"/>
                      <a:ext cx="5257165" cy="5759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-5232400</wp:posOffset>
            </wp:positionV>
            <wp:extent cx="5257165" cy="356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0">
                      <a:extLst>
                        <a:ext uri="{28A0092B-C50C-407E-A947-70E740481C1C}"/>
                      </a:extLst>
                    </a:blip>
                    <a:srcRect/>
                    <a:stretch>
                      <a:fillRect/>
                    </a:stretch>
                  </pic:blipFill>
                  <pic:spPr bwMode="auto">
                    <a:xfrm>
                      <a:off x="0" y="0"/>
                      <a:ext cx="5257165" cy="3568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-4518660</wp:posOffset>
            </wp:positionV>
            <wp:extent cx="5257165" cy="356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1">
                      <a:extLst>
                        <a:ext uri="{28A0092B-C50C-407E-A947-70E740481C1C}"/>
                      </a:extLst>
                    </a:blip>
                    <a:srcRect/>
                    <a:stretch>
                      <a:fillRect/>
                    </a:stretch>
                  </pic:blipFill>
                  <pic:spPr bwMode="auto">
                    <a:xfrm>
                      <a:off x="0" y="0"/>
                      <a:ext cx="5257165" cy="3568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-3909695</wp:posOffset>
            </wp:positionV>
            <wp:extent cx="525716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2">
                      <a:extLst>
                        <a:ext uri="{28A0092B-C50C-407E-A947-70E740481C1C}"/>
                      </a:extLst>
                    </a:blip>
                    <a:srcRect/>
                    <a:stretch>
                      <a:fillRect/>
                    </a:stretch>
                  </pic:blipFill>
                  <pic:spPr bwMode="auto">
                    <a:xfrm>
                      <a:off x="0" y="0"/>
                      <a:ext cx="5257165" cy="1543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-3601720</wp:posOffset>
            </wp:positionV>
            <wp:extent cx="525716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3">
                      <a:extLst>
                        <a:ext uri="{28A0092B-C50C-407E-A947-70E740481C1C}"/>
                      </a:extLst>
                    </a:blip>
                    <a:srcRect/>
                    <a:stretch>
                      <a:fillRect/>
                    </a:stretch>
                  </pic:blipFill>
                  <pic:spPr bwMode="auto">
                    <a:xfrm>
                      <a:off x="0" y="0"/>
                      <a:ext cx="5257165" cy="1543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-3293110</wp:posOffset>
            </wp:positionV>
            <wp:extent cx="5257165" cy="681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4">
                      <a:extLst>
                        <a:ext uri="{28A0092B-C50C-407E-A947-70E740481C1C}"/>
                      </a:extLst>
                    </a:blip>
                    <a:srcRect/>
                    <a:stretch>
                      <a:fillRect/>
                    </a:stretch>
                  </pic:blipFill>
                  <pic:spPr bwMode="auto">
                    <a:xfrm>
                      <a:off x="0" y="0"/>
                      <a:ext cx="5257165" cy="6813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-2254885</wp:posOffset>
            </wp:positionV>
            <wp:extent cx="5257165" cy="3568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5">
                      <a:extLst>
                        <a:ext uri="{28A0092B-C50C-407E-A947-70E740481C1C}"/>
                      </a:extLst>
                    </a:blip>
                    <a:srcRect/>
                    <a:stretch>
                      <a:fillRect/>
                    </a:stretch>
                  </pic:blipFill>
                  <pic:spPr bwMode="auto">
                    <a:xfrm>
                      <a:off x="0" y="0"/>
                      <a:ext cx="5257165" cy="3568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-1541145</wp:posOffset>
            </wp:positionV>
            <wp:extent cx="5257165" cy="2514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6">
                      <a:extLst>
                        <a:ext uri="{28A0092B-C50C-407E-A947-70E740481C1C}"/>
                      </a:extLst>
                    </a:blip>
                    <a:srcRect/>
                    <a:stretch>
                      <a:fillRect/>
                    </a:stretch>
                  </pic:blipFill>
                  <pic:spPr bwMode="auto">
                    <a:xfrm>
                      <a:off x="0" y="0"/>
                      <a:ext cx="5257165"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-1135380</wp:posOffset>
            </wp:positionV>
            <wp:extent cx="525716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7">
                      <a:extLst>
                        <a:ext uri="{28A0092B-C50C-407E-A947-70E740481C1C}"/>
                      </a:extLst>
                    </a:blip>
                    <a:srcRect/>
                    <a:stretch>
                      <a:fillRect/>
                    </a:stretch>
                  </pic:blipFill>
                  <pic:spPr bwMode="auto">
                    <a:xfrm>
                      <a:off x="0" y="0"/>
                      <a:ext cx="5257165" cy="1543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-729615</wp:posOffset>
            </wp:positionV>
            <wp:extent cx="5257165" cy="2514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8">
                      <a:extLst>
                        <a:ext uri="{28A0092B-C50C-407E-A947-70E740481C1C}"/>
                      </a:extLst>
                    </a:blip>
                    <a:srcRect/>
                    <a:stretch>
                      <a:fillRect/>
                    </a:stretch>
                  </pic:blipFill>
                  <pic:spPr bwMode="auto">
                    <a:xfrm>
                      <a:off x="0" y="0"/>
                      <a:ext cx="5257165" cy="251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-226695</wp:posOffset>
            </wp:positionV>
            <wp:extent cx="5257165" cy="356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9">
                      <a:extLst>
                        <a:ext uri="{28A0092B-C50C-407E-A947-70E740481C1C}"/>
                      </a:extLst>
                    </a:blip>
                    <a:srcRect/>
                    <a:stretch>
                      <a:fillRect/>
                    </a:stretch>
                  </pic:blipFill>
                  <pic:spPr bwMode="auto">
                    <a:xfrm>
                      <a:off x="0" y="0"/>
                      <a:ext cx="5257165" cy="3568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-7536815</wp:posOffset>
            </wp:positionV>
            <wp:extent cx="5257165" cy="4787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0">
                      <a:extLst>
                        <a:ext uri="{28A0092B-C50C-407E-A947-70E740481C1C}"/>
                      </a:extLst>
                    </a:blip>
                    <a:srcRect/>
                    <a:stretch>
                      <a:fillRect/>
                    </a:stretch>
                  </pic:blipFill>
                  <pic:spPr bwMode="auto">
                    <a:xfrm>
                      <a:off x="0" y="0"/>
                      <a:ext cx="5257165" cy="47879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7"/>
          <w:szCs w:val="17"/>
          <w:u w:val="single" w:color="auto"/>
          <w:color w:val="0000FF"/>
        </w:rPr>
        <w:t>Section 906 of the Sarbanes-Oxley Act of 2002</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3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3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3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22225</wp:posOffset>
            </wp:positionV>
            <wp:extent cx="16306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1">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25" w:lineRule="exact"/>
        <w:rPr>
          <w:sz w:val="20"/>
          <w:szCs w:val="20"/>
          <w:color w:val="auto"/>
        </w:rPr>
      </w:pPr>
    </w:p>
    <w:p>
      <w:pPr>
        <w:ind w:left="60"/>
        <w:spacing w:after="0"/>
        <w:tabs>
          <w:tab w:leader="none" w:pos="780" w:val="left"/>
          <w:tab w:leader="none" w:pos="1680" w:val="left"/>
        </w:tabs>
        <w:rPr>
          <w:sz w:val="20"/>
          <w:szCs w:val="20"/>
          <w:color w:val="auto"/>
        </w:rPr>
      </w:pPr>
      <w:r>
        <w:rPr>
          <w:rFonts w:ascii="Times New Roman" w:cs="Times New Roman" w:eastAsia="Times New Roman" w:hAnsi="Times New Roman"/>
          <w:sz w:val="15"/>
          <w:szCs w:val="15"/>
          <w:b w:val="1"/>
          <w:bCs w:val="1"/>
          <w:color w:val="auto"/>
        </w:rPr>
        <w:t>Form</w:t>
      </w:r>
      <w:r>
        <w:rPr>
          <w:sz w:val="20"/>
          <w:szCs w:val="20"/>
          <w:color w:val="auto"/>
        </w:rPr>
        <w:tab/>
      </w:r>
      <w:r>
        <w:rPr>
          <w:rFonts w:ascii="Times New Roman" w:cs="Times New Roman" w:eastAsia="Times New Roman" w:hAnsi="Times New Roman"/>
          <w:sz w:val="15"/>
          <w:szCs w:val="15"/>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Date Filed</w:t>
      </w:r>
    </w:p>
    <w:p>
      <w:pPr>
        <w:spacing w:after="0" w:line="300" w:lineRule="exact"/>
        <w:rPr>
          <w:sz w:val="20"/>
          <w:szCs w:val="20"/>
          <w:color w:val="auto"/>
        </w:rPr>
      </w:pPr>
    </w:p>
    <w:p>
      <w:pPr>
        <w:ind w:left="40"/>
        <w:spacing w:after="0"/>
        <w:tabs>
          <w:tab w:leader="none" w:pos="880" w:val="left"/>
          <w:tab w:leader="none" w:pos="1660" w:val="left"/>
        </w:tabs>
        <w:rPr>
          <w:sz w:val="20"/>
          <w:szCs w:val="20"/>
          <w:color w:val="auto"/>
        </w:rPr>
      </w:pPr>
      <w:r>
        <w:rPr>
          <w:rFonts w:ascii="Times New Roman" w:cs="Times New Roman" w:eastAsia="Times New Roman" w:hAnsi="Times New Roman"/>
          <w:sz w:val="17"/>
          <w:szCs w:val="17"/>
          <w:color w:val="auto"/>
        </w:rPr>
        <w:t>8-K</w:t>
      </w:r>
      <w:r>
        <w:rPr>
          <w:rFonts w:ascii="Times New Roman" w:cs="Times New Roman" w:eastAsia="Times New Roman" w:hAnsi="Times New Roman"/>
          <w:sz w:val="9"/>
          <w:szCs w:val="9"/>
          <w:color w:val="auto"/>
        </w:rPr>
        <w:t>(2)</w:t>
      </w:r>
      <w:r>
        <w:rPr>
          <w:sz w:val="20"/>
          <w:szCs w:val="20"/>
          <w:color w:val="auto"/>
        </w:rPr>
        <w:tab/>
      </w: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5/12/2016</w:t>
      </w:r>
    </w:p>
    <w:p>
      <w:pPr>
        <w:spacing w:after="0" w:line="200" w:lineRule="exact"/>
        <w:rPr>
          <w:sz w:val="20"/>
          <w:szCs w:val="20"/>
          <w:color w:val="auto"/>
        </w:rPr>
      </w:pPr>
    </w:p>
    <w:p>
      <w:pPr>
        <w:spacing w:after="0" w:line="346" w:lineRule="exact"/>
        <w:rPr>
          <w:sz w:val="20"/>
          <w:szCs w:val="20"/>
          <w:color w:val="auto"/>
        </w:rPr>
      </w:pPr>
    </w:p>
    <w:p>
      <w:pPr>
        <w:ind w:left="40"/>
        <w:spacing w:after="0"/>
        <w:tabs>
          <w:tab w:leader="none" w:pos="880" w:val="left"/>
          <w:tab w:leader="none" w:pos="1660" w:val="left"/>
        </w:tabs>
        <w:rPr>
          <w:sz w:val="20"/>
          <w:szCs w:val="20"/>
          <w:color w:val="auto"/>
        </w:rPr>
      </w:pPr>
      <w:r>
        <w:rPr>
          <w:rFonts w:ascii="Times New Roman" w:cs="Times New Roman" w:eastAsia="Times New Roman" w:hAnsi="Times New Roman"/>
          <w:sz w:val="17"/>
          <w:szCs w:val="17"/>
          <w:color w:val="auto"/>
        </w:rPr>
        <w:t>8-K</w:t>
      </w:r>
      <w:r>
        <w:rPr>
          <w:rFonts w:ascii="Times New Roman" w:cs="Times New Roman" w:eastAsia="Times New Roman" w:hAnsi="Times New Roman"/>
          <w:sz w:val="9"/>
          <w:szCs w:val="9"/>
          <w:color w:val="auto"/>
        </w:rPr>
        <w:t>(2)</w:t>
      </w:r>
      <w:r>
        <w:rPr>
          <w:sz w:val="20"/>
          <w:szCs w:val="20"/>
          <w:color w:val="auto"/>
        </w:rPr>
        <w:tab/>
      </w: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color w:val="auto"/>
        </w:rPr>
        <w:t>5/12/2016</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tabs>
          <w:tab w:leader="none" w:pos="880" w:val="left"/>
          <w:tab w:leader="none" w:pos="166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color w:val="auto"/>
        </w:rPr>
        <w:t>9/20/2018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spacing w:after="0"/>
        <w:tabs>
          <w:tab w:leader="none" w:pos="880" w:val="left"/>
          <w:tab w:leader="none" w:pos="166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9/20/2018</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880" w:val="left"/>
          <w:tab w:leader="none" w:pos="1700" w:val="left"/>
        </w:tabs>
        <w:rPr>
          <w:sz w:val="20"/>
          <w:szCs w:val="20"/>
          <w:color w:val="auto"/>
        </w:rPr>
      </w:pPr>
      <w:r>
        <w:rPr>
          <w:rFonts w:ascii="Times New Roman" w:cs="Times New Roman" w:eastAsia="Times New Roman" w:hAnsi="Times New Roman"/>
          <w:sz w:val="17"/>
          <w:szCs w:val="17"/>
          <w:color w:val="auto"/>
        </w:rPr>
        <w:t>10-Q</w:t>
      </w:r>
      <w:r>
        <w:rPr>
          <w:rFonts w:ascii="Times New Roman" w:cs="Times New Roman" w:eastAsia="Times New Roman" w:hAnsi="Times New Roman"/>
          <w:sz w:val="9"/>
          <w:szCs w:val="9"/>
          <w:color w:val="auto"/>
        </w:rPr>
        <w:t>(2)</w:t>
      </w:r>
      <w:r>
        <w:rPr>
          <w:sz w:val="20"/>
          <w:szCs w:val="20"/>
          <w:color w:val="auto"/>
        </w:rPr>
        <w:tab/>
      </w: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color w:val="auto"/>
        </w:rPr>
        <w:t>5/4/2018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10.6</w:t>
            </w:r>
          </w:p>
        </w:tc>
        <w:tc>
          <w:tcPr>
            <w:tcW w:w="94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11/3/2023</w:t>
            </w:r>
          </w:p>
        </w:tc>
      </w:tr>
      <w:tr>
        <w:trPr>
          <w:trHeight w:val="319"/>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10.1</w:t>
            </w:r>
          </w:p>
        </w:tc>
        <w:tc>
          <w:tcPr>
            <w:tcW w:w="94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2/3/2021</w:t>
            </w:r>
          </w:p>
        </w:tc>
      </w:tr>
      <w:tr>
        <w:trPr>
          <w:trHeight w:val="243"/>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10.2</w:t>
            </w:r>
          </w:p>
        </w:tc>
        <w:tc>
          <w:tcPr>
            <w:tcW w:w="94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2/3/2021</w:t>
            </w:r>
          </w:p>
        </w:tc>
      </w:tr>
      <w:tr>
        <w:trPr>
          <w:trHeight w:val="243"/>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10.1</w:t>
            </w:r>
          </w:p>
        </w:tc>
        <w:tc>
          <w:tcPr>
            <w:tcW w:w="94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12/8/2022</w:t>
            </w:r>
          </w:p>
        </w:tc>
      </w:tr>
      <w:tr>
        <w:trPr>
          <w:trHeight w:val="243"/>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8-K</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10.2</w:t>
            </w:r>
          </w:p>
        </w:tc>
        <w:tc>
          <w:tcPr>
            <w:tcW w:w="94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12/8/2022</w:t>
            </w:r>
          </w:p>
        </w:tc>
      </w:tr>
      <w:tr>
        <w:trPr>
          <w:trHeight w:val="652"/>
        </w:trPr>
        <w:tc>
          <w:tcPr>
            <w:tcW w:w="60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10-Q</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10.2</w:t>
            </w:r>
          </w:p>
        </w:tc>
        <w:tc>
          <w:tcPr>
            <w:tcW w:w="94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5/9/2022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Furnished</w:t>
      </w:r>
    </w:p>
    <w:p>
      <w:pPr>
        <w:spacing w:after="0" w:line="395" w:lineRule="exact"/>
        <w:rPr>
          <w:sz w:val="20"/>
          <w:szCs w:val="20"/>
          <w:color w:val="auto"/>
        </w:rPr>
      </w:pPr>
    </w:p>
    <w:p>
      <w:pPr>
        <w:sectPr>
          <w:pgSz w:w="11900" w:h="16838" w:orient="portrait"/>
          <w:cols w:equalWidth="0" w:num="3">
            <w:col w:w="4680" w:space="220"/>
            <w:col w:w="600" w:space="280"/>
            <w:col w:w="4359"/>
          </w:cols>
          <w:pgMar w:left="320" w:top="1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139"/>
          </w:cols>
          <w:pgMar w:left="320" w:top="1286" w:right="1440" w:bottom="1440" w:gutter="0" w:footer="0" w:header="0"/>
          <w:type w:val="continuous"/>
        </w:sectPr>
      </w:pPr>
    </w:p>
    <w:bookmarkStart w:id="138" w:name="page139"/>
    <w:bookmarkEnd w:id="138"/>
    <w:tbl>
      <w:tblPr>
        <w:tblLayout w:type="fixed"/>
        <w:tblInd w:w="120" w:type="dxa"/>
        <w:tblCellMar>
          <w:top w:w="0" w:type="dxa"/>
          <w:left w:w="0" w:type="dxa"/>
          <w:bottom w:w="0" w:type="dxa"/>
          <w:right w:w="0" w:type="dxa"/>
        </w:tblCellMar>
      </w:tblPr>
      <w:tr>
        <w:trPr>
          <w:trHeight w:val="182"/>
        </w:trPr>
        <w:tc>
          <w:tcPr>
            <w:tcW w:w="1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520" w:type="dxa"/>
            <w:vAlign w:val="bottom"/>
            <w:vMerge w:val="restart"/>
          </w:tcPr>
          <w:p>
            <w:pPr>
              <w:ind w:left="8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700" w:type="dxa"/>
            <w:vAlign w:val="bottom"/>
          </w:tcPr>
          <w:p>
            <w:pPr>
              <w:jc w:val="center"/>
              <w:ind w:left="563"/>
              <w:spacing w:after="0"/>
              <w:rPr>
                <w:sz w:val="20"/>
                <w:szCs w:val="20"/>
                <w:color w:val="auto"/>
              </w:rPr>
            </w:pPr>
            <w:r>
              <w:rPr>
                <w:rFonts w:ascii="Times New Roman" w:cs="Times New Roman" w:eastAsia="Times New Roman" w:hAnsi="Times New Roman"/>
                <w:sz w:val="15"/>
                <w:szCs w:val="15"/>
                <w:b w:val="1"/>
                <w:bCs w:val="1"/>
                <w:color w:val="auto"/>
              </w:rPr>
              <w:t>Filed</w:t>
            </w:r>
          </w:p>
        </w:tc>
        <w:tc>
          <w:tcPr>
            <w:tcW w:w="252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Incorporation By Reference From</w:t>
            </w:r>
          </w:p>
        </w:tc>
        <w:tc>
          <w:tcPr>
            <w:tcW w:w="0" w:type="dxa"/>
            <w:vAlign w:val="bottom"/>
          </w:tcPr>
          <w:p>
            <w:pPr>
              <w:spacing w:after="0"/>
              <w:rPr>
                <w:sz w:val="1"/>
                <w:szCs w:val="1"/>
                <w:color w:val="auto"/>
              </w:rPr>
            </w:pPr>
          </w:p>
        </w:tc>
      </w:tr>
      <w:tr>
        <w:trPr>
          <w:trHeight w:val="26"/>
        </w:trPr>
        <w:tc>
          <w:tcPr>
            <w:tcW w:w="14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2520" w:type="dxa"/>
            <w:vAlign w:val="bottom"/>
            <w:vMerge w:val="continue"/>
          </w:tcPr>
          <w:p>
            <w:pPr>
              <w:spacing w:after="0"/>
              <w:rPr>
                <w:sz w:val="2"/>
                <w:szCs w:val="2"/>
                <w:color w:val="auto"/>
              </w:rPr>
            </w:pPr>
          </w:p>
        </w:tc>
        <w:tc>
          <w:tcPr>
            <w:tcW w:w="1700" w:type="dxa"/>
            <w:vAlign w:val="bottom"/>
            <w:vMerge w:val="restart"/>
          </w:tcPr>
          <w:p>
            <w:pPr>
              <w:jc w:val="center"/>
              <w:ind w:left="563"/>
              <w:spacing w:after="0"/>
              <w:rPr>
                <w:sz w:val="20"/>
                <w:szCs w:val="20"/>
                <w:color w:val="auto"/>
              </w:rPr>
            </w:pPr>
            <w:r>
              <w:rPr>
                <w:rFonts w:ascii="Times New Roman" w:cs="Times New Roman" w:eastAsia="Times New Roman" w:hAnsi="Times New Roman"/>
                <w:sz w:val="15"/>
                <w:szCs w:val="15"/>
                <w:b w:val="1"/>
                <w:bCs w:val="1"/>
                <w:color w:val="auto"/>
              </w:rPr>
              <w:t>Herewith</w:t>
            </w: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Form</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Date Filed</w:t>
            </w:r>
          </w:p>
        </w:tc>
        <w:tc>
          <w:tcPr>
            <w:tcW w:w="0" w:type="dxa"/>
            <w:vAlign w:val="bottom"/>
          </w:tcPr>
          <w:p>
            <w:pPr>
              <w:spacing w:after="0"/>
              <w:rPr>
                <w:sz w:val="1"/>
                <w:szCs w:val="1"/>
                <w:color w:val="auto"/>
              </w:rPr>
            </w:pPr>
          </w:p>
        </w:tc>
      </w:tr>
      <w:tr>
        <w:trPr>
          <w:trHeight w:val="118"/>
        </w:trPr>
        <w:tc>
          <w:tcPr>
            <w:tcW w:w="142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4870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3">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ectPr>
          <w:pgSz w:w="11900" w:h="16838" w:orient="portrait"/>
          <w:cols w:equalWidth="0" w:num="1">
            <w:col w:w="11200"/>
          </w:cols>
          <w:pgMar w:left="320" w:top="1286" w:right="379" w:bottom="1440" w:gutter="0" w:footer="0" w:header="0"/>
        </w:sectPr>
      </w:pP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32.2</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97.1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top w:val="single" w:sz="8" w:color="auto"/>
            </w:tcBorders>
          </w:tcPr>
          <w:p>
            <w:pPr>
              <w:spacing w:after="0"/>
              <w:rPr>
                <w:sz w:val="15"/>
                <w:szCs w:val="15"/>
                <w:color w:val="auto"/>
              </w:rPr>
            </w:pPr>
          </w:p>
        </w:tc>
        <w:tc>
          <w:tcPr>
            <w:tcW w:w="3800" w:type="dxa"/>
            <w:vAlign w:val="bottom"/>
            <w:tcBorders>
              <w:top w:val="single" w:sz="8" w:color="auto"/>
            </w:tcBorders>
            <w:gridSpan w:val="6"/>
          </w:tcPr>
          <w:p>
            <w:pPr>
              <w:spacing w:after="0" w:line="173" w:lineRule="exact"/>
              <w:rPr>
                <w:sz w:val="20"/>
                <w:szCs w:val="20"/>
                <w:color w:val="auto"/>
              </w:rPr>
            </w:pPr>
            <w:r>
              <w:rPr>
                <w:rFonts w:ascii="Times New Roman" w:cs="Times New Roman" w:eastAsia="Times New Roman" w:hAnsi="Times New Roman"/>
                <w:sz w:val="17"/>
                <w:szCs w:val="17"/>
                <w:color w:val="0000FF"/>
              </w:rPr>
              <w:t>Certification by Chief Financial Officer Pursuant to 18</w:t>
            </w:r>
          </w:p>
        </w:tc>
        <w:tc>
          <w:tcPr>
            <w:tcW w:w="120" w:type="dxa"/>
            <w:vAlign w:val="bottom"/>
          </w:tcPr>
          <w:p>
            <w:pPr>
              <w:spacing w:after="0"/>
              <w:rPr>
                <w:sz w:val="15"/>
                <w:szCs w:val="15"/>
                <w:color w:val="auto"/>
              </w:rPr>
            </w:pPr>
          </w:p>
        </w:tc>
        <w:tc>
          <w:tcPr>
            <w:tcW w:w="3440" w:type="dxa"/>
            <w:vAlign w:val="bottom"/>
            <w:tcBorders>
              <w:top w:val="single" w:sz="8" w:color="auto"/>
            </w:tcBorders>
            <w:vMerge w:val="restart"/>
          </w:tcPr>
          <w:p>
            <w:pPr>
              <w:ind w:left="1380"/>
              <w:spacing w:after="0"/>
              <w:rPr>
                <w:sz w:val="20"/>
                <w:szCs w:val="20"/>
                <w:color w:val="auto"/>
              </w:rPr>
            </w:pPr>
            <w:r>
              <w:rPr>
                <w:rFonts w:ascii="Times New Roman" w:cs="Times New Roman" w:eastAsia="Times New Roman" w:hAnsi="Times New Roman"/>
                <w:sz w:val="17"/>
                <w:szCs w:val="17"/>
                <w:color w:val="auto"/>
              </w:rPr>
              <w:t>Furnished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20" w:type="dxa"/>
            <w:vAlign w:val="bottom"/>
            <w:tcBorders>
              <w:top w:val="single" w:sz="8" w:color="0000FF"/>
            </w:tcBorders>
            <w:gridSpan w:val="5"/>
          </w:tcPr>
          <w:p>
            <w:pPr>
              <w:spacing w:after="0" w:line="146" w:lineRule="exact"/>
              <w:rPr>
                <w:sz w:val="20"/>
                <w:szCs w:val="20"/>
                <w:color w:val="auto"/>
              </w:rPr>
            </w:pPr>
            <w:r>
              <w:rPr>
                <w:rFonts w:ascii="Times New Roman" w:cs="Times New Roman" w:eastAsia="Times New Roman" w:hAnsi="Times New Roman"/>
                <w:sz w:val="16"/>
                <w:szCs w:val="16"/>
                <w:color w:val="0000FF"/>
              </w:rPr>
              <w:t>U.S.C. Section 1350, as adopted pursuant to</w:t>
            </w:r>
          </w:p>
        </w:tc>
        <w:tc>
          <w:tcPr>
            <w:tcW w:w="200" w:type="dxa"/>
            <w:vAlign w:val="bottom"/>
            <w:gridSpan w:val="2"/>
          </w:tcPr>
          <w:p>
            <w:pPr>
              <w:spacing w:after="0"/>
              <w:rPr>
                <w:sz w:val="12"/>
                <w:szCs w:val="12"/>
                <w:color w:val="auto"/>
              </w:rPr>
            </w:pPr>
          </w:p>
        </w:tc>
        <w:tc>
          <w:tcPr>
            <w:tcW w:w="3440" w:type="dxa"/>
            <w:vAlign w:val="bottom"/>
            <w:tcBorders>
              <w:top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gridSpan w:val="7"/>
          </w:tcPr>
          <w:p>
            <w:pPr>
              <w:spacing w:after="0" w:line="159"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Policy Relating to Recovery of Erroneously Awarded</w:t>
            </w:r>
          </w:p>
        </w:tc>
        <w:tc>
          <w:tcPr>
            <w:tcW w:w="34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80" w:type="dxa"/>
            <w:vAlign w:val="bottom"/>
            <w:tcBorders>
              <w:top w:val="single" w:sz="8" w:color="0000FF"/>
            </w:tcBorders>
            <w:vMerge w:val="restart"/>
          </w:tcPr>
          <w:p>
            <w:pPr>
              <w:spacing w:after="0" w:line="146" w:lineRule="exact"/>
              <w:rPr>
                <w:sz w:val="20"/>
                <w:szCs w:val="20"/>
                <w:color w:val="auto"/>
              </w:rPr>
            </w:pPr>
            <w:r>
              <w:rPr>
                <w:rFonts w:ascii="Times New Roman" w:cs="Times New Roman" w:eastAsia="Times New Roman" w:hAnsi="Times New Roman"/>
                <w:sz w:val="16"/>
                <w:szCs w:val="16"/>
                <w:color w:val="0000FF"/>
              </w:rPr>
              <w:t>Compensation</w:t>
            </w:r>
          </w:p>
        </w:tc>
        <w:tc>
          <w:tcPr>
            <w:tcW w:w="2640" w:type="dxa"/>
            <w:vAlign w:val="bottom"/>
            <w:tcBorders>
              <w:top w:val="single" w:sz="8" w:color="0000FF"/>
            </w:tcBorders>
            <w:gridSpan w:val="3"/>
            <w:vMerge w:val="restart"/>
          </w:tcPr>
          <w:p>
            <w:pPr>
              <w:spacing w:after="0"/>
              <w:rPr>
                <w:sz w:val="9"/>
                <w:szCs w:val="9"/>
                <w:color w:val="auto"/>
              </w:rPr>
            </w:pPr>
          </w:p>
        </w:tc>
        <w:tc>
          <w:tcPr>
            <w:tcW w:w="300" w:type="dxa"/>
            <w:vAlign w:val="bottom"/>
            <w:gridSpan w:val="3"/>
            <w:vMerge w:val="restart"/>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80" w:type="dxa"/>
            <w:vAlign w:val="bottom"/>
            <w:tcBorders>
              <w:bottom w:val="single" w:sz="8" w:color="0000FF"/>
            </w:tcBorders>
            <w:vMerge w:val="continue"/>
          </w:tcPr>
          <w:p>
            <w:pPr>
              <w:spacing w:after="0"/>
              <w:rPr>
                <w:sz w:val="3"/>
                <w:szCs w:val="3"/>
                <w:color w:val="auto"/>
              </w:rPr>
            </w:pPr>
          </w:p>
        </w:tc>
        <w:tc>
          <w:tcPr>
            <w:tcW w:w="2640" w:type="dxa"/>
            <w:vAlign w:val="bottom"/>
            <w:gridSpan w:val="3"/>
            <w:vMerge w:val="continue"/>
          </w:tcPr>
          <w:p>
            <w:pPr>
              <w:spacing w:after="0"/>
              <w:rPr>
                <w:sz w:val="3"/>
                <w:szCs w:val="3"/>
                <w:color w:val="auto"/>
              </w:rPr>
            </w:pPr>
          </w:p>
        </w:tc>
        <w:tc>
          <w:tcPr>
            <w:tcW w:w="300" w:type="dxa"/>
            <w:vAlign w:val="bottom"/>
            <w:gridSpan w:val="3"/>
            <w:vMerge w:val="continue"/>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-226695</wp:posOffset>
            </wp:positionV>
            <wp:extent cx="5257165" cy="2514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4">
                      <a:extLst>
                        <a:ext uri="{28A0092B-C50C-407E-A947-70E740481C1C}"/>
                      </a:extLst>
                    </a:blip>
                    <a:srcRect/>
                    <a:stretch>
                      <a:fillRect/>
                    </a:stretch>
                  </pic:blipFill>
                  <pic:spPr bwMode="auto">
                    <a:xfrm>
                      <a:off x="0" y="0"/>
                      <a:ext cx="5257165" cy="25146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540" w:space="360"/>
            <w:col w:w="10300"/>
          </w:cols>
          <w:pgMar w:left="320" w:top="1286" w:right="379" w:bottom="1440" w:gutter="0" w:footer="0" w:header="0"/>
          <w:type w:val="continuous"/>
        </w:sectPr>
      </w:pPr>
    </w:p>
    <w:p>
      <w:pPr>
        <w:ind w:left="920" w:right="2980"/>
        <w:spacing w:after="0" w:line="236" w:lineRule="auto"/>
        <w:rPr>
          <w:sz w:val="20"/>
          <w:szCs w:val="20"/>
          <w:color w:val="auto"/>
        </w:rPr>
      </w:pPr>
      <w:r>
        <w:rPr>
          <w:rFonts w:ascii="Times New Roman" w:cs="Times New Roman" w:eastAsia="Times New Roman" w:hAnsi="Times New Roman"/>
          <w:sz w:val="16"/>
          <w:szCs w:val="16"/>
          <w:color w:val="auto"/>
        </w:rPr>
        <w:t>The following financial information from the Company’s Annual Report on Form 10-K for the year ended December 31, 2023, formatted in Inline Extensible Business Reporting Language (iXBRL) includes: (i) the</w:t>
      </w:r>
    </w:p>
    <w:p>
      <w:pPr>
        <w:spacing w:after="0" w:line="1" w:lineRule="exact"/>
        <w:rPr>
          <w:sz w:val="20"/>
          <w:szCs w:val="20"/>
          <w:color w:val="auto"/>
        </w:rPr>
      </w:pPr>
    </w:p>
    <w:p>
      <w:pPr>
        <w:ind w:left="920" w:right="3140" w:hanging="662"/>
        <w:spacing w:after="0" w:line="219"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Income, (ii) the Consolidated Statements of Comprehensive Income, (iii) the Consolidated Balance Sheets, (iv) the Consolidated Statements of Cash Flows, (v) the Consolidated Statements of Stockholders’ Equity,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525716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5">
                      <a:extLst>
                        <a:ext uri="{28A0092B-C50C-407E-A947-70E740481C1C}"/>
                      </a:extLst>
                    </a:blip>
                    <a:srcRect/>
                    <a:stretch>
                      <a:fillRect/>
                    </a:stretch>
                  </pic:blipFill>
                  <pic:spPr bwMode="auto">
                    <a:xfrm>
                      <a:off x="0" y="0"/>
                      <a:ext cx="5257165" cy="154305"/>
                    </a:xfrm>
                    <a:prstGeom prst="rect">
                      <a:avLst/>
                    </a:prstGeom>
                    <a:noFill/>
                  </pic:spPr>
                </pic:pic>
              </a:graphicData>
            </a:graphic>
          </wp:anchor>
        </w:drawing>
      </w:r>
    </w:p>
    <w:p>
      <w:pPr>
        <w:spacing w:after="0" w:line="2" w:lineRule="exact"/>
        <w:rPr>
          <w:sz w:val="20"/>
          <w:szCs w:val="20"/>
          <w:color w:val="auto"/>
        </w:rPr>
      </w:pPr>
    </w:p>
    <w:p>
      <w:pPr>
        <w:ind w:left="180" w:right="4820" w:firstLine="78"/>
        <w:spacing w:after="0" w:line="379" w:lineRule="auto"/>
        <w:tabs>
          <w:tab w:leader="none" w:pos="90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 Management contract or compensatory plan or arrangement.</w:t>
      </w:r>
    </w:p>
    <w:p>
      <w:pPr>
        <w:jc w:val="both"/>
        <w:ind w:left="480" w:hanging="290"/>
        <w:spacing w:after="0" w:line="235" w:lineRule="auto"/>
        <w:tabs>
          <w:tab w:leader="none" w:pos="4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were redacted pursuant to a confidential treatment request filed with the Securities and Exchange Commission pursuant to Rule 24b-2 under the Securities Exchange Act of 1934, as amended. The redacted portions of this exhibit have been filed with the Securities and Exchange Commission.</w:t>
      </w:r>
    </w:p>
    <w:p>
      <w:pPr>
        <w:spacing w:after="0" w:line="111" w:lineRule="exact"/>
        <w:rPr>
          <w:sz w:val="20"/>
          <w:szCs w:val="20"/>
          <w:color w:val="auto"/>
        </w:rPr>
      </w:pPr>
    </w:p>
    <w:p>
      <w:pPr>
        <w:ind w:left="480" w:right="120" w:hanging="327"/>
        <w:spacing w:after="0" w:line="183" w:lineRule="auto"/>
        <w:tabs>
          <w:tab w:leader="none" w:pos="48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Schedules have been omitted pursuant to Item 601(b)(2) of Regulation S-K. The Company agrees to furnish supplemental copies to the SEC of any omitted schedule upon request by the SEC.</w:t>
      </w:r>
    </w:p>
    <w:p>
      <w:pPr>
        <w:spacing w:after="0" w:line="23" w:lineRule="exact"/>
        <w:rPr>
          <w:rFonts w:ascii="Times New Roman" w:cs="Times New Roman" w:eastAsia="Times New Roman" w:hAnsi="Times New Roman"/>
          <w:sz w:val="27"/>
          <w:szCs w:val="27"/>
          <w:color w:val="auto"/>
          <w:vertAlign w:val="superscript"/>
        </w:rPr>
      </w:pPr>
    </w:p>
    <w:p>
      <w:pPr>
        <w:ind w:left="480" w:hanging="327"/>
        <w:spacing w:after="0"/>
        <w:tabs>
          <w:tab w:leader="none" w:pos="48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Filing made by ILG, LLC under SEC File No. 001-34062.</w:t>
      </w:r>
    </w:p>
    <w:p>
      <w:pPr>
        <w:spacing w:after="0" w:line="196" w:lineRule="exact"/>
        <w:rPr>
          <w:sz w:val="20"/>
          <w:szCs w:val="20"/>
          <w:color w:val="auto"/>
        </w:rPr>
      </w:pPr>
    </w:p>
    <w:p>
      <w:pPr>
        <w:ind w:left="20"/>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1286" w:right="37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6"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300" w:type="dxa"/>
            <w:vAlign w:val="bottom"/>
          </w:tcPr>
          <w:p>
            <w:pPr>
              <w:spacing w:after="0"/>
              <w:rPr>
                <w:sz w:val="19"/>
                <w:szCs w:val="19"/>
                <w:color w:val="auto"/>
              </w:rPr>
            </w:pPr>
          </w:p>
        </w:tc>
        <w:tc>
          <w:tcPr>
            <w:tcW w:w="7920" w:type="dxa"/>
            <w:vAlign w:val="bottom"/>
            <w:gridSpan w:val="2"/>
          </w:tcPr>
          <w:p>
            <w:pPr>
              <w:ind w:left="162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tc>
      </w:tr>
      <w:tr>
        <w:trPr>
          <w:trHeight w:val="370"/>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2024</w:t>
            </w:r>
          </w:p>
        </w:tc>
        <w:tc>
          <w:tcPr>
            <w:tcW w:w="7920" w:type="dxa"/>
            <w:vAlign w:val="bottom"/>
            <w:gridSpan w:val="2"/>
          </w:tcPr>
          <w:p>
            <w:pPr>
              <w:ind w:left="1620"/>
              <w:spacing w:after="0"/>
              <w:rPr>
                <w:sz w:val="20"/>
                <w:szCs w:val="20"/>
                <w:color w:val="auto"/>
              </w:rPr>
            </w:pPr>
            <w:r>
              <w:rPr>
                <w:rFonts w:ascii="Times New Roman" w:cs="Times New Roman" w:eastAsia="Times New Roman" w:hAnsi="Times New Roman"/>
                <w:sz w:val="17"/>
                <w:szCs w:val="17"/>
                <w:color w:val="auto"/>
              </w:rPr>
              <w:t>By:   /s/ John E. Geller, Jr.</w:t>
            </w:r>
          </w:p>
        </w:tc>
      </w:tr>
      <w:tr>
        <w:trPr>
          <w:trHeight w:val="206"/>
        </w:trPr>
        <w:tc>
          <w:tcPr>
            <w:tcW w:w="3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John E. Geller, Jr.</w:t>
            </w:r>
          </w:p>
        </w:tc>
      </w:tr>
      <w:tr>
        <w:trPr>
          <w:trHeight w:val="222"/>
        </w:trPr>
        <w:tc>
          <w:tcPr>
            <w:tcW w:w="3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KNOW BY ALL PERSONS BY THESE PRESENTS, that each person whose signature appears below constitutes and appoints jointly and severally, John E. Geller, Jr., Jason P. Marino,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7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has been signed by the following persons on our behalf in the capacities and on the date indicated above.</w:t>
      </w:r>
    </w:p>
    <w:p>
      <w:pPr>
        <w:sectPr>
          <w:pgSz w:w="11900" w:h="16838" w:orient="portrait"/>
          <w:cols w:equalWidth="0" w:num="1">
            <w:col w:w="11240"/>
          </w:cols>
          <w:pgMar w:left="320" w:top="1397" w:right="339" w:bottom="1440" w:gutter="0" w:footer="0" w:header="0"/>
        </w:sect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17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33991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7">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pacing w:after="0" w:line="17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33991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8">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Jason P. Marino</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p>
      <w:pPr>
        <w:spacing w:after="0" w:line="17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Kathleen A. Pighini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33991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9">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Kathleen A. Pighini</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53"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35128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0">
                      <a:extLst>
                        <a:ext uri="{28A0092B-C50C-407E-A947-70E740481C1C}"/>
                      </a:extLst>
                    </a:blip>
                    <a:srcRect/>
                    <a:stretch>
                      <a:fillRect/>
                    </a:stretch>
                  </pic:blipFill>
                  <pic:spPr bwMode="auto">
                    <a:xfrm>
                      <a:off x="0" y="0"/>
                      <a:ext cx="3512820" cy="8255"/>
                    </a:xfrm>
                    <a:prstGeom prst="rect">
                      <a:avLst/>
                    </a:prstGeom>
                    <a:noFill/>
                  </pic:spPr>
                </pic:pic>
              </a:graphicData>
            </a:graphic>
          </wp:anchor>
        </w:drawing>
      </w:r>
    </w:p>
    <w:p>
      <w:pPr>
        <w:spacing w:after="0" w:line="14"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6"/>
          <w:szCs w:val="16"/>
          <w:color w:val="auto"/>
        </w:rPr>
        <w:t>William J. Shaw, Director, Chairman</w:t>
      </w:r>
    </w:p>
    <w:p>
      <w:pPr>
        <w:spacing w:after="0" w:line="187"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35128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1">
                      <a:extLst>
                        <a:ext uri="{28A0092B-C50C-407E-A947-70E740481C1C}"/>
                      </a:extLst>
                    </a:blip>
                    <a:srcRect/>
                    <a:stretch>
                      <a:fillRect/>
                    </a:stretch>
                  </pic:blipFill>
                  <pic:spPr bwMode="auto">
                    <a:xfrm>
                      <a:off x="0" y="0"/>
                      <a:ext cx="3512820" cy="8255"/>
                    </a:xfrm>
                    <a:prstGeom prst="rect">
                      <a:avLst/>
                    </a:prstGeom>
                    <a:noFill/>
                  </pic:spPr>
                </pic:pic>
              </a:graphicData>
            </a:graphic>
          </wp:anchor>
        </w:drawing>
      </w:r>
    </w:p>
    <w:p>
      <w:pPr>
        <w:spacing w:after="0" w:line="14"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C.E. Andrews, Director</w:t>
      </w:r>
    </w:p>
    <w:p>
      <w:pPr>
        <w:spacing w:after="0" w:line="175"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/s/ Lizanne Galbreath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35128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2">
                      <a:extLst>
                        <a:ext uri="{28A0092B-C50C-407E-A947-70E740481C1C}"/>
                      </a:extLst>
                    </a:blip>
                    <a:srcRect/>
                    <a:stretch>
                      <a:fillRect/>
                    </a:stretch>
                  </pic:blipFill>
                  <pic:spPr bwMode="auto">
                    <a:xfrm>
                      <a:off x="0" y="0"/>
                      <a:ext cx="3512820" cy="8255"/>
                    </a:xfrm>
                    <a:prstGeom prst="rect">
                      <a:avLst/>
                    </a:prstGeom>
                    <a:noFill/>
                  </pic:spPr>
                </pic:pic>
              </a:graphicData>
            </a:graphic>
          </wp:anchor>
        </w:drawing>
      </w:r>
    </w:p>
    <w:p>
      <w:pPr>
        <w:spacing w:after="0" w:line="14"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Lizanne Galbreath, Director</w:t>
      </w:r>
    </w:p>
    <w:p>
      <w:pPr>
        <w:spacing w:after="0" w:line="175"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/s/ Mary E. Galligan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35128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3">
                      <a:extLst>
                        <a:ext uri="{28A0092B-C50C-407E-A947-70E740481C1C}"/>
                      </a:extLst>
                    </a:blip>
                    <a:srcRect/>
                    <a:stretch>
                      <a:fillRect/>
                    </a:stretch>
                  </pic:blipFill>
                  <pic:spPr bwMode="auto">
                    <a:xfrm>
                      <a:off x="0" y="0"/>
                      <a:ext cx="3512820" cy="8255"/>
                    </a:xfrm>
                    <a:prstGeom prst="rect">
                      <a:avLst/>
                    </a:prstGeom>
                    <a:noFill/>
                  </pic:spPr>
                </pic:pic>
              </a:graphicData>
            </a:graphic>
          </wp:anchor>
        </w:drawing>
      </w:r>
    </w:p>
    <w:p>
      <w:pPr>
        <w:spacing w:after="0" w:line="14"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Mary E. Galligan, Director</w:t>
      </w:r>
    </w:p>
    <w:p>
      <w:pPr>
        <w:spacing w:after="0" w:line="175"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/s/ Raymond L. Gellein,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35128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4">
                      <a:extLst>
                        <a:ext uri="{28A0092B-C50C-407E-A947-70E740481C1C}"/>
                      </a:extLst>
                    </a:blip>
                    <a:srcRect/>
                    <a:stretch>
                      <a:fillRect/>
                    </a:stretch>
                  </pic:blipFill>
                  <pic:spPr bwMode="auto">
                    <a:xfrm>
                      <a:off x="0" y="0"/>
                      <a:ext cx="3512820" cy="8255"/>
                    </a:xfrm>
                    <a:prstGeom prst="rect">
                      <a:avLst/>
                    </a:prstGeom>
                    <a:noFill/>
                  </pic:spPr>
                </pic:pic>
              </a:graphicData>
            </a:graphic>
          </wp:anchor>
        </w:drawing>
      </w:r>
    </w:p>
    <w:p>
      <w:pPr>
        <w:spacing w:after="0" w:line="14"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Raymond L. Gellein, Jr.,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Corporate Controller and</w:t>
      </w:r>
    </w:p>
    <w:p>
      <w:pPr>
        <w:spacing w:after="0"/>
        <w:rPr>
          <w:sz w:val="20"/>
          <w:szCs w:val="20"/>
          <w:color w:val="auto"/>
        </w:rPr>
      </w:pPr>
      <w:r>
        <w:rPr>
          <w:rFonts w:ascii="Times New Roman" w:cs="Times New Roman" w:eastAsia="Times New Roman" w:hAnsi="Times New Roman"/>
          <w:sz w:val="17"/>
          <w:szCs w:val="17"/>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/s/ Jonice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15875</wp:posOffset>
            </wp:positionV>
            <wp:extent cx="35210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5">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Jonice M. Gray, Director</w:t>
      </w:r>
    </w:p>
    <w:p>
      <w:pPr>
        <w:spacing w:after="0" w:line="1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/s/ Melquiades 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15875</wp:posOffset>
            </wp:positionV>
            <wp:extent cx="35210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6">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Melquiades R. Martinez, Director</w:t>
      </w:r>
    </w:p>
    <w:p>
      <w:pPr>
        <w:spacing w:after="0" w:line="1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15875</wp:posOffset>
            </wp:positionV>
            <wp:extent cx="35210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7">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William W. McCarten, Director</w:t>
      </w:r>
    </w:p>
    <w:p>
      <w:pPr>
        <w:spacing w:after="0" w:line="1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15875</wp:posOffset>
            </wp:positionV>
            <wp:extent cx="35210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8">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Dianna F. Morgan, Director</w:t>
      </w:r>
    </w:p>
    <w:p>
      <w:pPr>
        <w:spacing w:after="0" w:line="1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/s/ Stephen R.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15875</wp:posOffset>
            </wp:positionV>
            <wp:extent cx="35210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9">
                      <a:extLst>
                        <a:ext uri="{28A0092B-C50C-407E-A947-70E740481C1C}"/>
                      </a:extLst>
                    </a:blip>
                    <a:srcRect/>
                    <a:stretch>
                      <a:fillRect/>
                    </a:stretch>
                  </pic:blipFill>
                  <pic:spPr bwMode="auto">
                    <a:xfrm>
                      <a:off x="0" y="0"/>
                      <a:ext cx="3521075" cy="8255"/>
                    </a:xfrm>
                    <a:prstGeom prst="rect">
                      <a:avLst/>
                    </a:prstGeom>
                    <a:noFill/>
                  </pic:spPr>
                </pic:pic>
              </a:graphicData>
            </a:graphic>
          </wp:anchor>
        </w:drawing>
      </w:r>
    </w:p>
    <w:p>
      <w:pPr>
        <w:spacing w:after="0" w:line="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Stephen R. Quazzo, Director</w:t>
      </w:r>
    </w:p>
    <w:p>
      <w:pPr>
        <w:spacing w:after="0" w:line="200" w:lineRule="exact"/>
        <w:rPr>
          <w:sz w:val="20"/>
          <w:szCs w:val="20"/>
          <w:color w:val="auto"/>
        </w:rPr>
      </w:pPr>
    </w:p>
    <w:p>
      <w:pPr>
        <w:sectPr>
          <w:pgSz w:w="11900" w:h="16838" w:orient="portrait"/>
          <w:cols w:equalWidth="0" w:num="2">
            <w:col w:w="4760" w:space="720"/>
            <w:col w:w="5760"/>
          </w:cols>
          <w:pgMar w:left="320" w:top="13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1240"/>
          </w:cols>
          <w:pgMar w:left="320" w:top="1397" w:right="33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MARRIOTT VACATIONS WORLDWIDE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CHANGE IN CONTROL SEVERANCE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Originally Effective January 27, 2012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Effective February 15, 2024</w:t>
      </w:r>
    </w:p>
    <w:p>
      <w:pPr>
        <w:spacing w:after="0" w:line="221"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20"/>
          <w:szCs w:val="20"/>
          <w:color w:val="auto"/>
        </w:rPr>
        <w:t>THIS MARRIOTT VACATIONS WORLDWIDE CORPORATION CHANGE IN CONTROL SEVERANCE PLAN, adopted by Marriott Vacations Worldwide Corporation, a Delaware corporation, is hereby established to provide for the payment of severance benefits to certain of its key Executives in the event of certain terminations of employment following a Change in Control (as defined herein). The primary purposes of the Plan are to (i) motivate executives to drive business success independent of the possible occurrence of a Change in Control and reduce distractions associated with a potential Change in Control, and (ii) maximize shareholder value by retaining key Executives through the closing of a Change in Control.</w:t>
      </w:r>
    </w:p>
    <w:p>
      <w:pPr>
        <w:spacing w:after="0" w:line="162"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Unless the context clearly indicates otherwise, when used in this Plan:</w:t>
      </w:r>
    </w:p>
    <w:p>
      <w:pPr>
        <w:spacing w:after="0" w:line="115" w:lineRule="exact"/>
        <w:rPr>
          <w:sz w:val="20"/>
          <w:szCs w:val="20"/>
          <w:color w:val="auto"/>
        </w:rPr>
      </w:pPr>
    </w:p>
    <w:p>
      <w:pPr>
        <w:jc w:val="both"/>
        <w:ind w:left="620" w:firstLine="609"/>
        <w:spacing w:after="0" w:line="272" w:lineRule="auto"/>
        <w:tabs>
          <w:tab w:leader="none" w:pos="18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entity, any other corporation, organization, association, partnership, sole proprietorship or other type of entity, whether incorporated or unincorporated, directly or indirectly controlling or controlled by or under direct or indirect common control with such entity.</w:t>
      </w:r>
    </w:p>
    <w:p>
      <w:pPr>
        <w:spacing w:after="0" w:line="163" w:lineRule="exact"/>
        <w:rPr>
          <w:rFonts w:ascii="Times New Roman" w:cs="Times New Roman" w:eastAsia="Times New Roman" w:hAnsi="Times New Roman"/>
          <w:sz w:val="20"/>
          <w:szCs w:val="20"/>
          <w:color w:val="auto"/>
        </w:rPr>
      </w:pPr>
    </w:p>
    <w:p>
      <w:pPr>
        <w:jc w:val="both"/>
        <w:ind w:left="620" w:firstLine="609"/>
        <w:spacing w:after="0" w:line="263" w:lineRule="auto"/>
        <w:tabs>
          <w:tab w:leader="none" w:pos="184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means Executive’s annual rate of base salary in effect on the date of Executive’s Termination of Employment (or, if higher, on the date of the Change in Control), determined in each case prior to (i) reduction for any employee-elected salary reduction contributions made to an Employer-sponsored non-qualified deferred compensation plan or an Employer-sponsored plan pursuant to Section 401(k) or 125 of the Code, and excluding bonuses, overtime, allowances, commissions, deferred compensation payments and any other extraordinary remuneration, and (ii) any reduction that is a basis for Executive’s termination for Good Reason.</w:t>
      </w:r>
    </w:p>
    <w:p>
      <w:pPr>
        <w:spacing w:after="0" w:line="161" w:lineRule="exact"/>
        <w:rPr>
          <w:rFonts w:ascii="Times New Roman" w:cs="Times New Roman" w:eastAsia="Times New Roman" w:hAnsi="Times New Roman"/>
          <w:sz w:val="20"/>
          <w:szCs w:val="20"/>
          <w:color w:val="auto"/>
        </w:rPr>
      </w:pPr>
    </w:p>
    <w:p>
      <w:pPr>
        <w:ind w:left="620" w:firstLine="609"/>
        <w:spacing w:after="0" w:line="291" w:lineRule="auto"/>
        <w:tabs>
          <w:tab w:leader="none" w:pos="18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has the meaning ascribed to such term in Rule 13d-3 of the General Rules and Regulations under the Exchange Act.</w:t>
      </w:r>
    </w:p>
    <w:p>
      <w:pPr>
        <w:spacing w:after="0" w:line="132" w:lineRule="exact"/>
        <w:rPr>
          <w:rFonts w:ascii="Times New Roman" w:cs="Times New Roman" w:eastAsia="Times New Roman" w:hAnsi="Times New Roman"/>
          <w:sz w:val="20"/>
          <w:szCs w:val="20"/>
          <w:color w:val="auto"/>
        </w:rPr>
      </w:pPr>
    </w:p>
    <w:p>
      <w:pPr>
        <w:ind w:left="1840" w:hanging="611"/>
        <w:spacing w:after="0"/>
        <w:tabs>
          <w:tab w:leader="none" w:pos="18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17" w:lineRule="exact"/>
        <w:rPr>
          <w:rFonts w:ascii="Times New Roman" w:cs="Times New Roman" w:eastAsia="Times New Roman" w:hAnsi="Times New Roman"/>
          <w:sz w:val="20"/>
          <w:szCs w:val="20"/>
          <w:color w:val="auto"/>
        </w:rPr>
      </w:pPr>
    </w:p>
    <w:p>
      <w:pPr>
        <w:jc w:val="both"/>
        <w:ind w:left="620" w:firstLine="609"/>
        <w:spacing w:after="0" w:line="266" w:lineRule="auto"/>
        <w:tabs>
          <w:tab w:leader="none" w:pos="18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(i) Executive’s conviction of a felony; (ii) an act by Executive which constitutes willful or gross misconduct and which is demonstrably and materially injurious to the Company; or (iii) continued substantial willful violations by Executive of Executive’s employment duties after there has been delivered to Executive a written demand for performance from the Company which specifically sets forth the factual basis for the Company's belief that Executive has not substantially performed his or her duties.</w:t>
      </w:r>
    </w:p>
    <w:p>
      <w:pPr>
        <w:spacing w:after="0" w:line="156" w:lineRule="exact"/>
        <w:rPr>
          <w:rFonts w:ascii="Times New Roman" w:cs="Times New Roman" w:eastAsia="Times New Roman" w:hAnsi="Times New Roman"/>
          <w:sz w:val="20"/>
          <w:szCs w:val="20"/>
          <w:color w:val="auto"/>
        </w:rPr>
      </w:pPr>
    </w:p>
    <w:p>
      <w:pPr>
        <w:ind w:left="1840" w:hanging="611"/>
        <w:spacing w:after="0"/>
        <w:tabs>
          <w:tab w:leader="none" w:pos="18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and shall be deemed to have occurred if:</w:t>
      </w:r>
    </w:p>
    <w:p>
      <w:pPr>
        <w:sectPr>
          <w:pgSz w:w="11900" w:h="16838" w:orient="portrait"/>
          <w:cols w:equalWidth="0" w:num="1">
            <w:col w:w="11240"/>
          </w:cols>
          <w:pgMar w:left="320" w:top="12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00" w:firstLine="622"/>
        <w:spacing w:after="0" w:line="260" w:lineRule="auto"/>
        <w:tabs>
          <w:tab w:leader="none" w:pos="182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directly or indirectly becomes the Beneficial Owner of more than thirty percent (30%) of the 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that, immediately following such transaction, is owned, directly or indirectly, by the stockholders of the Company in substantially the same proportions as their ownership of Company stock immediately prior to such transaction; or</w:t>
      </w:r>
    </w:p>
    <w:p>
      <w:pPr>
        <w:spacing w:after="0" w:line="178" w:lineRule="exact"/>
        <w:rPr>
          <w:rFonts w:ascii="Times New Roman" w:cs="Times New Roman" w:eastAsia="Times New Roman" w:hAnsi="Times New Roman"/>
          <w:sz w:val="20"/>
          <w:szCs w:val="20"/>
          <w:color w:val="auto"/>
        </w:rPr>
      </w:pPr>
    </w:p>
    <w:p>
      <w:pPr>
        <w:jc w:val="both"/>
        <w:ind w:left="600" w:firstLine="622"/>
        <w:spacing w:after="0" w:line="262" w:lineRule="auto"/>
        <w:tabs>
          <w:tab w:leader="none" w:pos="182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62" w:lineRule="exact"/>
        <w:rPr>
          <w:rFonts w:ascii="Times New Roman" w:cs="Times New Roman" w:eastAsia="Times New Roman" w:hAnsi="Times New Roman"/>
          <w:sz w:val="20"/>
          <w:szCs w:val="20"/>
          <w:color w:val="auto"/>
        </w:rPr>
      </w:pPr>
    </w:p>
    <w:p>
      <w:pPr>
        <w:jc w:val="both"/>
        <w:ind w:left="600" w:firstLine="622"/>
        <w:spacing w:after="0" w:line="274" w:lineRule="auto"/>
        <w:tabs>
          <w:tab w:leader="none" w:pos="182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Directors cease to represent a majority of the Board, where “Continuing Directors” shall mean the directors of the Board immediately after the date this Plan is adopted, and any other director whose appointment, election or nomination for election by the stockholders is approved by at least a majority of the Continuing Directors at such time;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ind w:left="600" w:firstLine="622"/>
        <w:spacing w:after="0" w:line="291" w:lineRule="auto"/>
        <w:tabs>
          <w:tab w:leader="none" w:pos="182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of the Company approve a plan of complete liquidation of the Company or the Company sells or disposes of all or substantially all of its assets.</w:t>
      </w:r>
    </w:p>
    <w:p>
      <w:pPr>
        <w:spacing w:after="0" w:line="145" w:lineRule="exact"/>
        <w:rPr>
          <w:rFonts w:ascii="Times New Roman" w:cs="Times New Roman" w:eastAsia="Times New Roman" w:hAnsi="Times New Roman"/>
          <w:sz w:val="20"/>
          <w:szCs w:val="20"/>
          <w:color w:val="auto"/>
        </w:rPr>
      </w:pPr>
    </w:p>
    <w:p>
      <w:pPr>
        <w:ind w:left="1220" w:hanging="611"/>
        <w:spacing w:after="0"/>
        <w:tabs>
          <w:tab w:leader="none" w:pos="12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means the Consolidated Omnibus Budget Reconciliation Act of 1985, as amended.</w:t>
      </w:r>
    </w:p>
    <w:p>
      <w:pPr>
        <w:spacing w:after="0" w:line="217" w:lineRule="exact"/>
        <w:rPr>
          <w:rFonts w:ascii="Times New Roman" w:cs="Times New Roman" w:eastAsia="Times New Roman" w:hAnsi="Times New Roman"/>
          <w:sz w:val="20"/>
          <w:szCs w:val="20"/>
          <w:color w:val="auto"/>
        </w:rPr>
      </w:pPr>
    </w:p>
    <w:p>
      <w:pPr>
        <w:ind w:firstLine="609"/>
        <w:spacing w:after="0" w:line="291" w:lineRule="auto"/>
        <w:tabs>
          <w:tab w:leader="none" w:pos="12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Any reference to a specific provision of the Code includes any successor provision thereto, and the regulations promulgated thereunder.</w:t>
      </w:r>
    </w:p>
    <w:p>
      <w:pPr>
        <w:spacing w:after="0" w:line="132" w:lineRule="exact"/>
        <w:rPr>
          <w:rFonts w:ascii="Times New Roman" w:cs="Times New Roman" w:eastAsia="Times New Roman" w:hAnsi="Times New Roman"/>
          <w:sz w:val="20"/>
          <w:szCs w:val="20"/>
          <w:color w:val="auto"/>
        </w:rPr>
      </w:pPr>
    </w:p>
    <w:p>
      <w:pPr>
        <w:ind w:left="1220" w:hanging="611"/>
        <w:spacing w:after="0"/>
        <w:tabs>
          <w:tab w:leader="none" w:pos="12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committee designated pursuant to Section 6 to administer this Plan.</w:t>
      </w:r>
    </w:p>
    <w:p>
      <w:pPr>
        <w:spacing w:after="0" w:line="217" w:lineRule="exact"/>
        <w:rPr>
          <w:rFonts w:ascii="Times New Roman" w:cs="Times New Roman" w:eastAsia="Times New Roman" w:hAnsi="Times New Roman"/>
          <w:sz w:val="20"/>
          <w:szCs w:val="20"/>
          <w:color w:val="auto"/>
        </w:rPr>
      </w:pPr>
    </w:p>
    <w:p>
      <w:pPr>
        <w:ind w:firstLine="609"/>
        <w:spacing w:after="0" w:line="304" w:lineRule="auto"/>
        <w:tabs>
          <w:tab w:leader="none" w:pos="121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Marriott Vacations Worldwide Corporation, a Delaware corporation and, after a Change in Control, any successor or successors thereto.</w:t>
      </w:r>
    </w:p>
    <w:p>
      <w:pPr>
        <w:spacing w:after="0" w:line="120" w:lineRule="exact"/>
        <w:rPr>
          <w:rFonts w:ascii="Times New Roman" w:cs="Times New Roman" w:eastAsia="Times New Roman" w:hAnsi="Times New Roman"/>
          <w:sz w:val="20"/>
          <w:szCs w:val="20"/>
          <w:color w:val="auto"/>
        </w:rPr>
      </w:pPr>
    </w:p>
    <w:p>
      <w:pPr>
        <w:ind w:firstLine="609"/>
        <w:spacing w:after="0" w:line="291" w:lineRule="auto"/>
        <w:tabs>
          <w:tab w:leader="none" w:pos="122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the Company, each of its direct and indirect wholly-owned subsidiaries, and any other Affiliate of the Company that adopts this Plan with the consent of the Board.</w:t>
      </w:r>
    </w:p>
    <w:p>
      <w:pPr>
        <w:sectPr>
          <w:pgSz w:w="11900" w:h="16838" w:orient="portrait"/>
          <w:cols w:equalWidth="0" w:num="1">
            <w:col w:w="10620"/>
          </w:cols>
          <w:pgMar w:left="940" w:top="127" w:right="339" w:bottom="1440" w:gutter="0" w:footer="0" w:header="0"/>
        </w:sectPr>
      </w:pPr>
    </w:p>
    <w:bookmarkStart w:id="142" w:name="page143"/>
    <w:bookmarkEnd w:id="142"/>
    <w:p>
      <w:pPr>
        <w:ind w:left="1052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609"/>
        <w:spacing w:after="0" w:line="291" w:lineRule="auto"/>
        <w:tabs>
          <w:tab w:leader="none" w:pos="121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Any reference to a specific provision of the Exchange Act includes any successor provision thereto, and the regulations promulgated thereunder.</w:t>
      </w:r>
    </w:p>
    <w:p>
      <w:pPr>
        <w:spacing w:after="0" w:line="81" w:lineRule="exact"/>
        <w:rPr>
          <w:rFonts w:ascii="Times New Roman" w:cs="Times New Roman" w:eastAsia="Times New Roman" w:hAnsi="Times New Roman"/>
          <w:sz w:val="20"/>
          <w:szCs w:val="20"/>
          <w:color w:val="auto"/>
        </w:rPr>
      </w:pPr>
    </w:p>
    <w:p>
      <w:pPr>
        <w:jc w:val="both"/>
        <w:ind w:firstLine="609"/>
        <w:spacing w:after="0" w:line="278" w:lineRule="auto"/>
        <w:tabs>
          <w:tab w:leader="none" w:pos="121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xml:space="preserve">” means an individual who (i) is employed by the Employer in a position specified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as of the day before the day a Change in Control occurs, (ii) has been designated by the Committee to participate in the Plan, and (iii) has executed a Participation Agreement.</w:t>
      </w:r>
    </w:p>
    <w:p>
      <w:pPr>
        <w:spacing w:after="0" w:line="95" w:lineRule="exact"/>
        <w:rPr>
          <w:rFonts w:ascii="Times New Roman" w:cs="Times New Roman" w:eastAsia="Times New Roman" w:hAnsi="Times New Roman"/>
          <w:sz w:val="20"/>
          <w:szCs w:val="20"/>
          <w:color w:val="auto"/>
        </w:rPr>
      </w:pPr>
    </w:p>
    <w:p>
      <w:pPr>
        <w:jc w:val="both"/>
        <w:ind w:firstLine="609"/>
        <w:spacing w:after="0" w:line="258" w:lineRule="auto"/>
        <w:tabs>
          <w:tab w:leader="none" w:pos="122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any of the following actions upon or after a Change in Control, without Executive’s express prior written approval, other than due to Executive’s Total Disability or death: (i) a substantial change in Executive’s status, title, position or responsibilities from Executive’s status, title, position or responsibilities as in effect immediately prior to the Change in Control, other than in connection with the Termination of Executive’s employment for Cause; (ii) a material reduction in Executive’s Base Salary or any failure to pay Executive any compensation or benefits to which Executive is entitled within five days of the date due; (iii) a material reduction in Executive’s annual cash bonus opportunity or the grant date value of equity-type incentive opportunity; (iv) a change in the Executive’s principal place of employment that increases the Executive’s one-way commute by more than 50 miles compared to the Executive’s principal place of employment immediately prior to the Change in Control, except for reasonably required travel on the business of the Company or an Affiliate which is not materially greater than such travel requirements in effect immediately prior thereto; (v) the failure by the Employer to continue in effect employee benefits for Executive no less favorable in the aggregate as in effect immediately prior to the Change in Control; or (vi) the failure of the Company to obtain an agreement from any successors and assigns to assume and agree to perform the obligations created under this Plan. With respect to (i) through (vi) above, Good Reason shall not be deemed to have occurred unless Executive shall have notified the Employer in writing of his or her intent to resign for Good Reason within sixty (60) days following the Executive’s knowledge of the first occurrence of the event constituting Good Reason and the Employer shall not have cured the grounds for Good Reason within thirty (30) days following the provision of such notice.</w:t>
      </w:r>
    </w:p>
    <w:p>
      <w:pPr>
        <w:spacing w:after="0" w:line="120" w:lineRule="exact"/>
        <w:rPr>
          <w:rFonts w:ascii="Times New Roman" w:cs="Times New Roman" w:eastAsia="Times New Roman" w:hAnsi="Times New Roman"/>
          <w:sz w:val="20"/>
          <w:szCs w:val="20"/>
          <w:color w:val="auto"/>
        </w:rPr>
      </w:pPr>
    </w:p>
    <w:p>
      <w:pPr>
        <w:ind w:firstLine="609"/>
        <w:spacing w:after="0" w:line="291" w:lineRule="auto"/>
        <w:tabs>
          <w:tab w:leader="none" w:pos="122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Participation Agreement</w:t>
      </w:r>
      <w:r>
        <w:rPr>
          <w:rFonts w:ascii="Times New Roman" w:cs="Times New Roman" w:eastAsia="Times New Roman" w:hAnsi="Times New Roman"/>
          <w:sz w:val="20"/>
          <w:szCs w:val="20"/>
          <w:color w:val="auto"/>
        </w:rPr>
        <w:t>” means a written agreement between the Company and an Executive providing for Executive’s participation in this Plan.</w:t>
      </w:r>
    </w:p>
    <w:p>
      <w:pPr>
        <w:spacing w:after="0" w:line="81" w:lineRule="exact"/>
        <w:rPr>
          <w:rFonts w:ascii="Times New Roman" w:cs="Times New Roman" w:eastAsia="Times New Roman" w:hAnsi="Times New Roman"/>
          <w:sz w:val="20"/>
          <w:szCs w:val="20"/>
          <w:color w:val="auto"/>
        </w:rPr>
      </w:pPr>
    </w:p>
    <w:p>
      <w:pPr>
        <w:ind w:firstLine="609"/>
        <w:spacing w:after="0" w:line="304" w:lineRule="auto"/>
        <w:tabs>
          <w:tab w:leader="none" w:pos="122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have the meaning ascribed to such term in Section 3(a)(9) of the Exchange Act and used in Sections 13(d) and 14(d) thereof, including a “group” as defined in Section 13(d) thereof.</w:t>
      </w:r>
    </w:p>
    <w:p>
      <w:pPr>
        <w:spacing w:after="0" w:line="69" w:lineRule="exact"/>
        <w:rPr>
          <w:rFonts w:ascii="Times New Roman" w:cs="Times New Roman" w:eastAsia="Times New Roman" w:hAnsi="Times New Roman"/>
          <w:sz w:val="20"/>
          <w:szCs w:val="20"/>
          <w:color w:val="auto"/>
        </w:rPr>
      </w:pPr>
    </w:p>
    <w:p>
      <w:pPr>
        <w:ind w:left="1220" w:hanging="611"/>
        <w:spacing w:after="0"/>
        <w:tabs>
          <w:tab w:leader="none" w:pos="12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this Marriott Vacations Worldwide Corporation Change in Control Severance Plan as in effect from</w:t>
      </w:r>
    </w:p>
    <w:p>
      <w:pPr>
        <w:spacing w:after="0" w:line="3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to time.</w:t>
      </w:r>
    </w:p>
    <w:p>
      <w:pPr>
        <w:spacing w:after="0" w:line="144" w:lineRule="exact"/>
        <w:rPr>
          <w:rFonts w:ascii="Times New Roman" w:cs="Times New Roman" w:eastAsia="Times New Roman" w:hAnsi="Times New Roman"/>
          <w:sz w:val="20"/>
          <w:szCs w:val="20"/>
          <w:color w:val="auto"/>
        </w:rPr>
      </w:pPr>
    </w:p>
    <w:p>
      <w:pPr>
        <w:ind w:firstLine="609"/>
        <w:spacing w:after="0" w:line="291" w:lineRule="auto"/>
        <w:tabs>
          <w:tab w:leader="none" w:pos="122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means a waiver and release, in a form to be prepared by the Company substantially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but as amended from time to time, to be signed by an Executive.</w:t>
      </w:r>
    </w:p>
    <w:p>
      <w:pPr>
        <w:sectPr>
          <w:pgSz w:w="11900" w:h="16838" w:orient="portrait"/>
          <w:cols w:equalWidth="0" w:num="1">
            <w:col w:w="10620"/>
          </w:cols>
          <w:pgMar w:left="940" w:top="12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09"/>
        <w:spacing w:after="0" w:line="272" w:lineRule="auto"/>
        <w:tabs>
          <w:tab w:leader="none" w:pos="122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corporation, partnership, joint venture, trust or other entity in which the Company has a controlling interest as defined in Treasury Regulation Section 1.414(c)-2(b)(2), except that the threshold interest shall be “more than fifty percent (50%)” instead of “at least eighty percent (80%).”</w:t>
      </w:r>
    </w:p>
    <w:p>
      <w:pPr>
        <w:spacing w:after="0" w:line="112" w:lineRule="exact"/>
        <w:rPr>
          <w:rFonts w:ascii="Times New Roman" w:cs="Times New Roman" w:eastAsia="Times New Roman" w:hAnsi="Times New Roman"/>
          <w:sz w:val="20"/>
          <w:szCs w:val="20"/>
          <w:color w:val="auto"/>
        </w:rPr>
      </w:pPr>
    </w:p>
    <w:p>
      <w:pPr>
        <w:jc w:val="both"/>
        <w:ind w:firstLine="609"/>
        <w:spacing w:after="0" w:line="272" w:lineRule="auto"/>
        <w:tabs>
          <w:tab w:leader="none" w:pos="121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means the greater of (i) Executive’s annual cash target bonus in effect immediately prior to the date a Change in Control occurs, or (ii) Executive’s annual cash target bonus in effect as of the date his or her employment Terminates, in either case assuming full attainment of companywide milestones at target levels.</w:t>
      </w:r>
    </w:p>
    <w:p>
      <w:pPr>
        <w:spacing w:after="0" w:line="99" w:lineRule="exact"/>
        <w:rPr>
          <w:rFonts w:ascii="Times New Roman" w:cs="Times New Roman" w:eastAsia="Times New Roman" w:hAnsi="Times New Roman"/>
          <w:sz w:val="20"/>
          <w:szCs w:val="20"/>
          <w:color w:val="auto"/>
        </w:rPr>
      </w:pPr>
    </w:p>
    <w:p>
      <w:pPr>
        <w:ind w:firstLine="609"/>
        <w:spacing w:after="0" w:line="291" w:lineRule="auto"/>
        <w:tabs>
          <w:tab w:leader="none" w:pos="122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means Executive’s “separation from service” from the Company, as determined pursuant to Section 409A of the Code.</w:t>
      </w:r>
    </w:p>
    <w:p>
      <w:pPr>
        <w:spacing w:after="0" w:line="93" w:lineRule="exact"/>
        <w:rPr>
          <w:rFonts w:ascii="Times New Roman" w:cs="Times New Roman" w:eastAsia="Times New Roman" w:hAnsi="Times New Roman"/>
          <w:sz w:val="20"/>
          <w:szCs w:val="20"/>
          <w:color w:val="auto"/>
        </w:rPr>
      </w:pPr>
    </w:p>
    <w:p>
      <w:pPr>
        <w:jc w:val="both"/>
        <w:ind w:firstLine="609"/>
        <w:spacing w:after="0" w:line="265" w:lineRule="auto"/>
        <w:tabs>
          <w:tab w:leader="none" w:pos="122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Disability</w:t>
      </w:r>
      <w:r>
        <w:rPr>
          <w:rFonts w:ascii="Times New Roman" w:cs="Times New Roman" w:eastAsia="Times New Roman" w:hAnsi="Times New Roman"/>
          <w:sz w:val="20"/>
          <w:szCs w:val="20"/>
          <w:color w:val="auto"/>
        </w:rPr>
        <w:t>” means that the Executive is, by reason of any medical determinable physical or mental impairment that can be expected to result in death or can be expected to last for a continuous period of not less than twelve (12) months, receiving income replacement benefits for a period of six (6) months under an accident and health plan sponsored by the Employer or an Affiliate thereof.</w:t>
      </w:r>
    </w:p>
    <w:p>
      <w:pPr>
        <w:spacing w:after="0" w:line="10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20"/>
          <w:szCs w:val="20"/>
          <w:u w:val="single" w:color="auto"/>
          <w:color w:val="auto"/>
        </w:rPr>
        <w:t>Payments Upon Termination</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jc w:val="both"/>
        <w:ind w:firstLine="609"/>
        <w:spacing w:after="0" w:line="260" w:lineRule="auto"/>
        <w:tabs>
          <w:tab w:leader="none" w:pos="122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Accrued Benefits</w:t>
      </w:r>
      <w:r>
        <w:rPr>
          <w:rFonts w:ascii="Times New Roman" w:cs="Times New Roman" w:eastAsia="Times New Roman" w:hAnsi="Times New Roman"/>
          <w:sz w:val="20"/>
          <w:szCs w:val="20"/>
          <w:color w:val="auto"/>
        </w:rPr>
        <w:t>. Upon any Termination occurring on or within two years following a Change in Control, Executive shall receive (i) any unpaid Base Salary through the date of such Executive’s Termination, (ii) unless the Termination is for Cause, any bonus unpaid as of the date of such Executive’s Termination for any previously completed fiscal year of the Company, and (iii) unless the Termination is for Cause, a pro rata bonus for the fiscal year of the Company in which such Executive’s Termination occurs, determined by multiplying the Executive’s Target Bonus for such fiscal year by a fraction, the numerator of which is the number of days from the beginning of such fiscal year to the date of the Termination, and the denominator of which is 365. In addition, Executive shall be entitled to prompt reimbursement of any unreimbursed expenses properly incurred by such Executive in accordance with Company policies prior to the date of such Executive’s Termination. Executive shall also receive such other compensation (including any stock options or other equity-related payments) and benefits, if any, to which such Executive may be entitled from time to time pursuant to the terms and conditions of the employee compensation, incentive, equity, benefit or fringe benefit plans, policies, or programs of the Company, other than any Company severance policy.</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jc w:val="both"/>
        <w:ind w:firstLine="609"/>
        <w:spacing w:after="0" w:line="265" w:lineRule="auto"/>
        <w:tabs>
          <w:tab w:leader="none" w:pos="122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If (i) Executive’s employment with his or her Employer (x) is involuntarily Terminated by the Employer within two years following a Change in Control, other than due to Cause, Total Disability or death, or (y) is Terminated by Executive for Good Reason within two years following a Change in Control, and (ii) Executive executes a Release at the time and in the manner prescribed by the Company (but in no event later than forty-five (45) days following Executive’s</w:t>
      </w:r>
    </w:p>
    <w:p>
      <w:pPr>
        <w:sectPr>
          <w:pgSz w:w="11900" w:h="16838" w:orient="portrait"/>
          <w:cols w:equalWidth="0" w:num="1">
            <w:col w:w="10620"/>
          </w:cols>
          <w:pgMar w:left="940" w:top="12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Termination of Employment), and does not revoke such Release, Executive shall be entitled to the following:</w:t>
      </w:r>
    </w:p>
    <w:p>
      <w:pPr>
        <w:spacing w:after="0" w:line="166" w:lineRule="exact"/>
        <w:rPr>
          <w:sz w:val="20"/>
          <w:szCs w:val="20"/>
          <w:color w:val="auto"/>
        </w:rPr>
      </w:pPr>
    </w:p>
    <w:p>
      <w:pPr>
        <w:jc w:val="both"/>
        <w:ind w:left="1220" w:firstLine="9"/>
        <w:spacing w:after="0" w:line="278" w:lineRule="auto"/>
        <w:tabs>
          <w:tab w:leader="none" w:pos="182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Severance Pay</w:t>
      </w:r>
      <w:r>
        <w:rPr>
          <w:rFonts w:ascii="Times New Roman" w:cs="Times New Roman" w:eastAsia="Times New Roman" w:hAnsi="Times New Roman"/>
          <w:sz w:val="20"/>
          <w:szCs w:val="20"/>
          <w:color w:val="auto"/>
        </w:rPr>
        <w:t>. Executive shall receive a lump sum cash payment equal to two (2) times (three (3) times for the Chief Executive Officer of the Company as of the date the Change in Control occurs) the sum of Executive’s (i) Base Salary and (ii) Target Bonus.</w:t>
      </w:r>
    </w:p>
    <w:p>
      <w:pPr>
        <w:spacing w:after="0" w:line="95" w:lineRule="exact"/>
        <w:rPr>
          <w:rFonts w:ascii="Times New Roman" w:cs="Times New Roman" w:eastAsia="Times New Roman" w:hAnsi="Times New Roman"/>
          <w:sz w:val="20"/>
          <w:szCs w:val="20"/>
          <w:color w:val="auto"/>
        </w:rPr>
      </w:pPr>
    </w:p>
    <w:p>
      <w:pPr>
        <w:jc w:val="both"/>
        <w:ind w:left="1220" w:firstLine="9"/>
        <w:spacing w:after="0" w:line="266" w:lineRule="auto"/>
        <w:tabs>
          <w:tab w:leader="none" w:pos="182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for Value of Benefits Continuation</w:t>
      </w:r>
      <w:r>
        <w:rPr>
          <w:rFonts w:ascii="Times New Roman" w:cs="Times New Roman" w:eastAsia="Times New Roman" w:hAnsi="Times New Roman"/>
          <w:sz w:val="20"/>
          <w:szCs w:val="20"/>
          <w:color w:val="auto"/>
        </w:rPr>
        <w:t>. Executive shall receive a lump sum cash payment equal to the product of (i) the aggregate monthly premiums (both employee and Employer portions) for the Employer-provided medical, dental, and life insurance coverages that Executive was enrolled in prior to the date of the Change in Control or prior to the date of Executive’s Termination, whichever amount is greater, and (ii) twenty-four (thirty-six for the Chief Executive Officer of the Company as of the date the Change in Control occurs).</w:t>
      </w:r>
    </w:p>
    <w:p>
      <w:pPr>
        <w:spacing w:after="0" w:line="105"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20"/>
          <w:szCs w:val="20"/>
          <w:u w:val="single" w:color="auto"/>
          <w:color w:val="auto"/>
        </w:rPr>
        <w:t>Form and Time of Payment; Non-Duplication of Benefits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540" w:firstLine="612"/>
        <w:spacing w:after="0" w:line="264" w:lineRule="auto"/>
        <w:tabs>
          <w:tab w:leader="none" w:pos="18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and Time of Payment</w:t>
      </w:r>
      <w:r>
        <w:rPr>
          <w:rFonts w:ascii="Times New Roman" w:cs="Times New Roman" w:eastAsia="Times New Roman" w:hAnsi="Times New Roman"/>
          <w:sz w:val="20"/>
          <w:szCs w:val="20"/>
          <w:color w:val="auto"/>
        </w:rPr>
        <w:t>. The accrued benefits payable to an Executive by his or her Employer under Section 2(a) shall be paid to such Executive in a single lump sum less applicable withholdings no later than 15 business days after Executive’s date of Termination. Subject to Section 12, the cash payments payable to an Executive by his or her Employer under Section 2(b) shall be paid no later than (i) 15 business days after Executive’s date of Termination or (ii) the expiration of the revocation period, if applicable, under the Release, which Release must be executed within 45 days following the date of Termination, whichever is later.</w:t>
      </w:r>
    </w:p>
    <w:p>
      <w:pPr>
        <w:spacing w:after="0" w:line="357" w:lineRule="exact"/>
        <w:rPr>
          <w:rFonts w:ascii="Times New Roman" w:cs="Times New Roman" w:eastAsia="Times New Roman" w:hAnsi="Times New Roman"/>
          <w:sz w:val="20"/>
          <w:szCs w:val="20"/>
          <w:color w:val="auto"/>
        </w:rPr>
      </w:pPr>
    </w:p>
    <w:p>
      <w:pPr>
        <w:jc w:val="both"/>
        <w:ind w:left="540" w:firstLine="612"/>
        <w:spacing w:after="0" w:line="266" w:lineRule="auto"/>
        <w:tabs>
          <w:tab w:leader="none" w:pos="183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Non-Duplication of Benefits</w:t>
      </w:r>
      <w:r>
        <w:rPr>
          <w:rFonts w:ascii="Times New Roman" w:cs="Times New Roman" w:eastAsia="Times New Roman" w:hAnsi="Times New Roman"/>
          <w:sz w:val="20"/>
          <w:szCs w:val="20"/>
          <w:color w:val="auto"/>
        </w:rPr>
        <w:t>. The severance benefits provided pursuant to Section 2(b) hereof are in lieu of, and not in addition to, any severance benefits payable to the Executive under any other plan, program, or arrangement of the Company, the Employer, or any of their Affiliates. However, such benefits shall not be deemed to be in lieu of any equity-related vesting or payments and payments under any tax-qualified or nonqualified retirement plan, or any other type of benefit not specifically provided for in Section 2(b).</w:t>
      </w:r>
    </w:p>
    <w:p>
      <w:pPr>
        <w:spacing w:after="0" w:line="105" w:lineRule="exact"/>
        <w:rPr>
          <w:sz w:val="20"/>
          <w:szCs w:val="20"/>
          <w:color w:val="auto"/>
        </w:rPr>
      </w:pPr>
    </w:p>
    <w:p>
      <w:pPr>
        <w:jc w:val="both"/>
        <w:ind w:firstLine="613"/>
        <w:spacing w:after="0" w:line="272"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Employer shall withhold from any amount payable to an Executive pursuant to this Plan, and shall remit to the appropriate governmental authority, any income, employment or other tax the Employer is required by applicable law to so withhold from and remit on behalf of such Executive.</w:t>
      </w:r>
    </w:p>
    <w:p>
      <w:pPr>
        <w:spacing w:after="0" w:line="112"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20"/>
          <w:szCs w:val="20"/>
          <w:u w:val="single" w:color="auto"/>
          <w:color w:val="auto"/>
        </w:rPr>
        <w:t>Limitation of Certain Payments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540" w:firstLine="612"/>
        <w:spacing w:after="0" w:line="265" w:lineRule="auto"/>
        <w:tabs>
          <w:tab w:leader="none" w:pos="18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Employer reasonably determines, based upon the advice of the independent public accountants for the Employer, that part or all of the consideration, compensation or benefits to be paid to Executive under this Plan constitute “parachute payments” under Section 280G(b)(2) of the Code, then, if the aggregate present value of such parachute payments, singularly or together with the aggregate</w:t>
      </w:r>
    </w:p>
    <w:p>
      <w:pPr>
        <w:sectPr>
          <w:pgSz w:w="11900" w:h="16838" w:orient="portrait"/>
          <w:cols w:equalWidth="0" w:num="1">
            <w:col w:w="11240"/>
          </w:cols>
          <w:pgMar w:left="320" w:top="12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540"/>
        <w:spacing w:after="0" w:line="263" w:lineRule="auto"/>
        <w:rPr>
          <w:sz w:val="20"/>
          <w:szCs w:val="20"/>
          <w:color w:val="auto"/>
        </w:rPr>
      </w:pPr>
      <w:r>
        <w:rPr>
          <w:rFonts w:ascii="Times New Roman" w:cs="Times New Roman" w:eastAsia="Times New Roman" w:hAnsi="Times New Roman"/>
          <w:sz w:val="20"/>
          <w:szCs w:val="20"/>
          <w:color w:val="auto"/>
        </w:rPr>
        <w:t>present value of any consideration, compensation or benefits to be paid to Executive under any other plan, arrangement or agreement which constitute “parachute payments” (collectively, the “Parachute Amount”) exceeds one dollar ($1.00) less than three times (3x) Executive’s “base amount”, as defined in Section 280G(b)(3) of the Code (the “Executive Base Amount”), then amounts constituting “parachute payments” which would otherwise be payable to or for the benefit of Executive shall be reduced to the extent necessary so that the Parachute Amount is equal to one dollar ($1.00) less than three times (3x) the Executive Base Amount (the “Reduced Amount”).</w:t>
      </w:r>
    </w:p>
    <w:p>
      <w:pPr>
        <w:spacing w:after="0" w:line="111" w:lineRule="exact"/>
        <w:rPr>
          <w:sz w:val="20"/>
          <w:szCs w:val="20"/>
          <w:color w:val="auto"/>
        </w:rPr>
      </w:pPr>
    </w:p>
    <w:p>
      <w:pPr>
        <w:jc w:val="both"/>
        <w:ind w:left="540" w:firstLine="612"/>
        <w:spacing w:after="0" w:line="260" w:lineRule="auto"/>
        <w:tabs>
          <w:tab w:leader="none" w:pos="183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determination made pursuant to clause (a) of this Section 5 results in a reduction of the payments that would otherwise be paid to Executive except for the application of clause (a) of this Section 5, the amounts payable or benefits to be provided to Executive shall be reduced such that the after-tax present value of compensation to be provided to Executive is minimized. In applying this principle, the reduction shall be made by applying the following principles, in order: (i) the payment or benefit with the higher ratio of the parachute payment value to present economic value (determined using reasonable actuarial assumptions) shall be reduced or eliminated before a payment or benefit with a lower ratio; (ii) the payment or benefit with the later possible payment date shall be reduced or eliminated before a payment or benefit with an earlier payment date; and (iii) cash payments shall be reduced prior to non-cash benefits; provided that if the foregoing order of reduction or elimination would violate Section 409A of the Code, then the reduction shall be made pro rata among the payments or benefits included in the Parachute Amount (on the basis of the relative present value of the parachute payments).</w:t>
      </w:r>
    </w:p>
    <w:p>
      <w:pPr>
        <w:spacing w:after="0" w:line="115" w:lineRule="exact"/>
        <w:rPr>
          <w:rFonts w:ascii="Times New Roman" w:cs="Times New Roman" w:eastAsia="Times New Roman" w:hAnsi="Times New Roman"/>
          <w:sz w:val="20"/>
          <w:szCs w:val="20"/>
          <w:color w:val="auto"/>
        </w:rPr>
      </w:pPr>
    </w:p>
    <w:p>
      <w:pPr>
        <w:jc w:val="both"/>
        <w:ind w:left="540" w:firstLine="612"/>
        <w:spacing w:after="0" w:line="260" w:lineRule="auto"/>
        <w:tabs>
          <w:tab w:leader="none" w:pos="18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uncertainty in the application of Section 280G of the Code at the time of a determination hereunder, it is possible that payments will be made by the Employer which should not have been made under clause (a) of this Section 5 (“Overpayment”) or that additional payments which are not made by the Employer pursuant to clause (a) of this Section 5 should have been made (“Underpayment”). In the event that there is a final determination by the Internal Revenue Service, or a final determination by a court of competent jurisdiction, that an Overpayment has been made, any such Overpayment shall be repaid by Executive to the Employer together with interest at the applicable Federal rate provided for in Section 7872(f)(2) of the Code. In the event that there is a final determination by the Internal Revenue Service, a final determination by a court of competent jurisdiction or a change in the provisions of the Code or regulations pursuant to which an Underpayment arises under this Plan, any such Underpayment shall be promptly paid by the Employer to or for the benefit of Executive, together with interest at the applicable Federal rate provided for in Section 7872(f)(2) of the Code.</w:t>
      </w:r>
    </w:p>
    <w:p>
      <w:pPr>
        <w:spacing w:after="0" w:line="115" w:lineRule="exact"/>
        <w:rPr>
          <w:sz w:val="20"/>
          <w:szCs w:val="20"/>
          <w:color w:val="auto"/>
        </w:rPr>
      </w:pPr>
    </w:p>
    <w:p>
      <w:pPr>
        <w:jc w:val="both"/>
        <w:ind w:firstLine="613"/>
        <w:spacing w:after="0" w:line="267"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Plan Administration</w:t>
      </w:r>
      <w:r>
        <w:rPr>
          <w:rFonts w:ascii="Times New Roman" w:cs="Times New Roman" w:eastAsia="Times New Roman" w:hAnsi="Times New Roman"/>
          <w:sz w:val="20"/>
          <w:szCs w:val="20"/>
          <w:color w:val="auto"/>
        </w:rPr>
        <w:t>. This Plan shall be administered by the Compensation Policy Committee of the Board. The Committee shall have the authority to interpret and implement the provisions of this Plan and to determine eligibility for benefits under the Plan, provided that any such action shall be taken in good faith. The Committee shall perform all of the duties and exercise all of the powers and discretion that the Committee deems necessary or appropriate for the proper administration of this Plan. Every interpretation, choice,</w:t>
      </w:r>
    </w:p>
    <w:p>
      <w:pPr>
        <w:sectPr>
          <w:pgSz w:w="11900" w:h="16838" w:orient="portrait"/>
          <w:cols w:equalWidth="0" w:num="1">
            <w:col w:w="11240"/>
          </w:cols>
          <w:pgMar w:left="320" w:top="12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determination or other exercise by the Committee in good faith of any power or discretion given either expressly or by implication to it shall be conclusive and binding upon all parties having or claiming to have an interest under this Plan or otherwise directly or indirectly affected by such action, without restriction, however, upon the right of the Committee to reconsider or redetermine such action. The Committee may adopt such rules and regulations for the administration of this Plan as are consistent with the terms hereof, and shall keep adequate records of its proceedings and acts. The Committee may employ such agents, accountants and legal counsel (who may be agents, accountants and legal counsel for an Employer) as may be appropriate for the administration of the Plan. All reasonable administration expenses incurred by the Committee in connection with the administration of the Plan shall be paid by the Employer.</w:t>
      </w:r>
    </w:p>
    <w:p>
      <w:pPr>
        <w:spacing w:after="0" w:line="115"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Claims Procedure</w:t>
      </w:r>
      <w:r>
        <w:rPr>
          <w:rFonts w:ascii="Times New Roman" w:cs="Times New Roman" w:eastAsia="Times New Roman" w:hAnsi="Times New Roman"/>
          <w:sz w:val="20"/>
          <w:szCs w:val="20"/>
          <w:color w:val="auto"/>
        </w:rPr>
        <w:t>. If any person (hereinafter called the “Claimant”) feels he or she is being denied a benefit to which he or she is entitled under this Plan, such Claimant may file a written claim for said benefit with the Chair of the Committee. Within 60 days of the receipt of such claim the Committee shall determine and notify the Claimant as to whether he or she is entitled to such benefit. Such notification shall be in writing and, if denying the claim for benefit, shall set forth the specific reason or reasons for the denial, make specific reference to the pertinent Plan provisions, and advise the Claimant that he or she may, within 60 days of the receipt of such notice, request in writing to appear before the Committee or its designated representative for a hearing to review such denial. Any such hearing shall be scheduled at the mutual convenience of the Committee or its designated representative and the Claimant, and at such hearing the Claimant and/or his or her duly authorized representative may examine any relevant documents and present evidence and arguments to support the granting of the benefit being claimed. The final decision of the Committee with respect to the claim being reviewed shall be made within 60 days following the hearing thereon, and the Committee shall in writing notify the Claimant of its final decision, again specifying the reasons therefor and the pertinent Plan provisions upon which such decision is based and all other information required by ERISA. The final decision of the Committee, if made in good faith, shall be conclusive and binding upon all parties having or claiming to have an interest in the matter being reviewed. A Claimant who substantially prevails on a claim brought pursuant to this Section 7 shall be entitled to reasonable attorney’s fees and expenses reasonably incurred in presenting the claim.</w:t>
      </w:r>
    </w:p>
    <w:p>
      <w:pPr>
        <w:spacing w:after="0" w:line="372"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Plan Amendment and Termination</w:t>
      </w:r>
      <w:r>
        <w:rPr>
          <w:rFonts w:ascii="Times New Roman" w:cs="Times New Roman" w:eastAsia="Times New Roman" w:hAnsi="Times New Roman"/>
          <w:sz w:val="20"/>
          <w:szCs w:val="20"/>
          <w:color w:val="auto"/>
        </w:rPr>
        <w:t>. The Company shall have the right and power at any time and from time to time to amend this Plan, in whole or in part, by written document executed by its duly authorized representative and at any time to terminate this Plan; provided, however, that no such amendment or termination shall be permitted after a definitive agreement that would effect a Change in Control has been entered into by the Company (or, if there is no such agreement, after the Change in Control occurs), other than amendments that do not adversely affect the rights of the Executives under the Plan. The Plan shall automatically terminate (other than with respect to benefits owed to Executives who previously experienced a Termination) two years and one day after the occurrence of the first Change in Control following the adoption of this Plan.</w:t>
      </w:r>
    </w:p>
    <w:p>
      <w:pPr>
        <w:sectPr>
          <w:pgSz w:w="11900" w:h="16838" w:orient="portrait"/>
          <w:cols w:equalWidth="0" w:num="1">
            <w:col w:w="11240"/>
          </w:cols>
          <w:pgMar w:left="320" w:top="12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Nature of Plan and Rights</w:t>
      </w:r>
      <w:r>
        <w:rPr>
          <w:rFonts w:ascii="Times New Roman" w:cs="Times New Roman" w:eastAsia="Times New Roman" w:hAnsi="Times New Roman"/>
          <w:sz w:val="20"/>
          <w:szCs w:val="20"/>
          <w:color w:val="auto"/>
        </w:rPr>
        <w:t>. This Plan is an unfunded employee welfare benefit plan and no provision of this Plan shall be deemed or construed to create a trust fund of any kind or to grant a property interest of any kind to any Executive or former Executive. Any payment which becomes due under this Plan to an Executive shall be made by his or her Employer out of its general assets, and the right of any Executive to receive a payment hereunder from his or her Employer shall be no greater than the right of any unsecured general creditor of such Employer.</w:t>
      </w:r>
    </w:p>
    <w:p>
      <w:pPr>
        <w:spacing w:after="0" w:line="105"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20"/>
          <w:szCs w:val="20"/>
          <w:u w:val="single" w:color="auto"/>
          <w:color w:val="auto"/>
        </w:rPr>
        <w:t>Entire Agreement; No Employment Contract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540" w:firstLine="612"/>
        <w:spacing w:after="0" w:line="270" w:lineRule="auto"/>
        <w:tabs>
          <w:tab w:leader="none" w:pos="18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Plan constitutes the entire agreement between the parties and, except as expressly provided herein, supersedes the provisions of all other prior agreements expressly concerning the effect of a Termination of Employment in connection with or following a Change in Control on the relationship between the Company and its Affiliates and Executive (but, not, for the avoidance of doubt, any equity-related plan or agreement or any tax-qualified or nonqualified retirement plan).</w:t>
      </w:r>
    </w:p>
    <w:p>
      <w:pPr>
        <w:spacing w:after="0" w:line="102" w:lineRule="exact"/>
        <w:rPr>
          <w:rFonts w:ascii="Times New Roman" w:cs="Times New Roman" w:eastAsia="Times New Roman" w:hAnsi="Times New Roman"/>
          <w:sz w:val="20"/>
          <w:szCs w:val="20"/>
          <w:color w:val="auto"/>
        </w:rPr>
      </w:pPr>
    </w:p>
    <w:p>
      <w:pPr>
        <w:jc w:val="both"/>
        <w:ind w:left="540" w:firstLine="612"/>
        <w:spacing w:after="0" w:line="272" w:lineRule="auto"/>
        <w:tabs>
          <w:tab w:leader="none" w:pos="183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Plan does not constitute an employment contract and, except as expressly provided herein, this Plan shall not interfere in any way with the right of the Company to reduce Executive’s compensation or other benefits or terminate Executive’s employment, with or without Cause.</w:t>
      </w:r>
    </w:p>
    <w:p>
      <w:pPr>
        <w:spacing w:after="0" w:line="100" w:lineRule="exact"/>
        <w:rPr>
          <w:sz w:val="20"/>
          <w:szCs w:val="20"/>
          <w:color w:val="auto"/>
        </w:rPr>
      </w:pPr>
    </w:p>
    <w:p>
      <w:pPr>
        <w:jc w:val="both"/>
        <w:ind w:firstLine="613"/>
        <w:spacing w:after="0" w:line="278"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Notices and all other communications provided for in this Plan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to the Company or the Committee:</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7812 Palm Parkway</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Orlando, Florida 32836</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Attn: Human Resources Department</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With a copy to:</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7812 Palm Parkway</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Orlando, Florida 32836</w:t>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Attn: Law Department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to Executive, at Executive’s most recent home address on file in the Company’s employment records.</w:t>
      </w:r>
    </w:p>
    <w:p>
      <w:pPr>
        <w:spacing w:after="0" w:line="166" w:lineRule="exact"/>
        <w:rPr>
          <w:sz w:val="20"/>
          <w:szCs w:val="20"/>
          <w:color w:val="auto"/>
        </w:rPr>
      </w:pPr>
    </w:p>
    <w:p>
      <w:pPr>
        <w:jc w:val="both"/>
        <w:ind w:firstLine="613"/>
        <w:spacing w:after="0" w:line="270"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payments and benefits hereunder are intended to be excluded from coverage under Section 409A of the Code as “short-term deferrals” or pursuant to another exception under Section 409A of the Code, and the Plan shall be interpreted accordingly. Notwithstanding the foregoing, if the Company reasonably determines that some or all of the payments and benefits provided by Section 2(b) are not exempt from Section 409A of the Code,</w:t>
      </w:r>
    </w:p>
    <w:p>
      <w:pPr>
        <w:sectPr>
          <w:pgSz w:w="11900" w:h="16838" w:orient="portrait"/>
          <w:cols w:equalWidth="0" w:num="1">
            <w:col w:w="11240"/>
          </w:cols>
          <w:pgMar w:left="320" w:top="12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and if the Executive is a “specified employee” within the meaning of Section 409A of the Code at the time of the Executive’s Termination, then to the extent necessary to comply with Section 409A of the Code, such payments or benefits will not be paid or provided until the first day of the seventh month following the month of the Executive’s Termination (or if earlier, promptly following the Executive’s death).</w:t>
      </w:r>
    </w:p>
    <w:p>
      <w:pPr>
        <w:spacing w:after="0" w:line="349" w:lineRule="exact"/>
        <w:rPr>
          <w:sz w:val="20"/>
          <w:szCs w:val="20"/>
          <w:color w:val="auto"/>
        </w:rPr>
      </w:pPr>
    </w:p>
    <w:p>
      <w:pPr>
        <w:jc w:val="both"/>
        <w:ind w:firstLine="613"/>
        <w:spacing w:after="0" w:line="272"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Spendthrift Provision</w:t>
      </w:r>
      <w:r>
        <w:rPr>
          <w:rFonts w:ascii="Times New Roman" w:cs="Times New Roman" w:eastAsia="Times New Roman" w:hAnsi="Times New Roman"/>
          <w:sz w:val="20"/>
          <w:szCs w:val="20"/>
          <w:color w:val="auto"/>
        </w:rPr>
        <w:t>. No right or interest of an Executive under this Plan may be assigned, transferred or alienated, in whole or in part, either directly or by operation of law, and no such right or interest shall be liable for or subject to any debt, obligation or liability of such Executive.</w:t>
      </w:r>
    </w:p>
    <w:p>
      <w:pPr>
        <w:spacing w:after="0" w:line="100" w:lineRule="exact"/>
        <w:rPr>
          <w:sz w:val="20"/>
          <w:szCs w:val="20"/>
          <w:color w:val="auto"/>
        </w:rPr>
      </w:pPr>
    </w:p>
    <w:p>
      <w:pPr>
        <w:jc w:val="both"/>
        <w:ind w:firstLine="613"/>
        <w:spacing w:after="0" w:line="304"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Except to the extent preempted by federal law, this Plan shall be governed and construed in accordance with the laws of the State of Delaware, without regard to principles of conflicts of laws.</w:t>
      </w:r>
    </w:p>
    <w:p>
      <w:pPr>
        <w:sectPr>
          <w:pgSz w:w="11900" w:h="16838" w:orient="portrait"/>
          <w:cols w:equalWidth="0" w:num="1">
            <w:col w:w="11240"/>
          </w:cols>
          <w:pgMar w:left="320" w:top="12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u w:val="single" w:color="auto"/>
          <w:color w:val="auto"/>
        </w:rPr>
        <w:t>Acknowledgment of Plan Participant</w:t>
      </w:r>
    </w:p>
    <w:p>
      <w:pPr>
        <w:spacing w:after="0" w:line="23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By signing below, I acknowledge that I have read, understand, and agree to abide by, and be bound by, all of the terms and conditions contained herein.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Printed Name of Plan Participant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Plan Participant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Signature of Plan Participant</w:t>
      </w:r>
    </w:p>
    <w:p>
      <w:pPr>
        <w:sectPr>
          <w:pgSz w:w="11900" w:h="16838" w:orient="portrait"/>
          <w:cols w:equalWidth="0" w:num="1">
            <w:col w:w="11240"/>
          </w:cols>
          <w:pgMar w:left="320" w:top="12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POSITIONS COVERED BY THE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Exchange &amp; Third-Party Management</w:t>
      </w:r>
    </w:p>
    <w:p>
      <w:pPr>
        <w:spacing w:after="0"/>
        <w:rPr>
          <w:sz w:val="20"/>
          <w:szCs w:val="20"/>
          <w:color w:val="auto"/>
        </w:rPr>
      </w:pPr>
      <w:r>
        <w:rPr>
          <w:rFonts w:ascii="Times New Roman" w:cs="Times New Roman" w:eastAsia="Times New Roman" w:hAnsi="Times New Roman"/>
          <w:sz w:val="20"/>
          <w:szCs w:val="20"/>
          <w:color w:val="auto"/>
        </w:rPr>
        <w:t>President, Vacation Ownership</w:t>
      </w:r>
    </w:p>
    <w:p>
      <w:pPr>
        <w:spacing w:after="0" w:line="226" w:lineRule="auto"/>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Vice President and General Counsel</w:t>
      </w:r>
    </w:p>
    <w:p>
      <w:pPr>
        <w:spacing w:after="0"/>
        <w:rPr>
          <w:sz w:val="20"/>
          <w:szCs w:val="20"/>
          <w:color w:val="auto"/>
        </w:rPr>
      </w:pPr>
      <w:r>
        <w:rPr>
          <w:rFonts w:ascii="Times New Roman" w:cs="Times New Roman" w:eastAsia="Times New Roman" w:hAnsi="Times New Roman"/>
          <w:sz w:val="20"/>
          <w:szCs w:val="20"/>
          <w:color w:val="auto"/>
        </w:rPr>
        <w:t>Executive Vice President and Chief Human Resources &amp; Global Communications Officer</w:t>
      </w:r>
    </w:p>
    <w:p>
      <w:pPr>
        <w:spacing w:after="0"/>
        <w:rPr>
          <w:sz w:val="20"/>
          <w:szCs w:val="20"/>
          <w:color w:val="auto"/>
        </w:rPr>
      </w:pPr>
      <w:r>
        <w:rPr>
          <w:rFonts w:ascii="Times New Roman" w:cs="Times New Roman" w:eastAsia="Times New Roman" w:hAnsi="Times New Roman"/>
          <w:sz w:val="20"/>
          <w:szCs w:val="20"/>
          <w:color w:val="auto"/>
        </w:rPr>
        <w:t>Executive Vice President and Chief Information Officer</w:t>
      </w:r>
    </w:p>
    <w:p>
      <w:pPr>
        <w:spacing w:after="0"/>
        <w:rPr>
          <w:sz w:val="20"/>
          <w:szCs w:val="20"/>
          <w:color w:val="auto"/>
        </w:rPr>
      </w:pPr>
      <w:r>
        <w:rPr>
          <w:rFonts w:ascii="Times New Roman" w:cs="Times New Roman" w:eastAsia="Times New Roman" w:hAnsi="Times New Roman"/>
          <w:sz w:val="20"/>
          <w:szCs w:val="20"/>
          <w:color w:val="auto"/>
        </w:rPr>
        <w:t>Executive Vice President and Chief Membership and Commercial Services Officer</w:t>
      </w:r>
    </w:p>
    <w:p>
      <w:pPr>
        <w:spacing w:after="0"/>
        <w:rPr>
          <w:sz w:val="20"/>
          <w:szCs w:val="20"/>
          <w:color w:val="auto"/>
        </w:rPr>
      </w:pPr>
      <w:r>
        <w:rPr>
          <w:rFonts w:ascii="Times New Roman" w:cs="Times New Roman" w:eastAsia="Times New Roman" w:hAnsi="Times New Roman"/>
          <w:sz w:val="20"/>
          <w:szCs w:val="20"/>
          <w:color w:val="auto"/>
        </w:rPr>
        <w:t>Executive Vice President and Chief Operating Officer – Hyatt Vacation Ownership</w:t>
      </w:r>
    </w:p>
    <w:p>
      <w:pPr>
        <w:spacing w:after="0"/>
        <w:rPr>
          <w:sz w:val="20"/>
          <w:szCs w:val="20"/>
          <w:color w:val="auto"/>
        </w:rPr>
      </w:pPr>
      <w:r>
        <w:rPr>
          <w:rFonts w:ascii="Times New Roman" w:cs="Times New Roman" w:eastAsia="Times New Roman" w:hAnsi="Times New Roman"/>
          <w:sz w:val="20"/>
          <w:szCs w:val="20"/>
          <w:color w:val="auto"/>
        </w:rPr>
        <w:t>Executive Vice President and Managing Director, Interval International</w:t>
      </w:r>
    </w:p>
    <w:p>
      <w:pPr>
        <w:spacing w:after="0"/>
        <w:rPr>
          <w:sz w:val="20"/>
          <w:szCs w:val="20"/>
          <w:color w:val="auto"/>
        </w:rPr>
      </w:pPr>
      <w:r>
        <w:rPr>
          <w:rFonts w:ascii="Times New Roman" w:cs="Times New Roman" w:eastAsia="Times New Roman" w:hAnsi="Times New Roman"/>
          <w:sz w:val="20"/>
          <w:szCs w:val="20"/>
          <w:color w:val="auto"/>
        </w:rPr>
        <w:t>Executive Vice President and Chief Marketing &amp; Sales Officer</w:t>
      </w:r>
    </w:p>
    <w:p>
      <w:pPr>
        <w:spacing w:after="0"/>
        <w:rPr>
          <w:sz w:val="20"/>
          <w:szCs w:val="20"/>
          <w:color w:val="auto"/>
        </w:rPr>
      </w:pPr>
      <w:r>
        <w:rPr>
          <w:rFonts w:ascii="Times New Roman" w:cs="Times New Roman" w:eastAsia="Times New Roman" w:hAnsi="Times New Roman"/>
          <w:sz w:val="20"/>
          <w:szCs w:val="20"/>
          <w:color w:val="auto"/>
        </w:rPr>
        <w:t>Senior Vice President, Chief Accounting Officer and Corporate Controller</w:t>
      </w:r>
    </w:p>
    <w:p>
      <w:pPr>
        <w:sectPr>
          <w:pgSz w:w="11900" w:h="16838" w:orient="portrait"/>
          <w:cols w:equalWidth="0" w:num="1">
            <w:col w:w="11240"/>
          </w:cols>
          <w:pgMar w:left="320" w:top="12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SAMPLE WAIVER AND RELEASE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and in consideration of the payments and other benefits due to ______________(“Executive”) pursuant to the Marriott Vacations</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Worldwide Corporation Change in Control Severance Plan (the “Plan”), and for other good and valuable consideration, Executive hereby agrees, for Executive, Executive’s spouse and child or children (if any), Executive’s heirs, beneficiaries, devisees, executors, administrators, attorneys, personal representatives, successors and assigns, to forever waive and release all known and unknown claims and causes of action, arising on or before the date of Executive's execution of this Waiver and Release, against Marriott Vacations Worldwide Corporation (the “Company”) or any of its divisions, affiliates, subsidiaries, parents, branches, predecessors, successors, assigns, and with respect to such entities, their officers, directors, trustees, employees, agents, shareholders, administrators, general or limited partners, representatives, attorneys, insurers and fiduciaries, past, present and future (the “Released Parties”), including, but not limited to, all such claims and causes of action which in any way pertain to Executive’s employment with and/or termination of employment from the Company, all allegations of employment discrimination, harassment, retaliation, and whistleblower retaliation, and/or all other occurrences whatsoever, including but not limited to the Age Discrimination in Employment Act, Title VII of the Civil Rights Act of 1964, as amended, 42 U.S.C. Section 2000e et. seq., the Fair Labor Standards Act, as amended, 29 U.S.C. Section 201 et seq., the Americans with Disabilities Act, as amended, 42 U.S.C. Section 12101 et seq., the Reconstruction Era Civil Rights Act, as amended, 42 U.S.C. Section 1981 et seq., the Rehabilitation Act of 1973, as amended, 29 U.S.C. Section 701 et seq., the Family and Medical Leave Act of 1993, 29 U.S.C. Section 2601 et seq., the Employee Retirement Income Security Act, 29 U.S.C. 1001 et seq., the Genetic Information Non-Discrimination Act, 42 U.S.C. Section 2000ff et seq., the False Claims Act, 31 U.S.C Section 3729 et seq.; and any and all state or local laws regarding employment discrimination, harassment, retaliation, and whistleblower retaliation and/or federal, state or local laws and common laws of any type or description regarding employment, including but not limited to any claims arising from or derivative of Executive’s employment with the Company and its Affiliates, as well as any and all such claims under state contract, tort, or common law.</w:t>
      </w:r>
    </w:p>
    <w:p>
      <w:pPr>
        <w:spacing w:after="0" w:line="200" w:lineRule="exact"/>
        <w:rPr>
          <w:sz w:val="20"/>
          <w:szCs w:val="20"/>
          <w:color w:val="auto"/>
        </w:rPr>
      </w:pPr>
    </w:p>
    <w:p>
      <w:pPr>
        <w:spacing w:after="0" w:line="212" w:lineRule="exact"/>
        <w:rPr>
          <w:sz w:val="20"/>
          <w:szCs w:val="20"/>
          <w:color w:val="auto"/>
        </w:rPr>
      </w:pPr>
    </w:p>
    <w:p>
      <w:pPr>
        <w:jc w:val="both"/>
        <w:ind w:firstLine="613"/>
        <w:spacing w:after="0" w:line="243" w:lineRule="auto"/>
        <w:rPr>
          <w:sz w:val="20"/>
          <w:szCs w:val="20"/>
          <w:color w:val="auto"/>
        </w:rPr>
      </w:pPr>
      <w:r>
        <w:rPr>
          <w:rFonts w:ascii="Times New Roman" w:cs="Times New Roman" w:eastAsia="Times New Roman" w:hAnsi="Times New Roman"/>
          <w:sz w:val="20"/>
          <w:szCs w:val="20"/>
          <w:color w:val="auto"/>
        </w:rPr>
        <w:t>Executive also hereby agrees to comply with all reasonable requests from the Company or the Released Parties for assistance and/or information in connection with any matters relating to the duties and responsibilities of Executive's employment, including without limitation, consulting with any employees in connection with the transition of ongoing matters; consulting with attorneys of the Company or any Released Parties; appearing as a witness in connection with any dispute, controversy, action, or proceeding of any kind; and making himself/herself available to attorneys of the Company or any Released Parties in advance of witness appearances for purposes of preparation upon the request of the Company or the Released Parties and with reasonable advance notification without the need for a subpoena. In connection with any of Executive’s cooperation efforts, Executive shall be entitled to receive reimbursement of actual and proven lost wages and reasonable travel and other out-of-pocket expenses, provided that those expenses are submitted pursuant to and are in conformance with the Company’s then-applicable policy relating to expense reimbursement</w:t>
      </w:r>
    </w:p>
    <w:p>
      <w:pPr>
        <w:sectPr>
          <w:pgSz w:w="11900" w:h="16838" w:orient="portrait"/>
          <w:cols w:equalWidth="0" w:num="1">
            <w:col w:w="11240"/>
          </w:cols>
          <w:pgMar w:left="320" w:top="12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Executive has read this Waiver and Release carefully, acknowledges that Executive has been given at least forty-five (45) days to consider all of its terms and has been advised to consult with an attorney and any other advisors of Executive’s choice prior to executing this Waiver and Release, and Executive fully understands that by signing below Executive is voluntarily giving up any right which Executive may have to sue or bring any other claims against the Released Parties, including any rights and claims under the Age Discrimination in Employment Act. Executive also understands that Executive has a period of seven (7) days after signing this Waiver and Release within which to revoke his or her agreement, and that neither the Company nor any other person is obligated to make any payments or provide any other benefits to Executive pursuant to the Plan until eight (8) days have passed since Executive’s signing of this Waiver and Release without Executive’s signature having been revoked other than any accrued obligations or other benefits payable pursuant to the terms of the Company’s normal payroll practices or employee benefit plans. Finally, Executive has not been forced or pressured in any manner whatsoever to sign this Waiver and Release, and Executive agrees to all of its terms voluntarily.</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Notwithstanding anything else herein to the contrary, this Waiver and Release shall not affect: (i) the Company’s obligations under any compensation or employee benefit plan, program or arrangement (including, without limitation, obligations to Executive under any stock option, stock award or agreements or obligations under any pension, deferred compensation or retention plan) provided by the Affiliated Entities where Executive’s compensation or benefits are intended to continue or Executive is to be provided with compensation or benefits, in accordance with the express written terms of such plan, program or arrangement, beyond the date of Executive’s termination; or (ii) rights to indemnification or liability insurance coverage Executive may have under the by-laws of the Company or applicable law.</w:t>
      </w:r>
    </w:p>
    <w:p>
      <w:pPr>
        <w:spacing w:after="0" w:line="190" w:lineRule="exact"/>
        <w:rPr>
          <w:sz w:val="20"/>
          <w:szCs w:val="20"/>
          <w:color w:val="auto"/>
        </w:rPr>
      </w:pPr>
    </w:p>
    <w:p>
      <w:pPr>
        <w:jc w:val="both"/>
        <w:ind w:firstLine="613"/>
        <w:spacing w:after="0" w:line="248" w:lineRule="auto"/>
        <w:rPr>
          <w:sz w:val="20"/>
          <w:szCs w:val="20"/>
          <w:color w:val="auto"/>
        </w:rPr>
      </w:pPr>
      <w:r>
        <w:rPr>
          <w:rFonts w:ascii="Times New Roman" w:cs="Times New Roman" w:eastAsia="Times New Roman" w:hAnsi="Times New Roman"/>
          <w:sz w:val="20"/>
          <w:szCs w:val="20"/>
          <w:color w:val="auto"/>
        </w:rPr>
        <w:t>In addition, excluded from this Waiver and Release are any claims which by law cannot be waived, including but not limited to the right to file a charge with or participate in an investigation by the Equal Employment Opportunity Commission ("EEOC"). Executive does, however, hereby waive all rights to recover any money, benefits or reinstatement should the EEOC or any other agency or individual pursue any claims on Executive's behalf.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Waiver and Release is final and binding and may not be changed or modified except in a writing signed by both parties.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 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Executive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 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CEO</w:t>
      </w:r>
    </w:p>
    <w:p>
      <w:pPr>
        <w:ind w:left="3060"/>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ectPr>
          <w:pgSz w:w="11900" w:h="16838" w:orient="portrait"/>
          <w:cols w:equalWidth="0" w:num="1">
            <w:col w:w="11240"/>
          </w:cols>
          <w:pgMar w:left="320" w:top="127" w:right="339" w:bottom="1440" w:gutter="0" w:footer="0" w:header="0"/>
        </w:sectPr>
      </w:pPr>
    </w:p>
    <w:bookmarkStart w:id="153" w:name="page154"/>
    <w:bookmarkEnd w:id="153"/>
    <w:p>
      <w:pPr>
        <w:ind w:left="10080"/>
        <w:spacing w:after="0"/>
        <w:rPr>
          <w:sz w:val="20"/>
          <w:szCs w:val="20"/>
          <w:color w:val="auto"/>
        </w:rPr>
      </w:pPr>
      <w:r>
        <w:rPr>
          <w:rFonts w:ascii="Times New Roman" w:cs="Times New Roman" w:eastAsia="Times New Roman" w:hAnsi="Times New Roman"/>
          <w:sz w:val="20"/>
          <w:szCs w:val="20"/>
          <w:b w:val="1"/>
          <w:bCs w:val="1"/>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EMPLOYMENT AGREEMENT</w:t>
      </w:r>
    </w:p>
    <w:p>
      <w:pPr>
        <w:spacing w:after="0" w:line="133" w:lineRule="exact"/>
        <w:rPr>
          <w:sz w:val="20"/>
          <w:szCs w:val="20"/>
          <w:color w:val="auto"/>
        </w:rPr>
      </w:pPr>
    </w:p>
    <w:p>
      <w:pPr>
        <w:jc w:val="both"/>
        <w:ind w:firstLine="613"/>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THIS AMENDED AND RESTATED EMPLOYMENT AGREEMENT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entered into by and between Jeanette 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Marbert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Marriott Vacations Worldwide Corporation,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as of August __ , 2020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Executive previously entered into that certain Amended and Restated Employment Agreement between the Executive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ILG, Inc. (f/k/a Interval Leisure Group, Inc.) (“</w:t>
      </w:r>
      <w:r>
        <w:rPr>
          <w:rFonts w:ascii="Times New Roman" w:cs="Times New Roman" w:eastAsia="Times New Roman" w:hAnsi="Times New Roman"/>
          <w:sz w:val="19"/>
          <w:szCs w:val="19"/>
          <w:b w:val="1"/>
          <w:bCs w:val="1"/>
          <w:i w:val="1"/>
          <w:iCs w:val="1"/>
          <w:color w:val="auto"/>
        </w:rPr>
        <w:t>ILG</w:t>
      </w:r>
      <w:r>
        <w:rPr>
          <w:rFonts w:ascii="Times New Roman" w:cs="Times New Roman" w:eastAsia="Times New Roman" w:hAnsi="Times New Roman"/>
          <w:sz w:val="19"/>
          <w:szCs w:val="19"/>
          <w:color w:val="auto"/>
        </w:rPr>
        <w:t>”), dated as of March 24, 2017, as further amended by that certain amendment dated as of November 1, 2017 between the Executive and the ILG (the “</w:t>
      </w:r>
      <w:r>
        <w:rPr>
          <w:rFonts w:ascii="Times New Roman" w:cs="Times New Roman" w:eastAsia="Times New Roman" w:hAnsi="Times New Roman"/>
          <w:sz w:val="19"/>
          <w:szCs w:val="19"/>
          <w:b w:val="1"/>
          <w:bCs w:val="1"/>
          <w:i w:val="1"/>
          <w:iCs w:val="1"/>
          <w:color w:val="auto"/>
        </w:rPr>
        <w:t>Original Employment Agreement</w:t>
      </w:r>
      <w:r>
        <w:rPr>
          <w:rFonts w:ascii="Times New Roman" w:cs="Times New Roman" w:eastAsia="Times New Roman" w:hAnsi="Times New Roman"/>
          <w:sz w:val="19"/>
          <w:szCs w:val="19"/>
          <w:color w:val="auto"/>
        </w:rPr>
        <w:t>”);</w:t>
      </w:r>
    </w:p>
    <w:p>
      <w:pPr>
        <w:spacing w:after="0" w:line="118"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Original Employment Agreement was assumed by the Company in connection with the Company’s acquisition of ILG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that certain Agreement and Plan of Merger, dated as of April 30, 2018, by and among the Company, ILG, Ignite Holdco, Inc., a Delaware corporation and wholly-owned direct subsidiary of ILG (“</w:t>
      </w:r>
      <w:r>
        <w:rPr>
          <w:rFonts w:ascii="Times New Roman" w:cs="Times New Roman" w:eastAsia="Times New Roman" w:hAnsi="Times New Roman"/>
          <w:sz w:val="19"/>
          <w:szCs w:val="19"/>
          <w:b w:val="1"/>
          <w:bCs w:val="1"/>
          <w:i w:val="1"/>
          <w:iCs w:val="1"/>
          <w:color w:val="auto"/>
        </w:rPr>
        <w:t>Holdco</w:t>
      </w:r>
      <w:r>
        <w:rPr>
          <w:rFonts w:ascii="Times New Roman" w:cs="Times New Roman" w:eastAsia="Times New Roman" w:hAnsi="Times New Roman"/>
          <w:sz w:val="19"/>
          <w:szCs w:val="19"/>
          <w:color w:val="auto"/>
        </w:rPr>
        <w:t>”), Ignite Holdco Subsidiary, Inc., a Delaware corporation and wholly-owned direct subsidiary of Holdco, Volt Merger Sub, Inc., a Delaware corporation and wholly-owned direct subsidiary of the Company, and Volt Merger Sub, LLC, a Delaware limited liability company and wholly-owned direct subsidiary of the Company (the “</w:t>
      </w:r>
      <w:r>
        <w:rPr>
          <w:rFonts w:ascii="Times New Roman" w:cs="Times New Roman" w:eastAsia="Times New Roman" w:hAnsi="Times New Roman"/>
          <w:sz w:val="19"/>
          <w:szCs w:val="19"/>
          <w:b w:val="1"/>
          <w:bCs w:val="1"/>
          <w:i w:val="1"/>
          <w:iCs w:val="1"/>
          <w:color w:val="auto"/>
        </w:rPr>
        <w:t>Merger Agreement</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enter into this Agreement and to continue to employ Executive and Executive desires to enter into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and to accept such continued employment, subject to the terms and provisions of this Agreement; and</w:t>
      </w:r>
    </w:p>
    <w:p>
      <w:pPr>
        <w:spacing w:after="0" w:line="111" w:lineRule="exact"/>
        <w:rPr>
          <w:sz w:val="20"/>
          <w:szCs w:val="20"/>
          <w:color w:val="auto"/>
        </w:rPr>
      </w:pPr>
    </w:p>
    <w:p>
      <w:pPr>
        <w:jc w:val="both"/>
        <w:ind w:firstLine="613"/>
        <w:spacing w:after="0" w:line="283"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upon the parties’ mutual execution of this Agreement, the Original Employment Agreement will be superseded in its entirety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this Agreement and will terminate and be of no further force or effect.</w:t>
      </w:r>
    </w:p>
    <w:p>
      <w:pPr>
        <w:spacing w:after="0" w:line="85" w:lineRule="exact"/>
        <w:rPr>
          <w:sz w:val="20"/>
          <w:szCs w:val="20"/>
          <w:color w:val="auto"/>
        </w:rPr>
      </w:pPr>
    </w:p>
    <w:p>
      <w:pPr>
        <w:jc w:val="both"/>
        <w:ind w:firstLine="613"/>
        <w:spacing w:after="0" w:line="283"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agreements hereinafter set forth, Executive and the Company have agreed and do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hereby agree as follows:</w:t>
      </w:r>
    </w:p>
    <w:p>
      <w:pPr>
        <w:spacing w:after="0" w:line="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1A. </w:t>
      </w:r>
      <w:r>
        <w:rPr>
          <w:rFonts w:ascii="Times New Roman" w:cs="Times New Roman" w:eastAsia="Times New Roman" w:hAnsi="Times New Roman"/>
          <w:sz w:val="19"/>
          <w:szCs w:val="19"/>
          <w:u w:val="single" w:color="auto"/>
          <w:color w:val="auto"/>
        </w:rPr>
        <w:t>EMPLOYMENT</w:t>
      </w:r>
      <w:r>
        <w:rPr>
          <w:rFonts w:ascii="Times New Roman" w:cs="Times New Roman" w:eastAsia="Times New Roman" w:hAnsi="Times New Roman"/>
          <w:sz w:val="19"/>
          <w:szCs w:val="19"/>
          <w:color w:val="auto"/>
        </w:rPr>
        <w:t>. During the Term (as defined below), the Company shall employ Executive, and Executive shall be employed, as the President of Exchange and Third-Party Management of the Company. During Executive’s employment with the Company, Executive shall do and perform all services and acts necessary or advisable to fulfill the duties and responsibilities as are commensurate and consistent with Executive’s position and shall render such services on the terms set forth herein. During Executive’s employment with the Company, Executive shall report directly to the Chief Executive Officer of the Company (the “</w:t>
      </w:r>
      <w:r>
        <w:rPr>
          <w:rFonts w:ascii="Times New Roman" w:cs="Times New Roman" w:eastAsia="Times New Roman" w:hAnsi="Times New Roman"/>
          <w:sz w:val="19"/>
          <w:szCs w:val="19"/>
          <w:b w:val="1"/>
          <w:bCs w:val="1"/>
          <w:i w:val="1"/>
          <w:iCs w:val="1"/>
          <w:color w:val="auto"/>
        </w:rPr>
        <w:t>CEO</w:t>
      </w:r>
      <w:r>
        <w:rPr>
          <w:rFonts w:ascii="Times New Roman" w:cs="Times New Roman" w:eastAsia="Times New Roman" w:hAnsi="Times New Roman"/>
          <w:sz w:val="19"/>
          <w:szCs w:val="19"/>
          <w:color w:val="auto"/>
        </w:rPr>
        <w:t>”). Executive shall have such powers and duties with respect to the Company as may reasonably be assigned to Executive by the CEO, to the extent consistent with Executive’s position. Executive agrees to devote all of Executive’s working time, attention and efforts to the Company and to perform the duties of Executive’s position in accordance with the Company’s policies as in effect from time to time. Executive may (i) serve as a director or member of a committee or organization involving no actual or potential conflict of interest with the Company and its Affiliates; (ii) deliver lectures and fulfill speaking engagements; (iii) engage in charitable and community activities;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23" w:right="339" w:bottom="1440" w:gutter="0" w:footer="0" w:header="0"/>
        </w:sectPr>
      </w:pPr>
    </w:p>
    <w:bookmarkStart w:id="154" w:name="page155"/>
    <w:bookmarkEnd w:id="154"/>
    <w:p>
      <w:pPr>
        <w:spacing w:after="0" w:line="289" w:lineRule="exact"/>
        <w:rPr>
          <w:sz w:val="20"/>
          <w:szCs w:val="20"/>
          <w:color w:val="auto"/>
        </w:rPr>
      </w:pPr>
    </w:p>
    <w:p>
      <w:pPr>
        <w:jc w:val="both"/>
        <w:ind w:firstLine="2"/>
        <w:spacing w:after="0" w:line="256" w:lineRule="auto"/>
        <w:tabs>
          <w:tab w:leader="none" w:pos="31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 her personal assets in such form or manner that will not violate this Agreement or require services on the part of Executive in the operation or affairs of the companies in which those investments are made; provided the activities described in clauses (i), (ii), (iii) or (iv) do not materially affect or interfere with the performance of Executive’s duties and obligations to the Company or conflict with such policies as may be adopted from time to time by the Board. Executive’s principal place of employment shall be the Company’s offices located in Miami, Florida.</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2A.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term of this Agreement shall begin on the Effective Date and shall continue until such time as (i) Executive provides the Company not less than sixty (60) days’ written notice of her intent to separate from the Company pursuant to Section 1(c) of the Standard Terms and Conditions; or (ii) either party terminates this Agreement in accordance with Section 1 of the Standard Terms and Conditions (the “</w:t>
      </w:r>
      <w:r>
        <w:rPr>
          <w:rFonts w:ascii="Times New Roman" w:cs="Times New Roman" w:eastAsia="Times New Roman" w:hAnsi="Times New Roman"/>
          <w:sz w:val="19"/>
          <w:szCs w:val="19"/>
          <w:b w:val="1"/>
          <w:bCs w:val="1"/>
          <w:i w:val="1"/>
          <w:iCs w:val="1"/>
          <w:color w:val="auto"/>
        </w:rPr>
        <w:t>Term</w:t>
      </w:r>
      <w:r>
        <w:rPr>
          <w:rFonts w:ascii="Times New Roman" w:cs="Times New Roman" w:eastAsia="Times New Roman" w:hAnsi="Times New Roman"/>
          <w:sz w:val="19"/>
          <w:szCs w:val="19"/>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Notwithstanding the termination of the Term, certain terms and conditions herein may specify a greater period of effectiveness.</w:t>
      </w:r>
    </w:p>
    <w:p>
      <w:pPr>
        <w:spacing w:after="0" w:line="1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color w:val="auto"/>
        </w:rPr>
        <w:t>3A.</w:t>
      </w:r>
      <w:r>
        <w:rPr>
          <w:sz w:val="20"/>
          <w:szCs w:val="20"/>
          <w:color w:val="auto"/>
        </w:rPr>
        <w:tab/>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both"/>
        <w:ind w:firstLine="1229"/>
        <w:spacing w:after="0" w:line="257" w:lineRule="auto"/>
        <w:tabs>
          <w:tab w:leader="none" w:pos="1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During the Term, the Company shall pay Executive an annual base salary of $510,000 (the “</w:t>
      </w:r>
      <w:r>
        <w:rPr>
          <w:rFonts w:ascii="Times New Roman" w:cs="Times New Roman" w:eastAsia="Times New Roman" w:hAnsi="Times New Roman"/>
          <w:sz w:val="19"/>
          <w:szCs w:val="19"/>
          <w:b w:val="1"/>
          <w:bCs w:val="1"/>
          <w:i w:val="1"/>
          <w:iCs w:val="1"/>
          <w:color w:val="auto"/>
        </w:rPr>
        <w:t>Base Salary</w:t>
      </w:r>
      <w:r>
        <w:rPr>
          <w:rFonts w:ascii="Times New Roman" w:cs="Times New Roman" w:eastAsia="Times New Roman" w:hAnsi="Times New Roman"/>
          <w:sz w:val="19"/>
          <w:szCs w:val="19"/>
          <w:color w:val="auto"/>
        </w:rPr>
        <w:t>”), payable in equal biweekly installments (or, if different, in accordance with the Company’s payroll practice as in effect from time to time). During the Term, the Base Salary will be reviewed annually and is subject to adjustment at the discretion of the Board, but in no event shall the Company pay Executive a Base Salary less than that set forth above during the period that Executive is employed with the Company. For all purposes under this Agreement, the term “Base Salary” shall refer to the Base Salary as in effect from time to time.</w:t>
      </w:r>
    </w:p>
    <w:p>
      <w:pPr>
        <w:spacing w:after="0" w:line="62" w:lineRule="exact"/>
        <w:rPr>
          <w:rFonts w:ascii="Times New Roman" w:cs="Times New Roman" w:eastAsia="Times New Roman" w:hAnsi="Times New Roman"/>
          <w:sz w:val="19"/>
          <w:szCs w:val="19"/>
          <w:color w:val="auto"/>
        </w:rPr>
      </w:pPr>
    </w:p>
    <w:p>
      <w:pPr>
        <w:ind w:left="1640" w:hanging="411"/>
        <w:spacing w:after="0"/>
        <w:tabs>
          <w:tab w:leader="none" w:pos="164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INCENTIVE COMPENSATION</w:t>
      </w:r>
      <w:r>
        <w:rPr>
          <w:rFonts w:ascii="Times New Roman" w:cs="Times New Roman" w:eastAsia="Times New Roman" w:hAnsi="Times New Roman"/>
          <w:sz w:val="19"/>
          <w:szCs w:val="19"/>
          <w:color w:val="auto"/>
        </w:rPr>
        <w:t>.</w:t>
      </w:r>
    </w:p>
    <w:p>
      <w:pPr>
        <w:spacing w:after="0" w:line="158" w:lineRule="exact"/>
        <w:rPr>
          <w:rFonts w:ascii="Times New Roman" w:cs="Times New Roman" w:eastAsia="Times New Roman" w:hAnsi="Times New Roman"/>
          <w:sz w:val="19"/>
          <w:szCs w:val="19"/>
          <w:color w:val="auto"/>
        </w:rPr>
      </w:pPr>
    </w:p>
    <w:p>
      <w:pPr>
        <w:jc w:val="both"/>
        <w:ind w:firstLine="1842"/>
        <w:spacing w:after="0" w:line="253" w:lineRule="auto"/>
        <w:tabs>
          <w:tab w:leader="none" w:pos="224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Term, Executive shall be eligible to receive an annual bonus (the “</w:t>
      </w:r>
      <w:r>
        <w:rPr>
          <w:rFonts w:ascii="Times New Roman" w:cs="Times New Roman" w:eastAsia="Times New Roman" w:hAnsi="Times New Roman"/>
          <w:sz w:val="19"/>
          <w:szCs w:val="19"/>
          <w:b w:val="1"/>
          <w:bCs w:val="1"/>
          <w:i w:val="1"/>
          <w:iCs w:val="1"/>
          <w:color w:val="auto"/>
        </w:rPr>
        <w:t>Annual Bonus</w:t>
      </w:r>
      <w:r>
        <w:rPr>
          <w:rFonts w:ascii="Times New Roman" w:cs="Times New Roman" w:eastAsia="Times New Roman" w:hAnsi="Times New Roman"/>
          <w:sz w:val="19"/>
          <w:szCs w:val="19"/>
          <w:color w:val="auto"/>
        </w:rPr>
        <w:t>”) subject to the terms of the Company’s annual bonus plan applicable to similarly situated executives of the Company, as in effect from time to time, and the terms of this Agreement with a target annual incentive opportunity of 90% of Base Salary (the “</w:t>
      </w:r>
      <w:r>
        <w:rPr>
          <w:rFonts w:ascii="Times New Roman" w:cs="Times New Roman" w:eastAsia="Times New Roman" w:hAnsi="Times New Roman"/>
          <w:sz w:val="19"/>
          <w:szCs w:val="19"/>
          <w:b w:val="1"/>
          <w:bCs w:val="1"/>
          <w:i w:val="1"/>
          <w:iCs w:val="1"/>
          <w:color w:val="auto"/>
        </w:rPr>
        <w:t>Target Bonus Opportunity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based upon the Company’s achievement of certain financial and operational performance targets, as such are annually established by the Compensation Committee of the Board (the “</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w:t>
      </w:r>
    </w:p>
    <w:p>
      <w:pPr>
        <w:spacing w:after="0" w:line="132" w:lineRule="exact"/>
        <w:rPr>
          <w:rFonts w:ascii="Times New Roman" w:cs="Times New Roman" w:eastAsia="Times New Roman" w:hAnsi="Times New Roman"/>
          <w:sz w:val="19"/>
          <w:szCs w:val="19"/>
          <w:color w:val="auto"/>
        </w:rPr>
      </w:pPr>
    </w:p>
    <w:p>
      <w:pPr>
        <w:jc w:val="both"/>
        <w:ind w:firstLine="1842"/>
        <w:spacing w:after="0" w:line="252" w:lineRule="auto"/>
        <w:tabs>
          <w:tab w:leader="none" w:pos="2283"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to Executive any earned Annual Bonus no later than the March 15 immediately following the end of the annual performance period during which Executive earned such Annual Bonus (unless Executive has elected to defer receipt of such Annual Bonus pursuant to an arrangement that meets the requirements of Section 409A (as defined below)); provided, in each instance, payment of Executive’s Annual Bonus is conditioned upon the Committee’s certification of actual performance against the applicable Committee-approved financial performance targets in accordance with the Committee’s historical past practices; provided further that Executive is employed on the last day of the performance period or has been awarded Approved Retiree status pursuant to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89" w:lineRule="exact"/>
        <w:rPr>
          <w:sz w:val="20"/>
          <w:szCs w:val="20"/>
          <w:color w:val="auto"/>
        </w:rPr>
      </w:pPr>
    </w:p>
    <w:p>
      <w:pPr>
        <w:jc w:val="both"/>
        <w:ind w:firstLine="1229"/>
        <w:spacing w:after="0" w:line="250" w:lineRule="auto"/>
        <w:tabs>
          <w:tab w:leader="none" w:pos="164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LONG-TERM INCENTIVE COMPENSATION</w:t>
      </w:r>
      <w:r>
        <w:rPr>
          <w:rFonts w:ascii="Times New Roman" w:cs="Times New Roman" w:eastAsia="Times New Roman" w:hAnsi="Times New Roman"/>
          <w:sz w:val="19"/>
          <w:szCs w:val="19"/>
          <w:color w:val="auto"/>
        </w:rPr>
        <w:t>. During the Term, Executive shall be eligible to participate in the Company’s long-term incentive program, with a target annual award level of $900,000, in accordance with the Company’s policies as in effect from time to time (collectively, the “</w:t>
      </w:r>
      <w:r>
        <w:rPr>
          <w:rFonts w:ascii="Times New Roman" w:cs="Times New Roman" w:eastAsia="Times New Roman" w:hAnsi="Times New Roman"/>
          <w:sz w:val="19"/>
          <w:szCs w:val="19"/>
          <w:b w:val="1"/>
          <w:bCs w:val="1"/>
          <w:i w:val="1"/>
          <w:iCs w:val="1"/>
          <w:color w:val="auto"/>
        </w:rPr>
        <w:t>Equity Award</w:t>
      </w:r>
      <w:r>
        <w:rPr>
          <w:rFonts w:ascii="Times New Roman" w:cs="Times New Roman" w:eastAsia="Times New Roman" w:hAnsi="Times New Roman"/>
          <w:sz w:val="19"/>
          <w:szCs w:val="19"/>
          <w:color w:val="auto"/>
        </w:rPr>
        <w:t>”); provided, Executive acknowledges and agrees that her eligibility to participate in this program is subject to a number of factors, including, without limitation, the Company’s continuation of a long-term incentive program, the performance of the Company, the availability of Company Common Stock to effectuate such grant and the Committee’s approval of each such award as well as the performance criteria associated therewith. The Equity Awards will be granted under the Marriot Vacations Worldwide Corporate Amended and Restated Stock and Cash Incentive Plan or any successor thereto, or the Interval Leisure Group, Inc. 2013 Stock and Incentive Compensation Plan (the “</w:t>
      </w:r>
      <w:r>
        <w:rPr>
          <w:rFonts w:ascii="Times New Roman" w:cs="Times New Roman" w:eastAsia="Times New Roman" w:hAnsi="Times New Roman"/>
          <w:sz w:val="19"/>
          <w:szCs w:val="19"/>
          <w:b w:val="1"/>
          <w:bCs w:val="1"/>
          <w:i w:val="1"/>
          <w:iCs w:val="1"/>
          <w:color w:val="auto"/>
        </w:rPr>
        <w:t>ILG Plan</w:t>
      </w:r>
      <w:r>
        <w:rPr>
          <w:rFonts w:ascii="Times New Roman" w:cs="Times New Roman" w:eastAsia="Times New Roman" w:hAnsi="Times New Roman"/>
          <w:sz w:val="19"/>
          <w:szCs w:val="19"/>
          <w:color w:val="auto"/>
        </w:rPr>
        <w:t>”), each as may be amended from time to time.</w:t>
      </w:r>
    </w:p>
    <w:p>
      <w:pPr>
        <w:spacing w:after="0" w:line="134" w:lineRule="exact"/>
        <w:rPr>
          <w:rFonts w:ascii="Times New Roman" w:cs="Times New Roman" w:eastAsia="Times New Roman" w:hAnsi="Times New Roman"/>
          <w:sz w:val="19"/>
          <w:szCs w:val="19"/>
          <w:color w:val="auto"/>
        </w:rPr>
      </w:pPr>
    </w:p>
    <w:p>
      <w:pPr>
        <w:jc w:val="both"/>
        <w:ind w:firstLine="1229"/>
        <w:spacing w:after="0" w:line="256" w:lineRule="auto"/>
        <w:tabs>
          <w:tab w:leader="none" w:pos="1683"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During the Term, Executive shall be entitled to participate in any welfare, health and life insurance and pension benefit and incentive, perquisite and fringe benefit programs as may be adopted from time to time by the Company on the same basis as that provided to similarly situated employees of the Company. Without limiting the generality of the foregoing, Executive shall be entitled to the following benefits:</w:t>
      </w:r>
    </w:p>
    <w:p>
      <w:pPr>
        <w:spacing w:after="0" w:line="115" w:lineRule="exact"/>
        <w:rPr>
          <w:rFonts w:ascii="Times New Roman" w:cs="Times New Roman" w:eastAsia="Times New Roman" w:hAnsi="Times New Roman"/>
          <w:sz w:val="19"/>
          <w:szCs w:val="19"/>
          <w:color w:val="auto"/>
        </w:rPr>
      </w:pPr>
    </w:p>
    <w:p>
      <w:pPr>
        <w:jc w:val="both"/>
        <w:ind w:firstLine="1842"/>
        <w:spacing w:after="0" w:line="259" w:lineRule="auto"/>
        <w:tabs>
          <w:tab w:leader="none" w:pos="2268"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for Business Expenses</w:t>
      </w:r>
      <w:r>
        <w:rPr>
          <w:rFonts w:ascii="Times New Roman" w:cs="Times New Roman" w:eastAsia="Times New Roman" w:hAnsi="Times New Roman"/>
          <w:sz w:val="19"/>
          <w:szCs w:val="19"/>
          <w:color w:val="auto"/>
        </w:rPr>
        <w:t>. During the Term, the Company shall reimburse Executive for all reasonable, necessary and documented expenses incurred by Executive in performing Executive’s duties for the Company, on the same basis as similarly situated employees and in accordance with the Company’s policies as in effect from time to time.</w:t>
      </w:r>
    </w:p>
    <w:p>
      <w:pPr>
        <w:spacing w:after="0" w:line="123" w:lineRule="exact"/>
        <w:rPr>
          <w:rFonts w:ascii="Times New Roman" w:cs="Times New Roman" w:eastAsia="Times New Roman" w:hAnsi="Times New Roman"/>
          <w:sz w:val="19"/>
          <w:szCs w:val="19"/>
          <w:color w:val="auto"/>
        </w:rPr>
      </w:pPr>
    </w:p>
    <w:p>
      <w:pPr>
        <w:ind w:firstLine="1842"/>
        <w:spacing w:after="0" w:line="279" w:lineRule="auto"/>
        <w:tabs>
          <w:tab w:leader="none" w:pos="2294"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Paid Time Off</w:t>
      </w:r>
      <w:r>
        <w:rPr>
          <w:rFonts w:ascii="Times New Roman" w:cs="Times New Roman" w:eastAsia="Times New Roman" w:hAnsi="Times New Roman"/>
          <w:sz w:val="19"/>
          <w:szCs w:val="19"/>
          <w:color w:val="auto"/>
        </w:rPr>
        <w:t>. During the Term, Executive shall be entitled to paid time off each year, in accordance with the plans, policies, programs and practices of the Company applicable to similarly situated employees of the Company generally.</w:t>
      </w:r>
    </w:p>
    <w:p>
      <w:pPr>
        <w:spacing w:after="0" w:line="92" w:lineRule="exact"/>
        <w:rPr>
          <w:rFonts w:ascii="Times New Roman" w:cs="Times New Roman" w:eastAsia="Times New Roman" w:hAnsi="Times New Roman"/>
          <w:sz w:val="19"/>
          <w:szCs w:val="19"/>
          <w:color w:val="auto"/>
        </w:rPr>
      </w:pPr>
    </w:p>
    <w:p>
      <w:pPr>
        <w:jc w:val="both"/>
        <w:ind w:firstLine="1842"/>
        <w:spacing w:after="0" w:line="259" w:lineRule="auto"/>
        <w:tabs>
          <w:tab w:leader="none" w:pos="2359"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 Policy</w:t>
      </w:r>
      <w:r>
        <w:rPr>
          <w:rFonts w:ascii="Times New Roman" w:cs="Times New Roman" w:eastAsia="Times New Roman" w:hAnsi="Times New Roman"/>
          <w:sz w:val="19"/>
          <w:szCs w:val="19"/>
          <w:color w:val="auto"/>
        </w:rPr>
        <w:t>. The Company acknowledges that notwithstanding any provision herein to the contrary, Executive shall be entitled to continue her current supplemental disability insurance policy during the period that Executive is employed with the Company hereunder at the Company’s expense, without income tax reimbursement, and otherwise in accordance with the Company’s current practices.</w:t>
      </w:r>
    </w:p>
    <w:p>
      <w:pPr>
        <w:spacing w:after="0" w:line="1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4A.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under this Agreement shall be in writing and shall be given by first-class mail, certified or registered with return receipt requested, or by hand delivery, or by overnight delivery by a nationally recognized carrier, in each case to the applicable address set forth below, and any such notice is deemed effectively given when received by the recipient (or if receipt is refused by the recipient, when so refused):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If to the Company: Marriott Vacations Worldwide Corporation</w:t>
      </w:r>
    </w:p>
    <w:p>
      <w:pPr>
        <w:spacing w:after="0" w:line="2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6649 Westwood Blvd.</w:t>
      </w:r>
    </w:p>
    <w:p>
      <w:pPr>
        <w:spacing w:after="0" w:line="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Orlando, FL 32821</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Attn: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If to Executive: Jeanette E. Marbert</w:t>
      </w:r>
    </w:p>
    <w:p>
      <w:pPr>
        <w:spacing w:after="0" w:line="2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At the last address indicated in the Company’s records.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Either party may change such party’s address for notices by notice duly given pursuant hereto.</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5A. </w:t>
      </w: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This Agreement and the legal relations thus created between the parties hereto (including, without limitation, any dispute arising out of or related to this Agreement) shall be governed by and construed under and in accordance with the internal laws of the State of Florida without reference to its principles of conflicts of laws. Any dispute between the parties hereto arising out of or related to this Agreement will be heard and determined before an appropriate federal court located in the State of Florida in Miami-Dade County, or, if not maintainable therein, then in an appropriate Florida state court located in Miami-Dade County, and each party hereto submits itself and its property to the non-exclusive jurisdiction of the foregoing courts with respect to such disputes.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Each party hereto (i) agrees that service of process may be made by mailing a copy of any relevant document to the address of the party set forth above, (ii) waives to the fullest extent permitted by law any objection which it may now or hereafter have to the courts referred to above on the grounds of inconvenient forum or otherwise as regards any dispute between the parties hereto arising out of or related to this Agreement, (iii) waives to the fullest extent permitted by law any objection which it may now or hereafter have to the laying of venue in the courts referred to above as regards any dispute between the parties hereto arising out of or related to this Agreement and (iv) agrees that a judgment or order of any court referred to above in connection with any dispute between the parties hereto arising out of or related to this Agreement is conclusive and binding on it and may be enforced against it in the courts of any other jurisdiction.</w:t>
      </w:r>
    </w:p>
    <w:p>
      <w:pPr>
        <w:spacing w:after="0" w:line="1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6A.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several counterparts, each of which shall be deemed to be an original but all of which together will constitute one and the same instrument.</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7A. </w:t>
      </w:r>
      <w:r>
        <w:rPr>
          <w:rFonts w:ascii="Times New Roman" w:cs="Times New Roman" w:eastAsia="Times New Roman" w:hAnsi="Times New Roman"/>
          <w:sz w:val="19"/>
          <w:szCs w:val="19"/>
          <w:u w:val="single" w:color="auto"/>
          <w:color w:val="auto"/>
        </w:rPr>
        <w:t>STANDARD TERMS AND CONDITIONS</w:t>
      </w:r>
      <w:r>
        <w:rPr>
          <w:rFonts w:ascii="Times New Roman" w:cs="Times New Roman" w:eastAsia="Times New Roman" w:hAnsi="Times New Roman"/>
          <w:sz w:val="19"/>
          <w:szCs w:val="19"/>
          <w:color w:val="auto"/>
        </w:rPr>
        <w:t>. Executive expressly understands and acknowledges that the Standard Terms and Conditions attached hereto are incorporated herein by reference, deemed a part of this Agreement and are binding and enforceable provisions of this Agreement. References to “this Agreement” or the use of the term “hereof” shall refer to this Agreement, its Exhibit A and the Standard Terms and Conditions attached hereto, taken as a whole.</w:t>
      </w:r>
    </w:p>
    <w:p>
      <w:pPr>
        <w:spacing w:after="0" w:line="13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color w:val="auto"/>
        </w:rPr>
        <w:t>8A.</w:t>
      </w:r>
      <w:r>
        <w:rPr>
          <w:sz w:val="20"/>
          <w:szCs w:val="20"/>
          <w:color w:val="auto"/>
        </w:rPr>
        <w:tab/>
      </w:r>
      <w:r>
        <w:rPr>
          <w:rFonts w:ascii="Times New Roman" w:cs="Times New Roman" w:eastAsia="Times New Roman" w:hAnsi="Times New Roman"/>
          <w:sz w:val="18"/>
          <w:szCs w:val="18"/>
          <w:u w:val="single" w:color="auto"/>
          <w:color w:val="auto"/>
        </w:rPr>
        <w:t>SECTION 409A OF THE INTERNAL REVENUE CODE</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1229"/>
        <w:spacing w:after="0" w:line="259" w:lineRule="auto"/>
        <w:tabs>
          <w:tab w:leader="none" w:pos="1734"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is intended to comply with the requirements of Section 409A of the Internal Revenue Code of 1986, as amended (the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and the rules and regulations issued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or an exemption and shall in all respects be administered in accordance with Section 409A.</w:t>
      </w:r>
    </w:p>
    <w:p>
      <w:pPr>
        <w:spacing w:after="0" w:line="110" w:lineRule="exact"/>
        <w:rPr>
          <w:rFonts w:ascii="Times New Roman" w:cs="Times New Roman" w:eastAsia="Times New Roman" w:hAnsi="Times New Roman"/>
          <w:sz w:val="19"/>
          <w:szCs w:val="19"/>
          <w:color w:val="auto"/>
        </w:rPr>
      </w:pPr>
    </w:p>
    <w:p>
      <w:pPr>
        <w:jc w:val="both"/>
        <w:ind w:firstLine="1229"/>
        <w:spacing w:after="0" w:line="287" w:lineRule="auto"/>
        <w:tabs>
          <w:tab w:leader="none" w:pos="16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payable under this Agreement solely on account of an “involuntary” separation from service within the meaning of Section 409A shall be, to the maximum extent possible, excludible from the requirements of Section 409A, either as involuntary separation pay or as short-term deferral amounts. Each payment under this Agreement shall be treated as a separate payment for purposes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89" w:lineRule="exact"/>
        <w:rPr>
          <w:sz w:val="20"/>
          <w:szCs w:val="20"/>
          <w:color w:val="auto"/>
        </w:rPr>
      </w:pPr>
    </w:p>
    <w:p>
      <w:pPr>
        <w:jc w:val="both"/>
        <w:ind w:firstLine="1229"/>
        <w:spacing w:after="0" w:line="259" w:lineRule="auto"/>
        <w:tabs>
          <w:tab w:leader="none" w:pos="163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may Executive, directly or indirectly, designate the calendar year of any payment to be made under this Agreement. In no event shall the Company or any of its Affiliates be liable for any additional tax, interest, or penalties that may be imposed on Executive as a result of Section 409A or any damages for failing to comply with Section 409A.</w:t>
      </w:r>
    </w:p>
    <w:p>
      <w:pPr>
        <w:spacing w:after="0" w:line="117" w:lineRule="exact"/>
        <w:rPr>
          <w:rFonts w:ascii="Times New Roman" w:cs="Times New Roman" w:eastAsia="Times New Roman" w:hAnsi="Times New Roman"/>
          <w:sz w:val="19"/>
          <w:szCs w:val="19"/>
          <w:color w:val="auto"/>
        </w:rPr>
      </w:pPr>
    </w:p>
    <w:p>
      <w:pPr>
        <w:jc w:val="both"/>
        <w:ind w:firstLine="1229"/>
        <w:spacing w:after="0" w:line="253" w:lineRule="auto"/>
        <w:tabs>
          <w:tab w:leader="none" w:pos="164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a “</w:t>
      </w:r>
      <w:r>
        <w:rPr>
          <w:rFonts w:ascii="Times New Roman" w:cs="Times New Roman" w:eastAsia="Times New Roman" w:hAnsi="Times New Roman"/>
          <w:sz w:val="19"/>
          <w:szCs w:val="19"/>
          <w:b w:val="1"/>
          <w:bCs w:val="1"/>
          <w:i w:val="1"/>
          <w:iCs w:val="1"/>
          <w:color w:val="auto"/>
        </w:rPr>
        <w:t>Separation from Service</w:t>
      </w:r>
      <w:r>
        <w:rPr>
          <w:rFonts w:ascii="Times New Roman" w:cs="Times New Roman" w:eastAsia="Times New Roman" w:hAnsi="Times New Roman"/>
          <w:sz w:val="19"/>
          <w:szCs w:val="19"/>
          <w:color w:val="auto"/>
        </w:rPr>
        <w:t>” occurs when Executive dies, retires or otherwise has a separation of employment with the Company that constitutes a “separation from service” within the meaning of Treasury Regulation Section 1.409A-1(h)(1), without regard to the optional alternative definitions available thereunder. Notwithstanding anything in the Agreement to the contrary, distributions upon termination of employment of amounts that constitute “deferred compensation” subject to Section 409A may only be made upon a Separation from Service.</w:t>
      </w:r>
    </w:p>
    <w:p>
      <w:pPr>
        <w:spacing w:after="0" w:line="132" w:lineRule="exact"/>
        <w:rPr>
          <w:rFonts w:ascii="Times New Roman" w:cs="Times New Roman" w:eastAsia="Times New Roman" w:hAnsi="Times New Roman"/>
          <w:sz w:val="19"/>
          <w:szCs w:val="19"/>
          <w:color w:val="auto"/>
        </w:rPr>
      </w:pPr>
    </w:p>
    <w:p>
      <w:pPr>
        <w:jc w:val="both"/>
        <w:ind w:firstLine="1229"/>
        <w:spacing w:after="0" w:line="250" w:lineRule="auto"/>
        <w:tabs>
          <w:tab w:leader="none" w:pos="169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reimbursement or in-kind benefit pursuant to this Agreement is taxable to Executive, Executive shall provide the Company with documentation of the related expenses promptly so as to facilitate the timing of the reimbursement payment, or in-kind benefits contemplated by this section, and any reimbursement payment, or in-kind benefits, due to Executive pursuant to such provision shall be paid to Executive on or before the last day of Executive’s taxable year following the taxable year in which the related expense was incurred. Executive’s right to reimbursement or in-kind benefits pursuant to this Agreement is not subject to liquidation or exchange for another benefit and the amount of expenses eligible for reimbursement, or in-kind benefits that Executive receives in one taxable year shall not affect the amount of such benefits, or in-kind benefits that Executive receives in any other taxable year.</w:t>
      </w:r>
    </w:p>
    <w:p>
      <w:pPr>
        <w:spacing w:after="0" w:line="131" w:lineRule="exact"/>
        <w:rPr>
          <w:rFonts w:ascii="Times New Roman" w:cs="Times New Roman" w:eastAsia="Times New Roman" w:hAnsi="Times New Roman"/>
          <w:sz w:val="19"/>
          <w:szCs w:val="19"/>
          <w:color w:val="auto"/>
        </w:rPr>
      </w:pPr>
    </w:p>
    <w:p>
      <w:pPr>
        <w:jc w:val="both"/>
        <w:ind w:firstLine="1229"/>
        <w:spacing w:after="0" w:line="249" w:lineRule="auto"/>
        <w:tabs>
          <w:tab w:leader="none" w:pos="162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of this Agreement to the contrary, in the event that Executive is a “specified employee” (within the meaning of Section 409A) on the date of termination of Executive’s employment with the Company and the Cash Severance Payments or CIC Cash Severance Payments to be paid within the first six months following such date (the “</w:t>
      </w:r>
      <w:r>
        <w:rPr>
          <w:rFonts w:ascii="Times New Roman" w:cs="Times New Roman" w:eastAsia="Times New Roman" w:hAnsi="Times New Roman"/>
          <w:sz w:val="19"/>
          <w:szCs w:val="19"/>
          <w:b w:val="1"/>
          <w:bCs w:val="1"/>
          <w:i w:val="1"/>
          <w:iCs w:val="1"/>
          <w:color w:val="auto"/>
        </w:rPr>
        <w:t>Initial Payment Period</w:t>
      </w:r>
      <w:r>
        <w:rPr>
          <w:rFonts w:ascii="Times New Roman" w:cs="Times New Roman" w:eastAsia="Times New Roman" w:hAnsi="Times New Roman"/>
          <w:sz w:val="19"/>
          <w:szCs w:val="19"/>
          <w:color w:val="auto"/>
        </w:rPr>
        <w:t>”) exceed the amount referenced in Treas. Regs. Section 1.409A-1(b)(9)(iii)(A) (the “</w:t>
      </w:r>
      <w:r>
        <w:rPr>
          <w:rFonts w:ascii="Times New Roman" w:cs="Times New Roman" w:eastAsia="Times New Roman" w:hAnsi="Times New Roman"/>
          <w:sz w:val="19"/>
          <w:szCs w:val="19"/>
          <w:b w:val="1"/>
          <w:bCs w:val="1"/>
          <w:i w:val="1"/>
          <w:iCs w:val="1"/>
          <w:color w:val="auto"/>
        </w:rPr>
        <w:t>Limit</w:t>
      </w:r>
      <w:r>
        <w:rPr>
          <w:rFonts w:ascii="Times New Roman" w:cs="Times New Roman" w:eastAsia="Times New Roman" w:hAnsi="Times New Roman"/>
          <w:sz w:val="19"/>
          <w:szCs w:val="19"/>
          <w:color w:val="auto"/>
        </w:rPr>
        <w:t>”), then (1) any portion of the Cash Severance Payments or CIC Cash Severance Payments that is payable during the Initial Payment Period that does not exceed the Limit shall be paid at the times set forth in Section 1(d)(i), (2) any portion of the Cash Severance Payments or CIC Cash Severance Payments that exceeds the Limit (and would have been payable during the Initial Payment Period but for the Limit) shall be paid, with Interest, on the first business day of the first calendar month that begins after the six-month anniversary of Executive’s Separation from Service, and (3) any portion of the Cash Severance Payments or CIC Cash Severance Payments that is payable after the Initial Payment Period shall be paid at the times set forth in Section 1(d)(i). For purposes of this Section 8A.(f), “</w:t>
      </w:r>
      <w:r>
        <w:rPr>
          <w:rFonts w:ascii="Times New Roman" w:cs="Times New Roman" w:eastAsia="Times New Roman" w:hAnsi="Times New Roman"/>
          <w:sz w:val="19"/>
          <w:szCs w:val="19"/>
          <w:b w:val="1"/>
          <w:bCs w:val="1"/>
          <w:i w:val="1"/>
          <w:iCs w:val="1"/>
          <w:color w:val="auto"/>
        </w:rPr>
        <w:t>Interest</w:t>
      </w:r>
      <w:r>
        <w:rPr>
          <w:rFonts w:ascii="Times New Roman" w:cs="Times New Roman" w:eastAsia="Times New Roman" w:hAnsi="Times New Roman"/>
          <w:sz w:val="19"/>
          <w:szCs w:val="19"/>
          <w:color w:val="auto"/>
        </w:rPr>
        <w:t>” shall mean interest at the applicable federal rate provided for in Section 7872(f)(2)(A) of the Code, from the date on which payment would otherwise have been made but for any required delay through the date of payment.</w:t>
      </w:r>
    </w:p>
    <w:p>
      <w:pPr>
        <w:spacing w:after="0" w:line="125" w:lineRule="exact"/>
        <w:rPr>
          <w:rFonts w:ascii="Times New Roman" w:cs="Times New Roman" w:eastAsia="Times New Roman" w:hAnsi="Times New Roman"/>
          <w:sz w:val="19"/>
          <w:szCs w:val="19"/>
          <w:color w:val="auto"/>
        </w:rPr>
      </w:pPr>
    </w:p>
    <w:p>
      <w:pPr>
        <w:jc w:val="both"/>
        <w:ind w:firstLine="1229"/>
        <w:spacing w:after="0" w:line="256" w:lineRule="auto"/>
        <w:tabs>
          <w:tab w:leader="none" w:pos="169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maximum period within which Executive must sign and not revoke the Release would begin in one calendar year and expire in the following calendar year, then any payments contingent on the occurrence of the Release Effective Date shall be made in such following calendar year (regardless of the year of execution of such release) if payment in such following calendar year is required in order to comply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6" w:lineRule="exact"/>
        <w:rPr>
          <w:sz w:val="20"/>
          <w:szCs w:val="20"/>
          <w:color w:val="auto"/>
        </w:rPr>
      </w:pPr>
    </w:p>
    <w:p>
      <w:pPr>
        <w:ind w:firstLine="613"/>
        <w:spacing w:after="0" w:line="279" w:lineRule="auto"/>
        <w:rPr>
          <w:sz w:val="20"/>
          <w:szCs w:val="20"/>
          <w:color w:val="auto"/>
        </w:rPr>
      </w:pPr>
      <w:r>
        <w:rPr>
          <w:rFonts w:ascii="Times New Roman" w:cs="Times New Roman" w:eastAsia="Times New Roman" w:hAnsi="Times New Roman"/>
          <w:sz w:val="19"/>
          <w:szCs w:val="19"/>
          <w:color w:val="auto"/>
        </w:rPr>
        <w:t>IN WITNESS WHEREOF, the Company has caused this Agreement to be executed and delivered by its duly authorized officer and Executive has executed and delivered this Agreement on June ____, 2020.</w:t>
      </w:r>
    </w:p>
    <w:p>
      <w:pPr>
        <w:spacing w:after="0" w:line="200" w:lineRule="exact"/>
        <w:rPr>
          <w:sz w:val="20"/>
          <w:szCs w:val="20"/>
          <w:color w:val="auto"/>
        </w:rPr>
      </w:pPr>
    </w:p>
    <w:p>
      <w:pPr>
        <w:spacing w:after="0" w:line="3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auto"/>
        </w:rPr>
        <w:t>MARRIOTT VACATIONS WORLDWIDE CORPORATION</w:t>
      </w:r>
    </w:p>
    <w:p>
      <w:pPr>
        <w:spacing w:after="0" w:line="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u w:val="single" w:color="auto"/>
          <w:color w:val="auto"/>
        </w:rPr>
        <w:t>/s/ Stephen P. Weisz</w:t>
      </w:r>
    </w:p>
    <w:p>
      <w:pPr>
        <w:spacing w:after="0" w:line="24" w:lineRule="exact"/>
        <w:rPr>
          <w:sz w:val="20"/>
          <w:szCs w:val="20"/>
          <w:color w:val="auto"/>
        </w:rPr>
      </w:pPr>
    </w:p>
    <w:p>
      <w:pPr>
        <w:ind w:left="4220"/>
        <w:spacing w:after="0"/>
        <w:tabs>
          <w:tab w:leader="none" w:pos="49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Stephen P. Weisz</w:t>
      </w:r>
    </w:p>
    <w:p>
      <w:pPr>
        <w:spacing w:after="0" w:line="24" w:lineRule="exact"/>
        <w:rPr>
          <w:sz w:val="20"/>
          <w:szCs w:val="20"/>
          <w:color w:val="auto"/>
        </w:rPr>
      </w:pPr>
    </w:p>
    <w:p>
      <w:pPr>
        <w:ind w:left="4220"/>
        <w:spacing w:after="0"/>
        <w:tabs>
          <w:tab w:leader="none" w:pos="49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34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EXECUTIVE</w:t>
      </w:r>
    </w:p>
    <w:p>
      <w:pPr>
        <w:spacing w:after="0" w:line="2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u w:val="single" w:color="auto"/>
          <w:color w:val="auto"/>
        </w:rPr>
        <w:t>/s/ Jeanette E. Marbert</w:t>
      </w:r>
    </w:p>
    <w:p>
      <w:pPr>
        <w:spacing w:after="0" w:line="2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Jeanette E. Marbert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STANDARD TERMS AND CONDITIONS</w:t>
      </w:r>
    </w:p>
    <w:p>
      <w:pPr>
        <w:spacing w:after="0" w:line="169" w:lineRule="exact"/>
        <w:rPr>
          <w:sz w:val="20"/>
          <w:szCs w:val="20"/>
          <w:color w:val="auto"/>
        </w:rPr>
      </w:pPr>
    </w:p>
    <w:p>
      <w:pPr>
        <w:ind w:left="320" w:hanging="318"/>
        <w:spacing w:after="0"/>
        <w:tabs>
          <w:tab w:leader="none" w:pos="32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EXECUTIVE’S EMPLOYMENT.</w:t>
      </w:r>
    </w:p>
    <w:p>
      <w:pPr>
        <w:spacing w:after="0" w:line="152" w:lineRule="exact"/>
        <w:rPr>
          <w:sz w:val="20"/>
          <w:szCs w:val="20"/>
          <w:color w:val="auto"/>
        </w:rPr>
      </w:pPr>
    </w:p>
    <w:p>
      <w:pPr>
        <w:jc w:val="both"/>
        <w:ind w:firstLine="2"/>
        <w:spacing w:after="0" w:line="259" w:lineRule="auto"/>
        <w:tabs>
          <w:tab w:leader="none" w:pos="47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w:t>
      </w:r>
      <w:r>
        <w:rPr>
          <w:rFonts w:ascii="Times New Roman" w:cs="Times New Roman" w:eastAsia="Times New Roman" w:hAnsi="Times New Roman"/>
          <w:sz w:val="19"/>
          <w:szCs w:val="19"/>
          <w:color w:val="auto"/>
        </w:rPr>
        <w:t>. In the event Executive’s employment hereunder is terminated by reason of Executive’s death, the Company shall pay Executive’s designated beneficiary or beneficiaries, within thirty (30) days of Executive’s death in a lump sum in cash, (i) Executive’s Base Salary through the end of the month in which death occurs and (ii) any other Accrued Obligations (as defined in Section 1(f) below).</w:t>
      </w:r>
    </w:p>
    <w:p>
      <w:pPr>
        <w:spacing w:after="0" w:line="117" w:lineRule="exact"/>
        <w:rPr>
          <w:rFonts w:ascii="Times New Roman" w:cs="Times New Roman" w:eastAsia="Times New Roman" w:hAnsi="Times New Roman"/>
          <w:sz w:val="19"/>
          <w:szCs w:val="19"/>
          <w:color w:val="auto"/>
        </w:rPr>
      </w:pPr>
    </w:p>
    <w:p>
      <w:pPr>
        <w:jc w:val="both"/>
        <w:ind w:firstLine="2"/>
        <w:spacing w:after="0" w:line="250" w:lineRule="auto"/>
        <w:tabs>
          <w:tab w:leader="none" w:pos="44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If, as a result of Executive’s incapacity due to physical or mental illness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Executive shall have been absent from the full-time performance of Executive’s duties with the Company for a period of four (4) consecutive months and, within thirty (30) days after written notice is provided to Executive by the Company (in accordance with Section 4A. of the Agreement), Executive shall not have returned to the full-time performance of Executive’s duties, Executive’s employment under this Agreement may be terminated by the Company for Disability. During any period prior to such termination during which Executive is absent from the full-time performance of Executive’s duties with the Company due to Disability, the Company shall continue to pay Executive’s Base Salary at the rate in effect at the commencement of such period of Disability, offset by any amounts payable to Executive under any disability insurance plan or policy provided by the Company. Upon termination of Executive’s employment due to Disability, the Company shall pay Executive within thirty (30) days of such termination (i) Executive’s Base Salary through the end of the month in which termination occurs in a lump sum in cash, offset by any amounts payable to Executive under any disability insurance plan or policy provided by the Company; and (ii) any other Accrued Obligations.</w:t>
      </w:r>
    </w:p>
    <w:p>
      <w:pPr>
        <w:spacing w:after="0" w:line="132" w:lineRule="exact"/>
        <w:rPr>
          <w:rFonts w:ascii="Times New Roman" w:cs="Times New Roman" w:eastAsia="Times New Roman" w:hAnsi="Times New Roman"/>
          <w:sz w:val="19"/>
          <w:szCs w:val="19"/>
          <w:color w:val="auto"/>
        </w:rPr>
      </w:pPr>
    </w:p>
    <w:p>
      <w:pPr>
        <w:jc w:val="both"/>
        <w:ind w:firstLine="2"/>
        <w:spacing w:after="0" w:line="249" w:lineRule="auto"/>
        <w:tabs>
          <w:tab w:leader="none" w:pos="446"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FOR CAUSE OR WITHOUT GOOD REASON</w:t>
      </w:r>
      <w:r>
        <w:rPr>
          <w:rFonts w:ascii="Times New Roman" w:cs="Times New Roman" w:eastAsia="Times New Roman" w:hAnsi="Times New Roman"/>
          <w:sz w:val="19"/>
          <w:szCs w:val="19"/>
          <w:color w:val="auto"/>
        </w:rPr>
        <w:t>. Executive shall have the right to terminate her employment without Good Reason. Upon the termination of Executive’s employment by the Company for Cause (as defined below), or by Executive without Good Reason, the Company shall have no further obligation hereunder, except for the payment of any Accrued Obligations and, where applicable, the Company’s compliance with its obligations under Section 1(h) below. As used herein,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xml:space="preserve">” shall mean: (i) the plea of guilty or nolo contendere to, or conviction for, the commission of a felony offense by Executive;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after indictment, the Company may suspend Executive from the rendition of services, but without limiting or modifying in any other way the Company’s obligations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Executive’s employment shall be immediately reinstated if the indictment is dismissed or otherwise dropped and there are not otherwise grounds to terminate Executive’s employment for Cause; (ii) a material breach by Executive of a fiduciary duty owed to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CEO determines, in the CEO’s good faith discretion, that such material breach undermines the CEO’s confidence in Executive’s fitness to continue in her position, as evidenced in writing from the CEO; (iii) a material breach by Executive of any of the covenants made by Executive in Section 2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event such material breach is curable, Executive shall have failed to remedy such material breach within ten (10) days of Executive having received a written demand for cure by the CEO, which demand specifically identifies the manner in which the Company believes that Executive has materially breached any of the covenants made by Executive in Section 2 hereof; (iv) the willful or gross neglect by Executive of the material duties required by this Agreement following receipt of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-1173480</wp:posOffset>
            </wp:positionV>
            <wp:extent cx="374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0">
                      <a:extLst>
                        <a:ext uri="{28A0092B-C50C-407E-A947-70E740481C1C}"/>
                      </a:extLst>
                    </a:blip>
                    <a:srcRect/>
                    <a:stretch>
                      <a:fillRect/>
                    </a:stretch>
                  </pic:blipFill>
                  <pic:spPr bwMode="auto">
                    <a:xfrm>
                      <a:off x="0" y="0"/>
                      <a:ext cx="37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1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9"/>
          <w:szCs w:val="19"/>
          <w:color w:val="auto"/>
        </w:rPr>
        <w:t>notice from the CEO which specifically identifies the nature of such willful or gross neglect and a reasonable opportunity to cure; or (v) a knowing and material violation by Executive of any Company policy pertaining to ethics, wrongdoing or conflicts of interest.</w:t>
      </w:r>
    </w:p>
    <w:p>
      <w:pPr>
        <w:spacing w:after="0" w:line="93" w:lineRule="exact"/>
        <w:rPr>
          <w:sz w:val="20"/>
          <w:szCs w:val="20"/>
          <w:color w:val="auto"/>
        </w:rPr>
      </w:pPr>
    </w:p>
    <w:p>
      <w:pPr>
        <w:jc w:val="both"/>
        <w:ind w:firstLine="2"/>
        <w:spacing w:after="0" w:line="252" w:lineRule="auto"/>
        <w:tabs>
          <w:tab w:leader="none" w:pos="405"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THE COMPANY OTHER THAN FOR DEATH, DISABILITY OR CAUSE OR RESIGNATION BY EXECUTIVE FOR GOOD REASON</w:t>
      </w:r>
      <w:r>
        <w:rPr>
          <w:rFonts w:ascii="Times New Roman" w:cs="Times New Roman" w:eastAsia="Times New Roman" w:hAnsi="Times New Roman"/>
          <w:sz w:val="19"/>
          <w:szCs w:val="19"/>
          <w:color w:val="auto"/>
        </w:rPr>
        <w:t>. If Executive’s employment hereunder is terminated prior to the expiration of the Term by the Company for any reason other than Executive’s death or Disability or for Cause, or if Executive terminates her employment hereunder prior to the expiration of the Term for Good Reason (any such termination, a “</w:t>
      </w:r>
      <w:r>
        <w:rPr>
          <w:rFonts w:ascii="Times New Roman" w:cs="Times New Roman" w:eastAsia="Times New Roman" w:hAnsi="Times New Roman"/>
          <w:sz w:val="19"/>
          <w:szCs w:val="19"/>
          <w:b w:val="1"/>
          <w:bCs w:val="1"/>
          <w:i w:val="1"/>
          <w:iCs w:val="1"/>
          <w:color w:val="auto"/>
        </w:rPr>
        <w:t>Qualifying Termination</w:t>
      </w:r>
      <w:r>
        <w:rPr>
          <w:rFonts w:ascii="Times New Roman" w:cs="Times New Roman" w:eastAsia="Times New Roman" w:hAnsi="Times New Roman"/>
          <w:sz w:val="19"/>
          <w:szCs w:val="19"/>
          <w:color w:val="auto"/>
        </w:rPr>
        <w:t>”), then: (1) the Company shall pay Executive within thirty (30) days of the date of such Qualifying Termination any Accrued Obligations in a lump sum cash payment and (2) Executive shall be eligible for the following severance benefits, subject to Executive’s execution of a Release within 45 days following such Qualifying Termination pursuant to Section 1(d)(iv) and the Release Effective Date (as defined below) has occurred:</w:t>
      </w:r>
    </w:p>
    <w:p>
      <w:pPr>
        <w:spacing w:after="0" w:line="119" w:lineRule="exact"/>
        <w:rPr>
          <w:sz w:val="20"/>
          <w:szCs w:val="20"/>
          <w:color w:val="auto"/>
        </w:rPr>
      </w:pPr>
    </w:p>
    <w:p>
      <w:pPr>
        <w:ind w:firstLine="2"/>
        <w:spacing w:after="0" w:line="266" w:lineRule="auto"/>
        <w:tabs>
          <w:tab w:leader="none" w:pos="3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Except where such Qualifying Termination occurs within twenty-four (24) months following the Closing Date, (1) the Company shall pay Executive a severance amount equal to two times (2X) the sum of (x) her Base Salary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Target Bonus Opportunity (the “</w:t>
      </w:r>
      <w:r>
        <w:rPr>
          <w:rFonts w:ascii="Times New Roman" w:cs="Times New Roman" w:eastAsia="Times New Roman" w:hAnsi="Times New Roman"/>
          <w:sz w:val="18"/>
          <w:szCs w:val="18"/>
          <w:b w:val="1"/>
          <w:bCs w:val="1"/>
          <w:i w:val="1"/>
          <w:iCs w:val="1"/>
          <w:color w:val="auto"/>
        </w:rPr>
        <w:t>Cash Severance</w:t>
      </w:r>
      <w:r>
        <w:rPr>
          <w:rFonts w:ascii="Times New Roman" w:cs="Times New Roman" w:eastAsia="Times New Roman" w:hAnsi="Times New Roman"/>
          <w:sz w:val="18"/>
          <w:szCs w:val="18"/>
          <w:color w:val="auto"/>
        </w:rPr>
        <w:t>”), which Cash Severance shall be payable in equal biweekly installments (or, if different, in accordance with the Company’s payroll practice as in effect from time to time) over 24 months (the “</w:t>
      </w:r>
      <w:r>
        <w:rPr>
          <w:rFonts w:ascii="Times New Roman" w:cs="Times New Roman" w:eastAsia="Times New Roman" w:hAnsi="Times New Roman"/>
          <w:sz w:val="18"/>
          <w:szCs w:val="18"/>
          <w:b w:val="1"/>
          <w:bCs w:val="1"/>
          <w:i w:val="1"/>
          <w:iCs w:val="1"/>
          <w:color w:val="auto"/>
        </w:rPr>
        <w:t>Cash Severance Payments</w:t>
      </w:r>
      <w:r>
        <w:rPr>
          <w:rFonts w:ascii="Times New Roman" w:cs="Times New Roman" w:eastAsia="Times New Roman" w:hAnsi="Times New Roman"/>
          <w:sz w:val="18"/>
          <w:szCs w:val="18"/>
          <w:color w:val="auto"/>
        </w:rPr>
        <w:t>”) commencing after the Release Effective Date but no later than the 75 day following the date of Executive’s Qualifying Termination and (2) at the time when the bonuses for the year in which the date of termination occurs would otherwise be paid (but in no event later than the 75 day following the close of such fiscal year unless Executive has previously elected to defer the receipt of such bonus pursuant to an arrangement that meets the requirements of Section 409A) and conditioned upon the Committee’s certification of the Company’s actual performance against the applicable financial performance targets in accordance with the Committee’s historical past practices, the Company shall pay to Executive any bonus that would have been earned by Executive in respect of such year of termination if such termination had not occurred, prorated for the portion of the year during which Executive was employed (the “</w:t>
      </w:r>
      <w:r>
        <w:rPr>
          <w:rFonts w:ascii="Times New Roman" w:cs="Times New Roman" w:eastAsia="Times New Roman" w:hAnsi="Times New Roman"/>
          <w:sz w:val="18"/>
          <w:szCs w:val="18"/>
          <w:b w:val="1"/>
          <w:bCs w:val="1"/>
          <w:i w:val="1"/>
          <w:iCs w:val="1"/>
          <w:color w:val="auto"/>
        </w:rPr>
        <w:t>Pro Rata Bonus</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jc w:val="both"/>
        <w:ind w:firstLine="615"/>
        <w:spacing w:after="0" w:line="243" w:lineRule="auto"/>
        <w:tabs>
          <w:tab w:leader="none" w:pos="111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such Qualifying Termination occurs within twenty-four (24) months following the Closing Date, (1) the Company shall pay Executive a severance amount equal to two and one-half times (2.5X) the sum of (x) her Base Salary plus (y) the Target Bonus Opportunity (the “</w:t>
      </w:r>
      <w:r>
        <w:rPr>
          <w:rFonts w:ascii="Times New Roman" w:cs="Times New Roman" w:eastAsia="Times New Roman" w:hAnsi="Times New Roman"/>
          <w:sz w:val="19"/>
          <w:szCs w:val="19"/>
          <w:b w:val="1"/>
          <w:bCs w:val="1"/>
          <w:i w:val="1"/>
          <w:iCs w:val="1"/>
          <w:color w:val="auto"/>
        </w:rPr>
        <w:t>CIC Cash Severance</w:t>
      </w:r>
      <w:r>
        <w:rPr>
          <w:rFonts w:ascii="Times New Roman" w:cs="Times New Roman" w:eastAsia="Times New Roman" w:hAnsi="Times New Roman"/>
          <w:sz w:val="19"/>
          <w:szCs w:val="19"/>
          <w:color w:val="auto"/>
        </w:rPr>
        <w:t>”), which CIC Cash Severance shall be payable as one lump sum amount (the “</w:t>
      </w:r>
      <w:r>
        <w:rPr>
          <w:rFonts w:ascii="Times New Roman" w:cs="Times New Roman" w:eastAsia="Times New Roman" w:hAnsi="Times New Roman"/>
          <w:sz w:val="19"/>
          <w:szCs w:val="19"/>
          <w:b w:val="1"/>
          <w:bCs w:val="1"/>
          <w:i w:val="1"/>
          <w:iCs w:val="1"/>
          <w:color w:val="auto"/>
        </w:rPr>
        <w:t>CIC Cash Severance Payment</w:t>
      </w:r>
      <w:r>
        <w:rPr>
          <w:rFonts w:ascii="Times New Roman" w:cs="Times New Roman" w:eastAsia="Times New Roman" w:hAnsi="Times New Roman"/>
          <w:sz w:val="19"/>
          <w:szCs w:val="19"/>
          <w:color w:val="auto"/>
        </w:rPr>
        <w:t>”) after the Release Effective Date but in no event later than the 75 day following the date of Executive’s Qualifying Termination, and (2) the Company shall pay to Executive a Pro Rata Bonus for the year in which she incurs a Qualifying Termination, with such amount based on (1) the assumption that target performance goal(s) were met or (2) actual performance through the date of the Qualifying Termination to the extent determinable by the Committee with performance goals adjusted to reflect the truncated performance period, whichever results in a payment of the greater amount to Executive. Such Pro Rata Bonus shall be paid to Executive after the Release Effective Date but no later than the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date of Executive’s Qualifying Termination (unless Executive has previously elected to defer the receipt of such bonus pursuant to an arrangement that meets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13" w:lineRule="exact"/>
        <w:rPr>
          <w:sz w:val="20"/>
          <w:szCs w:val="20"/>
          <w:color w:val="auto"/>
        </w:rPr>
      </w:pPr>
    </w:p>
    <w:p>
      <w:pPr>
        <w:ind w:firstLine="2"/>
        <w:spacing w:after="0" w:line="279" w:lineRule="auto"/>
        <w:tabs>
          <w:tab w:leader="none" w:pos="422"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portion of the equity or equity-based awards that were granted to the Executive under the ILG Plan prior to the Closing Date (the “</w:t>
      </w:r>
      <w:r>
        <w:rPr>
          <w:rFonts w:ascii="Times New Roman" w:cs="Times New Roman" w:eastAsia="Times New Roman" w:hAnsi="Times New Roman"/>
          <w:sz w:val="19"/>
          <w:szCs w:val="19"/>
          <w:u w:val="single" w:color="auto"/>
          <w:color w:val="auto"/>
        </w:rPr>
        <w:t>Legacy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ILG Awards</w:t>
      </w:r>
      <w:r>
        <w:rPr>
          <w:rFonts w:ascii="Times New Roman" w:cs="Times New Roman" w:eastAsia="Times New Roman" w:hAnsi="Times New Roman"/>
          <w:sz w:val="19"/>
          <w:szCs w:val="19"/>
          <w:color w:val="auto"/>
        </w:rPr>
        <w:t>”) that is outstanding and unvested at the time of such Qualifying Termination shall vest in full on the Release Effective Date.</w:t>
      </w:r>
    </w:p>
    <w:p>
      <w:pPr>
        <w:spacing w:after="0" w:line="92" w:lineRule="exact"/>
        <w:rPr>
          <w:rFonts w:ascii="Times New Roman" w:cs="Times New Roman" w:eastAsia="Times New Roman" w:hAnsi="Times New Roman"/>
          <w:sz w:val="19"/>
          <w:szCs w:val="19"/>
          <w:color w:val="auto"/>
        </w:rPr>
      </w:pPr>
    </w:p>
    <w:p>
      <w:pPr>
        <w:jc w:val="both"/>
        <w:ind w:firstLine="2"/>
        <w:spacing w:after="0" w:line="250" w:lineRule="auto"/>
        <w:tabs>
          <w:tab w:leader="none" w:pos="475"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Except where such Qualifying Termination occurs within twenty-four (24) months following the Closing Date, during the 24-month period following Executive’s Separation from Service, the Company shall pay Executive an amount equal to the amount necessary to continue securing the supplemental disability coverage afforded her under Section 3A.(d)(iii) of the Agreement as well as an amount equal to the monthly COBRA premium and administrative fee then in effect for the type of Company-provided group health plan coverage in effect for Executive on the date of termination of employment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family coverage), less the active employee portion of such monthly insurance premium for such coverage, in biweekly installments (or, if different, in accordance with the Company’s payroll practice as in effect from time to time), with such payments commencing on the payroll date immediately following the Release Effective Date and any payments that would have been paid after Executive’s Qualifying Termination but prior to such payroll date shall be aggregated with the first payment paid to Executive hereunder.</w:t>
      </w:r>
    </w:p>
    <w:p>
      <w:pPr>
        <w:spacing w:after="0" w:line="134" w:lineRule="exact"/>
        <w:rPr>
          <w:rFonts w:ascii="Times New Roman" w:cs="Times New Roman" w:eastAsia="Times New Roman" w:hAnsi="Times New Roman"/>
          <w:sz w:val="19"/>
          <w:szCs w:val="19"/>
          <w:color w:val="auto"/>
        </w:rPr>
      </w:pPr>
    </w:p>
    <w:p>
      <w:pPr>
        <w:jc w:val="both"/>
        <w:ind w:firstLine="615"/>
        <w:spacing w:after="0" w:line="250" w:lineRule="auto"/>
        <w:tabs>
          <w:tab w:leader="none" w:pos="1106"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such Qualifying Termination occurs within twenty-four (24) months following the Closing Date, during the 30-month period following Executive’s Separation from Service, the Company shall pay Executive an amount equal to the amount necessary to continue securing the supplemental disability coverage afforded her under Section 3A.(d)(iii) of the Agreement as well as an amount equal to the monthly COBRA premium and administrative fee then in effect for the type of Company-provided group health plan coverage in effect for Executive on the date of termination of employment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family coverage), less the active employee portion of such monthly insurance premium for such coverage, in biweekly installments (or, if different, in accordance with the Company’s payroll practice as in effect from time to time), with such payments commencing on the payroll date immediately following the Release Effective Date and any payments that would have been paid after Executive’s Qualifying Termination but prior to such payroll date shall be aggregated with the first payment paid to Executive hereunder.</w:t>
      </w:r>
    </w:p>
    <w:p>
      <w:pPr>
        <w:spacing w:after="0" w:line="134" w:lineRule="exact"/>
        <w:rPr>
          <w:rFonts w:ascii="Times New Roman" w:cs="Times New Roman" w:eastAsia="Times New Roman" w:hAnsi="Times New Roman"/>
          <w:sz w:val="19"/>
          <w:szCs w:val="19"/>
          <w:color w:val="auto"/>
        </w:rPr>
      </w:pPr>
    </w:p>
    <w:p>
      <w:pPr>
        <w:jc w:val="both"/>
        <w:ind w:firstLine="2"/>
        <w:spacing w:after="0" w:line="266" w:lineRule="auto"/>
        <w:tabs>
          <w:tab w:leader="none" w:pos="4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payment to Executive of any Accrued Obligations, the payment to Executive of the severance benefits described in this Section 1(d) (including any accelerated vesting) shall be subject to (A) Executive’s execution of a Waiver and Release, substantially in the form attached hereto and incorporated herein as Exhibit A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forty-five (45) days following Executive’s termination of employment; provided there has been no revocation or attempted revocation of the Release during the revocation period set forth in the Release (“</w:t>
      </w:r>
      <w:r>
        <w:rPr>
          <w:rFonts w:ascii="Times New Roman" w:cs="Times New Roman" w:eastAsia="Times New Roman" w:hAnsi="Times New Roman"/>
          <w:sz w:val="18"/>
          <w:szCs w:val="18"/>
          <w:b w:val="1"/>
          <w:bCs w:val="1"/>
          <w:i w:val="1"/>
          <w:iCs w:val="1"/>
          <w:color w:val="auto"/>
        </w:rPr>
        <w:t>Revocation Period</w:t>
      </w:r>
      <w:r>
        <w:rPr>
          <w:rFonts w:ascii="Times New Roman" w:cs="Times New Roman" w:eastAsia="Times New Roman" w:hAnsi="Times New Roman"/>
          <w:sz w:val="18"/>
          <w:szCs w:val="18"/>
          <w:color w:val="auto"/>
        </w:rPr>
        <w:t>”) (the date after the lapse of such revocation period without a revocation or attempted revocation,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 and (B) Executive’s compliance with the restrictive covenants set forth in Section 2 hereof (other than any non-compliance that is immaterial, does not result in harm to the Company or its Affiliates, and, if curable, is cured by Executive promptly after receipt of notice thereof given by the Company). Executive acknowledges and agrees that the severance benefits described in this Section 1(d) constitute good and valuable consideration for such release.</w:t>
      </w:r>
    </w:p>
    <w:p>
      <w:pPr>
        <w:spacing w:after="0" w:line="106" w:lineRule="exact"/>
        <w:rPr>
          <w:rFonts w:ascii="Times New Roman" w:cs="Times New Roman" w:eastAsia="Times New Roman" w:hAnsi="Times New Roman"/>
          <w:sz w:val="18"/>
          <w:szCs w:val="18"/>
          <w:color w:val="auto"/>
        </w:rPr>
      </w:pPr>
    </w:p>
    <w:p>
      <w:pPr>
        <w:ind w:left="400" w:hanging="398"/>
        <w:spacing w:after="0"/>
        <w:tabs>
          <w:tab w:leader="none" w:pos="4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6" w:lineRule="exact"/>
        <w:rPr>
          <w:sz w:val="20"/>
          <w:szCs w:val="20"/>
          <w:color w:val="auto"/>
        </w:rPr>
      </w:pPr>
    </w:p>
    <w:p>
      <w:pPr>
        <w:ind w:left="1060" w:hanging="445"/>
        <w:spacing w:after="0"/>
        <w:tabs>
          <w:tab w:leader="none" w:pos="106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means any subsidiary or other entity that is directly or indirectly controlled by the Company.</w:t>
      </w:r>
    </w:p>
    <w:p>
      <w:pPr>
        <w:spacing w:after="0" w:line="164" w:lineRule="exact"/>
        <w:rPr>
          <w:rFonts w:ascii="Times New Roman" w:cs="Times New Roman" w:eastAsia="Times New Roman" w:hAnsi="Times New Roman"/>
          <w:sz w:val="19"/>
          <w:szCs w:val="19"/>
          <w:color w:val="auto"/>
        </w:rPr>
      </w:pPr>
    </w:p>
    <w:p>
      <w:pPr>
        <w:ind w:left="1060" w:hanging="445"/>
        <w:spacing w:after="0"/>
        <w:tabs>
          <w:tab w:leader="none" w:pos="106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 Date</w:t>
      </w:r>
      <w:r>
        <w:rPr>
          <w:rFonts w:ascii="Times New Roman" w:cs="Times New Roman" w:eastAsia="Times New Roman" w:hAnsi="Times New Roman"/>
          <w:sz w:val="19"/>
          <w:szCs w:val="19"/>
          <w:color w:val="auto"/>
        </w:rPr>
        <w:t>” means September 1, 2018.</w:t>
      </w:r>
    </w:p>
    <w:p>
      <w:pPr>
        <w:spacing w:after="0" w:line="152" w:lineRule="exact"/>
        <w:rPr>
          <w:rFonts w:ascii="Times New Roman" w:cs="Times New Roman" w:eastAsia="Times New Roman" w:hAnsi="Times New Roman"/>
          <w:sz w:val="19"/>
          <w:szCs w:val="19"/>
          <w:color w:val="auto"/>
        </w:rPr>
      </w:pPr>
    </w:p>
    <w:p>
      <w:pPr>
        <w:jc w:val="both"/>
        <w:ind w:firstLine="615"/>
        <w:spacing w:after="0" w:line="251" w:lineRule="auto"/>
        <w:tabs>
          <w:tab w:leader="none" w:pos="114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xml:space="preserve">” shall mean the occurrence of any of the following without Executive’s prior written consent: (1) a change in the geographic location at which Executive must perform her services; (2) the Company materially diminishes Executive’s duties and responsibilities or reporting relationships as set forth in Section 1A. of the Agreement; or (3) the Company breaches any material term or condition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Executive’s resignation be for “Good Reason” unless (x) an event or circumstance set forth in clauses (1), (2) or (3) shall have occurred and Executive provides the Company with written notice thereof within thirty (30) days after Executive has knowledge of the occurrence or existence of such event or circumstance, which notice specifically identifies the event or circumstance that Executive believes constitutes Good Reason, (y) the Company fails to correct the circumstance or event so identified within thirty (30) days after the receipt of such notice, and (z) Executive resigns within ninety (90) days after the date of delivery of the notice referred to in clause (x) above.</w:t>
      </w:r>
    </w:p>
    <w:p>
      <w:pPr>
        <w:spacing w:after="0" w:line="132" w:lineRule="exact"/>
        <w:rPr>
          <w:rFonts w:ascii="Times New Roman" w:cs="Times New Roman" w:eastAsia="Times New Roman" w:hAnsi="Times New Roman"/>
          <w:sz w:val="19"/>
          <w:szCs w:val="19"/>
          <w:color w:val="auto"/>
        </w:rPr>
      </w:pPr>
    </w:p>
    <w:p>
      <w:pPr>
        <w:ind w:firstLine="2"/>
        <w:spacing w:after="0" w:line="279" w:lineRule="auto"/>
        <w:tabs>
          <w:tab w:leader="none" w:pos="44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MITIGATION</w:t>
      </w:r>
      <w:r>
        <w:rPr>
          <w:rFonts w:ascii="Times New Roman" w:cs="Times New Roman" w:eastAsia="Times New Roman" w:hAnsi="Times New Roman"/>
          <w:sz w:val="19"/>
          <w:szCs w:val="19"/>
          <w:color w:val="auto"/>
        </w:rPr>
        <w:t>. In the event of termination of Executive’s employment pursuant to Section 1(d), Executive shall not be obligated to seek other employment or take any actions to mitigate the payments or continuation of benefits required under Section 1(d) hereof.</w:t>
      </w:r>
    </w:p>
    <w:p>
      <w:pPr>
        <w:spacing w:after="0" w:line="86" w:lineRule="exact"/>
        <w:rPr>
          <w:rFonts w:ascii="Times New Roman" w:cs="Times New Roman" w:eastAsia="Times New Roman" w:hAnsi="Times New Roman"/>
          <w:sz w:val="19"/>
          <w:szCs w:val="19"/>
          <w:color w:val="auto"/>
        </w:rPr>
      </w:pPr>
    </w:p>
    <w:p>
      <w:pPr>
        <w:jc w:val="both"/>
        <w:ind w:firstLine="2"/>
        <w:spacing w:after="0" w:line="250" w:lineRule="auto"/>
        <w:tabs>
          <w:tab w:leader="none" w:pos="4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ACCRUED OBLIGATIONS</w:t>
      </w:r>
      <w:r>
        <w:rPr>
          <w:rFonts w:ascii="Times New Roman" w:cs="Times New Roman" w:eastAsia="Times New Roman" w:hAnsi="Times New Roman"/>
          <w:sz w:val="19"/>
          <w:szCs w:val="19"/>
          <w:color w:val="auto"/>
        </w:rPr>
        <w:t>. As used in this Agreement, “</w:t>
      </w:r>
      <w:r>
        <w:rPr>
          <w:rFonts w:ascii="Times New Roman" w:cs="Times New Roman" w:eastAsia="Times New Roman" w:hAnsi="Times New Roman"/>
          <w:sz w:val="19"/>
          <w:szCs w:val="19"/>
          <w:b w:val="1"/>
          <w:bCs w:val="1"/>
          <w:i w:val="1"/>
          <w:iCs w:val="1"/>
          <w:color w:val="auto"/>
        </w:rPr>
        <w:t>Accrued Obligations</w:t>
      </w:r>
      <w:r>
        <w:rPr>
          <w:rFonts w:ascii="Times New Roman" w:cs="Times New Roman" w:eastAsia="Times New Roman" w:hAnsi="Times New Roman"/>
          <w:sz w:val="19"/>
          <w:szCs w:val="19"/>
          <w:color w:val="auto"/>
        </w:rPr>
        <w:t>” shall mean the sum of (i) any portion of Executive’s accrued but unpaid Base Salary through the date of death or termination of employment for any reason, as the case may be; (ii) any compensation previously earned but deferred by Executive (together with any interest or earnings thereon) that has not yet been paid, is not considered “deferred compensation” subject to Section 409A and has not otherwise been deferred to a later date pursuant to any deferred compensation arrangement of the Company to which Executive is a party, if any (in which case, any such deferred compensation shall be paid in accordance with the terms of such deferred compensation arrangement and shall not be deemed “Accrued Obligations” pursuant to this Agreement); (iii) other than in the event of Executive’s resignation without Good Reason or termination by the Company for Cause (except as required by applicable law), any portion of Executive’s accrued but unpaid vacation pay through the date of death or termination of employment; (iv) any reimbursements that Executive is entitled to receive under Section 3A.(d)(i) of the Agreement; and (v) any vested benefits or amounts that Executive is otherwise entitled to receive under any plan, policy, practice or program of or any other contract or agreement with the Company in accordance with the terms thereof (other than any such plan, policy, practice or program of the Company that provides benefits in the nature of severance or continuation pay).</w:t>
      </w:r>
    </w:p>
    <w:p>
      <w:pPr>
        <w:spacing w:after="0" w:line="134" w:lineRule="exact"/>
        <w:rPr>
          <w:rFonts w:ascii="Times New Roman" w:cs="Times New Roman" w:eastAsia="Times New Roman" w:hAnsi="Times New Roman"/>
          <w:sz w:val="19"/>
          <w:szCs w:val="19"/>
          <w:color w:val="auto"/>
        </w:rPr>
      </w:pPr>
    </w:p>
    <w:p>
      <w:pPr>
        <w:jc w:val="both"/>
        <w:ind w:firstLine="2"/>
        <w:spacing w:after="0" w:line="252" w:lineRule="auto"/>
        <w:tabs>
          <w:tab w:leader="none" w:pos="405"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Notwithstanding anything to the contrary in this Agreement (including the Standard Terms and Conditions), in the event that any termination of Executive's employment entitles Executive to any severance payments or benefits under the Marriott Vacations Worldwide Corporation Change in Control Severance Plan (as many be amended from time to time, the “</w:t>
      </w:r>
      <w:r>
        <w:rPr>
          <w:rFonts w:ascii="Times New Roman" w:cs="Times New Roman" w:eastAsia="Times New Roman" w:hAnsi="Times New Roman"/>
          <w:sz w:val="19"/>
          <w:szCs w:val="19"/>
          <w:u w:val="single" w:color="auto"/>
          <w:color w:val="auto"/>
        </w:rPr>
        <w:t>CIC Plan</w:t>
      </w:r>
      <w:r>
        <w:rPr>
          <w:rFonts w:ascii="Times New Roman" w:cs="Times New Roman" w:eastAsia="Times New Roman" w:hAnsi="Times New Roman"/>
          <w:sz w:val="19"/>
          <w:szCs w:val="19"/>
          <w:color w:val="auto"/>
        </w:rPr>
        <w:t>”), Executive shall not be entitled to any payments or benefits under this Agreement, and the CIC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13" w:lineRule="exact"/>
        <w:rPr>
          <w:sz w:val="20"/>
          <w:szCs w:val="20"/>
          <w:color w:val="auto"/>
        </w:rPr>
      </w:pPr>
    </w:p>
    <w:p>
      <w:pPr>
        <w:ind w:left="320" w:hanging="318"/>
        <w:spacing w:after="0"/>
        <w:tabs>
          <w:tab w:leader="none" w:pos="3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NON-COMPETITION; NON-SOLICITATION; AND PROPRIETARY RIGHTS.</w:t>
      </w:r>
    </w:p>
    <w:p>
      <w:pPr>
        <w:spacing w:after="0" w:line="165" w:lineRule="exact"/>
        <w:rPr>
          <w:sz w:val="20"/>
          <w:szCs w:val="20"/>
          <w:color w:val="auto"/>
        </w:rPr>
      </w:pPr>
    </w:p>
    <w:p>
      <w:pPr>
        <w:jc w:val="both"/>
        <w:ind w:firstLine="2"/>
        <w:spacing w:after="0" w:line="252" w:lineRule="auto"/>
        <w:tabs>
          <w:tab w:leader="none" w:pos="561"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Executive acknowledges that, while employed by the Company, Executive will occupy a position of trust and confidence. The Company and its Affiliates shall provide Executive with “</w:t>
      </w:r>
      <w:r>
        <w:rPr>
          <w:rFonts w:ascii="Times New Roman" w:cs="Times New Roman" w:eastAsia="Times New Roman" w:hAnsi="Times New Roman"/>
          <w:sz w:val="19"/>
          <w:szCs w:val="19"/>
          <w:b w:val="1"/>
          <w:bCs w:val="1"/>
          <w:i w:val="1"/>
          <w:iCs w:val="1"/>
          <w:color w:val="auto"/>
        </w:rPr>
        <w:t>Confidential Information</w:t>
      </w:r>
      <w:r>
        <w:rPr>
          <w:rFonts w:ascii="Times New Roman" w:cs="Times New Roman" w:eastAsia="Times New Roman" w:hAnsi="Times New Roman"/>
          <w:sz w:val="19"/>
          <w:szCs w:val="19"/>
          <w:color w:val="auto"/>
        </w:rPr>
        <w:t>” as referred to below. Executive shall not, except as may be required to perform Executive’s duties hereunder or as required by applicable law, without limitation in time, communicate, divulge, disseminate, disclose to others or otherwise use, whether directly or indirectly, any Confidential Information regarding the Company and/or any of its Affiliates.</w:t>
      </w:r>
    </w:p>
    <w:p>
      <w:pPr>
        <w:spacing w:after="0" w:line="125" w:lineRule="exact"/>
        <w:rPr>
          <w:sz w:val="20"/>
          <w:szCs w:val="20"/>
          <w:color w:val="auto"/>
        </w:rPr>
      </w:pPr>
    </w:p>
    <w:p>
      <w:pPr>
        <w:jc w:val="both"/>
        <w:ind w:firstLine="6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shall mean information about the Company or any of its Affiliates, and their respective businesses, employees, consultants, contractors, clients and customers that is not disclosed by the Company or any of its Affiliates for financial reporting purposes or otherwise generally made available to, or in the possession of, the public (other than by Executive’s breach of the terms hereof) and that was learned or developed by Executive in the course of employment by the Company or any of its Affiliates, including (without limitation) any proprietary knowledge, trade secrets, data, formulae, information and client and customer lists and all papers, resumes, and records (including computer records) of the documents containing such Confidential Information. Notwithstanding the foregoing provisions, if Executive is required to disclose any such confidential or proprietary information pursuant to applicable law or a subpoena or court order, Executive shall promptly notify the Company in writing of any such requirement so that the Company may seek an appropriate protective order or other appropriate remedy or waive compliance with the provisions hereof. Executive shall reasonably cooperate with the Company to obtain such a protective order or other remedy. If such order or other remedy is not obtained prior to the time Executive is required to make the disclosure, or the Company waives compliance with the provisions hereof, Executive shall be permitted to disclose only that portion of the confidential or proprietary information which she is advised by counsel that she is legally required to so disclose. Executive acknowledges that such Confidential Information is specialized, unique in nature and of great value to the Company and its Affiliates, and that such information gives the Company and its Affiliates a competitive advantage. Executive agrees to deliver or return to the Company, at the Company’s request at any time or upon termination or expiration of Executive’s employment or as soon thereafter as possible, all documents, computer tapes and disks, records, lists, data, drawings, prints, notes and written information (and all copies thereof) furnished by the Company and its Affiliates or prepared by Executive in the course of Executive’s employment by the Company and its Affiliates.</w:t>
      </w:r>
    </w:p>
    <w:p>
      <w:pPr>
        <w:spacing w:after="0" w:line="134"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9"/>
          <w:szCs w:val="19"/>
          <w:color w:val="auto"/>
        </w:rPr>
        <w:t>Notwithstanding the foregoing, pursuant to 18 U.S.C. § 1833(b), Executive understands that she will not be held criminally or civilly liable under any Federal or State trade secret law for the disclosure of a trade secret of the Company that (i) is made (A) in confidence to a Federal, State, or local government official, either directly or indirectly, or to her attorney and (B) solely for the purpose of reporting or investigating a suspected violation of law; or (ii) is made in a complaint or other document that is filed under seal in a lawsuit or other proceeding. Executive understands that if she files a lawsuit for retaliation by the Company for reporting a suspected violation of law, she may disclose the trade secret to her attorney and use the trade secret information in the court proceeding if she (I) files any document containing the trade secret under seal, and (II)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13"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9"/>
          <w:szCs w:val="19"/>
          <w:color w:val="auto"/>
        </w:rPr>
        <w:t>Nothing in this Agreement, or any other agreement that Executive has with the Company, is intended to conflict with 18 U.S.C. § 1833(b) or create liability for disclosures of trade secrets that are expressly allowed by such section. Further, nothing in this Agreement or any other agreement that Executive has with the Company shall prohibit or restrict her from making any voluntary disclosure of information or documents concerning possible violations of law to any governmental agency or legislative body, or any self-regulatory organization, in each case, without advance notice to the Company.</w:t>
      </w:r>
    </w:p>
    <w:p>
      <w:pPr>
        <w:spacing w:after="0" w:line="131" w:lineRule="exact"/>
        <w:rPr>
          <w:sz w:val="20"/>
          <w:szCs w:val="20"/>
          <w:color w:val="auto"/>
        </w:rPr>
      </w:pPr>
    </w:p>
    <w:p>
      <w:pPr>
        <w:jc w:val="both"/>
        <w:ind w:firstLine="2"/>
        <w:spacing w:after="0" w:line="256" w:lineRule="auto"/>
        <w:tabs>
          <w:tab w:leader="none" w:pos="48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In consideration of this Agreement, and other good and valuable consideration provided hereunder, the receipt and sufficiency of which are hereby acknowledged by Executive, Executive hereby agrees and covenants that, during Executive’s employment hereunder and for a period of twenty-four (24) months thereafter (the “</w:t>
      </w:r>
      <w:r>
        <w:rPr>
          <w:rFonts w:ascii="Times New Roman" w:cs="Times New Roman" w:eastAsia="Times New Roman" w:hAnsi="Times New Roman"/>
          <w:sz w:val="19"/>
          <w:szCs w:val="19"/>
          <w:b w:val="1"/>
          <w:bCs w:val="1"/>
          <w:i w:val="1"/>
          <w:iCs w:val="1"/>
          <w:color w:val="auto"/>
        </w:rPr>
        <w:t>Restricted Period</w:t>
      </w:r>
      <w:r>
        <w:rPr>
          <w:rFonts w:ascii="Times New Roman" w:cs="Times New Roman" w:eastAsia="Times New Roman" w:hAnsi="Times New Roman"/>
          <w:sz w:val="19"/>
          <w:szCs w:val="19"/>
          <w:color w:val="auto"/>
        </w:rPr>
        <w:t>”), Executive shall not, without the prior written consent of the Company, directly or indirectly, engage in or become associated with a Competitive Activity.</w:t>
      </w:r>
    </w:p>
    <w:p>
      <w:pPr>
        <w:spacing w:after="0" w:line="110" w:lineRule="exact"/>
        <w:rPr>
          <w:sz w:val="20"/>
          <w:szCs w:val="20"/>
          <w:color w:val="auto"/>
        </w:rPr>
      </w:pPr>
    </w:p>
    <w:p>
      <w:pPr>
        <w:jc w:val="both"/>
        <w:ind w:firstLine="613"/>
        <w:spacing w:after="0" w:line="251" w:lineRule="auto"/>
        <w:rPr>
          <w:sz w:val="20"/>
          <w:szCs w:val="20"/>
          <w:color w:val="auto"/>
        </w:rPr>
      </w:pPr>
      <w:r>
        <w:rPr>
          <w:rFonts w:ascii="Times New Roman" w:cs="Times New Roman" w:eastAsia="Times New Roman" w:hAnsi="Times New Roman"/>
          <w:sz w:val="19"/>
          <w:szCs w:val="19"/>
          <w:color w:val="auto"/>
        </w:rPr>
        <w:t>For purposes of this Section 2(b), (i) a “</w:t>
      </w:r>
      <w:r>
        <w:rPr>
          <w:rFonts w:ascii="Times New Roman" w:cs="Times New Roman" w:eastAsia="Times New Roman" w:hAnsi="Times New Roman"/>
          <w:sz w:val="19"/>
          <w:szCs w:val="19"/>
          <w:b w:val="1"/>
          <w:bCs w:val="1"/>
          <w:i w:val="1"/>
          <w:iCs w:val="1"/>
          <w:color w:val="auto"/>
        </w:rPr>
        <w:t>Competitive Activity</w:t>
      </w:r>
      <w:r>
        <w:rPr>
          <w:rFonts w:ascii="Times New Roman" w:cs="Times New Roman" w:eastAsia="Times New Roman" w:hAnsi="Times New Roman"/>
          <w:sz w:val="19"/>
          <w:szCs w:val="19"/>
          <w:color w:val="auto"/>
        </w:rPr>
        <w:t>” means, any business or other endeavor involving Similar Products if such business or endeavor is in a country (including the United States) in which the Company (or any of its businesses) (x) at the time of Executive’s termination provides or planned to provide such Similar Products or (y) during Executive’s employment provided, such Similar Products; (ii) “</w:t>
      </w:r>
      <w:r>
        <w:rPr>
          <w:rFonts w:ascii="Times New Roman" w:cs="Times New Roman" w:eastAsia="Times New Roman" w:hAnsi="Times New Roman"/>
          <w:sz w:val="19"/>
          <w:szCs w:val="19"/>
          <w:b w:val="1"/>
          <w:bCs w:val="1"/>
          <w:i w:val="1"/>
          <w:iCs w:val="1"/>
          <w:color w:val="auto"/>
        </w:rPr>
        <w:t>Similar Products</w:t>
      </w:r>
      <w:r>
        <w:rPr>
          <w:rFonts w:ascii="Times New Roman" w:cs="Times New Roman" w:eastAsia="Times New Roman" w:hAnsi="Times New Roman"/>
          <w:sz w:val="19"/>
          <w:szCs w:val="19"/>
          <w:color w:val="auto"/>
        </w:rPr>
        <w:t>” means any products or services that are the same or substantially similar to any of the types of products or services that the Company and/or any other business for which Executive may, during the Term, have direct or indirect responsibility hereunder provides or planned to provide during Executive’s employment hereunder; and (iii) Executive shall be considered to have become “associated with a Competitive Activity” if Executive becomes directly or indirectly involved as an owner, principal, employee, officer, director, independent contractor, representative, stockholder, financial backer, agent, partner, member, advisor, lender, consultant or in any other individual or representative capacity with any individual, partnership, corporation or other organization that is engaged in a Competitive Activity.</w:t>
      </w:r>
    </w:p>
    <w:p>
      <w:pPr>
        <w:spacing w:after="0" w:line="134"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9"/>
          <w:szCs w:val="19"/>
          <w:color w:val="auto"/>
        </w:rPr>
        <w:t>Notwithstanding the foregoing, Executive may make and retain investments during the Restricted Period, for investment purposes only, in less than one percent (1%) of the outstanding capital stock of any publicly-traded corporation engaged in a Competitive Activity if the stock of such corporation is either listed on a national stock exchange or on the NASDAQ National Market System if Executive is not otherwise affiliated with such corporation. Executive acknowledges that Executive’s covenants under this Section 2(b) are a material inducement to the Company’s entering into this Agreement.</w:t>
      </w:r>
    </w:p>
    <w:p>
      <w:pPr>
        <w:spacing w:after="0" w:line="131" w:lineRule="exact"/>
        <w:rPr>
          <w:sz w:val="20"/>
          <w:szCs w:val="20"/>
          <w:color w:val="auto"/>
        </w:rPr>
      </w:pPr>
    </w:p>
    <w:p>
      <w:pPr>
        <w:jc w:val="both"/>
        <w:ind w:firstLine="2"/>
        <w:spacing w:after="0" w:line="269" w:lineRule="auto"/>
        <w:tabs>
          <w:tab w:leader="none" w:pos="5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Executive recognizes that she will possess Confidential Information about other employees, consultants and contractors of the Company and its Affiliates relating to their education, experience, skills, abilities, compensation and benefits, and inter-personal relationships with suppliers to and customers of the Company and its Affiliates. Executive recognizes that the information she will possess about these other employees, consultants and contractors is not generally known, is of substantial value to the Company and its Affiliates in developing their respective businesses and in securing and retaining customers, and will be acquired by Executive because of Executive’s business position with the Company. Executive agrees that, during the Restricted Period, Executive will not, directly or indirectly, solicit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or recruit any employee of (i) the Company and/or (ii) its Affiliates with whom Executive has had direct contact during her employment hereunder, in all cases, for the purpose of being employed by Executive or by any business, individual, partnership, firm, corporation or other entity on whose behalf Executive is acting as an agent, representative or employee and that Executive will not convey any such Confidential Information or trade secrets about employees of the Company or any of its Affiliates to any other person except within the scope of Executive’s duties hereunder. Notwithstanding the foregoing, Executive is not precluded from soliciting any individual who (i) responds to any public advertisement or general solicitation or (ii) has been terminated by the Company prior to the solicitation.</w:t>
      </w:r>
    </w:p>
    <w:p>
      <w:pPr>
        <w:spacing w:after="0" w:line="131" w:lineRule="exact"/>
        <w:rPr>
          <w:sz w:val="20"/>
          <w:szCs w:val="20"/>
          <w:color w:val="auto"/>
        </w:rPr>
      </w:pPr>
    </w:p>
    <w:p>
      <w:pPr>
        <w:ind w:left="440" w:hanging="438"/>
        <w:spacing w:after="0"/>
        <w:tabs>
          <w:tab w:leader="none" w:pos="44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 OF CUSTOMERS</w:t>
      </w:r>
      <w:r>
        <w:rPr>
          <w:rFonts w:ascii="Times New Roman" w:cs="Times New Roman" w:eastAsia="Times New Roman" w:hAnsi="Times New Roman"/>
          <w:sz w:val="19"/>
          <w:szCs w:val="19"/>
          <w:color w:val="auto"/>
        </w:rPr>
        <w:t>. During the Restricted Period, Executive shall not solicit any customers of (i) the Company and/or</w:t>
      </w:r>
    </w:p>
    <w:p>
      <w:pPr>
        <w:spacing w:after="0" w:line="18" w:lineRule="exact"/>
        <w:rPr>
          <w:rFonts w:ascii="Times New Roman" w:cs="Times New Roman" w:eastAsia="Times New Roman" w:hAnsi="Times New Roman"/>
          <w:sz w:val="19"/>
          <w:szCs w:val="19"/>
          <w:color w:val="auto"/>
        </w:rPr>
      </w:pPr>
    </w:p>
    <w:p>
      <w:pPr>
        <w:jc w:val="both"/>
        <w:ind w:firstLine="2"/>
        <w:spacing w:after="0" w:line="248" w:lineRule="auto"/>
        <w:tabs>
          <w:tab w:leader="none" w:pos="29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its Affiliates with whom Executive has direct contact during her employment hereunder or encourage (regardless of who initiates the contact) any such customers to use the facilities or services of any competitor of (i) the Company and/or (ii) any of its Affiliates with whom Executive has direct contact during her employment hereunder.</w:t>
      </w:r>
    </w:p>
    <w:p>
      <w:pPr>
        <w:spacing w:after="0" w:line="133" w:lineRule="exact"/>
        <w:rPr>
          <w:rFonts w:ascii="Times New Roman" w:cs="Times New Roman" w:eastAsia="Times New Roman" w:hAnsi="Times New Roman"/>
          <w:sz w:val="19"/>
          <w:szCs w:val="19"/>
          <w:color w:val="auto"/>
        </w:rPr>
      </w:pPr>
    </w:p>
    <w:p>
      <w:pPr>
        <w:jc w:val="both"/>
        <w:ind w:firstLine="2"/>
        <w:spacing w:after="0" w:line="256" w:lineRule="auto"/>
        <w:tabs>
          <w:tab w:leader="none" w:pos="40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 OF BUSINESS PARTNERS</w:t>
      </w:r>
      <w:r>
        <w:rPr>
          <w:rFonts w:ascii="Times New Roman" w:cs="Times New Roman" w:eastAsia="Times New Roman" w:hAnsi="Times New Roman"/>
          <w:sz w:val="19"/>
          <w:szCs w:val="19"/>
          <w:color w:val="auto"/>
        </w:rPr>
        <w:t>. During the Restricted Period, Executive shall not, without the prior written consent of the Company, persuade or encourage any business partners or business affiliates of (i) the Company and/or (ii) any of its Affiliates with whom Executive has direct contact during her employment hereunder, in each case, to cease doing business with the Company and/or any of its Affiliates or to engage in any business competitive with the Company and/or its Affiliates.</w:t>
      </w:r>
    </w:p>
    <w:p>
      <w:pPr>
        <w:spacing w:after="0" w:line="115" w:lineRule="exact"/>
        <w:rPr>
          <w:rFonts w:ascii="Times New Roman" w:cs="Times New Roman" w:eastAsia="Times New Roman" w:hAnsi="Times New Roman"/>
          <w:sz w:val="19"/>
          <w:szCs w:val="19"/>
          <w:color w:val="auto"/>
        </w:rPr>
      </w:pPr>
    </w:p>
    <w:p>
      <w:pPr>
        <w:jc w:val="both"/>
        <w:ind w:firstLine="2"/>
        <w:spacing w:after="0" w:line="256" w:lineRule="auto"/>
        <w:tabs>
          <w:tab w:leader="none" w:pos="413"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The Company will not disparage Executive or Executive’s performance or otherwise take any action which could reasonably be expected to adversely affect Executive’s personal or professional reputation. Similarly, Executive will not disparage the Company or any of its directors, officers, or employees or otherwise take any action which could reasonably be expected to adversely affect the reputation of the Company or any of its directors, officers, or employees.</w:t>
      </w:r>
    </w:p>
    <w:p>
      <w:pPr>
        <w:spacing w:after="0" w:line="128" w:lineRule="exact"/>
        <w:rPr>
          <w:rFonts w:ascii="Times New Roman" w:cs="Times New Roman" w:eastAsia="Times New Roman" w:hAnsi="Times New Roman"/>
          <w:sz w:val="19"/>
          <w:szCs w:val="19"/>
          <w:color w:val="auto"/>
        </w:rPr>
      </w:pPr>
    </w:p>
    <w:p>
      <w:pPr>
        <w:jc w:val="both"/>
        <w:ind w:firstLine="2"/>
        <w:spacing w:after="0" w:line="249" w:lineRule="auto"/>
        <w:tabs>
          <w:tab w:leader="none" w:pos="55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PROPRIETARY RIGHTS; ASSIGNMENT</w:t>
      </w:r>
      <w:r>
        <w:rPr>
          <w:rFonts w:ascii="Times New Roman" w:cs="Times New Roman" w:eastAsia="Times New Roman" w:hAnsi="Times New Roman"/>
          <w:sz w:val="19"/>
          <w:szCs w:val="19"/>
          <w:color w:val="auto"/>
        </w:rPr>
        <w:t>. All Employee Developments (defined below) shall be considered works made for hire by Executive for the Company or, as applicable, its Affiliates, and Executive agrees that all rights of any kind in any Employee Developments belong exclusively to the Company. In order to permit the Company to exploit such Employee Developments, Executive shall promptly and fully report all such Employee Developments to the Company. Except in furtherance of her obligations as an employee of the Company, Executive shall not use or reproduce any portion of any record associated with any Employee Development without prior written consent of the Company or, as applicable, its Affiliates. Executive agrees that in the event actions of Executive are required to ensure that such rights belong to the Company under applicable laws, Executive will cooperate and take whatever such actions are reasonably requested by the Company, whether during or after the Term, and without the need for separate or additional compensation. “</w:t>
      </w:r>
      <w:r>
        <w:rPr>
          <w:rFonts w:ascii="Times New Roman" w:cs="Times New Roman" w:eastAsia="Times New Roman" w:hAnsi="Times New Roman"/>
          <w:sz w:val="19"/>
          <w:szCs w:val="19"/>
          <w:b w:val="1"/>
          <w:bCs w:val="1"/>
          <w:i w:val="1"/>
          <w:iCs w:val="1"/>
          <w:color w:val="auto"/>
        </w:rPr>
        <w:t>Employee Developments</w:t>
      </w:r>
      <w:r>
        <w:rPr>
          <w:rFonts w:ascii="Times New Roman" w:cs="Times New Roman" w:eastAsia="Times New Roman" w:hAnsi="Times New Roman"/>
          <w:sz w:val="19"/>
          <w:szCs w:val="19"/>
          <w:color w:val="auto"/>
        </w:rPr>
        <w:t>” means any idea, know-how, discovery, invention, design, method, technique, improvement, enhancement, development, computer program, machine, algorithm or other work of authorship, in each case, (i) that (A) concerns or relates to the actual or anticipated business, research or development activities, or operations of the Company or any of its Affiliates, or (B) results from or is suggested by any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assigned to Executive or work performed by Executive for or on behalf of the Company or any of its Affiliates, whether created alone or with others, during or after working hours, or (C) uses, incorporates or is based on Company equipment, supplies, facilities, trade secrets or inventions of any form or type, and (ii) that is developed, conceived or reduced to practice during the period that Executive is employed with the Company. All Confidential Information and all Employee Developments are and shall remain the sole property of the Company or any of its Affiliates. Executive shall acquire no proprietary interest in any Confidential Information or Employee Developments developed or acquired during the Term. To the extent Executive may, by operation of law or otherwise, acquire any right, title or interest in or to any Confidential Information or Employee Development, Executive hereby assigns and covenants to assign to the Company all such proprietary rights without the need for a separate writing or additional compensation. Executive shall, both during and after the Term, upon the Company’s request, promptly execute, acknowledge, and deliver to the Company all such assignments, confirmations of assignment, certificates, and instruments, and shall promptly perform such other acts, as the Company may from time to time in its discretion deem necessary or desirable to evidence, establish, maintain, perfect, enforce or defend the Company’s rights in Confidential Information and Employee Developments.</w:t>
      </w:r>
    </w:p>
    <w:p>
      <w:pPr>
        <w:spacing w:after="0" w:line="139" w:lineRule="exact"/>
        <w:rPr>
          <w:sz w:val="20"/>
          <w:szCs w:val="20"/>
          <w:color w:val="auto"/>
        </w:rPr>
      </w:pPr>
    </w:p>
    <w:p>
      <w:pPr>
        <w:jc w:val="both"/>
        <w:ind w:firstLine="2"/>
        <w:spacing w:after="0" w:line="259" w:lineRule="auto"/>
        <w:tabs>
          <w:tab w:leader="none" w:pos="55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POLICIES AND PROCEDURES</w:t>
      </w:r>
      <w:r>
        <w:rPr>
          <w:rFonts w:ascii="Times New Roman" w:cs="Times New Roman" w:eastAsia="Times New Roman" w:hAnsi="Times New Roman"/>
          <w:sz w:val="19"/>
          <w:szCs w:val="19"/>
          <w:color w:val="auto"/>
        </w:rPr>
        <w:t>. During the period that Executive is employed with the Company hereunder, Executive shall adhere to the policies and standards of professionalism set forth in the Company’s Policies and Procedures applicable to all employees of the Company, as they may exist from time to time.</w:t>
      </w:r>
    </w:p>
    <w:p>
      <w:pPr>
        <w:spacing w:after="0" w:line="110" w:lineRule="exact"/>
        <w:rPr>
          <w:rFonts w:ascii="Times New Roman" w:cs="Times New Roman" w:eastAsia="Times New Roman" w:hAnsi="Times New Roman"/>
          <w:sz w:val="19"/>
          <w:szCs w:val="19"/>
          <w:color w:val="auto"/>
        </w:rPr>
      </w:pPr>
    </w:p>
    <w:p>
      <w:pPr>
        <w:jc w:val="both"/>
        <w:ind w:firstLine="2"/>
        <w:spacing w:after="0" w:line="250" w:lineRule="auto"/>
        <w:tabs>
          <w:tab w:leader="none" w:pos="466"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POST-SEPARATION COOPERATION</w:t>
      </w:r>
      <w:r>
        <w:rPr>
          <w:rFonts w:ascii="Times New Roman" w:cs="Times New Roman" w:eastAsia="Times New Roman" w:hAnsi="Times New Roman"/>
          <w:sz w:val="19"/>
          <w:szCs w:val="19"/>
          <w:color w:val="auto"/>
        </w:rPr>
        <w:t>. Following the expiration or termination of the Executive’s employment for any reason, Executive agrees to make herself reasonably available to the Company and/or its Affiliates to respond to requests for documents and information concerning matters involving facts or events relating to the Company or any of its Affiliates that may be within her knowledge, and further agrees to provide truthful information to the Company, its Affiliates, or any of their respective representatives as reasonably requested with respect to any pending and future litigation, arbitration, other dispute resolution, investigation or request for information. Executive also agrees to make herself reasonably available to assist the Company and its Affiliates in connection with any administrative, civil or criminal matter or proceeding brought by or brought against the Company and/or any of its Affiliates, in which and to the extent the Company, its Affiliates or any of their respective representatives reasonably deem Executive’s cooperation necessary. Executive shall be reimbursed for her reasonable out-of-pocket expenses incurred as a result of such cooperation.</w:t>
      </w:r>
    </w:p>
    <w:p>
      <w:pPr>
        <w:spacing w:after="0" w:line="136" w:lineRule="exact"/>
        <w:rPr>
          <w:rFonts w:ascii="Times New Roman" w:cs="Times New Roman" w:eastAsia="Times New Roman" w:hAnsi="Times New Roman"/>
          <w:sz w:val="19"/>
          <w:szCs w:val="19"/>
          <w:color w:val="auto"/>
        </w:rPr>
      </w:pPr>
    </w:p>
    <w:p>
      <w:pPr>
        <w:jc w:val="both"/>
        <w:ind w:firstLine="2"/>
        <w:spacing w:after="0" w:line="252" w:lineRule="auto"/>
        <w:tabs>
          <w:tab w:leader="none" w:pos="36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 OF PROVISIONS</w:t>
      </w:r>
      <w:r>
        <w:rPr>
          <w:rFonts w:ascii="Times New Roman" w:cs="Times New Roman" w:eastAsia="Times New Roman" w:hAnsi="Times New Roman"/>
          <w:sz w:val="19"/>
          <w:szCs w:val="19"/>
          <w:color w:val="auto"/>
        </w:rPr>
        <w:t>. The obligations contained in this Section 2 shall, to the extent provided in this Section 2, survive the termination or expiration of Executive’s employment with the Company and, as applicable, shall be fully enforceable thereafter in accordance with the terms of this Agreement. If it is determined by a court of competent jurisdiction that any restriction in this Section 2 is excessive in duration or scope or is unreasonable or unenforceable under applicable law, it is the intention of the parties that such restriction may be modified or amended by the court to render it enforceable to the maximum extent permitted by applicable law.</w:t>
      </w:r>
    </w:p>
    <w:p>
      <w:pPr>
        <w:spacing w:after="0" w:line="131" w:lineRule="exact"/>
        <w:rPr>
          <w:sz w:val="20"/>
          <w:szCs w:val="20"/>
          <w:color w:val="auto"/>
        </w:rPr>
      </w:pPr>
    </w:p>
    <w:p>
      <w:pPr>
        <w:ind w:firstLine="2"/>
        <w:spacing w:after="0" w:line="265" w:lineRule="auto"/>
        <w:tabs>
          <w:tab w:leader="none" w:pos="353"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PRIOR AGREEMENTS</w:t>
      </w:r>
      <w:r>
        <w:rPr>
          <w:rFonts w:ascii="Times New Roman" w:cs="Times New Roman" w:eastAsia="Times New Roman" w:hAnsi="Times New Roman"/>
          <w:sz w:val="19"/>
          <w:szCs w:val="19"/>
          <w:color w:val="auto"/>
        </w:rPr>
        <w:t>. This Agreement, together with its Exhibit A and the Standard Terms and Conditions, constitutes the entire agreement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and, as of the Effective Date, terminates and supersedes (i) any and all prior agreements and understandings (whether written or oral) between the parties with respect to the subject matter of this Agreement and (ii) the Original Employment Agreement (including, without limitation, the Standard Terms and Conditions constituting part of the Original Employment Agreement). Executive acknowledges and agrees that neither the Company nor anyone acting on its behalf has made, and is not making, and in executing this Agreement, Executive has not relied upon, any representations, promises or inducements except to the extent the same is expressly set forth in this Agreement.</w:t>
      </w:r>
    </w:p>
    <w:p>
      <w:pPr>
        <w:spacing w:after="0" w:line="131" w:lineRule="exact"/>
        <w:rPr>
          <w:sz w:val="20"/>
          <w:szCs w:val="20"/>
          <w:color w:val="auto"/>
        </w:rPr>
      </w:pPr>
    </w:p>
    <w:p>
      <w:pPr>
        <w:jc w:val="both"/>
        <w:ind w:firstLine="2"/>
        <w:spacing w:after="0" w:line="252" w:lineRule="auto"/>
        <w:tabs>
          <w:tab w:leader="none" w:pos="353"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SUCCESSORS</w:t>
      </w:r>
      <w:r>
        <w:rPr>
          <w:rFonts w:ascii="Times New Roman" w:cs="Times New Roman" w:eastAsia="Times New Roman" w:hAnsi="Times New Roman"/>
          <w:sz w:val="19"/>
          <w:szCs w:val="19"/>
          <w:color w:val="auto"/>
        </w:rPr>
        <w:t>. This Agreement is personal in its nature and none of the parties hereto shall, without the consent of the other, assign or transfer this Agreement or any rights or obligations hereunder; provided that in the event of the merger, consolidation, transfer, or sale of all or substantially all of the assets of the Company (a “</w:t>
      </w:r>
      <w:r>
        <w:rPr>
          <w:rFonts w:ascii="Times New Roman" w:cs="Times New Roman" w:eastAsia="Times New Roman" w:hAnsi="Times New Roman"/>
          <w:sz w:val="19"/>
          <w:szCs w:val="19"/>
          <w:b w:val="1"/>
          <w:bCs w:val="1"/>
          <w:i w:val="1"/>
          <w:iCs w:val="1"/>
          <w:color w:val="auto"/>
        </w:rPr>
        <w:t>Transaction</w:t>
      </w:r>
      <w:r>
        <w:rPr>
          <w:rFonts w:ascii="Times New Roman" w:cs="Times New Roman" w:eastAsia="Times New Roman" w:hAnsi="Times New Roman"/>
          <w:sz w:val="19"/>
          <w:szCs w:val="19"/>
          <w:color w:val="auto"/>
        </w:rPr>
        <w:t>”)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in the event of any such assignment or Transaction, all references herein to the “Company” shall refer to the Company’s assignee or successor hereunder.</w:t>
      </w:r>
    </w:p>
    <w:p>
      <w:pPr>
        <w:spacing w:after="0" w:line="131" w:lineRule="exact"/>
        <w:rPr>
          <w:rFonts w:ascii="Times New Roman" w:cs="Times New Roman" w:eastAsia="Times New Roman" w:hAnsi="Times New Roman"/>
          <w:sz w:val="19"/>
          <w:szCs w:val="19"/>
          <w:color w:val="auto"/>
        </w:rPr>
      </w:pPr>
    </w:p>
    <w:p>
      <w:pPr>
        <w:ind w:firstLine="2"/>
        <w:spacing w:after="0" w:line="265" w:lineRule="auto"/>
        <w:tabs>
          <w:tab w:leader="none" w:pos="366"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The Company shall make such deductions and withhold such amounts from each payment and benefit made or provided to Executive hereunder, as may be required from time to time by applicable law, governmental regulation or order.</w:t>
      </w:r>
    </w:p>
    <w:p>
      <w:pPr>
        <w:spacing w:after="0" w:line="118" w:lineRule="exact"/>
        <w:rPr>
          <w:rFonts w:ascii="Times New Roman" w:cs="Times New Roman" w:eastAsia="Times New Roman" w:hAnsi="Times New Roman"/>
          <w:sz w:val="19"/>
          <w:szCs w:val="19"/>
          <w:color w:val="auto"/>
        </w:rPr>
      </w:pPr>
    </w:p>
    <w:p>
      <w:pPr>
        <w:jc w:val="both"/>
        <w:ind w:firstLine="2"/>
        <w:spacing w:after="0" w:line="259" w:lineRule="auto"/>
        <w:tabs>
          <w:tab w:leader="none" w:pos="3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 REFERENCES</w:t>
      </w:r>
      <w:r>
        <w:rPr>
          <w:rFonts w:ascii="Times New Roman" w:cs="Times New Roman" w:eastAsia="Times New Roman" w:hAnsi="Times New Roman"/>
          <w:sz w:val="19"/>
          <w:szCs w:val="19"/>
          <w:color w:val="auto"/>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and Exhibit A attached hereto, taken as a whole.</w:t>
      </w:r>
    </w:p>
    <w:p>
      <w:pPr>
        <w:spacing w:after="0" w:line="123" w:lineRule="exact"/>
        <w:rPr>
          <w:rFonts w:ascii="Times New Roman" w:cs="Times New Roman" w:eastAsia="Times New Roman" w:hAnsi="Times New Roman"/>
          <w:sz w:val="19"/>
          <w:szCs w:val="19"/>
          <w:color w:val="auto"/>
        </w:rPr>
      </w:pPr>
    </w:p>
    <w:p>
      <w:pPr>
        <w:jc w:val="both"/>
        <w:ind w:firstLine="2"/>
        <w:spacing w:after="0" w:line="252" w:lineRule="auto"/>
        <w:tabs>
          <w:tab w:leader="none" w:pos="40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REMEDIES FOR BREACH</w:t>
      </w:r>
      <w:r>
        <w:rPr>
          <w:rFonts w:ascii="Times New Roman" w:cs="Times New Roman" w:eastAsia="Times New Roman" w:hAnsi="Times New Roman"/>
          <w:sz w:val="19"/>
          <w:szCs w:val="19"/>
          <w:color w:val="auto"/>
        </w:rPr>
        <w:t>. Executive expressly agrees and understands that Executive will notify the Company in writing of any alleged breach of this Agreement by the Company, and the Company will have thirty (30) days from receipt of Executive’s notice to cure any such breach. Executive expressly agrees and understands that in the event of any termination of Executive’s employment by the Company during the Term, regardless of whether such termination follows the occurrence of a Change in Control (as defined in the CIC Plan), the Company’s contractual obligations to Executive shall be fulfilled through compliance with its obligations under Section 1 of the Standard Terms and Conditions.</w:t>
      </w:r>
    </w:p>
    <w:p>
      <w:pPr>
        <w:spacing w:after="0" w:line="118"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9"/>
          <w:szCs w:val="19"/>
          <w:color w:val="auto"/>
        </w:rPr>
        <w:t>Executive expressly agrees and understands that the remedy at law for any breach by Executive of Section 2 of the Standard Terms and Conditions will be inadequate and that damages flowing from such breach are not usually susceptible to being measured in monetary terms. Accordingly, it is acknowledged that, upon Executive’s violation of any provision of such Section 2,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shall be deemed to limit the Company’s remedies at law or in equity for any breach by Executive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provisions of this Agreement, including Section 2, which may be pursued by or available to the Company.</w:t>
      </w:r>
    </w:p>
    <w:p>
      <w:pPr>
        <w:spacing w:after="0" w:line="165" w:lineRule="exact"/>
        <w:rPr>
          <w:sz w:val="20"/>
          <w:szCs w:val="20"/>
          <w:color w:val="auto"/>
        </w:rPr>
      </w:pPr>
    </w:p>
    <w:p>
      <w:pPr>
        <w:jc w:val="both"/>
        <w:ind w:firstLine="2"/>
        <w:spacing w:after="0" w:line="252" w:lineRule="auto"/>
        <w:tabs>
          <w:tab w:leader="none" w:pos="3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MODIFICATION</w:t>
      </w:r>
      <w:r>
        <w:rPr>
          <w:rFonts w:ascii="Times New Roman" w:cs="Times New Roman" w:eastAsia="Times New Roman" w:hAnsi="Times New Roman"/>
          <w:sz w:val="19"/>
          <w:szCs w:val="19"/>
          <w:color w:val="auto"/>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except by a writing executed by each party hereto.</w:t>
      </w:r>
    </w:p>
    <w:p>
      <w:pPr>
        <w:spacing w:after="0" w:line="130" w:lineRule="exact"/>
        <w:rPr>
          <w:rFonts w:ascii="Times New Roman" w:cs="Times New Roman" w:eastAsia="Times New Roman" w:hAnsi="Times New Roman"/>
          <w:sz w:val="19"/>
          <w:szCs w:val="19"/>
          <w:color w:val="auto"/>
        </w:rPr>
      </w:pPr>
    </w:p>
    <w:p>
      <w:pPr>
        <w:jc w:val="both"/>
        <w:ind w:firstLine="2"/>
        <w:spacing w:after="0" w:line="256" w:lineRule="auto"/>
        <w:tabs>
          <w:tab w:leader="none" w:pos="3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spacing w:after="0" w:line="115" w:lineRule="exact"/>
        <w:rPr>
          <w:rFonts w:ascii="Times New Roman" w:cs="Times New Roman" w:eastAsia="Times New Roman" w:hAnsi="Times New Roman"/>
          <w:sz w:val="19"/>
          <w:szCs w:val="19"/>
          <w:color w:val="auto"/>
        </w:rPr>
      </w:pPr>
    </w:p>
    <w:p>
      <w:pPr>
        <w:ind w:left="420" w:hanging="418"/>
        <w:spacing w:after="0"/>
        <w:tabs>
          <w:tab w:leader="none" w:pos="4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LEGAL FEES; INDEMNIFICATION; DIRECTOR AND OFFICER INSURANCE.</w:t>
      </w:r>
    </w:p>
    <w:p>
      <w:pPr>
        <w:spacing w:after="0" w:line="165" w:lineRule="exact"/>
        <w:rPr>
          <w:sz w:val="20"/>
          <w:szCs w:val="20"/>
          <w:color w:val="auto"/>
        </w:rPr>
      </w:pPr>
    </w:p>
    <w:p>
      <w:pPr>
        <w:jc w:val="both"/>
        <w:ind w:firstLine="2"/>
        <w:spacing w:after="0" w:line="256" w:lineRule="auto"/>
        <w:tabs>
          <w:tab w:leader="none" w:pos="485"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 the event of any contest or dispute between the Company and Executive with respect to this Agreement or Executive’s employment hereunder, each of the parties shall be responsible for its respective legal fees and expenses;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Executive prevails on any material issue in any action, the Company shall reimburse Executive any reasonable legal fees and expenses incurred by Executive in connection with such action.</w:t>
      </w:r>
    </w:p>
    <w:p>
      <w:pPr>
        <w:spacing w:after="0" w:line="116" w:lineRule="exact"/>
        <w:rPr>
          <w:sz w:val="20"/>
          <w:szCs w:val="20"/>
          <w:color w:val="auto"/>
        </w:rPr>
      </w:pPr>
    </w:p>
    <w:p>
      <w:pPr>
        <w:ind w:right="80" w:firstLine="2"/>
        <w:spacing w:after="0" w:line="279" w:lineRule="auto"/>
        <w:tabs>
          <w:tab w:leader="none" w:pos="41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any contest or dispute between the Company and Executive, Executive shall have the right to use counsel appointed by Executive in her sole and absolute discretion.</w:t>
      </w:r>
    </w:p>
    <w:p>
      <w:pPr>
        <w:spacing w:after="0" w:line="105" w:lineRule="exact"/>
        <w:rPr>
          <w:sz w:val="20"/>
          <w:szCs w:val="20"/>
          <w:color w:val="auto"/>
        </w:rPr>
      </w:pPr>
    </w:p>
    <w:p>
      <w:pPr>
        <w:ind w:right="40" w:firstLine="2"/>
        <w:spacing w:after="0" w:line="252" w:lineRule="auto"/>
        <w:tabs>
          <w:tab w:leader="none" w:pos="40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shall indemnify and hold Executive harmless for acts and omissions in Executive’s capacity as an officer, director or employee of the Company and/or any of its Affiliates to the maximum extent permitted under applicable law, including the advancement of fees and expenses;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neither the Company, nor any of its Affiliates shall indemnify Executive for any losses incurred by Executive as a result of acts described in the definition of “Cause” set forth in Section 1(c) of this Agreement.</w:t>
      </w:r>
    </w:p>
    <w:p>
      <w:pPr>
        <w:spacing w:after="0" w:line="130" w:lineRule="exact"/>
        <w:rPr>
          <w:rFonts w:ascii="Times New Roman" w:cs="Times New Roman" w:eastAsia="Times New Roman" w:hAnsi="Times New Roman"/>
          <w:sz w:val="19"/>
          <w:szCs w:val="19"/>
          <w:color w:val="auto"/>
        </w:rPr>
      </w:pPr>
    </w:p>
    <w:p>
      <w:pPr>
        <w:jc w:val="both"/>
        <w:ind w:firstLine="2"/>
        <w:spacing w:after="0" w:line="256" w:lineRule="auto"/>
        <w:tabs>
          <w:tab w:leader="none" w:pos="395"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that Executive is employed with the Company hereunder and for a period of at least six (6) years after Executive’s termination of employment from the Company, the Company shall provide Executive with directors’ and officers’ liability insurance coverage for her acts and omissions while an officer or director of the Company on a basis no less favorable to Executive than the coverage the Company provides generally to its other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ACKNOWLEDGED AND AGREED:</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August _____, 2020</w:t>
      </w:r>
    </w:p>
    <w:p>
      <w:pPr>
        <w:spacing w:after="0" w:line="3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MARRIOTT VACATIONS WORLDWIDE</w:t>
      </w:r>
    </w:p>
    <w:p>
      <w:pPr>
        <w:ind w:left="4400"/>
        <w:spacing w:after="0"/>
        <w:rPr>
          <w:sz w:val="20"/>
          <w:szCs w:val="20"/>
          <w:color w:val="auto"/>
        </w:rPr>
      </w:pPr>
      <w:r>
        <w:rPr>
          <w:rFonts w:ascii="Times New Roman" w:cs="Times New Roman" w:eastAsia="Times New Roman" w:hAnsi="Times New Roman"/>
          <w:sz w:val="19"/>
          <w:szCs w:val="19"/>
          <w:color w:val="auto"/>
        </w:rPr>
        <w:t>CORPORATION</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u w:val="single" w:color="auto"/>
          <w:color w:val="auto"/>
        </w:rPr>
        <w:t>/s/ Stephen P. Weisz</w:t>
      </w:r>
    </w:p>
    <w:p>
      <w:pPr>
        <w:spacing w:after="0" w:line="24" w:lineRule="exact"/>
        <w:rPr>
          <w:sz w:val="20"/>
          <w:szCs w:val="20"/>
          <w:color w:val="auto"/>
        </w:rPr>
      </w:pPr>
    </w:p>
    <w:p>
      <w:pPr>
        <w:ind w:left="4400"/>
        <w:spacing w:after="0"/>
        <w:tabs>
          <w:tab w:leader="none" w:pos="5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Stephen P. Weisz</w:t>
      </w:r>
    </w:p>
    <w:p>
      <w:pPr>
        <w:spacing w:after="0" w:line="24" w:lineRule="exact"/>
        <w:rPr>
          <w:sz w:val="20"/>
          <w:szCs w:val="20"/>
          <w:color w:val="auto"/>
        </w:rPr>
      </w:pPr>
    </w:p>
    <w:p>
      <w:pPr>
        <w:ind w:left="4400"/>
        <w:spacing w:after="0"/>
        <w:tabs>
          <w:tab w:leader="none" w:pos="5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3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u w:val="single" w:color="auto"/>
          <w:color w:val="auto"/>
        </w:rPr>
        <w:t>/s/ Jeanette E. Marbert</w:t>
      </w:r>
    </w:p>
    <w:p>
      <w:pPr>
        <w:spacing w:after="0" w:line="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Jeanette E. Marbert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0119"/>
          </w:cols>
          <w:pgMar w:left="340" w:top="1440" w:right="1440" w:bottom="1440" w:gutter="0" w:footer="0" w:header="0"/>
        </w:sectPr>
      </w:pPr>
    </w:p>
    <w:bookmarkStart w:id="170" w:name="page171"/>
    <w:bookmarkEnd w:id="170"/>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WAIVER AND RELEASE</w:t>
      </w:r>
    </w:p>
    <w:p>
      <w:pPr>
        <w:spacing w:after="0" w:line="156" w:lineRule="exact"/>
        <w:rPr>
          <w:sz w:val="20"/>
          <w:szCs w:val="20"/>
          <w:color w:val="auto"/>
        </w:rPr>
      </w:pPr>
    </w:p>
    <w:p>
      <w:pPr>
        <w:jc w:val="both"/>
        <w:ind w:firstLine="615"/>
        <w:spacing w:after="0" w:line="249" w:lineRule="auto"/>
        <w:tabs>
          <w:tab w:leader="none" w:pos="96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and in consideration of the payments and other benefits due to Jeanette Marbert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for the amounts payable and benefits to be provided to Executive under that Amended and Restated Employment Agreement dated as of August _____, 2020 between Marriott Vacations Worldwide Corporation,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Executive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and for other good and valuable consideration, Executive hereby agrees, for Executive, Executive’s spouse and child or children (if any), Executive’s heirs, beneficiaries, devisees, executors, administrators, attorneys, personal representatives, successors and assigns, to forever waive and release all known and unknown claims and causes of action, arising on or before the date of Executive's execution of this Waiver and Release, against the Company or any of its divisions, affiliates, subsidiaries, parents, branches, predecessors, successors, assigns, and with respect to such entities, their officers, directors, trustees, employees, agents, shareholders, administrators, general or limited partners, representatives, attorneys, insurers and fiduciaries, past, present and future (the “</w:t>
      </w:r>
      <w:r>
        <w:rPr>
          <w:rFonts w:ascii="Times New Roman" w:cs="Times New Roman" w:eastAsia="Times New Roman" w:hAnsi="Times New Roman"/>
          <w:sz w:val="19"/>
          <w:szCs w:val="19"/>
          <w:u w:val="single" w:color="auto"/>
          <w:color w:val="auto"/>
        </w:rPr>
        <w:t>Released Parties</w:t>
      </w:r>
      <w:r>
        <w:rPr>
          <w:rFonts w:ascii="Times New Roman" w:cs="Times New Roman" w:eastAsia="Times New Roman" w:hAnsi="Times New Roman"/>
          <w:sz w:val="19"/>
          <w:szCs w:val="19"/>
          <w:color w:val="auto"/>
        </w:rPr>
        <w:t>”), including, but not limited to, all such claims and causes of action which in any way pertain to Executive’s employment with and/or termination of employment from the Company, all allegations of employment discrimination, and/or all other occurrences whatsoever, including but not limited to the Age Discrimination in Employment Act, Title VII of the Civil Rights Act of 1964, as amended, 42 U.S.C. Section 2000e et. seq., the Fair Labor Standards Act, as amended, 29 U.S.C. Section 201 et. seq., the Americans with Disabilities Act, as amended, 42 U.S.C. Section 12101 et. seq., the Reconstruction Era Civil Rights Act, as amended, 42 U.S.C. Section 1981 et. seq., the Rehabilitation Act of 1973, as amended, 29 U.S.C. Section 701 et. seq., the Family and Medical Leave Act of 1993, 29 U.S.C. Section 2601 et. seq., the False Claims Act, 31 U.S.C Section 3729 et. seq. and any and all state or local laws regarding employment discrimination and/or federal, state or local laws of any type or description regarding employment, including but not limited to any claims arising from or derivative of Executive’s employment with the Company and its Affiliates, as well as any and all such claims under state contract or tort law.</w:t>
      </w:r>
    </w:p>
    <w:p>
      <w:pPr>
        <w:spacing w:after="0" w:line="120" w:lineRule="exact"/>
        <w:rPr>
          <w:rFonts w:ascii="Times New Roman" w:cs="Times New Roman" w:eastAsia="Times New Roman" w:hAnsi="Times New Roman"/>
          <w:sz w:val="19"/>
          <w:szCs w:val="19"/>
          <w:color w:val="auto"/>
        </w:rPr>
      </w:pPr>
    </w:p>
    <w:p>
      <w:pPr>
        <w:jc w:val="both"/>
        <w:ind w:firstLine="615"/>
        <w:spacing w:after="0" w:line="250" w:lineRule="auto"/>
        <w:tabs>
          <w:tab w:leader="none" w:pos="959"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read this Waiver and Release carefully, acknowledges that Executive has been given at least [twenty-one (21) // forty-five (45)] days to consider all of its terms and has been advised to consult with an attorney and any other advisors of Executive’s choice prior to executing this Waiver and Release, and Executive fully understands that by signing below Executive is voluntarily giving up any right which Executive may have to sue or bring any other claims against the Released Parties, including any rights and claims under the Age Discrimination in Employment Act. Executive also understands that Executive has a period of seven (7) days after signing this Waiver and Release within which to revoke his or her agreement, and that neither the Company nor any other person is obligated to make any payments or provide any other benefits to Executive pursuant to the Plan until eight (8) days have passed since Executive’s signing of this Waiver and Release without Executive’s signature having been revoked other than any accrued obligations or other benefits payable pursuant to the terms of the Company’s normal payroll practices or employee benefit plans. Finally, Executive has not been forced or pressured in any manner whatsoever to sign this Waiver and Release, and Executive agrees to all of its terms voluntarily.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59" w:lineRule="exact"/>
        <w:rPr>
          <w:sz w:val="20"/>
          <w:szCs w:val="20"/>
          <w:color w:val="auto"/>
        </w:rPr>
      </w:pPr>
    </w:p>
    <w:p>
      <w:pPr>
        <w:jc w:val="both"/>
        <w:ind w:firstLine="615"/>
        <w:spacing w:after="0" w:line="252" w:lineRule="auto"/>
        <w:tabs>
          <w:tab w:leader="none" w:pos="97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else herein to the contrary, this Waiver and Release shall not affect: (i) the Company’s obligations under any compensation or employee benefit plan, program or arrangement (including, without limitation, obligations to Executive under any stock option, stock award or agreements or obligations under any pension, deferred compensation or retention plan) provided by an Affiliate where Executive’s compensation or benefits are intended to continue or Executive is to be provided with compensation or benefits, in accordance with the express written terms of such plan, program or arrangement, beyond the date of Executive’s termination; or (ii) rights to indemnification or liability insurance coverage Executive may have under the by-laws of the Company or applicable law.</w:t>
      </w:r>
    </w:p>
    <w:p>
      <w:pPr>
        <w:spacing w:after="0" w:line="131" w:lineRule="exact"/>
        <w:rPr>
          <w:rFonts w:ascii="Times New Roman" w:cs="Times New Roman" w:eastAsia="Times New Roman" w:hAnsi="Times New Roman"/>
          <w:sz w:val="19"/>
          <w:szCs w:val="19"/>
          <w:color w:val="auto"/>
        </w:rPr>
      </w:pPr>
    </w:p>
    <w:p>
      <w:pPr>
        <w:jc w:val="both"/>
        <w:ind w:firstLine="615"/>
        <w:spacing w:after="0" w:line="252" w:lineRule="auto"/>
        <w:tabs>
          <w:tab w:leader="none" w:pos="95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excluded from this Waiver and Release are any claims which by law cannot be waived, including but not limited to the right to file a charge with or participate in an investigation by the Equal Employment Opportunity Commission ("EEOC"). Executive does, however, hereby waive all rights to recover any money, benefits or reinstatement should the EEOC or any other agency or individual pursue any claims on Executive's behalf.</w:t>
      </w:r>
    </w:p>
    <w:p>
      <w:pPr>
        <w:spacing w:after="0" w:line="130" w:lineRule="exact"/>
        <w:rPr>
          <w:rFonts w:ascii="Times New Roman" w:cs="Times New Roman" w:eastAsia="Times New Roman" w:hAnsi="Times New Roman"/>
          <w:sz w:val="19"/>
          <w:szCs w:val="19"/>
          <w:color w:val="auto"/>
        </w:rPr>
      </w:pPr>
    </w:p>
    <w:p>
      <w:pPr>
        <w:ind w:firstLine="615"/>
        <w:spacing w:after="0" w:line="279" w:lineRule="auto"/>
        <w:tabs>
          <w:tab w:leader="none" w:pos="961"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Waiver and Release is final and binding and may not be changed or modified except in a writing signed by both the Executive and the Company.</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Executive has caused this Waiver and Release.</w:t>
      </w:r>
    </w:p>
    <w:p>
      <w:pPr>
        <w:spacing w:after="0" w:line="20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344805</wp:posOffset>
            </wp:positionV>
            <wp:extent cx="32207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1">
                      <a:extLst>
                        <a:ext uri="{28A0092B-C50C-407E-A947-70E740481C1C}"/>
                      </a:extLst>
                    </a:blip>
                    <a:srcRect/>
                    <a:stretch>
                      <a:fillRect/>
                    </a:stretch>
                  </pic:blipFill>
                  <pic:spPr bwMode="auto">
                    <a:xfrm>
                      <a:off x="0" y="0"/>
                      <a:ext cx="322072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Jeanette E. Marbert</w:t>
      </w:r>
    </w:p>
    <w:p>
      <w:pPr>
        <w:spacing w:after="0" w:line="28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Date:</w:t>
      </w:r>
    </w:p>
    <w:p>
      <w:pPr>
        <w:spacing w:after="0" w:line="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b w:val="1"/>
          <w:bCs w:val="1"/>
          <w:i w:val="1"/>
          <w:iCs w:val="1"/>
          <w:color w:val="auto"/>
        </w:rPr>
        <w:t>NOT TO BE EXECUTED PRIOR</w:t>
      </w:r>
    </w:p>
    <w:p>
      <w:pPr>
        <w:spacing w:after="0" w:line="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b w:val="1"/>
          <w:bCs w:val="1"/>
          <w:i w:val="1"/>
          <w:iCs w:val="1"/>
          <w:color w:val="auto"/>
        </w:rPr>
        <w:t>TO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44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10.45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CONSENT TO SHARED-SACRIFICE REDUCTION IN PAY</w:t>
      </w:r>
    </w:p>
    <w:p>
      <w:pPr>
        <w:spacing w:after="0" w:line="245" w:lineRule="exact"/>
        <w:rPr>
          <w:sz w:val="20"/>
          <w:szCs w:val="20"/>
          <w:color w:val="auto"/>
        </w:rPr>
      </w:pPr>
    </w:p>
    <w:p>
      <w:pPr>
        <w:jc w:val="both"/>
        <w:ind w:firstLine="613"/>
        <w:spacing w:after="0" w:line="249" w:lineRule="auto"/>
        <w:rPr>
          <w:sz w:val="20"/>
          <w:szCs w:val="20"/>
          <w:color w:val="auto"/>
        </w:rPr>
      </w:pPr>
      <w:r>
        <w:rPr>
          <w:rFonts w:ascii="Times New Roman" w:cs="Times New Roman" w:eastAsia="Times New Roman" w:hAnsi="Times New Roman"/>
          <w:sz w:val="19"/>
          <w:szCs w:val="19"/>
          <w:color w:val="auto"/>
        </w:rPr>
        <w:t>In light of the COVID-19 pandemic and its impact on the business, operations, and associates of Marriott Vacations Worldwide Corporation and its subsidiaries and affiliates (the “Company”), I, Jeanette Marbert, hereby knowingly and voluntarily consent to a shared-sacrifice reduction to my annual base salary rate from $510,000 to $255,000, beginning on April 18, 2020 and ending on December 31, 2020 or such earlier or later date upon which the Company and I may agree in writing (the “Permissible Reduction Period”). During the Permissible Reduction Period,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 acknowledge and agree that the above-described reduction shall not (i) breach or be deemed to breach any provisions of any employment agreement, offer letter, or other agreement between myself and the Company, and/or (ii) trigger any severance or good reason (or the like) quit rights under any employment agreement, offer letter, or other agreement, plan, or program through the Company that may apply to me.</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169"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Jeanette E. Marbert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Name: Jeanette Marbert</w:t>
      </w: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MARRIOTT VACATIONS WORLDWIDE CORPORATION</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/s/ Stephen P. Weisz</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6"/>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60" w:type="dxa"/>
            <w:vAlign w:val="bottom"/>
          </w:tcPr>
          <w:p>
            <w:pPr>
              <w:spacing w:after="0"/>
              <w:rPr>
                <w:sz w:val="23"/>
                <w:szCs w:val="23"/>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w w:val="95"/>
              </w:rPr>
              <w:t>Stephen P. Weisz</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60" w:type="dxa"/>
            <w:vAlign w:val="bottom"/>
          </w:tcPr>
          <w:p>
            <w:pPr>
              <w:spacing w:after="0"/>
              <w:rPr>
                <w:sz w:val="21"/>
                <w:szCs w:val="21"/>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w w:val="96"/>
              </w:rPr>
              <w:t>President &amp; CEO</w:t>
            </w:r>
          </w:p>
        </w:tc>
      </w:tr>
    </w:tbl>
    <w:p>
      <w:pPr>
        <w:sectPr>
          <w:pgSz w:w="11900" w:h="16838" w:orient="portrait"/>
          <w:cols w:equalWidth="0" w:num="1">
            <w:col w:w="11240"/>
          </w:cols>
          <w:pgMar w:left="320" w:top="12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color w:val="auto"/>
        </w:rPr>
        <w:t>Exhibit 10.52</w:t>
      </w:r>
    </w:p>
    <w:p>
      <w:pPr>
        <w:spacing w:after="0" w:line="200" w:lineRule="exact"/>
        <w:rPr>
          <w:sz w:val="20"/>
          <w:szCs w:val="20"/>
          <w:color w:val="auto"/>
        </w:rPr>
      </w:pPr>
    </w:p>
    <w:p>
      <w:pPr>
        <w:spacing w:after="0" w:line="3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STOCK APPRECIATION RIGHT AGREEMENT</w:t>
      </w:r>
    </w:p>
    <w:p>
      <w:pPr>
        <w:spacing w:after="0" w:line="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214" w:lineRule="exact"/>
        <w:rPr>
          <w:sz w:val="20"/>
          <w:szCs w:val="20"/>
          <w:color w:val="auto"/>
        </w:rPr>
      </w:pPr>
    </w:p>
    <w:p>
      <w:pPr>
        <w:ind w:right="60" w:firstLine="460"/>
        <w:spacing w:after="0" w:line="303" w:lineRule="auto"/>
        <w:rPr>
          <w:sz w:val="20"/>
          <w:szCs w:val="20"/>
          <w:color w:val="auto"/>
        </w:rPr>
      </w:pPr>
      <w:r>
        <w:rPr>
          <w:rFonts w:ascii="Times New Roman" w:cs="Times New Roman" w:eastAsia="Times New Roman" w:hAnsi="Times New Roman"/>
          <w:sz w:val="16"/>
          <w:szCs w:val="16"/>
          <w:color w:val="auto"/>
        </w:rPr>
        <w:t>THIS AGREEMENT (the “Agreement”) is made on &lt;</w:t>
      </w:r>
      <w:r>
        <w:rPr>
          <w:rFonts w:ascii="Times New Roman" w:cs="Times New Roman" w:eastAsia="Times New Roman" w:hAnsi="Times New Roman"/>
          <w:sz w:val="16"/>
          <w:szCs w:val="16"/>
          <w:b w:val="1"/>
          <w:bCs w:val="1"/>
          <w:color w:val="auto"/>
        </w:rPr>
        <w:t>&lt;GRANT DATE&gt;&gt;</w:t>
      </w:r>
      <w:r>
        <w:rPr>
          <w:rFonts w:ascii="Times New Roman" w:cs="Times New Roman" w:eastAsia="Times New Roman" w:hAnsi="Times New Roman"/>
          <w:sz w:val="16"/>
          <w:szCs w:val="16"/>
          <w:color w:val="auto"/>
        </w:rPr>
        <w:t xml:space="preserve"> (the “Grant Date”) by MARRIOTT VACATIONS WORLDWIDE CORPORATION (the “Company”) and </w:t>
      </w:r>
      <w:r>
        <w:rPr>
          <w:rFonts w:ascii="Times New Roman" w:cs="Times New Roman" w:eastAsia="Times New Roman" w:hAnsi="Times New Roman"/>
          <w:sz w:val="16"/>
          <w:szCs w:val="16"/>
          <w:b w:val="1"/>
          <w:bCs w:val="1"/>
          <w:color w:val="auto"/>
        </w:rPr>
        <w:t>&lt;&lt;PARTICIPANT NAME&gt;&gt;</w:t>
      </w:r>
      <w:r>
        <w:rPr>
          <w:rFonts w:ascii="Times New Roman" w:cs="Times New Roman" w:eastAsia="Times New Roman" w:hAnsi="Times New Roman"/>
          <w:sz w:val="16"/>
          <w:szCs w:val="16"/>
          <w:color w:val="auto"/>
        </w:rPr>
        <w:t xml:space="preserve"> (“Employee”).</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WITNESSETH:</w:t>
      </w:r>
    </w:p>
    <w:p>
      <w:pPr>
        <w:spacing w:after="0" w:line="238" w:lineRule="exact"/>
        <w:rPr>
          <w:sz w:val="20"/>
          <w:szCs w:val="20"/>
          <w:color w:val="auto"/>
        </w:rPr>
      </w:pPr>
    </w:p>
    <w:p>
      <w:pPr>
        <w:ind w:right="480" w:firstLine="460"/>
        <w:spacing w:after="0" w:line="284" w:lineRule="auto"/>
        <w:rPr>
          <w:sz w:val="20"/>
          <w:szCs w:val="20"/>
          <w:color w:val="auto"/>
        </w:rPr>
      </w:pPr>
      <w:r>
        <w:rPr>
          <w:rFonts w:ascii="Times New Roman" w:cs="Times New Roman" w:eastAsia="Times New Roman" w:hAnsi="Times New Roman"/>
          <w:sz w:val="16"/>
          <w:szCs w:val="16"/>
          <w:color w:val="auto"/>
        </w:rPr>
        <w:t>WHEREAS, the Company maintains the Marriott Vacations Worldwide Corporation 2020 Equity Incentive Plan, as it may be amended from time to time (the “Plan”); and</w:t>
      </w:r>
    </w:p>
    <w:p>
      <w:pPr>
        <w:spacing w:after="0" w:line="178" w:lineRule="exact"/>
        <w:rPr>
          <w:sz w:val="20"/>
          <w:szCs w:val="20"/>
          <w:color w:val="auto"/>
        </w:rPr>
      </w:pPr>
    </w:p>
    <w:p>
      <w:pPr>
        <w:ind w:right="480" w:firstLine="460"/>
        <w:spacing w:after="0" w:line="300" w:lineRule="auto"/>
        <w:rPr>
          <w:sz w:val="20"/>
          <w:szCs w:val="20"/>
          <w:color w:val="auto"/>
        </w:rPr>
      </w:pPr>
      <w:r>
        <w:rPr>
          <w:rFonts w:ascii="Times New Roman" w:cs="Times New Roman" w:eastAsia="Times New Roman" w:hAnsi="Times New Roman"/>
          <w:sz w:val="16"/>
          <w:szCs w:val="16"/>
          <w:color w:val="auto"/>
        </w:rPr>
        <w:t>WHEREAS, the Company wishes to award to designated employees certain Stock Appreciation Right awards as provided in Article 6 of the Plan (“SARs” or “Awards”); and</w:t>
      </w:r>
    </w:p>
    <w:p>
      <w:pPr>
        <w:spacing w:after="0" w:line="166" w:lineRule="exact"/>
        <w:rPr>
          <w:sz w:val="20"/>
          <w:szCs w:val="20"/>
          <w:color w:val="auto"/>
        </w:rPr>
      </w:pPr>
    </w:p>
    <w:p>
      <w:pPr>
        <w:ind w:right="220" w:firstLine="460"/>
        <w:spacing w:after="0" w:line="284" w:lineRule="auto"/>
        <w:rPr>
          <w:sz w:val="20"/>
          <w:szCs w:val="20"/>
          <w:color w:val="auto"/>
        </w:rPr>
      </w:pPr>
      <w:r>
        <w:rPr>
          <w:rFonts w:ascii="Times New Roman" w:cs="Times New Roman" w:eastAsia="Times New Roman" w:hAnsi="Times New Roman"/>
          <w:sz w:val="16"/>
          <w:szCs w:val="16"/>
          <w:color w:val="auto"/>
        </w:rPr>
        <w:t>WHEREAS, Employee has been approved by the Compensation Policy Committee (including any delegate thereof, the “Committee”) of the Company’s Board of Directors (the “Board”) to receive an award of SARs under the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NOW, THEREFORE, it is agreed as follows:</w:t>
      </w:r>
    </w:p>
    <w:p>
      <w:pPr>
        <w:spacing w:after="0" w:line="236" w:lineRule="exact"/>
        <w:rPr>
          <w:sz w:val="20"/>
          <w:szCs w:val="20"/>
          <w:color w:val="auto"/>
        </w:rPr>
      </w:pPr>
    </w:p>
    <w:p>
      <w:pPr>
        <w:ind w:right="40" w:firstLine="459"/>
        <w:spacing w:after="0" w:line="276" w:lineRule="auto"/>
        <w:tabs>
          <w:tab w:leader="none" w:pos="62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Employee has been provided with, and hereby acknowledges receipt of, a Prospectus for the Plan dated &lt;</w:t>
      </w:r>
      <w:r>
        <w:rPr>
          <w:rFonts w:ascii="Times New Roman" w:cs="Times New Roman" w:eastAsia="Times New Roman" w:hAnsi="Times New Roman"/>
          <w:sz w:val="16"/>
          <w:szCs w:val="16"/>
          <w:b w:val="1"/>
          <w:bCs w:val="1"/>
          <w:color w:val="auto"/>
        </w:rPr>
        <w:t xml:space="preserve">&lt; DATE&gt;&gt; </w:t>
      </w:r>
      <w:r>
        <w:rPr>
          <w:rFonts w:ascii="Times New Roman" w:cs="Times New Roman" w:eastAsia="Times New Roman" w:hAnsi="Times New Roman"/>
          <w:sz w:val="16"/>
          <w:szCs w:val="16"/>
          <w:color w:val="auto"/>
        </w:rPr>
        <w:t>which contains, among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things, a detailed description of the SAR award provisions of the Plan. Employee further acknowledges that Employee has read the Prospectus and this Agreement, and that Employee understands the provisions thereof.</w:t>
      </w:r>
    </w:p>
    <w:p>
      <w:pPr>
        <w:spacing w:after="0" w:line="182" w:lineRule="exact"/>
        <w:rPr>
          <w:rFonts w:ascii="Times New Roman" w:cs="Times New Roman" w:eastAsia="Times New Roman" w:hAnsi="Times New Roman"/>
          <w:sz w:val="16"/>
          <w:szCs w:val="16"/>
          <w:color w:val="auto"/>
        </w:rPr>
      </w:pPr>
    </w:p>
    <w:p>
      <w:pPr>
        <w:ind w:right="100" w:firstLine="459"/>
        <w:spacing w:after="0" w:line="262" w:lineRule="auto"/>
        <w:tabs>
          <w:tab w:leader="none" w:pos="62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Interpretation</w:t>
      </w:r>
      <w:r>
        <w:rPr>
          <w:rFonts w:ascii="Times New Roman" w:cs="Times New Roman" w:eastAsia="Times New Roman" w:hAnsi="Times New Roman"/>
          <w:sz w:val="16"/>
          <w:szCs w:val="16"/>
          <w:color w:val="auto"/>
        </w:rPr>
        <w:t>. The provisions of the Plan are incorporated herein by reference and form an integral part of this Agreement. Except as otherwise set forth herein,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205" w:lineRule="exact"/>
        <w:rPr>
          <w:rFonts w:ascii="Times New Roman" w:cs="Times New Roman" w:eastAsia="Times New Roman" w:hAnsi="Times New Roman"/>
          <w:sz w:val="16"/>
          <w:szCs w:val="16"/>
          <w:color w:val="auto"/>
        </w:rPr>
      </w:pPr>
    </w:p>
    <w:p>
      <w:pPr>
        <w:ind w:right="180" w:firstLine="459"/>
        <w:spacing w:after="0" w:line="260" w:lineRule="auto"/>
        <w:tabs>
          <w:tab w:leader="none" w:pos="62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Grant of SARs. </w:t>
      </w:r>
      <w:r>
        <w:rPr>
          <w:rFonts w:ascii="Times New Roman" w:cs="Times New Roman" w:eastAsia="Times New Roman" w:hAnsi="Times New Roman"/>
          <w:sz w:val="16"/>
          <w:szCs w:val="16"/>
          <w:color w:val="auto"/>
        </w:rPr>
        <w:t>The Company hereby grants to Employee as of the Grant Date SARs on</w:t>
      </w:r>
      <w:r>
        <w:rPr>
          <w:rFonts w:ascii="Times New Roman" w:cs="Times New Roman" w:eastAsia="Times New Roman" w:hAnsi="Times New Roman"/>
          <w:sz w:val="16"/>
          <w:szCs w:val="16"/>
          <w:b w:val="1"/>
          <w:bCs w:val="1"/>
          <w:color w:val="auto"/>
        </w:rPr>
        <w:t xml:space="preserve"> &lt;&lt;QTY GRANTED&gt;&gt; </w:t>
      </w:r>
      <w:r>
        <w:rPr>
          <w:rFonts w:ascii="Times New Roman" w:cs="Times New Roman" w:eastAsia="Times New Roman" w:hAnsi="Times New Roman"/>
          <w:sz w:val="16"/>
          <w:szCs w:val="16"/>
          <w:color w:val="auto"/>
        </w:rPr>
        <w:t>shares of the Company’s Common Stock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“SAR Shares”), subject to the terms and conditions of the Plan Employee’s acceptance of this Agreement and satisfaction of the tax provisions of any policy of the Company regarding international assignments, if applicable. Under this Agreement, upon satisfying the conditions for exercising SARs as set forth in paragraphs 5 and 6 below, Employee shall receive a number of shares of Common Stock of the Company having a Fair Market Value equal to the number of SAR Shares that are being exercised under such SARs multiplied by the quotient of (a) the Final Value minus the Base Value, divided by (b) the Final Value. Any fractional share of Common Stock resulting from such calculation shall be rounded to the nearest whole share.</w:t>
      </w:r>
    </w:p>
    <w:p>
      <w:pPr>
        <w:spacing w:after="0" w:line="196" w:lineRule="exact"/>
        <w:rPr>
          <w:rFonts w:ascii="Times New Roman" w:cs="Times New Roman" w:eastAsia="Times New Roman" w:hAnsi="Times New Roman"/>
          <w:sz w:val="16"/>
          <w:szCs w:val="16"/>
          <w:color w:val="auto"/>
        </w:rPr>
      </w:pPr>
    </w:p>
    <w:p>
      <w:pPr>
        <w:ind w:firstLine="459"/>
        <w:spacing w:after="0" w:line="286" w:lineRule="auto"/>
        <w:tabs>
          <w:tab w:leader="none" w:pos="62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Base Value and Final Value. </w:t>
      </w:r>
      <w:r>
        <w:rPr>
          <w:rFonts w:ascii="Times New Roman" w:cs="Times New Roman" w:eastAsia="Times New Roman" w:hAnsi="Times New Roman"/>
          <w:sz w:val="16"/>
          <w:szCs w:val="16"/>
          <w:color w:val="auto"/>
        </w:rPr>
        <w:t>Subject to paragraph 13 hereof, the Base Value per share of the SAR Shares is</w:t>
      </w:r>
      <w:r>
        <w:rPr>
          <w:rFonts w:ascii="Times New Roman" w:cs="Times New Roman" w:eastAsia="Times New Roman" w:hAnsi="Times New Roman"/>
          <w:sz w:val="16"/>
          <w:szCs w:val="16"/>
          <w:b w:val="1"/>
          <w:bCs w:val="1"/>
          <w:color w:val="auto"/>
        </w:rPr>
        <w:t xml:space="preserve"> &lt;&lt;GRANT PRICE&gt;&gt; </w:t>
      </w:r>
      <w:r>
        <w:rPr>
          <w:rFonts w:ascii="Times New Roman" w:cs="Times New Roman" w:eastAsia="Times New Roman" w:hAnsi="Times New Roman"/>
          <w:sz w:val="16"/>
          <w:szCs w:val="16"/>
          <w:color w:val="auto"/>
        </w:rPr>
        <w:t>and the Final Value is the Fair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 Value of a share of Common Stock of the Company as of the date the SARs are exercised.</w:t>
      </w:r>
    </w:p>
    <w:p>
      <w:pPr>
        <w:spacing w:after="0" w:line="174" w:lineRule="exact"/>
        <w:rPr>
          <w:rFonts w:ascii="Times New Roman" w:cs="Times New Roman" w:eastAsia="Times New Roman" w:hAnsi="Times New Roman"/>
          <w:sz w:val="16"/>
          <w:szCs w:val="16"/>
          <w:color w:val="auto"/>
        </w:rPr>
      </w:pPr>
    </w:p>
    <w:p>
      <w:pPr>
        <w:ind w:right="40" w:firstLine="459"/>
        <w:spacing w:after="0" w:line="258" w:lineRule="auto"/>
        <w:tabs>
          <w:tab w:leader="none" w:pos="62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Waiting Period and Exercise Dates. </w:t>
      </w:r>
      <w:r>
        <w:rPr>
          <w:rFonts w:ascii="Times New Roman" w:cs="Times New Roman" w:eastAsia="Times New Roman" w:hAnsi="Times New Roman"/>
          <w:sz w:val="16"/>
          <w:szCs w:val="16"/>
          <w:color w:val="auto"/>
        </w:rPr>
        <w:t>The SAR Shares may not be exercised during the one-year period following the Grant Date (the “waiting period”).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the waiting period, the SAR Shares may be exercised in accordance with the following schedule: twenty-five percent (25%) of the SAR Shares commencing on each of the four (4) anniversaries of the Grant Date, provided that if the application of the foregoing exercise schedule would cause a fractional SAR Share to become exercisable, then the Committee shall determine how to reallocate such fractional SAR Share so that only whole SAR Shares shall become exercisable. To the extent that the SARs are not exercised by Employee when they become initially exercisable, the SARs shall not expire but shall be carried forward and shall be exercisable at any time thereafter; provided, however, that the SARs shall not be exercisable after the expiration of ten (10) years from the Grant Date or sooner as set forth in paragraph 9, if applicable. Exercise of the SARs shall not be dependent upon the prior or sequential exercise of any other SARs heretofore granted to Employee by the Company.</w:t>
      </w:r>
    </w:p>
    <w:p>
      <w:pPr>
        <w:spacing w:after="0" w:line="199" w:lineRule="exact"/>
        <w:rPr>
          <w:rFonts w:ascii="Times New Roman" w:cs="Times New Roman" w:eastAsia="Times New Roman" w:hAnsi="Times New Roman"/>
          <w:sz w:val="16"/>
          <w:szCs w:val="16"/>
          <w:color w:val="auto"/>
        </w:rPr>
      </w:pPr>
    </w:p>
    <w:p>
      <w:pPr>
        <w:ind w:right="60" w:firstLine="459"/>
        <w:spacing w:after="0" w:line="263" w:lineRule="auto"/>
        <w:tabs>
          <w:tab w:leader="none" w:pos="62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Method of Exercising SARs. </w:t>
      </w:r>
      <w:r>
        <w:rPr>
          <w:rFonts w:ascii="Times New Roman" w:cs="Times New Roman" w:eastAsia="Times New Roman" w:hAnsi="Times New Roman"/>
          <w:sz w:val="16"/>
          <w:szCs w:val="16"/>
          <w:color w:val="auto"/>
        </w:rPr>
        <w:t>To exercise the SARs, the person entitled to exercise the SARs must provide a signed written notice or the equivalent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its designee, as prescribed in the administrative procedures of the Plan, stating the number of SAR Shares with respect to which the SARs are being exercised. The SARs may be exercised by (a) making provision for the satisfaction of the applicable withholding taxes pursuant to procedures specified by the Committee, and (b) an undertaking to furnish and execute such documents as the Company deems necessary (i) to evidence such exercise, and (ii) to determine whether registration is then required to comply with the Securities Act of 1933 or any</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160"/>
          </w:cols>
          <w:pgMar w:left="400" w:top="123" w:right="339" w:bottom="1440" w:gutter="0" w:footer="0" w:header="0"/>
        </w:sectPr>
      </w:pPr>
    </w:p>
    <w:bookmarkStart w:id="174" w:name="page175"/>
    <w:bookmarkEnd w:id="174"/>
    <w:p>
      <w:pPr>
        <w:ind w:left="80" w:right="20"/>
        <w:spacing w:after="0" w:line="275" w:lineRule="auto"/>
        <w:rPr>
          <w:sz w:val="20"/>
          <w:szCs w:val="20"/>
          <w:color w:val="auto"/>
        </w:rPr>
      </w:pPr>
      <w:r>
        <w:rPr>
          <w:rFonts w:ascii="Times New Roman" w:cs="Times New Roman" w:eastAsia="Times New Roman" w:hAnsi="Times New Roman"/>
          <w:sz w:val="16"/>
          <w:szCs w:val="16"/>
          <w:color w:val="auto"/>
        </w:rPr>
        <w:t>other law. Upon satisfying the conditions for exercise including the provision for the satisfaction of the withholding taxes, the Company shall transfer a number of Common Shares calculated according to paragraph 3 to an individual brokerage account (the “Account”) established and maintained in Employee’s name. The exercise of the SARs may be made by any other means that the Committee determines to be consistent with the Plan’s purpose and applicable law.</w:t>
      </w:r>
    </w:p>
    <w:p>
      <w:pPr>
        <w:spacing w:after="0" w:line="183" w:lineRule="exact"/>
        <w:rPr>
          <w:sz w:val="20"/>
          <w:szCs w:val="20"/>
          <w:color w:val="auto"/>
        </w:rPr>
      </w:pPr>
    </w:p>
    <w:p>
      <w:pPr>
        <w:ind w:left="80" w:right="440" w:firstLine="459"/>
        <w:spacing w:after="0" w:line="286" w:lineRule="auto"/>
        <w:tabs>
          <w:tab w:leader="none" w:pos="70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Conditions of Exercise. </w:t>
      </w:r>
      <w:r>
        <w:rPr>
          <w:rFonts w:ascii="Times New Roman" w:cs="Times New Roman" w:eastAsia="Times New Roman" w:hAnsi="Times New Roman"/>
          <w:sz w:val="16"/>
          <w:szCs w:val="16"/>
          <w:color w:val="auto"/>
        </w:rPr>
        <w:t>As a condition of exercising any SARs hereunder and receiving the Common Shares in accordance with paragraphs 5 and 6 above,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shall meet all of the following conditions during the entire period from the Grant Date through the date of exercise:</w:t>
      </w:r>
    </w:p>
    <w:p>
      <w:pPr>
        <w:spacing w:after="0" w:line="177" w:lineRule="exact"/>
        <w:rPr>
          <w:sz w:val="20"/>
          <w:szCs w:val="20"/>
          <w:color w:val="auto"/>
        </w:rPr>
      </w:pPr>
    </w:p>
    <w:p>
      <w:pPr>
        <w:ind w:left="80" w:right="240" w:firstLine="459"/>
        <w:spacing w:after="0" w:line="275" w:lineRule="auto"/>
        <w:tabs>
          <w:tab w:leader="none" w:pos="7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Employee must continue to be an active employee of the Company or any Subsidiary (“Continuous Employment”). For purposes of this Award, Employee shall be deemed to no longer be in Continuous Employment as of the first day following a continuous leave of absence for a period of twelve months (other than a leave of absence approved by the Board of Directors or the Committee);</w:t>
      </w:r>
    </w:p>
    <w:p>
      <w:pPr>
        <w:spacing w:after="0" w:line="185" w:lineRule="exact"/>
        <w:rPr>
          <w:rFonts w:ascii="Times New Roman" w:cs="Times New Roman" w:eastAsia="Times New Roman" w:hAnsi="Times New Roman"/>
          <w:sz w:val="16"/>
          <w:szCs w:val="16"/>
          <w:color w:val="auto"/>
        </w:rPr>
      </w:pPr>
    </w:p>
    <w:p>
      <w:pPr>
        <w:ind w:left="80" w:right="200" w:firstLine="459"/>
        <w:spacing w:after="0" w:line="284" w:lineRule="auto"/>
        <w:tabs>
          <w:tab w:leader="none" w:pos="76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prohibited or unenforceable under applicable law, Employee must refrain from Engaging in Competition (as defined in Section 2.17 of the Plan) without first having obtained the written consent thereto from the Company (“Non-competition”); and</w:t>
      </w:r>
    </w:p>
    <w:p>
      <w:pPr>
        <w:spacing w:after="0" w:line="177" w:lineRule="exact"/>
        <w:rPr>
          <w:rFonts w:ascii="Times New Roman" w:cs="Times New Roman" w:eastAsia="Times New Roman" w:hAnsi="Times New Roman"/>
          <w:sz w:val="16"/>
          <w:szCs w:val="16"/>
          <w:color w:val="auto"/>
        </w:rPr>
      </w:pPr>
    </w:p>
    <w:p>
      <w:pPr>
        <w:ind w:left="80" w:right="320" w:firstLine="459"/>
        <w:spacing w:after="0" w:line="266" w:lineRule="auto"/>
        <w:tabs>
          <w:tab w:leader="none" w:pos="7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194" w:lineRule="exact"/>
        <w:rPr>
          <w:sz w:val="20"/>
          <w:szCs w:val="20"/>
          <w:color w:val="auto"/>
        </w:rPr>
      </w:pPr>
    </w:p>
    <w:p>
      <w:pPr>
        <w:ind w:right="160" w:firstLine="460"/>
        <w:spacing w:after="0" w:line="262" w:lineRule="auto"/>
        <w:rPr>
          <w:sz w:val="20"/>
          <w:szCs w:val="20"/>
          <w:color w:val="auto"/>
        </w:rPr>
      </w:pPr>
      <w:r>
        <w:rPr>
          <w:rFonts w:ascii="Times New Roman" w:cs="Times New Roman" w:eastAsia="Times New Roman" w:hAnsi="Times New Roman"/>
          <w:sz w:val="16"/>
          <w:szCs w:val="16"/>
          <w:color w:val="auto"/>
        </w:rPr>
        <w:t>If Employee should fail to meet the requirements relating to (i) Continuous Employment, (ii) Non-competition, or (iii) No Improper Conduct, then Employee shall forfeit the right to exercise any SARs that have not already been exercised as of the time such failure is determined, and Employee shall accordingly forfeit the right to receive the transfer of title to any corresponding Common Shares. The forfeiture of rights with respect to unexercised SARs (and corresponding Common Shares) shall not affect the rights of Employee with respect to any SARs that have already been exercised nor with respect to any Common Shares the title of which has already been transferred to the Account.</w:t>
      </w:r>
    </w:p>
    <w:p>
      <w:pPr>
        <w:spacing w:after="0" w:line="195" w:lineRule="exact"/>
        <w:rPr>
          <w:sz w:val="20"/>
          <w:szCs w:val="20"/>
          <w:color w:val="auto"/>
        </w:rPr>
      </w:pPr>
    </w:p>
    <w:p>
      <w:pPr>
        <w:jc w:val="both"/>
        <w:ind w:left="80" w:firstLine="459"/>
        <w:spacing w:after="0" w:line="268" w:lineRule="auto"/>
        <w:tabs>
          <w:tab w:leader="none" w:pos="702"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Rights as a Shareholder. </w:t>
      </w:r>
      <w:r>
        <w:rPr>
          <w:rFonts w:ascii="Times New Roman" w:cs="Times New Roman" w:eastAsia="Times New Roman" w:hAnsi="Times New Roman"/>
          <w:sz w:val="16"/>
          <w:szCs w:val="16"/>
          <w:color w:val="auto"/>
        </w:rPr>
        <w:t>Employee shall have no rights as a shareholder with respect to any SAR Shares covered by the SARs granted hereby until the date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corresponding Common Shares are transferred to the Account as described in paragraph 6. No adjustment shall be made for dividends or other rights for which the record date is prior to such date.</w:t>
      </w:r>
    </w:p>
    <w:p>
      <w:pPr>
        <w:spacing w:after="0" w:line="201" w:lineRule="exact"/>
        <w:rPr>
          <w:rFonts w:ascii="Times New Roman" w:cs="Times New Roman" w:eastAsia="Times New Roman" w:hAnsi="Times New Roman"/>
          <w:sz w:val="16"/>
          <w:szCs w:val="16"/>
          <w:color w:val="auto"/>
        </w:rPr>
      </w:pPr>
    </w:p>
    <w:p>
      <w:pPr>
        <w:ind w:left="80" w:right="160" w:firstLine="459"/>
        <w:spacing w:after="0" w:line="286" w:lineRule="auto"/>
        <w:tabs>
          <w:tab w:leader="none" w:pos="702"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Non-Assignability. </w:t>
      </w:r>
      <w:r>
        <w:rPr>
          <w:rFonts w:ascii="Times New Roman" w:cs="Times New Roman" w:eastAsia="Times New Roman" w:hAnsi="Times New Roman"/>
          <w:sz w:val="16"/>
          <w:szCs w:val="16"/>
          <w:color w:val="auto"/>
        </w:rPr>
        <w:t>The SARs shall not be assignable or transferable by Employee except by will or by the laws of descent and distribution. During Employee’s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lifetime, the SARs may be exercised only by Employee or, in the event of incompetence, by Employee’s legally appointed guardian.</w:t>
      </w:r>
    </w:p>
    <w:p>
      <w:pPr>
        <w:spacing w:after="0" w:line="174" w:lineRule="exact"/>
        <w:rPr>
          <w:rFonts w:ascii="Times New Roman" w:cs="Times New Roman" w:eastAsia="Times New Roman" w:hAnsi="Times New Roman"/>
          <w:sz w:val="16"/>
          <w:szCs w:val="16"/>
          <w:color w:val="auto"/>
        </w:rPr>
      </w:pPr>
    </w:p>
    <w:p>
      <w:pPr>
        <w:ind w:left="780" w:hanging="241"/>
        <w:spacing w:after="0"/>
        <w:tabs>
          <w:tab w:leader="none" w:pos="7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Effect of Termination of Employment or Death.</w:t>
      </w:r>
    </w:p>
    <w:p>
      <w:pPr>
        <w:spacing w:after="0" w:line="240" w:lineRule="exact"/>
        <w:rPr>
          <w:sz w:val="20"/>
          <w:szCs w:val="20"/>
          <w:color w:val="auto"/>
        </w:rPr>
      </w:pPr>
    </w:p>
    <w:p>
      <w:pPr>
        <w:ind w:left="80" w:right="100" w:firstLine="459"/>
        <w:spacing w:after="0" w:line="258" w:lineRule="auto"/>
        <w:tabs>
          <w:tab w:leader="none" w:pos="7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Employee’s Continuous Employment is terminated for any reason other than those specified in (b) or (c) or (d) below, Employee shall immediately forfeit all of the SARs which are unexercisable and, provided that Employee continues to meet the requirements related to Non-competition and No Improper Conduct, any SARs which were otherwise exercisable on such date shall expire at the earlier of (i) the expiration of the SARs in accordance with the term for which the SARs were granted, or</w:t>
      </w:r>
    </w:p>
    <w:p>
      <w:pPr>
        <w:ind w:left="320" w:hanging="241"/>
        <w:spacing w:after="0"/>
        <w:tabs>
          <w:tab w:leader="none" w:pos="3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months from the date on which Employee’s Continuous Service terminated.</w:t>
      </w:r>
    </w:p>
    <w:p>
      <w:pPr>
        <w:spacing w:after="0" w:line="231" w:lineRule="exact"/>
        <w:rPr>
          <w:rFonts w:ascii="Times New Roman" w:cs="Times New Roman" w:eastAsia="Times New Roman" w:hAnsi="Times New Roman"/>
          <w:sz w:val="16"/>
          <w:szCs w:val="16"/>
          <w:color w:val="auto"/>
        </w:rPr>
      </w:pPr>
    </w:p>
    <w:p>
      <w:pPr>
        <w:ind w:left="80" w:right="20" w:firstLine="459"/>
        <w:spacing w:after="0" w:line="256" w:lineRule="auto"/>
        <w:tabs>
          <w:tab w:leader="none" w:pos="769"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on account of Employee’s Retirement (as defined below), and if Employee had otherwise met the requirements of Continuous Employment, Non-competition and No Improper Conduct from the Grant Date through the date of such Retirement, then all the SAR Shares shall continue to become exercisable in accordance with the schedule set forth in Paragraph 5, except that if the Grant Date is less than one year before the date Employee retires then the portion of the SARs equal to the number of SARs granted hereunder multiplied by the ratio of (a) the number of days between the Grant Date and the retirement date inclusive, over (b) the number of days in the twelve (12) month period following the Grant Date shall immediately be forfeited upon Employee’s termination. Provided that Employee continues to meet the requirements of Non-competition and No Improper Conduct, all of the SARs that remain outstanding shall expire at the sooner to occur of (i) the expiration of such SARs in accordance with their original term, and (ii) the expiration of five years from the date of retirement. For purposes of this Agreement, “Retirement” shall mean termination of employment on account of Disability (as defined in Section 2.14 of the Plan) or by retiring with the specific approval of the Committee on or after such date on which Employee has attained age 55 and completed ten (10) Years of Service. If the Committee subsequently determines, in its sole discretion, that Employee has violated the Non-competition or No Improper Conduct requirement, then Employee shall have ninety (90) days from the date of such finding within which to exercise any SARs or portions thereof which are exercisable on such date, and any SARs or portions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0"/>
          </w:cols>
          <w:pgMar w:left="320" w:top="910" w:right="339" w:bottom="1440" w:gutter="0" w:footer="0" w:header="0"/>
        </w:sectPr>
      </w:pPr>
    </w:p>
    <w:bookmarkStart w:id="175" w:name="page176"/>
    <w:bookmarkEnd w:id="175"/>
    <w:p>
      <w:pPr>
        <w:ind w:left="80" w:right="160"/>
        <w:spacing w:after="0" w:line="300" w:lineRule="auto"/>
        <w:rPr>
          <w:sz w:val="20"/>
          <w:szCs w:val="20"/>
          <w:color w:val="auto"/>
        </w:rPr>
      </w:pPr>
      <w:r>
        <w:rPr>
          <w:rFonts w:ascii="Times New Roman" w:cs="Times New Roman" w:eastAsia="Times New Roman" w:hAnsi="Times New Roman"/>
          <w:sz w:val="16"/>
          <w:szCs w:val="16"/>
          <w:color w:val="auto"/>
        </w:rPr>
        <w:t>which are not exercised within such ninety (90) day period shall expire and any SARs or portion thereof which are not exercisable on such date shall be cancelled on such date.</w:t>
      </w:r>
    </w:p>
    <w:p>
      <w:pPr>
        <w:spacing w:after="0" w:line="166" w:lineRule="exact"/>
        <w:rPr>
          <w:sz w:val="20"/>
          <w:szCs w:val="20"/>
          <w:color w:val="auto"/>
        </w:rPr>
      </w:pPr>
    </w:p>
    <w:p>
      <w:pPr>
        <w:ind w:left="80" w:firstLine="459"/>
        <w:spacing w:after="0" w:line="260" w:lineRule="auto"/>
        <w:tabs>
          <w:tab w:leader="none" w:pos="7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Disability or death of Employee during the three (3) month period following termination of Continuous Employment other than due to Retirement, the SARs shall be exercisable by Employee’s personal representative, heirs or legatees to the same extent and during the same period that Employee could have exercised the SARs if Employee had not become disabled or died. In the event the Employee’s Continuous Employment is terminated due to Disability or death, or if Employee becomes disabled or dies after Retirement, the SARs shall be exercisable in their entirety by Employee’s personal representatives, heirs or legatees at any time prior to the expiration of one year from the date of the Disability or death of Employee, but in no event after the term for which the SARs were granted or before the waiting period has elapsed.</w:t>
      </w:r>
    </w:p>
    <w:p>
      <w:pPr>
        <w:spacing w:after="0" w:line="196" w:lineRule="exact"/>
        <w:rPr>
          <w:rFonts w:ascii="Times New Roman" w:cs="Times New Roman" w:eastAsia="Times New Roman" w:hAnsi="Times New Roman"/>
          <w:sz w:val="16"/>
          <w:szCs w:val="16"/>
          <w:color w:val="auto"/>
        </w:rPr>
      </w:pPr>
    </w:p>
    <w:p>
      <w:pPr>
        <w:ind w:left="80" w:right="40" w:firstLine="459"/>
        <w:spacing w:after="0" w:line="257" w:lineRule="auto"/>
        <w:tabs>
          <w:tab w:leader="none" w:pos="76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as the result of a Divestiture (defined as either (i) the disposition by the Company or a Subsidiary of all or a portion of the assets used by the Company or Subsidiary in a trade or business, for which the Employee works, to an unrelated corporation or entity and which results in the Employee ceasing to be employed by the Company or a Subsidiary or (ii) the disposition by the Company of its equity interest in a Subsidiary that employs the Employee to an unrelated individual or entity (which, for the avoidance of doubt, excludes a spin-off or split-off or similar transaction), provided that such Subsidiary ceases to be controlled by the Company as a result of such disposition), and if Employee had otherwise met the requirements of Continuous Employment, Non-competition and No Improper Conduct from the Grant Date through the date of such Retirement, all unexercisable SARs shall be fully vested and exercisable as of the Divestiture. Provided that Employee continues to meet the requirements of Non-competition and No Improper Conduct, all of the SARs shall expire at the earlier of (i) the end of their original term and (ii) twelve (12) months following the Divestiture.</w:t>
      </w:r>
    </w:p>
    <w:p>
      <w:pPr>
        <w:spacing w:after="0" w:line="121" w:lineRule="exact"/>
        <w:rPr>
          <w:sz w:val="20"/>
          <w:szCs w:val="20"/>
          <w:color w:val="auto"/>
        </w:rPr>
      </w:pPr>
    </w:p>
    <w:p>
      <w:pPr>
        <w:ind w:left="80" w:right="20" w:firstLine="459"/>
        <w:spacing w:after="0" w:line="257" w:lineRule="auto"/>
        <w:tabs>
          <w:tab w:leader="none" w:pos="776"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Non-Solicitation. </w:t>
      </w:r>
      <w:r>
        <w:rPr>
          <w:rFonts w:ascii="Times New Roman" w:cs="Times New Roman" w:eastAsia="Times New Roman" w:hAnsi="Times New Roman"/>
          <w:sz w:val="16"/>
          <w:szCs w:val="16"/>
          <w:color w:val="auto"/>
        </w:rPr>
        <w:t>In consideration of good and valuable consideration in the form of the SARs granted herein to which Employee is not otherwise entitled,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98" w:lineRule="exact"/>
        <w:rPr>
          <w:rFonts w:ascii="Times New Roman" w:cs="Times New Roman" w:eastAsia="Times New Roman" w:hAnsi="Times New Roman"/>
          <w:sz w:val="16"/>
          <w:szCs w:val="16"/>
          <w:color w:val="auto"/>
        </w:rPr>
      </w:pPr>
    </w:p>
    <w:p>
      <w:pPr>
        <w:jc w:val="both"/>
        <w:ind w:left="80" w:firstLine="459"/>
        <w:spacing w:after="0" w:line="258" w:lineRule="auto"/>
        <w:tabs>
          <w:tab w:leader="none" w:pos="808"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Consent. </w:t>
      </w:r>
      <w:r>
        <w:rPr>
          <w:rFonts w:ascii="Times New Roman" w:cs="Times New Roman" w:eastAsia="Times New Roman" w:hAnsi="Times New Roman"/>
          <w:sz w:val="16"/>
          <w:szCs w:val="16"/>
          <w:color w:val="auto"/>
        </w:rPr>
        <w:t>By executing this Agreement, Employee consents to the collection, maintenance and processing of Employee’s personal information (such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Exercise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74" w:lineRule="exact"/>
        <w:rPr>
          <w:rFonts w:ascii="Times New Roman" w:cs="Times New Roman" w:eastAsia="Times New Roman" w:hAnsi="Times New Roman"/>
          <w:sz w:val="16"/>
          <w:szCs w:val="16"/>
          <w:color w:val="auto"/>
        </w:rPr>
      </w:pPr>
    </w:p>
    <w:p>
      <w:pPr>
        <w:ind w:left="620" w:right="60" w:hanging="311"/>
        <w:spacing w:after="0" w:line="284" w:lineRule="auto"/>
        <w:tabs>
          <w:tab w:leader="none" w:pos="608"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this Agreement, investor questionnaires or other forms that Employee submits to the Company or a Subsidiary or contracts that Employee enters into with the Company or a Subsidiary;</w:t>
      </w:r>
    </w:p>
    <w:p>
      <w:pPr>
        <w:spacing w:after="0" w:line="62"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transactions with the Company, the Company’s affiliates and service providers;</w:t>
      </w:r>
    </w:p>
    <w:p>
      <w:pPr>
        <w:spacing w:after="0" w:line="109" w:lineRule="exact"/>
        <w:rPr>
          <w:rFonts w:ascii="Times New Roman" w:cs="Times New Roman" w:eastAsia="Times New Roman" w:hAnsi="Times New Roman"/>
          <w:sz w:val="16"/>
          <w:szCs w:val="16"/>
          <w:color w:val="auto"/>
        </w:rPr>
      </w:pPr>
    </w:p>
    <w:p>
      <w:pPr>
        <w:ind w:left="600" w:hanging="291"/>
        <w:spacing w:after="0"/>
        <w:tabs>
          <w:tab w:leader="none" w:pos="6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employment records with the Company or a Subsidiary; and</w:t>
      </w:r>
    </w:p>
    <w:p>
      <w:pPr>
        <w:spacing w:after="0" w:line="109"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meetings, telephone conversations and other communications with Employee.</w:t>
      </w:r>
    </w:p>
    <w:p>
      <w:pPr>
        <w:spacing w:after="0" w:line="160" w:lineRule="exact"/>
        <w:rPr>
          <w:rFonts w:ascii="Times New Roman" w:cs="Times New Roman" w:eastAsia="Times New Roman" w:hAnsi="Times New Roman"/>
          <w:sz w:val="16"/>
          <w:szCs w:val="16"/>
          <w:color w:val="auto"/>
        </w:rPr>
      </w:pP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Employee further consents to the Company or a Subsidiary disclosing Employee’s personal information to the Company’s third party service providers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affiliates and other entities in connection with the services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910"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color w:val="auto"/>
        </w:rPr>
        <w:t>Company provides related to Employee’s participation in the Plan, including:</w:t>
      </w:r>
    </w:p>
    <w:p>
      <w:pPr>
        <w:spacing w:after="0" w:line="123" w:lineRule="exact"/>
        <w:rPr>
          <w:sz w:val="20"/>
          <w:szCs w:val="20"/>
          <w:color w:val="auto"/>
        </w:rPr>
      </w:pPr>
    </w:p>
    <w:p>
      <w:pPr>
        <w:ind w:left="520" w:hanging="211"/>
        <w:spacing w:after="0"/>
        <w:tabs>
          <w:tab w:leader="none" w:pos="5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service providers, such as broker-dealers, custodians, banks and others used to finance or facilitate transactions by, or operations of, the Plan;</w:t>
      </w:r>
    </w:p>
    <w:p>
      <w:pPr>
        <w:spacing w:after="0" w:line="109" w:lineRule="exact"/>
        <w:rPr>
          <w:rFonts w:ascii="Times New Roman" w:cs="Times New Roman" w:eastAsia="Times New Roman" w:hAnsi="Times New Roman"/>
          <w:sz w:val="16"/>
          <w:szCs w:val="16"/>
          <w:color w:val="auto"/>
        </w:rPr>
      </w:pPr>
    </w:p>
    <w:p>
      <w:pPr>
        <w:ind w:left="540" w:hanging="231"/>
        <w:spacing w:after="0"/>
        <w:tabs>
          <w:tab w:leader="none" w:pos="5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service providers to the Plan, such as accounting, legal, or tax preparation services;</w:t>
      </w:r>
    </w:p>
    <w:p>
      <w:pPr>
        <w:spacing w:after="0" w:line="109" w:lineRule="exact"/>
        <w:rPr>
          <w:rFonts w:ascii="Times New Roman" w:cs="Times New Roman" w:eastAsia="Times New Roman" w:hAnsi="Times New Roman"/>
          <w:sz w:val="16"/>
          <w:szCs w:val="16"/>
          <w:color w:val="auto"/>
        </w:rPr>
      </w:pPr>
    </w:p>
    <w:p>
      <w:pPr>
        <w:ind w:left="520" w:hanging="211"/>
        <w:spacing w:after="0"/>
        <w:tabs>
          <w:tab w:leader="none" w:pos="5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and</w:t>
      </w:r>
    </w:p>
    <w:p>
      <w:pPr>
        <w:spacing w:after="0" w:line="109" w:lineRule="exact"/>
        <w:rPr>
          <w:rFonts w:ascii="Times New Roman" w:cs="Times New Roman" w:eastAsia="Times New Roman" w:hAnsi="Times New Roman"/>
          <w:sz w:val="16"/>
          <w:szCs w:val="16"/>
          <w:color w:val="auto"/>
        </w:rPr>
      </w:pPr>
    </w:p>
    <w:p>
      <w:pPr>
        <w:ind w:left="540" w:hanging="231"/>
        <w:spacing w:after="0"/>
        <w:tabs>
          <w:tab w:leader="none" w:pos="5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agents, portfolio companies, brokerage firms and the like, in connection with distributions to Plan participants.</w:t>
      </w:r>
    </w:p>
    <w:p>
      <w:pPr>
        <w:spacing w:after="0" w:line="238" w:lineRule="exact"/>
        <w:rPr>
          <w:sz w:val="20"/>
          <w:szCs w:val="20"/>
          <w:color w:val="auto"/>
        </w:rPr>
      </w:pPr>
    </w:p>
    <w:p>
      <w:pPr>
        <w:ind w:left="80" w:firstLine="460"/>
        <w:spacing w:after="0" w:line="300" w:lineRule="auto"/>
        <w:rPr>
          <w:sz w:val="20"/>
          <w:szCs w:val="20"/>
          <w:color w:val="auto"/>
        </w:rPr>
      </w:pPr>
      <w:r>
        <w:rPr>
          <w:rFonts w:ascii="Times New Roman" w:cs="Times New Roman" w:eastAsia="Times New Roman" w:hAnsi="Times New Roman"/>
          <w:sz w:val="16"/>
          <w:szCs w:val="16"/>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66" w:lineRule="exact"/>
        <w:rPr>
          <w:sz w:val="20"/>
          <w:szCs w:val="20"/>
          <w:color w:val="auto"/>
        </w:rPr>
      </w:pPr>
    </w:p>
    <w:p>
      <w:pPr>
        <w:ind w:left="80" w:right="20" w:firstLine="460"/>
        <w:spacing w:after="0" w:line="256" w:lineRule="auto"/>
        <w:rPr>
          <w:sz w:val="20"/>
          <w:szCs w:val="20"/>
          <w:color w:val="auto"/>
        </w:rPr>
      </w:pPr>
      <w:r>
        <w:rPr>
          <w:rFonts w:ascii="Times New Roman" w:cs="Times New Roman" w:eastAsia="Times New Roman" w:hAnsi="Times New Roman"/>
          <w:sz w:val="16"/>
          <w:szCs w:val="16"/>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99" w:lineRule="exact"/>
        <w:rPr>
          <w:sz w:val="20"/>
          <w:szCs w:val="20"/>
          <w:color w:val="auto"/>
        </w:rPr>
      </w:pPr>
    </w:p>
    <w:p>
      <w:pPr>
        <w:ind w:left="80" w:right="120" w:firstLine="459"/>
        <w:spacing w:after="0" w:line="260" w:lineRule="auto"/>
        <w:tabs>
          <w:tab w:leader="none" w:pos="78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Additional Rights. </w:t>
      </w:r>
      <w:r>
        <w:rPr>
          <w:rFonts w:ascii="Times New Roman" w:cs="Times New Roman" w:eastAsia="Times New Roman" w:hAnsi="Times New Roman"/>
          <w:sz w:val="16"/>
          <w:szCs w:val="16"/>
          <w:color w:val="auto"/>
        </w:rPr>
        <w:t>Benefits under the Plan are not guaranteed. The grant of this Award is a one-time benefit and does not create any contractual or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 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209" w:lineRule="exact"/>
        <w:rPr>
          <w:rFonts w:ascii="Times New Roman" w:cs="Times New Roman" w:eastAsia="Times New Roman" w:hAnsi="Times New Roman"/>
          <w:sz w:val="16"/>
          <w:szCs w:val="16"/>
          <w:color w:val="auto"/>
        </w:rPr>
      </w:pPr>
    </w:p>
    <w:p>
      <w:pPr>
        <w:ind w:left="80" w:right="100" w:firstLine="459"/>
        <w:spacing w:after="0" w:line="262" w:lineRule="auto"/>
        <w:tabs>
          <w:tab w:leader="none" w:pos="78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Recapitalization, Reorganization, Unusual Events. </w:t>
      </w:r>
      <w:r>
        <w:rPr>
          <w:rFonts w:ascii="Times New Roman" w:cs="Times New Roman" w:eastAsia="Times New Roman" w:hAnsi="Times New Roman"/>
          <w:sz w:val="16"/>
          <w:szCs w:val="16"/>
          <w:color w:val="auto"/>
        </w:rPr>
        <w:t>Certain events affecting the Common Shares of the Company and mergers, consolidations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reorganizations affecting the Company may affect the number or type of securities deliverable upon exercise of the SARs or limit the remaining term over which the SARs may be exercised, as set forth in Section 4.2 of the Plan. The Committee may make adjustments to this award of SARs due to the occurrence of unusual or unforeseeable circumstances as set forth in Section 14.2 of the Plan.</w:t>
      </w:r>
    </w:p>
    <w:p>
      <w:pPr>
        <w:spacing w:after="0" w:line="193" w:lineRule="exact"/>
        <w:rPr>
          <w:rFonts w:ascii="Times New Roman" w:cs="Times New Roman" w:eastAsia="Times New Roman" w:hAnsi="Times New Roman"/>
          <w:sz w:val="16"/>
          <w:szCs w:val="16"/>
          <w:color w:val="auto"/>
        </w:rPr>
      </w:pPr>
    </w:p>
    <w:p>
      <w:pPr>
        <w:ind w:left="80" w:right="120" w:firstLine="459"/>
        <w:spacing w:after="0" w:line="286" w:lineRule="auto"/>
        <w:tabs>
          <w:tab w:leader="none" w:pos="78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General Restriction. </w:t>
      </w:r>
      <w:r>
        <w:rPr>
          <w:rFonts w:ascii="Times New Roman" w:cs="Times New Roman" w:eastAsia="Times New Roman" w:hAnsi="Times New Roman"/>
          <w:sz w:val="16"/>
          <w:szCs w:val="16"/>
          <w:color w:val="auto"/>
        </w:rPr>
        <w:t>In accordance with the terms of the Plan, the Company may limit or suspend the exercisability of the SARs or the purchase or issuance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SAR Shares thereunder under certain circumstances. Any delay caused thereby shall in no way affect the date of termination of the SARs.</w:t>
      </w:r>
    </w:p>
    <w:p>
      <w:pPr>
        <w:spacing w:after="0" w:line="187" w:lineRule="exact"/>
        <w:rPr>
          <w:rFonts w:ascii="Times New Roman" w:cs="Times New Roman" w:eastAsia="Times New Roman" w:hAnsi="Times New Roman"/>
          <w:sz w:val="16"/>
          <w:szCs w:val="16"/>
          <w:color w:val="auto"/>
        </w:rPr>
      </w:pPr>
    </w:p>
    <w:p>
      <w:pPr>
        <w:ind w:left="80" w:right="120" w:firstLine="459"/>
        <w:spacing w:after="0" w:line="259" w:lineRule="auto"/>
        <w:tabs>
          <w:tab w:leader="none" w:pos="78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Amendment of this Agreement. </w:t>
      </w:r>
      <w:r>
        <w:rPr>
          <w:rFonts w:ascii="Times New Roman" w:cs="Times New Roman" w:eastAsia="Times New Roman" w:hAnsi="Times New Roman"/>
          <w:sz w:val="16"/>
          <w:szCs w:val="16"/>
          <w:color w:val="auto"/>
        </w:rPr>
        <w:t>The Board of Directors may at any time amend, suspend or terminate the Plan or this Agreement; provided, however, that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suspension or termination of the Plan, this Agreement or the SARs shall adversely affect in any material way the SARs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208" w:lineRule="exact"/>
        <w:rPr>
          <w:rFonts w:ascii="Times New Roman" w:cs="Times New Roman" w:eastAsia="Times New Roman" w:hAnsi="Times New Roman"/>
          <w:sz w:val="16"/>
          <w:szCs w:val="16"/>
          <w:color w:val="auto"/>
        </w:rPr>
      </w:pPr>
    </w:p>
    <w:p>
      <w:pPr>
        <w:ind w:left="80" w:right="40" w:firstLine="459"/>
        <w:spacing w:after="0" w:line="268" w:lineRule="auto"/>
        <w:tabs>
          <w:tab w:leader="none" w:pos="78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Notices. </w:t>
      </w:r>
      <w:r>
        <w:rPr>
          <w:rFonts w:ascii="Times New Roman" w:cs="Times New Roman" w:eastAsia="Times New Roman" w:hAnsi="Times New Roman"/>
          <w:sz w:val="16"/>
          <w:szCs w:val="16"/>
          <w:color w:val="auto"/>
        </w:rPr>
        <w:t>Notices hereunder shall be in writing, and if to the Company, may be delivered personally to the Compensation Department or such other party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designated by the Company or mailed to its principal office at 7812 Palm Parkway, Orlando, Florida 32836, addressed to the attention of the Vice President, Total Rewards, and if to Employee, may be delivered personally or mailed to Employee at his or her address on the records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1064" w:right="339" w:bottom="1440" w:gutter="0" w:footer="0" w:header="0"/>
        </w:sectPr>
      </w:pPr>
    </w:p>
    <w:bookmarkStart w:id="177" w:name="page178"/>
    <w:bookmarkEnd w:id="177"/>
    <w:p>
      <w:pPr>
        <w:ind w:left="80" w:right="380" w:firstLine="459"/>
        <w:spacing w:after="0" w:line="303" w:lineRule="auto"/>
        <w:tabs>
          <w:tab w:leader="none" w:pos="78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Successors and Assigns. </w:t>
      </w:r>
      <w:r>
        <w:rPr>
          <w:rFonts w:ascii="Times New Roman" w:cs="Times New Roman" w:eastAsia="Times New Roman" w:hAnsi="Times New Roman"/>
          <w:sz w:val="16"/>
          <w:szCs w:val="16"/>
          <w:color w:val="auto"/>
        </w:rPr>
        <w:t>This Agreement shall bind and inure to the benefit of the parties hereto and the successors and assigns of the Company and,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provided in Paragraph 10(c) above and the provisions of the Plan, to the personal representatives, legatees and heirs of Employee.</w:t>
      </w:r>
    </w:p>
    <w:p>
      <w:pPr>
        <w:spacing w:after="0" w:line="161" w:lineRule="exact"/>
        <w:rPr>
          <w:rFonts w:ascii="Times New Roman" w:cs="Times New Roman" w:eastAsia="Times New Roman" w:hAnsi="Times New Roman"/>
          <w:sz w:val="16"/>
          <w:szCs w:val="16"/>
          <w:color w:val="auto"/>
        </w:rPr>
      </w:pPr>
    </w:p>
    <w:p>
      <w:pPr>
        <w:ind w:left="80" w:right="100" w:firstLine="459"/>
        <w:spacing w:after="0" w:line="286" w:lineRule="auto"/>
        <w:tabs>
          <w:tab w:leader="none" w:pos="78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Effect on Employment. </w:t>
      </w:r>
      <w:r>
        <w:rPr>
          <w:rFonts w:ascii="Times New Roman" w:cs="Times New Roman" w:eastAsia="Times New Roman" w:hAnsi="Times New Roman"/>
          <w:sz w:val="16"/>
          <w:szCs w:val="16"/>
          <w:color w:val="auto"/>
        </w:rPr>
        <w:t>This agreement is not a contract of employment or otherwise a limitation on the right of the Company to terminate the employment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Employee or to increase or decrease Employee’s compensation from the rate of compensation in existence at the time this Agreement is executed.</w:t>
      </w:r>
    </w:p>
    <w:p>
      <w:pPr>
        <w:spacing w:after="0" w:line="174" w:lineRule="exact"/>
        <w:rPr>
          <w:rFonts w:ascii="Times New Roman" w:cs="Times New Roman" w:eastAsia="Times New Roman" w:hAnsi="Times New Roman"/>
          <w:sz w:val="16"/>
          <w:szCs w:val="16"/>
          <w:color w:val="auto"/>
        </w:rPr>
      </w:pPr>
    </w:p>
    <w:p>
      <w:pPr>
        <w:ind w:left="80" w:right="80" w:firstLine="459"/>
        <w:spacing w:after="0" w:line="276" w:lineRule="auto"/>
        <w:tabs>
          <w:tab w:leader="none" w:pos="78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Additional (Non-U.S.) Terms and Conditions. </w:t>
      </w:r>
      <w:r>
        <w:rPr>
          <w:rFonts w:ascii="Times New Roman" w:cs="Times New Roman" w:eastAsia="Times New Roman" w:hAnsi="Times New Roman"/>
          <w:sz w:val="16"/>
          <w:szCs w:val="16"/>
          <w:color w:val="auto"/>
        </w:rPr>
        <w:t>SARs awarded under this Agreement shall be subject to additional terms and conditions, as applicable, set forth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Company’s Policies for Global Compliance of Equity Compensation Awards, which are attached in the Appendix hereto and shall be incorporated herein fully by reference.</w:t>
      </w:r>
    </w:p>
    <w:p>
      <w:pPr>
        <w:spacing w:after="0" w:line="182" w:lineRule="exact"/>
        <w:rPr>
          <w:rFonts w:ascii="Times New Roman" w:cs="Times New Roman" w:eastAsia="Times New Roman" w:hAnsi="Times New Roman"/>
          <w:sz w:val="16"/>
          <w:szCs w:val="16"/>
          <w:color w:val="auto"/>
        </w:rPr>
      </w:pPr>
    </w:p>
    <w:p>
      <w:pPr>
        <w:jc w:val="both"/>
        <w:ind w:left="80" w:right="420" w:firstLine="459"/>
        <w:spacing w:after="0" w:line="268" w:lineRule="auto"/>
        <w:tabs>
          <w:tab w:leader="none" w:pos="78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Clawback Policy. </w:t>
      </w:r>
      <w:r>
        <w:rPr>
          <w:rFonts w:ascii="Times New Roman" w:cs="Times New Roman" w:eastAsia="Times New Roman" w:hAnsi="Times New Roman"/>
          <w:sz w:val="16"/>
          <w:szCs w:val="16"/>
          <w:color w:val="auto"/>
        </w:rPr>
        <w:t>SARs awarded under this Agreement, as well as any Common Stock issued with respect to such SARs, shall be subject to the Clawback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Policy adopted by the Committee on February 13, 2014, and any successor policy thereto, to the extent that at any relevant time Employee is subject to such policy in accordance with its terms.</w:t>
      </w:r>
    </w:p>
    <w:p>
      <w:pPr>
        <w:spacing w:after="0" w:line="189" w:lineRule="exact"/>
        <w:rPr>
          <w:sz w:val="20"/>
          <w:szCs w:val="20"/>
          <w:color w:val="auto"/>
        </w:rPr>
      </w:pPr>
    </w:p>
    <w:p>
      <w:pPr>
        <w:ind w:left="80" w:right="160" w:firstLine="460"/>
        <w:spacing w:after="0" w:line="286"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MARRIOTT VACATIONS WORLDWIDE CORPORATION has caused this Agreement to be signed by its Chief Human Resources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effective as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399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VACATIONS WORLDWIDE</w:t>
            </w:r>
          </w:p>
        </w:tc>
        <w:tc>
          <w:tcPr>
            <w:tcW w:w="5020" w:type="dxa"/>
            <w:vAlign w:val="bottom"/>
          </w:tcPr>
          <w:p>
            <w:pPr>
              <w:spacing w:after="0"/>
              <w:rPr>
                <w:sz w:val="17"/>
                <w:szCs w:val="17"/>
                <w:color w:val="auto"/>
              </w:rPr>
            </w:pPr>
          </w:p>
        </w:tc>
      </w:tr>
      <w:tr>
        <w:trPr>
          <w:trHeight w:val="23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CORPORATION</w:t>
            </w: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EMPLOYEE</w:t>
            </w:r>
          </w:p>
        </w:tc>
      </w:tr>
      <w:tr>
        <w:trPr>
          <w:trHeight w:val="473"/>
        </w:trPr>
        <w:tc>
          <w:tcPr>
            <w:tcW w:w="5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&lt;&lt;PARTICIPANT NAME&gt;&gt;</w:t>
            </w:r>
          </w:p>
        </w:tc>
      </w:tr>
      <w:tr>
        <w:trPr>
          <w:trHeight w:val="255"/>
        </w:trPr>
        <w:tc>
          <w:tcPr>
            <w:tcW w:w="5020" w:type="dxa"/>
            <w:vAlign w:val="bottom"/>
            <w:tcBorders>
              <w:bottom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5020" w:type="dxa"/>
            <w:vAlign w:val="bottom"/>
            <w:tcBorders>
              <w:bottom w:val="single" w:sz="8" w:color="auto"/>
            </w:tcBorders>
          </w:tcPr>
          <w:p>
            <w:pPr>
              <w:spacing w:after="0"/>
              <w:rPr>
                <w:sz w:val="22"/>
                <w:szCs w:val="22"/>
                <w:color w:val="auto"/>
              </w:rPr>
            </w:pPr>
          </w:p>
        </w:tc>
      </w:tr>
      <w:tr>
        <w:trPr>
          <w:trHeight w:val="454"/>
        </w:trPr>
        <w:tc>
          <w:tcPr>
            <w:tcW w:w="622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Chief Human Resources Officer</w:t>
            </w:r>
          </w:p>
        </w:tc>
        <w:tc>
          <w:tcPr>
            <w:tcW w:w="502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Signed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40"/>
          </w:cols>
          <w:pgMar w:left="320" w:top="909" w:right="339" w:bottom="1440" w:gutter="0" w:footer="0" w:header="0"/>
        </w:sectPr>
      </w:pPr>
    </w:p>
    <w:bookmarkStart w:id="178" w:name="page179"/>
    <w:bookmarkEnd w:id="178"/>
    <w:p>
      <w:pPr>
        <w:ind w:left="40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POLICIES FOR GLOBAL COMPLIANCE OF EQUITY COMPENSATION AWARDS</w:t>
      </w:r>
    </w:p>
    <w:p>
      <w:pPr>
        <w:spacing w:after="0" w:line="200" w:lineRule="exact"/>
        <w:rPr>
          <w:sz w:val="20"/>
          <w:szCs w:val="20"/>
          <w:color w:val="auto"/>
        </w:rPr>
      </w:pPr>
    </w:p>
    <w:p>
      <w:pPr>
        <w:spacing w:after="0" w:line="246" w:lineRule="exact"/>
        <w:rPr>
          <w:sz w:val="20"/>
          <w:szCs w:val="20"/>
          <w:color w:val="auto"/>
        </w:rPr>
      </w:pPr>
    </w:p>
    <w:p>
      <w:pPr>
        <w:ind w:right="40" w:firstLine="613"/>
        <w:spacing w:after="0" w:line="266" w:lineRule="auto"/>
        <w:rPr>
          <w:sz w:val="20"/>
          <w:szCs w:val="20"/>
          <w:color w:val="auto"/>
        </w:rPr>
      </w:pPr>
      <w:r>
        <w:rPr>
          <w:rFonts w:ascii="Times New Roman" w:cs="Times New Roman" w:eastAsia="Times New Roman" w:hAnsi="Times New Roman"/>
          <w:sz w:val="16"/>
          <w:szCs w:val="16"/>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94" w:lineRule="exact"/>
        <w:rPr>
          <w:sz w:val="20"/>
          <w:szCs w:val="20"/>
          <w:color w:val="auto"/>
        </w:rPr>
      </w:pPr>
    </w:p>
    <w:p>
      <w:pPr>
        <w:ind w:right="20" w:firstLine="613"/>
        <w:spacing w:after="0" w:line="258" w:lineRule="auto"/>
        <w:rPr>
          <w:sz w:val="20"/>
          <w:szCs w:val="20"/>
          <w:color w:val="auto"/>
        </w:rPr>
      </w:pPr>
      <w:r>
        <w:rPr>
          <w:rFonts w:ascii="Times New Roman" w:cs="Times New Roman" w:eastAsia="Times New Roman" w:hAnsi="Times New Roman"/>
          <w:sz w:val="16"/>
          <w:szCs w:val="16"/>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6"/>
          <w:szCs w:val="16"/>
          <w:u w:val="single" w:color="auto"/>
          <w:color w:val="auto"/>
        </w:rPr>
        <w:t>must satisfy</w:t>
      </w:r>
      <w:r>
        <w:rPr>
          <w:rFonts w:ascii="Times New Roman" w:cs="Times New Roman" w:eastAsia="Times New Roman" w:hAnsi="Times New Roman"/>
          <w:sz w:val="16"/>
          <w:szCs w:val="16"/>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200" w:lineRule="exact"/>
        <w:rPr>
          <w:sz w:val="20"/>
          <w:szCs w:val="20"/>
          <w:color w:val="auto"/>
        </w:rPr>
      </w:pPr>
    </w:p>
    <w:p>
      <w:pPr>
        <w:ind w:right="40" w:firstLine="613"/>
        <w:spacing w:after="0" w:line="266" w:lineRule="auto"/>
        <w:rPr>
          <w:sz w:val="20"/>
          <w:szCs w:val="20"/>
          <w:color w:val="auto"/>
        </w:rPr>
      </w:pPr>
      <w:r>
        <w:rPr>
          <w:rFonts w:ascii="Times New Roman" w:cs="Times New Roman" w:eastAsia="Times New Roman" w:hAnsi="Times New Roman"/>
          <w:sz w:val="16"/>
          <w:szCs w:val="16"/>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94" w:lineRule="exact"/>
        <w:rPr>
          <w:sz w:val="20"/>
          <w:szCs w:val="20"/>
          <w:color w:val="auto"/>
        </w:rPr>
      </w:pPr>
    </w:p>
    <w:p>
      <w:pPr>
        <w:ind w:firstLine="613"/>
        <w:spacing w:after="0" w:line="284" w:lineRule="auto"/>
        <w:rPr>
          <w:sz w:val="20"/>
          <w:szCs w:val="20"/>
          <w:color w:val="auto"/>
        </w:rPr>
      </w:pPr>
      <w:r>
        <w:rPr>
          <w:rFonts w:ascii="Times New Roman" w:cs="Times New Roman" w:eastAsia="Times New Roman" w:hAnsi="Times New Roman"/>
          <w:sz w:val="16"/>
          <w:szCs w:val="16"/>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733"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5"/>
          <w:szCs w:val="15"/>
          <w:color w:val="auto"/>
        </w:rPr>
        <w:t>COUNTRY-SPECIF1C POLICIES</w:t>
      </w:r>
    </w:p>
    <w:p>
      <w:pPr>
        <w:sectPr>
          <w:pgSz w:w="11900" w:h="16838" w:orient="portrait"/>
          <w:cols w:equalWidth="0" w:num="1">
            <w:col w:w="9019"/>
          </w:cols>
          <w:pgMar w:left="1440" w:top="11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added if applicable]</w:t>
      </w:r>
    </w:p>
    <w:p>
      <w:pPr>
        <w:sectPr>
          <w:pgSz w:w="11900" w:h="16838" w:orient="portrait"/>
          <w:cols w:equalWidth="0" w:num="1">
            <w:col w:w="9019"/>
          </w:cols>
          <w:pgMar w:left="1440" w:top="1191" w:right="1440" w:bottom="1440" w:gutter="0" w:footer="0" w:header="0"/>
          <w:type w:val="continuous"/>
        </w:sectPr>
      </w:pPr>
    </w:p>
    <w:bookmarkStart w:id="180" w:name="page181"/>
    <w:bookmarkEnd w:id="180"/>
    <w:p>
      <w:pPr>
        <w:jc w:val="right"/>
        <w:spacing w:after="0"/>
        <w:rPr>
          <w:sz w:val="20"/>
          <w:szCs w:val="20"/>
          <w:color w:val="auto"/>
        </w:rPr>
      </w:pPr>
      <w:r>
        <w:rPr>
          <w:rFonts w:ascii="Times New Roman" w:cs="Times New Roman" w:eastAsia="Times New Roman" w:hAnsi="Times New Roman"/>
          <w:sz w:val="20"/>
          <w:szCs w:val="20"/>
          <w:b w:val="1"/>
          <w:bCs w:val="1"/>
          <w:color w:val="auto"/>
        </w:rPr>
        <w:t>Exhibit 10.53</w:t>
      </w:r>
    </w:p>
    <w:p>
      <w:pPr>
        <w:spacing w:after="0" w:line="37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1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214" w:lineRule="exact"/>
        <w:rPr>
          <w:sz w:val="20"/>
          <w:szCs w:val="20"/>
          <w:color w:val="auto"/>
        </w:rPr>
      </w:pPr>
    </w:p>
    <w:p>
      <w:pPr>
        <w:ind w:right="280" w:firstLine="613"/>
        <w:spacing w:after="0" w:line="286" w:lineRule="auto"/>
        <w:rPr>
          <w:sz w:val="20"/>
          <w:szCs w:val="20"/>
          <w:color w:val="auto"/>
        </w:rPr>
      </w:pPr>
      <w:r>
        <w:rPr>
          <w:rFonts w:ascii="Times New Roman" w:cs="Times New Roman" w:eastAsia="Times New Roman" w:hAnsi="Times New Roman"/>
          <w:sz w:val="16"/>
          <w:szCs w:val="16"/>
          <w:color w:val="auto"/>
        </w:rPr>
        <w:t>THIS AGREEMENT (the “Agreement”) is made on &lt;</w:t>
      </w:r>
      <w:r>
        <w:rPr>
          <w:rFonts w:ascii="Times New Roman" w:cs="Times New Roman" w:eastAsia="Times New Roman" w:hAnsi="Times New Roman"/>
          <w:sz w:val="16"/>
          <w:szCs w:val="16"/>
          <w:b w:val="1"/>
          <w:bCs w:val="1"/>
          <w:color w:val="auto"/>
        </w:rPr>
        <w:t>&lt;</w:t>
      </w:r>
      <w:r>
        <w:rPr>
          <w:rFonts w:ascii="Times New Roman" w:cs="Times New Roman" w:eastAsia="Times New Roman" w:hAnsi="Times New Roman"/>
          <w:sz w:val="16"/>
          <w:szCs w:val="16"/>
          <w:b w:val="1"/>
          <w:bCs w:val="1"/>
          <w:color w:val="auto"/>
          <w:highlight w:val="yellow"/>
        </w:rPr>
        <w:t>GRANT DATE</w:t>
      </w:r>
      <w:r>
        <w:rPr>
          <w:rFonts w:ascii="Times New Roman" w:cs="Times New Roman" w:eastAsia="Times New Roman" w:hAnsi="Times New Roman"/>
          <w:sz w:val="16"/>
          <w:szCs w:val="16"/>
          <w:b w:val="1"/>
          <w:bCs w:val="1"/>
          <w:color w:val="auto"/>
        </w:rPr>
        <w:t>&gt;&gt;</w:t>
      </w:r>
      <w:r>
        <w:rPr>
          <w:rFonts w:ascii="Times New Roman" w:cs="Times New Roman" w:eastAsia="Times New Roman" w:hAnsi="Times New Roman"/>
          <w:sz w:val="16"/>
          <w:szCs w:val="16"/>
          <w:color w:val="auto"/>
        </w:rPr>
        <w:t xml:space="preserve"> (the “Grant Date”) by MARRIOTT VACATIONS WORLDWIDE CORPORATION (the “Company”) and </w:t>
      </w:r>
      <w:r>
        <w:rPr>
          <w:rFonts w:ascii="Times New Roman" w:cs="Times New Roman" w:eastAsia="Times New Roman" w:hAnsi="Times New Roman"/>
          <w:sz w:val="16"/>
          <w:szCs w:val="16"/>
          <w:b w:val="1"/>
          <w:bCs w:val="1"/>
          <w:color w:val="auto"/>
        </w:rPr>
        <w:t>&lt;&lt;</w:t>
      </w:r>
      <w:r>
        <w:rPr>
          <w:rFonts w:ascii="Times New Roman" w:cs="Times New Roman" w:eastAsia="Times New Roman" w:hAnsi="Times New Roman"/>
          <w:sz w:val="16"/>
          <w:szCs w:val="16"/>
          <w:b w:val="1"/>
          <w:bCs w:val="1"/>
          <w:color w:val="auto"/>
          <w:highlight w:val="yellow"/>
        </w:rPr>
        <w:t>PARTICIPANT NAME</w:t>
      </w:r>
      <w:r>
        <w:rPr>
          <w:rFonts w:ascii="Times New Roman" w:cs="Times New Roman" w:eastAsia="Times New Roman" w:hAnsi="Times New Roman"/>
          <w:sz w:val="16"/>
          <w:szCs w:val="16"/>
          <w:b w:val="1"/>
          <w:bCs w:val="1"/>
          <w:color w:val="auto"/>
        </w:rPr>
        <w:t>&gt;&gt;</w:t>
      </w:r>
      <w:r>
        <w:rPr>
          <w:rFonts w:ascii="Times New Roman" w:cs="Times New Roman" w:eastAsia="Times New Roman" w:hAnsi="Times New Roman"/>
          <w:sz w:val="16"/>
          <w:szCs w:val="16"/>
          <w:color w:val="auto"/>
        </w:rPr>
        <w:t xml:space="preserve"> (“Employee”).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WITNESSETH:</w:t>
      </w:r>
    </w:p>
    <w:p>
      <w:pPr>
        <w:spacing w:after="0" w:line="250" w:lineRule="exact"/>
        <w:rPr>
          <w:sz w:val="20"/>
          <w:szCs w:val="20"/>
          <w:color w:val="auto"/>
        </w:rPr>
      </w:pPr>
    </w:p>
    <w:p>
      <w:pPr>
        <w:ind w:right="400" w:firstLine="613"/>
        <w:spacing w:after="0" w:line="284" w:lineRule="auto"/>
        <w:rPr>
          <w:sz w:val="20"/>
          <w:szCs w:val="20"/>
          <w:color w:val="auto"/>
        </w:rPr>
      </w:pPr>
      <w:r>
        <w:rPr>
          <w:rFonts w:ascii="Times New Roman" w:cs="Times New Roman" w:eastAsia="Times New Roman" w:hAnsi="Times New Roman"/>
          <w:sz w:val="16"/>
          <w:szCs w:val="16"/>
          <w:color w:val="auto"/>
        </w:rPr>
        <w:t>WHEREAS, the Company maintains the Marriott Vacations Worldwide Corporation 2020 Equity Incentive Plan, as it may be amended from time to time (the “Plan”); and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WHEREAS, the Company wishes to award to designated employees certain Restricted Stock Unit awards (“RSUs”) as provided in Article 8 of the Plan; and</w:t>
      </w:r>
    </w:p>
    <w:p>
      <w:pPr>
        <w:spacing w:after="0" w:line="238" w:lineRule="exact"/>
        <w:rPr>
          <w:sz w:val="20"/>
          <w:szCs w:val="20"/>
          <w:color w:val="auto"/>
        </w:rPr>
      </w:pPr>
    </w:p>
    <w:p>
      <w:pPr>
        <w:ind w:right="140" w:firstLine="613"/>
        <w:spacing w:after="0" w:line="284" w:lineRule="auto"/>
        <w:rPr>
          <w:sz w:val="20"/>
          <w:szCs w:val="20"/>
          <w:color w:val="auto"/>
        </w:rPr>
      </w:pPr>
      <w:r>
        <w:rPr>
          <w:rFonts w:ascii="Times New Roman" w:cs="Times New Roman" w:eastAsia="Times New Roman" w:hAnsi="Times New Roman"/>
          <w:sz w:val="16"/>
          <w:szCs w:val="16"/>
          <w:color w:val="auto"/>
        </w:rPr>
        <w:t>WHEREAS, Employee has been approved by the Compensation Policy Committee (including any delegate thereof, the “Committee”) of the Company’s Board of Directors (the “Board”) to receive an award of RSUs under the Plan;</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NOW, THEREFORE, it is agreed as follows:</w:t>
      </w:r>
    </w:p>
    <w:p>
      <w:pPr>
        <w:spacing w:after="0" w:line="210" w:lineRule="exact"/>
        <w:rPr>
          <w:sz w:val="20"/>
          <w:szCs w:val="20"/>
          <w:color w:val="auto"/>
        </w:rPr>
      </w:pPr>
    </w:p>
    <w:p>
      <w:pPr>
        <w:ind w:right="100" w:firstLine="462"/>
        <w:spacing w:after="0" w:line="268" w:lineRule="auto"/>
        <w:tabs>
          <w:tab w:leader="none" w:pos="60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Employee has been provided with, and hereby acknowledges receipt of, a Prospectus for the Plan dated &lt;</w:t>
      </w:r>
      <w:r>
        <w:rPr>
          <w:rFonts w:ascii="Times New Roman" w:cs="Times New Roman" w:eastAsia="Times New Roman" w:hAnsi="Times New Roman"/>
          <w:sz w:val="16"/>
          <w:szCs w:val="16"/>
          <w:b w:val="1"/>
          <w:bCs w:val="1"/>
          <w:color w:val="auto"/>
        </w:rPr>
        <w:t xml:space="preserve">&lt; </w:t>
      </w:r>
      <w:r>
        <w:rPr>
          <w:rFonts w:ascii="Times New Roman" w:cs="Times New Roman" w:eastAsia="Times New Roman" w:hAnsi="Times New Roman"/>
          <w:sz w:val="16"/>
          <w:szCs w:val="16"/>
          <w:b w:val="1"/>
          <w:bCs w:val="1"/>
          <w:color w:val="auto"/>
          <w:highlight w:val="yellow"/>
        </w:rPr>
        <w:t>DATE&gt;&gt;,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contains, among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things, a detailed description of the RSU award provisions of the Plan. Employee further acknowledges that Employee has read the Prospectus and this Agreement, and that Employee understands the provisions thereof.</w:t>
      </w:r>
    </w:p>
    <w:p>
      <w:pPr>
        <w:spacing w:after="0" w:line="163" w:lineRule="exact"/>
        <w:rPr>
          <w:rFonts w:ascii="Times New Roman" w:cs="Times New Roman" w:eastAsia="Times New Roman" w:hAnsi="Times New Roman"/>
          <w:sz w:val="16"/>
          <w:szCs w:val="16"/>
          <w:color w:val="auto"/>
        </w:rPr>
      </w:pPr>
    </w:p>
    <w:p>
      <w:pPr>
        <w:ind w:right="20" w:firstLine="462"/>
        <w:spacing w:after="0" w:line="267" w:lineRule="auto"/>
        <w:tabs>
          <w:tab w:leader="none" w:pos="60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Interpretation</w:t>
      </w:r>
      <w:r>
        <w:rPr>
          <w:rFonts w:ascii="Times New Roman" w:cs="Times New Roman" w:eastAsia="Times New Roman" w:hAnsi="Times New Roman"/>
          <w:sz w:val="16"/>
          <w:szCs w:val="16"/>
          <w:color w:val="auto"/>
        </w:rPr>
        <w:t>. The provisions of the Plan are incorporated herein by reference and form an integral part of this Agreement. Except as otherwise set forth herein,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65" w:lineRule="exact"/>
        <w:rPr>
          <w:rFonts w:ascii="Times New Roman" w:cs="Times New Roman" w:eastAsia="Times New Roman" w:hAnsi="Times New Roman"/>
          <w:sz w:val="16"/>
          <w:szCs w:val="16"/>
          <w:color w:val="auto"/>
        </w:rPr>
      </w:pPr>
    </w:p>
    <w:p>
      <w:pPr>
        <w:ind w:right="220" w:firstLine="462"/>
        <w:spacing w:after="0" w:line="286" w:lineRule="auto"/>
        <w:tabs>
          <w:tab w:leader="none" w:pos="60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Grant of RSUs</w:t>
      </w:r>
      <w:r>
        <w:rPr>
          <w:rFonts w:ascii="Times New Roman" w:cs="Times New Roman" w:eastAsia="Times New Roman" w:hAnsi="Times New Roman"/>
          <w:sz w:val="16"/>
          <w:szCs w:val="16"/>
          <w:color w:val="auto"/>
        </w:rPr>
        <w:t>. Subject to the terms and conditions of the Plan, Employee’s acceptance of this Agreement and satisfaction of the tax provisions of any policy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Company regarding international assignments, if applicable, this award (the “Award”) of </w:t>
      </w:r>
      <w:r>
        <w:rPr>
          <w:rFonts w:ascii="Times New Roman" w:cs="Times New Roman" w:eastAsia="Times New Roman" w:hAnsi="Times New Roman"/>
          <w:sz w:val="16"/>
          <w:szCs w:val="16"/>
          <w:b w:val="1"/>
          <w:bCs w:val="1"/>
          <w:color w:val="auto"/>
        </w:rPr>
        <w:t>&lt;&lt;</w:t>
      </w:r>
      <w:r>
        <w:rPr>
          <w:rFonts w:ascii="Times New Roman" w:cs="Times New Roman" w:eastAsia="Times New Roman" w:hAnsi="Times New Roman"/>
          <w:sz w:val="16"/>
          <w:szCs w:val="16"/>
          <w:b w:val="1"/>
          <w:bCs w:val="1"/>
          <w:color w:val="auto"/>
          <w:highlight w:val="yellow"/>
        </w:rPr>
        <w:t>QTY GRANTED</w:t>
      </w:r>
      <w:r>
        <w:rPr>
          <w:rFonts w:ascii="Times New Roman" w:cs="Times New Roman" w:eastAsia="Times New Roman" w:hAnsi="Times New Roman"/>
          <w:sz w:val="16"/>
          <w:szCs w:val="16"/>
          <w:b w:val="1"/>
          <w:bCs w:val="1"/>
          <w:color w:val="auto"/>
        </w:rPr>
        <w:t>&gt;&gt;</w:t>
      </w:r>
      <w:r>
        <w:rPr>
          <w:rFonts w:ascii="Times New Roman" w:cs="Times New Roman" w:eastAsia="Times New Roman" w:hAnsi="Times New Roman"/>
          <w:sz w:val="16"/>
          <w:szCs w:val="16"/>
          <w:color w:val="auto"/>
        </w:rPr>
        <w:t xml:space="preserve"> RSUs is made as of the Grant Date.</w:t>
      </w:r>
    </w:p>
    <w:p>
      <w:pPr>
        <w:spacing w:after="0" w:line="149" w:lineRule="exact"/>
        <w:rPr>
          <w:rFonts w:ascii="Times New Roman" w:cs="Times New Roman" w:eastAsia="Times New Roman" w:hAnsi="Times New Roman"/>
          <w:sz w:val="16"/>
          <w:szCs w:val="16"/>
          <w:color w:val="auto"/>
        </w:rPr>
      </w:pPr>
    </w:p>
    <w:p>
      <w:pPr>
        <w:ind w:right="40" w:firstLine="462"/>
        <w:spacing w:after="0" w:line="257" w:lineRule="auto"/>
        <w:tabs>
          <w:tab w:leader="none" w:pos="60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RSU and Common Share Rights</w:t>
      </w:r>
      <w:r>
        <w:rPr>
          <w:rFonts w:ascii="Times New Roman" w:cs="Times New Roman" w:eastAsia="Times New Roman" w:hAnsi="Times New Roman"/>
          <w:sz w:val="16"/>
          <w:szCs w:val="16"/>
          <w:color w:val="auto"/>
        </w:rPr>
        <w:t>. The RSUs awarded under this Agreement shall be recorded in a Company book-keeping account and shall represent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unsecured right to receive from the Company the transfer of title to shares of Common Stock of the Company (“Common Shares”) in accordance with the schedule of Vesting Dates set forth in paragraph 5 below, provided that Employee has satisfied the Conditions of Transfer set forth in paragraph 6 below and subject to the satisfaction of the provision on withholding taxes set forth in paragraph 10 below. On each such Vesting Date, if it occurs, the Company shall reverse the book-keeping entry for all such related RSUs and transfer a corresponding number of Common Shares (which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Employee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the corresponding Common Shares are transferred, if at all, to the Account.</w:t>
      </w:r>
    </w:p>
    <w:p>
      <w:pPr>
        <w:spacing w:after="0" w:line="170" w:lineRule="exact"/>
        <w:rPr>
          <w:rFonts w:ascii="Times New Roman" w:cs="Times New Roman" w:eastAsia="Times New Roman" w:hAnsi="Times New Roman"/>
          <w:sz w:val="16"/>
          <w:szCs w:val="16"/>
          <w:color w:val="auto"/>
        </w:rPr>
      </w:pPr>
    </w:p>
    <w:p>
      <w:pPr>
        <w:ind w:firstLine="462"/>
        <w:spacing w:after="0" w:line="228" w:lineRule="auto"/>
        <w:tabs>
          <w:tab w:leader="none" w:pos="60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Vesting in RSUs</w:t>
      </w:r>
      <w:r>
        <w:rPr>
          <w:rFonts w:ascii="Times New Roman" w:cs="Times New Roman" w:eastAsia="Times New Roman" w:hAnsi="Times New Roman"/>
          <w:sz w:val="16"/>
          <w:szCs w:val="16"/>
          <w:color w:val="auto"/>
        </w:rPr>
        <w:t>. The RSUs shall vest pro rata as follows: (a) with respect to annual grants, [25%] [33%] [50%] on February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each of the first [four] [three]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[two] anniversaries after the year in which the Grant Date occurs, and (b) with respect to all other grants, [25%] [33%] [25%] on the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month specified in the Equity Award Grant Policy in which occurs the first [four] [three] [two] anniversaries of the Grant Date (each such date, a “Vesting Date”); provided that if the application of the foregoing vesting schedule would cause a fractional RSU to vest, then the Committee shall determine how to reallocate such fractional RSUs so that only whole RSUs vest. Notwithstanding the foregoing, in the event that any such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the month is a Saturday, Sunday or other day on which stock of the Company is not traded on the New York Stock Exchange or another national exchange, then the Vesting Date shall be the next following day on which the stock of the Company is traded on the New York Stock Exchange or another national exchange.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23" w:right="339" w:bottom="1440" w:gutter="0" w:footer="0" w:header="0"/>
        </w:sectPr>
      </w:pPr>
    </w:p>
    <w:bookmarkStart w:id="181" w:name="page182"/>
    <w:bookmarkEnd w:id="181"/>
    <w:p>
      <w:pPr>
        <w:ind w:right="80" w:firstLine="462"/>
        <w:spacing w:after="0" w:line="268" w:lineRule="auto"/>
        <w:tabs>
          <w:tab w:leader="none" w:pos="607"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Conditions of Transfer</w:t>
      </w:r>
      <w:r>
        <w:rPr>
          <w:rFonts w:ascii="Times New Roman" w:cs="Times New Roman" w:eastAsia="Times New Roman" w:hAnsi="Times New Roman"/>
          <w:sz w:val="16"/>
          <w:szCs w:val="16"/>
          <w:color w:val="auto"/>
        </w:rPr>
        <w:t>. Except as otherwise provided in paragraph 8 below, with respect to any RSUs awarded to Employee under this Agreement, as a condition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Employee receiving a transfer of corresponding Common Shares in accordance with paragraph 4 above, Employee shall meet all of the following conditions during the entire period from the Grant Date hereof through the Vesting Date relating to such RSUs:</w:t>
      </w:r>
    </w:p>
    <w:p>
      <w:pPr>
        <w:spacing w:after="0" w:line="177" w:lineRule="exact"/>
        <w:rPr>
          <w:rFonts w:ascii="Times New Roman" w:cs="Times New Roman" w:eastAsia="Times New Roman" w:hAnsi="Times New Roman"/>
          <w:sz w:val="16"/>
          <w:szCs w:val="16"/>
          <w:color w:val="auto"/>
        </w:rPr>
      </w:pPr>
    </w:p>
    <w:p>
      <w:pPr>
        <w:ind w:left="900" w:hanging="285"/>
        <w:spacing w:after="0"/>
        <w:tabs>
          <w:tab w:leader="none" w:pos="90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must continue to be an active employee of the Company or any Subsidiary (“Continuous Employment”);</w:t>
      </w:r>
    </w:p>
    <w:p>
      <w:pPr>
        <w:spacing w:after="0" w:line="212" w:lineRule="exact"/>
        <w:rPr>
          <w:rFonts w:ascii="Times New Roman" w:cs="Times New Roman" w:eastAsia="Times New Roman" w:hAnsi="Times New Roman"/>
          <w:sz w:val="16"/>
          <w:szCs w:val="16"/>
          <w:color w:val="auto"/>
        </w:rPr>
      </w:pPr>
    </w:p>
    <w:p>
      <w:pPr>
        <w:ind w:left="920" w:right="40" w:hanging="305"/>
        <w:spacing w:after="0" w:line="284" w:lineRule="auto"/>
        <w:tabs>
          <w:tab w:leader="none" w:pos="917"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prohibited or unenforceable under applicable law, Employee must refrain from Engaging in Competition (as defined in Section 2.17 of the Plan) without first having obtained the written consent thereto from the Company (“Non-competition”); and</w:t>
      </w:r>
    </w:p>
    <w:p>
      <w:pPr>
        <w:spacing w:after="0" w:line="152" w:lineRule="exact"/>
        <w:rPr>
          <w:rFonts w:ascii="Times New Roman" w:cs="Times New Roman" w:eastAsia="Times New Roman" w:hAnsi="Times New Roman"/>
          <w:sz w:val="16"/>
          <w:szCs w:val="16"/>
          <w:color w:val="auto"/>
        </w:rPr>
      </w:pPr>
    </w:p>
    <w:p>
      <w:pPr>
        <w:ind w:left="920" w:hanging="305"/>
        <w:spacing w:after="0" w:line="266" w:lineRule="auto"/>
        <w:tabs>
          <w:tab w:leader="none" w:pos="908"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168" w:lineRule="exact"/>
        <w:rPr>
          <w:sz w:val="20"/>
          <w:szCs w:val="20"/>
          <w:color w:val="auto"/>
        </w:rPr>
      </w:pPr>
    </w:p>
    <w:p>
      <w:pPr>
        <w:ind w:right="60" w:firstLine="613"/>
        <w:spacing w:after="0" w:line="261" w:lineRule="auto"/>
        <w:rPr>
          <w:sz w:val="20"/>
          <w:szCs w:val="20"/>
          <w:color w:val="auto"/>
        </w:rPr>
      </w:pPr>
      <w:r>
        <w:rPr>
          <w:rFonts w:ascii="Times New Roman" w:cs="Times New Roman" w:eastAsia="Times New Roman" w:hAnsi="Times New Roman"/>
          <w:sz w:val="16"/>
          <w:szCs w:val="16"/>
          <w:color w:val="auto"/>
        </w:rPr>
        <w:t>If Employee should fail to meet the requirements relating to (i) Continuous Employment, (ii) Non-competition, or (iii) No Improper Conduct, then Employee shall forfeit the right to vest in any RSUs that have not already vested as of the time such failure is determined, and Employee shall accordingly forfeit the right to receive the transfer of title to any corresponding Common Shares. The forfeiture of rights with respect to unvested RSUs (and corresponding Common Shares) shall not affect the rights of Employee with respect to any RSUs that already have vested nor with respect to any Common Shares the title of which has already been transferred to the Account.</w:t>
      </w:r>
    </w:p>
    <w:p>
      <w:pPr>
        <w:spacing w:after="0" w:line="181" w:lineRule="exact"/>
        <w:rPr>
          <w:sz w:val="20"/>
          <w:szCs w:val="20"/>
          <w:color w:val="auto"/>
        </w:rPr>
      </w:pPr>
    </w:p>
    <w:p>
      <w:pPr>
        <w:ind w:left="600" w:hanging="138"/>
        <w:spacing w:after="0"/>
        <w:tabs>
          <w:tab w:leader="none" w:pos="60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Non-Assignability. </w:t>
      </w:r>
      <w:r>
        <w:rPr>
          <w:rFonts w:ascii="Times New Roman" w:cs="Times New Roman" w:eastAsia="Times New Roman" w:hAnsi="Times New Roman"/>
          <w:sz w:val="16"/>
          <w:szCs w:val="16"/>
          <w:color w:val="auto"/>
        </w:rPr>
        <w:t>The RSUs shall not be assignable or transferable by Employee except by will or by the laws of descent and distribution.</w:t>
      </w:r>
    </w:p>
    <w:p>
      <w:pPr>
        <w:spacing w:after="0" w:line="212" w:lineRule="exact"/>
        <w:rPr>
          <w:rFonts w:ascii="Times New Roman" w:cs="Times New Roman" w:eastAsia="Times New Roman" w:hAnsi="Times New Roman"/>
          <w:sz w:val="16"/>
          <w:szCs w:val="16"/>
          <w:color w:val="auto"/>
        </w:rPr>
      </w:pPr>
    </w:p>
    <w:p>
      <w:pPr>
        <w:ind w:left="600" w:hanging="138"/>
        <w:spacing w:after="0"/>
        <w:tabs>
          <w:tab w:leader="none" w:pos="60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Effect of Termination of Employment</w:t>
      </w:r>
      <w:r>
        <w:rPr>
          <w:rFonts w:ascii="Times New Roman" w:cs="Times New Roman" w:eastAsia="Times New Roman" w:hAnsi="Times New Roman"/>
          <w:sz w:val="16"/>
          <w:szCs w:val="16"/>
          <w:color w:val="auto"/>
        </w:rPr>
        <w:t>.</w:t>
      </w:r>
    </w:p>
    <w:p>
      <w:pPr>
        <w:spacing w:after="0" w:line="214" w:lineRule="exact"/>
        <w:rPr>
          <w:rFonts w:ascii="Times New Roman" w:cs="Times New Roman" w:eastAsia="Times New Roman" w:hAnsi="Times New Roman"/>
          <w:sz w:val="16"/>
          <w:szCs w:val="16"/>
          <w:color w:val="auto"/>
        </w:rPr>
      </w:pPr>
    </w:p>
    <w:p>
      <w:pPr>
        <w:ind w:left="620" w:right="220" w:hanging="311"/>
        <w:spacing w:after="0" w:line="266" w:lineRule="auto"/>
        <w:tabs>
          <w:tab w:leader="none" w:pos="60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relevant Vesting Date on account of Employee’s Disability or death, and if Employee had otherwise met the requirements of Continuous Employment, Non- competition and No Improper Conduct from the Grant Date through the date of such Disability or death, then Employee’s unvested RSUs shall immediately vest in full upon Disability or death and Employee’s rights hereunder with respect to any such RSUs shall inure to the benefit of Employee’s executors, administrators, personal representatives and assigns.</w:t>
      </w:r>
    </w:p>
    <w:p>
      <w:pPr>
        <w:spacing w:after="0" w:line="168" w:lineRule="exact"/>
        <w:rPr>
          <w:rFonts w:ascii="Times New Roman" w:cs="Times New Roman" w:eastAsia="Times New Roman" w:hAnsi="Times New Roman"/>
          <w:sz w:val="16"/>
          <w:szCs w:val="16"/>
          <w:color w:val="auto"/>
        </w:rPr>
      </w:pPr>
    </w:p>
    <w:p>
      <w:pPr>
        <w:ind w:left="620" w:right="40" w:hanging="311"/>
        <w:spacing w:after="0" w:line="256" w:lineRule="auto"/>
        <w:tabs>
          <w:tab w:leader="none" w:pos="61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relevant Vesting Date on account of Employee’s Retirement (as defined below), and if Employee had otherwise met the requirements of Continuous Employment, Non-competition and No Improper Conduct from the Grant Date through the date of such Retirement, and provided that Employee continues to meet the requirements of Non-competition and No Improper Conduct, then Employee’s rights hereunder with respect to any outstanding, unvested RSUs shall continue in the same manner as if Employee continued to meet the Continuous Employment requirement through the Vesting Dates, except that if Employee’s termination occurs before the one year anniversary of the Grant Date, then that portion of RSUs equal to the total number of RSUs granted hereunder multiplied by the ratio of (i) the number of days after the termination date and before the first anniversary of the Grant Date, over (ii) the number of days in the twelve (12) month period following the Grant Date shall be immediately forfeited upon Employee’s termination. For purposes of this Agreement, “Retirement” shall mean termination of employment on account of Disability (as defined in Section 2.15 of the Plan) or by retiring with the specific approval of the Committee on or after such date on which Employee has attained age 55 and completed ten (10) Years of Service.</w:t>
      </w:r>
    </w:p>
    <w:p>
      <w:pPr>
        <w:spacing w:after="0" w:line="175" w:lineRule="exact"/>
        <w:rPr>
          <w:rFonts w:ascii="Times New Roman" w:cs="Times New Roman" w:eastAsia="Times New Roman" w:hAnsi="Times New Roman"/>
          <w:sz w:val="16"/>
          <w:szCs w:val="16"/>
          <w:color w:val="auto"/>
        </w:rPr>
      </w:pPr>
    </w:p>
    <w:p>
      <w:pPr>
        <w:ind w:left="620" w:hanging="311"/>
        <w:spacing w:after="0" w:line="258" w:lineRule="auto"/>
        <w:tabs>
          <w:tab w:leader="none" w:pos="60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or service with the Company and its Subsidiaries is terminated prior to the relevant Vesting Date as a result of a Divestiture (defined as either (i) the disposition by the Company or a Subsidiary of all or a portion of the assets used by the Company or Subsidiary in a trade or business, for which the Employee works, to an unrelated corporation or entity and which results in the Employee ceasing to be employed by the Company or a Subsidiary or (ii) the disposition by the Company of its equity interest in a Subsidiary that employs the Employee to an unrelated individual or entity (which, for the avoidance of doubt, excludes a spin-off or split-off or similar transaction), provided that such Subsidiary ceases to be controlled by the Company as a result of such disposition), and if Employee had otherwise met the requirements of Continuous Employment, Non-competition and No Improper Conduct from the Grant Date through the date of such termination, all of the unvested RSUs shall immediately vest in full as of the Divestiture, and provided that Employee continues to meet the requirements of Non-competition and No Improper Conduct, shall be settled on the relevant Vesting Date that would have applied had no Divestiture or termination of Continuous Employment occurred. Notwithstanding the foregoing, and in lieu of the foregoing, the Company may, in its discretion, accelerate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934" w:right="339" w:bottom="1440" w:gutter="0" w:footer="0" w:header="0"/>
        </w:sectPr>
      </w:pPr>
    </w:p>
    <w:bookmarkStart w:id="182" w:name="page183"/>
    <w:bookmarkEnd w:id="182"/>
    <w:p>
      <w:pPr>
        <w:ind w:left="620" w:right="40"/>
        <w:spacing w:after="0" w:line="284" w:lineRule="auto"/>
        <w:rPr>
          <w:sz w:val="20"/>
          <w:szCs w:val="20"/>
          <w:color w:val="auto"/>
        </w:rPr>
      </w:pPr>
      <w:r>
        <w:rPr>
          <w:rFonts w:ascii="Times New Roman" w:cs="Times New Roman" w:eastAsia="Times New Roman" w:hAnsi="Times New Roman"/>
          <w:sz w:val="16"/>
          <w:szCs w:val="16"/>
          <w:color w:val="auto"/>
        </w:rPr>
        <w:t>settlement of the RSUs to the extent permitted by Code Section 409A, such that the date of the Divestiture shall be deemed the Vesting Date for all of the RSUs for purposes of paragraph 4 above.</w:t>
      </w:r>
    </w:p>
    <w:p>
      <w:pPr>
        <w:spacing w:after="0" w:line="152" w:lineRule="exact"/>
        <w:rPr>
          <w:sz w:val="20"/>
          <w:szCs w:val="20"/>
          <w:color w:val="auto"/>
        </w:rPr>
      </w:pPr>
    </w:p>
    <w:p>
      <w:pPr>
        <w:ind w:left="620" w:right="120" w:hanging="311"/>
        <w:spacing w:after="0" w:line="300" w:lineRule="auto"/>
        <w:tabs>
          <w:tab w:leader="none" w:pos="617"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relevant Vesting Date for any reason other than those specified in (a), (b) or (c) above, Employee shall immediately forfeit all of the unvested RSUs granted hereunder.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as set forth in paragraph 8(a) above, no other transfer of rights with respect to RSUs shall be permitted pursuant to this Agreement.</w:t>
      </w:r>
    </w:p>
    <w:p>
      <w:pPr>
        <w:spacing w:after="0" w:line="210" w:lineRule="exact"/>
        <w:rPr>
          <w:sz w:val="20"/>
          <w:szCs w:val="20"/>
          <w:color w:val="auto"/>
        </w:rPr>
      </w:pPr>
    </w:p>
    <w:p>
      <w:pPr>
        <w:ind w:firstLine="386"/>
        <w:spacing w:after="0" w:line="255" w:lineRule="auto"/>
        <w:tabs>
          <w:tab w:leader="none" w:pos="607"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Non-Solicitation. </w:t>
      </w:r>
      <w:r>
        <w:rPr>
          <w:rFonts w:ascii="Times New Roman" w:cs="Times New Roman" w:eastAsia="Times New Roman" w:hAnsi="Times New Roman"/>
          <w:sz w:val="16"/>
          <w:szCs w:val="16"/>
          <w:color w:val="auto"/>
        </w:rPr>
        <w:t>In consideration of good and valuable consideration in the form of the RSUs granted herein to which Employee is not otherwise entitled,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receipt 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80" w:lineRule="exact"/>
        <w:rPr>
          <w:rFonts w:ascii="Times New Roman" w:cs="Times New Roman" w:eastAsia="Times New Roman" w:hAnsi="Times New Roman"/>
          <w:sz w:val="16"/>
          <w:szCs w:val="16"/>
          <w:color w:val="auto"/>
        </w:rPr>
      </w:pPr>
    </w:p>
    <w:p>
      <w:pPr>
        <w:ind w:right="100" w:firstLine="309"/>
        <w:spacing w:after="0" w:line="276" w:lineRule="auto"/>
        <w:tabs>
          <w:tab w:leader="none" w:pos="611"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Taxes</w:t>
      </w:r>
      <w:r>
        <w:rPr>
          <w:rFonts w:ascii="Times New Roman" w:cs="Times New Roman" w:eastAsia="Times New Roman" w:hAnsi="Times New Roman"/>
          <w:sz w:val="16"/>
          <w:szCs w:val="16"/>
          <w:color w:val="auto"/>
        </w:rPr>
        <w:t>. The transfer of Common Shares upon each Vesting Date, pursuant to paragraphs 4 and 6 above, shall be subject to the further condition that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provide for the withholding of any taxes required by federal, state, or local law in respect of that Vesting Date by reducing the number of RSUs to be transferred to the Account or by such other manner as the Committee shall determine in its discretion.</w:t>
      </w:r>
    </w:p>
    <w:p>
      <w:pPr>
        <w:spacing w:after="0" w:line="157" w:lineRule="exact"/>
        <w:rPr>
          <w:rFonts w:ascii="Times New Roman" w:cs="Times New Roman" w:eastAsia="Times New Roman" w:hAnsi="Times New Roman"/>
          <w:sz w:val="16"/>
          <w:szCs w:val="16"/>
          <w:color w:val="auto"/>
        </w:rPr>
      </w:pPr>
    </w:p>
    <w:p>
      <w:pPr>
        <w:ind w:right="20" w:firstLine="309"/>
        <w:spacing w:after="0" w:line="258" w:lineRule="auto"/>
        <w:tabs>
          <w:tab w:leader="none" w:pos="605"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Consent. </w:t>
      </w:r>
      <w:r>
        <w:rPr>
          <w:rFonts w:ascii="Times New Roman" w:cs="Times New Roman" w:eastAsia="Times New Roman" w:hAnsi="Times New Roman"/>
          <w:sz w:val="16"/>
          <w:szCs w:val="16"/>
          <w:color w:val="auto"/>
        </w:rPr>
        <w:t>By executing this Agreement, Employee consents to the collection, maintenance and processing of Employee’s personal information (such as Employee’s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Vesting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76" w:lineRule="exact"/>
        <w:rPr>
          <w:rFonts w:ascii="Times New Roman" w:cs="Times New Roman" w:eastAsia="Times New Roman" w:hAnsi="Times New Roman"/>
          <w:sz w:val="16"/>
          <w:szCs w:val="16"/>
          <w:color w:val="auto"/>
        </w:rPr>
      </w:pPr>
    </w:p>
    <w:p>
      <w:pPr>
        <w:ind w:left="620" w:right="40" w:hanging="311"/>
        <w:spacing w:after="0" w:line="284" w:lineRule="auto"/>
        <w:tabs>
          <w:tab w:leader="none" w:pos="60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this Agreement, investor questionnaires or other forms that Employee submits to the Company or a Subsidiary or contracts that Employee enters into with the Company or a Subsidiary;</w:t>
      </w:r>
    </w:p>
    <w:p>
      <w:pPr>
        <w:spacing w:after="0" w:line="165"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transactions with the Company, the Company’s affiliates and service providers;</w:t>
      </w:r>
    </w:p>
    <w:p>
      <w:pPr>
        <w:spacing w:after="0" w:line="212" w:lineRule="exact"/>
        <w:rPr>
          <w:rFonts w:ascii="Times New Roman" w:cs="Times New Roman" w:eastAsia="Times New Roman" w:hAnsi="Times New Roman"/>
          <w:sz w:val="16"/>
          <w:szCs w:val="16"/>
          <w:color w:val="auto"/>
        </w:rPr>
      </w:pPr>
    </w:p>
    <w:p>
      <w:pPr>
        <w:ind w:left="600" w:hanging="291"/>
        <w:spacing w:after="0"/>
        <w:tabs>
          <w:tab w:leader="none" w:pos="6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employment records with the Company or a Subsidiary; and</w:t>
      </w:r>
    </w:p>
    <w:p>
      <w:pPr>
        <w:spacing w:after="0" w:line="212"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meetings, telephone conversations and other communications with Employee.</w:t>
      </w:r>
    </w:p>
    <w:p>
      <w:pPr>
        <w:spacing w:after="0" w:line="212" w:lineRule="exact"/>
        <w:rPr>
          <w:sz w:val="20"/>
          <w:szCs w:val="20"/>
          <w:color w:val="auto"/>
        </w:rPr>
      </w:pPr>
    </w:p>
    <w:p>
      <w:pPr>
        <w:ind w:firstLine="383"/>
        <w:spacing w:after="0" w:line="284" w:lineRule="auto"/>
        <w:rPr>
          <w:sz w:val="20"/>
          <w:szCs w:val="20"/>
          <w:color w:val="auto"/>
        </w:rPr>
      </w:pPr>
      <w:r>
        <w:rPr>
          <w:rFonts w:ascii="Times New Roman" w:cs="Times New Roman" w:eastAsia="Times New Roman" w:hAnsi="Times New Roman"/>
          <w:sz w:val="16"/>
          <w:szCs w:val="16"/>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165" w:lineRule="exact"/>
        <w:rPr>
          <w:sz w:val="20"/>
          <w:szCs w:val="20"/>
          <w:color w:val="auto"/>
        </w:rPr>
      </w:pPr>
    </w:p>
    <w:p>
      <w:pPr>
        <w:ind w:left="600" w:hanging="291"/>
        <w:spacing w:after="0"/>
        <w:tabs>
          <w:tab w:leader="none" w:pos="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service providers, such as broker-dealers, custodians, banks and others used to finance or facilitate transactions by, or operations of, the Plan;</w:t>
      </w:r>
    </w:p>
    <w:p>
      <w:pPr>
        <w:spacing w:after="0" w:line="212"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service providers to the Plan, such as accounting, legal, or tax preparation services;</w:t>
      </w:r>
    </w:p>
    <w:p>
      <w:pPr>
        <w:spacing w:after="0" w:line="212" w:lineRule="exact"/>
        <w:rPr>
          <w:rFonts w:ascii="Times New Roman" w:cs="Times New Roman" w:eastAsia="Times New Roman" w:hAnsi="Times New Roman"/>
          <w:sz w:val="16"/>
          <w:szCs w:val="16"/>
          <w:color w:val="auto"/>
        </w:rPr>
      </w:pPr>
    </w:p>
    <w:p>
      <w:pPr>
        <w:ind w:left="600" w:hanging="291"/>
        <w:spacing w:after="0"/>
        <w:tabs>
          <w:tab w:leader="none" w:pos="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and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20"/>
          </w:cols>
          <w:pgMar w:left="320" w:top="936" w:right="359"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6"/>
          <w:szCs w:val="16"/>
          <w:color w:val="auto"/>
        </w:rPr>
        <w:t>(d)  transfer agents, portfolio companies, brokerage firms and the like, in connection with distributions to Plan participants.</w:t>
      </w:r>
    </w:p>
    <w:p>
      <w:pPr>
        <w:spacing w:after="0" w:line="212" w:lineRule="exact"/>
        <w:rPr>
          <w:sz w:val="20"/>
          <w:szCs w:val="20"/>
          <w:color w:val="auto"/>
        </w:rPr>
      </w:pPr>
    </w:p>
    <w:p>
      <w:pPr>
        <w:ind w:right="180" w:firstLine="383"/>
        <w:spacing w:after="0" w:line="284" w:lineRule="auto"/>
        <w:rPr>
          <w:sz w:val="20"/>
          <w:szCs w:val="20"/>
          <w:color w:val="auto"/>
        </w:rPr>
      </w:pPr>
      <w:r>
        <w:rPr>
          <w:rFonts w:ascii="Times New Roman" w:cs="Times New Roman" w:eastAsia="Times New Roman" w:hAnsi="Times New Roman"/>
          <w:sz w:val="16"/>
          <w:szCs w:val="16"/>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65" w:lineRule="exact"/>
        <w:rPr>
          <w:sz w:val="20"/>
          <w:szCs w:val="20"/>
          <w:color w:val="auto"/>
        </w:rPr>
      </w:pPr>
    </w:p>
    <w:p>
      <w:pPr>
        <w:ind w:right="40" w:firstLine="383"/>
        <w:spacing w:after="0" w:line="256" w:lineRule="auto"/>
        <w:rPr>
          <w:sz w:val="20"/>
          <w:szCs w:val="20"/>
          <w:color w:val="auto"/>
        </w:rPr>
      </w:pPr>
      <w:r>
        <w:rPr>
          <w:rFonts w:ascii="Times New Roman" w:cs="Times New Roman" w:eastAsia="Times New Roman" w:hAnsi="Times New Roman"/>
          <w:sz w:val="16"/>
          <w:szCs w:val="16"/>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74" w:lineRule="exact"/>
        <w:rPr>
          <w:sz w:val="20"/>
          <w:szCs w:val="20"/>
          <w:color w:val="auto"/>
        </w:rPr>
      </w:pPr>
    </w:p>
    <w:p>
      <w:pPr>
        <w:ind w:firstLine="309"/>
        <w:spacing w:after="0" w:line="260" w:lineRule="auto"/>
        <w:tabs>
          <w:tab w:leader="none" w:pos="6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Additional Rights. </w:t>
      </w:r>
      <w:r>
        <w:rPr>
          <w:rFonts w:ascii="Times New Roman" w:cs="Times New Roman" w:eastAsia="Times New Roman" w:hAnsi="Times New Roman"/>
          <w:sz w:val="16"/>
          <w:szCs w:val="16"/>
          <w:color w:val="auto"/>
        </w:rPr>
        <w:t>Benefits under the Plan are not guaranteed. The grant of this Award is a one-time benefit and does not create any contractual or other right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71" w:lineRule="exact"/>
        <w:rPr>
          <w:rFonts w:ascii="Times New Roman" w:cs="Times New Roman" w:eastAsia="Times New Roman" w:hAnsi="Times New Roman"/>
          <w:sz w:val="16"/>
          <w:szCs w:val="16"/>
          <w:color w:val="auto"/>
        </w:rPr>
      </w:pPr>
    </w:p>
    <w:p>
      <w:pPr>
        <w:ind w:right="260" w:firstLine="309"/>
        <w:spacing w:after="0" w:line="276" w:lineRule="auto"/>
        <w:tabs>
          <w:tab w:leader="none" w:pos="6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Recapitalization, Reorganization, Unusual Events</w:t>
      </w:r>
      <w:r>
        <w:rPr>
          <w:rFonts w:ascii="Times New Roman" w:cs="Times New Roman" w:eastAsia="Times New Roman" w:hAnsi="Times New Roman"/>
          <w:sz w:val="16"/>
          <w:szCs w:val="16"/>
          <w:color w:val="auto"/>
        </w:rPr>
        <w:t>. Certain events affecting the Common Shares of the Company and mergers, consolidations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reorganizations affecting 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157" w:lineRule="exact"/>
        <w:rPr>
          <w:rFonts w:ascii="Times New Roman" w:cs="Times New Roman" w:eastAsia="Times New Roman" w:hAnsi="Times New Roman"/>
          <w:sz w:val="16"/>
          <w:szCs w:val="16"/>
          <w:color w:val="auto"/>
        </w:rPr>
      </w:pPr>
    </w:p>
    <w:p>
      <w:pPr>
        <w:jc w:val="both"/>
        <w:ind w:right="100" w:firstLine="309"/>
        <w:spacing w:after="0" w:line="263" w:lineRule="auto"/>
        <w:tabs>
          <w:tab w:leader="none" w:pos="6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 of this Agreement</w:t>
      </w:r>
      <w:r>
        <w:rPr>
          <w:rFonts w:ascii="Times New Roman" w:cs="Times New Roman" w:eastAsia="Times New Roman" w:hAnsi="Times New Roman"/>
          <w:sz w:val="16"/>
          <w:szCs w:val="16"/>
          <w:color w:val="auto"/>
        </w:rPr>
        <w:t>. The Board of Directors may at any time amend, suspend or terminate the Plan or this Agreement; provided, however, that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suspension or termination of the Plan or this Agreement shall adversely affect this Agreement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67" w:lineRule="exact"/>
        <w:rPr>
          <w:rFonts w:ascii="Times New Roman" w:cs="Times New Roman" w:eastAsia="Times New Roman" w:hAnsi="Times New Roman"/>
          <w:sz w:val="16"/>
          <w:szCs w:val="16"/>
          <w:color w:val="auto"/>
        </w:rPr>
      </w:pPr>
    </w:p>
    <w:p>
      <w:pPr>
        <w:ind w:right="200" w:firstLine="309"/>
        <w:spacing w:after="0" w:line="268" w:lineRule="auto"/>
        <w:tabs>
          <w:tab w:leader="none" w:pos="6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Notices. </w:t>
      </w:r>
      <w:r>
        <w:rPr>
          <w:rFonts w:ascii="Times New Roman" w:cs="Times New Roman" w:eastAsia="Times New Roman" w:hAnsi="Times New Roman"/>
          <w:sz w:val="16"/>
          <w:szCs w:val="16"/>
          <w:color w:val="auto"/>
        </w:rPr>
        <w:t>Notices hereunder shall be in writing, and if to the Company, may be delivered personally to the Compensation Department or such other party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designated by the Company or mailed to its principal office at 7812 Palm Parkway, Orlando, Florida 32836, addressed to the attention of the Vice President, Global Talent Management, and if to Employee, may be delivered personally or mailed to Employee at his or her address on the records of the Company.</w:t>
      </w:r>
    </w:p>
    <w:p>
      <w:pPr>
        <w:spacing w:after="0" w:line="163" w:lineRule="exact"/>
        <w:rPr>
          <w:rFonts w:ascii="Times New Roman" w:cs="Times New Roman" w:eastAsia="Times New Roman" w:hAnsi="Times New Roman"/>
          <w:sz w:val="16"/>
          <w:szCs w:val="16"/>
          <w:color w:val="auto"/>
        </w:rPr>
      </w:pPr>
    </w:p>
    <w:p>
      <w:pPr>
        <w:ind w:right="80" w:firstLine="309"/>
        <w:spacing w:after="0" w:line="303" w:lineRule="auto"/>
        <w:tabs>
          <w:tab w:leader="none" w:pos="6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Successors and Assigns</w:t>
      </w:r>
      <w:r>
        <w:rPr>
          <w:rFonts w:ascii="Times New Roman" w:cs="Times New Roman" w:eastAsia="Times New Roman" w:hAnsi="Times New Roman"/>
          <w:sz w:val="16"/>
          <w:szCs w:val="16"/>
          <w:color w:val="auto"/>
        </w:rPr>
        <w:t>. This Agreement shall bind and inure to the benefit of the parties hereto and the successors and assigns of the Company and,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in paragraph 8(a) above and in the Plan, to the personal representatives, legatees and heirs of Employee.</w:t>
      </w:r>
    </w:p>
    <w:p>
      <w:pPr>
        <w:spacing w:after="0" w:line="135" w:lineRule="exact"/>
        <w:rPr>
          <w:rFonts w:ascii="Times New Roman" w:cs="Times New Roman" w:eastAsia="Times New Roman" w:hAnsi="Times New Roman"/>
          <w:sz w:val="16"/>
          <w:szCs w:val="16"/>
          <w:color w:val="auto"/>
        </w:rPr>
      </w:pPr>
    </w:p>
    <w:p>
      <w:pPr>
        <w:ind w:right="60" w:firstLine="309"/>
        <w:spacing w:after="0" w:line="286" w:lineRule="auto"/>
        <w:tabs>
          <w:tab w:leader="none" w:pos="6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Effect on Employment</w:t>
      </w:r>
      <w:r>
        <w:rPr>
          <w:rFonts w:ascii="Times New Roman" w:cs="Times New Roman" w:eastAsia="Times New Roman" w:hAnsi="Times New Roman"/>
          <w:sz w:val="16"/>
          <w:szCs w:val="16"/>
          <w:color w:val="auto"/>
        </w:rPr>
        <w:t>. This agreement is not a contract of employment or otherwise a limitation on the right of the Company to terminate the employment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or to increase or decrease Employee’s compensation from the rate of compensation in existence at the time this Agreement is executed.</w:t>
      </w:r>
    </w:p>
    <w:p>
      <w:pPr>
        <w:spacing w:after="0" w:line="149" w:lineRule="exact"/>
        <w:rPr>
          <w:rFonts w:ascii="Times New Roman" w:cs="Times New Roman" w:eastAsia="Times New Roman" w:hAnsi="Times New Roman"/>
          <w:sz w:val="16"/>
          <w:szCs w:val="16"/>
          <w:color w:val="auto"/>
        </w:rPr>
      </w:pPr>
    </w:p>
    <w:p>
      <w:pPr>
        <w:ind w:right="60" w:firstLine="309"/>
        <w:spacing w:after="0" w:line="276" w:lineRule="auto"/>
        <w:tabs>
          <w:tab w:leader="none" w:pos="6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Additional (Non-U.S.) Terms and Conditions. </w:t>
      </w:r>
      <w:r>
        <w:rPr>
          <w:rFonts w:ascii="Times New Roman" w:cs="Times New Roman" w:eastAsia="Times New Roman" w:hAnsi="Times New Roman"/>
          <w:sz w:val="16"/>
          <w:szCs w:val="16"/>
          <w:color w:val="auto"/>
        </w:rPr>
        <w:t>RSUs awarded under this Agreement shall be subject to additional terms and conditions, as applicable,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Company’s Policies for Global Compliance of Equity Compensation Awards, which are attached in the Appendix hereto and shall be incorporated herein fully by reference.</w:t>
      </w:r>
    </w:p>
    <w:p>
      <w:pPr>
        <w:spacing w:after="0" w:line="157" w:lineRule="exact"/>
        <w:rPr>
          <w:rFonts w:ascii="Times New Roman" w:cs="Times New Roman" w:eastAsia="Times New Roman" w:hAnsi="Times New Roman"/>
          <w:sz w:val="16"/>
          <w:szCs w:val="16"/>
          <w:color w:val="auto"/>
        </w:rPr>
      </w:pPr>
    </w:p>
    <w:p>
      <w:pPr>
        <w:ind w:right="60" w:firstLine="309"/>
        <w:spacing w:after="0" w:line="268" w:lineRule="auto"/>
        <w:tabs>
          <w:tab w:leader="none" w:pos="6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Clawback Policy. </w:t>
      </w:r>
      <w:r>
        <w:rPr>
          <w:rFonts w:ascii="Times New Roman" w:cs="Times New Roman" w:eastAsia="Times New Roman" w:hAnsi="Times New Roman"/>
          <w:sz w:val="16"/>
          <w:szCs w:val="16"/>
          <w:color w:val="auto"/>
        </w:rPr>
        <w:t>RSUs awarded under this Agreement, as well as any Common Shares issued with respect to such RSUs, shall be subject to the Clawback Policy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adopted by the Committee on February 13, 2014, and any successor policy thereto, to the extent that at any relevant time Employee is subject to such policy in accordance with its terms.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20" w:top="936" w:right="359" w:bottom="1440" w:gutter="0" w:footer="0" w:header="0"/>
        </w:sectPr>
      </w:pPr>
    </w:p>
    <w:bookmarkStart w:id="184" w:name="page185"/>
    <w:bookmarkEnd w:id="184"/>
    <w:p>
      <w:pPr>
        <w:ind w:firstLine="383"/>
        <w:spacing w:after="0" w:line="286"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MARRIOTT VACATIONS WORLDWIDE CORPORATION has caused this Agreement to be signed by its Chief Human Resources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71234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MARRIOTT VACATIONS WORLDWIDE</w:t>
            </w: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CORPORATION</w:t>
            </w:r>
          </w:p>
        </w:tc>
        <w:tc>
          <w:tcPr>
            <w:tcW w:w="3580" w:type="dxa"/>
            <w:vAlign w:val="bottom"/>
            <w:gridSpan w:val="3"/>
          </w:tcPr>
          <w:p>
            <w:pPr>
              <w:ind w:left="1600"/>
              <w:spacing w:after="0"/>
              <w:rPr>
                <w:sz w:val="20"/>
                <w:szCs w:val="20"/>
                <w:color w:val="auto"/>
              </w:rPr>
            </w:pPr>
            <w:r>
              <w:rPr>
                <w:rFonts w:ascii="Times New Roman" w:cs="Times New Roman" w:eastAsia="Times New Roman" w:hAnsi="Times New Roman"/>
                <w:sz w:val="17"/>
                <w:szCs w:val="17"/>
                <w:color w:val="auto"/>
              </w:rPr>
              <w:t>EMPLOYEE</w:t>
            </w:r>
          </w:p>
        </w:tc>
        <w:tc>
          <w:tcPr>
            <w:tcW w:w="0" w:type="dxa"/>
            <w:vAlign w:val="bottom"/>
          </w:tcPr>
          <w:p>
            <w:pPr>
              <w:spacing w:after="0"/>
              <w:rPr>
                <w:sz w:val="1"/>
                <w:szCs w:val="1"/>
                <w:color w:val="auto"/>
              </w:rPr>
            </w:pPr>
          </w:p>
        </w:tc>
      </w:tr>
      <w:tr>
        <w:trPr>
          <w:trHeight w:val="267"/>
        </w:trPr>
        <w:tc>
          <w:tcPr>
            <w:tcW w:w="4600" w:type="dxa"/>
            <w:vAlign w:val="bottom"/>
          </w:tcPr>
          <w:p>
            <w:pPr>
              <w:spacing w:after="0"/>
              <w:rPr>
                <w:sz w:val="23"/>
                <w:szCs w:val="23"/>
                <w:color w:val="auto"/>
              </w:rPr>
            </w:pPr>
          </w:p>
        </w:tc>
        <w:tc>
          <w:tcPr>
            <w:tcW w:w="1780" w:type="dxa"/>
            <w:vAlign w:val="bottom"/>
            <w:vMerge w:val="restart"/>
          </w:tcPr>
          <w:p>
            <w:pPr>
              <w:ind w:left="1600"/>
              <w:spacing w:after="0"/>
              <w:rPr>
                <w:sz w:val="20"/>
                <w:szCs w:val="20"/>
                <w:color w:val="auto"/>
              </w:rPr>
            </w:pPr>
            <w:r>
              <w:rPr>
                <w:rFonts w:ascii="Times New Roman" w:cs="Times New Roman" w:eastAsia="Times New Roman" w:hAnsi="Times New Roman"/>
                <w:sz w:val="17"/>
                <w:szCs w:val="17"/>
                <w:color w:val="auto"/>
                <w:w w:val="83"/>
              </w:rPr>
              <w:t>&lt;&lt;</w:t>
            </w:r>
          </w:p>
        </w:tc>
        <w:tc>
          <w:tcPr>
            <w:tcW w:w="1620" w:type="dxa"/>
            <w:vAlign w:val="bottom"/>
          </w:tcPr>
          <w:p>
            <w:pPr>
              <w:spacing w:after="0"/>
              <w:rPr>
                <w:sz w:val="23"/>
                <w:szCs w:val="2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3"/>
              </w:rPr>
              <w:t>&gt;&gt;</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620" w:type="dxa"/>
            <w:vAlign w:val="bottom"/>
            <w:shd w:val="clear" w:color="auto" w:fill="FFFF00"/>
          </w:tcPr>
          <w:p>
            <w:pPr>
              <w:spacing w:after="0" w:line="192" w:lineRule="exact"/>
              <w:rPr>
                <w:sz w:val="20"/>
                <w:szCs w:val="20"/>
                <w:color w:val="auto"/>
              </w:rPr>
            </w:pPr>
            <w:r>
              <w:rPr>
                <w:rFonts w:ascii="Times New Roman" w:cs="Times New Roman" w:eastAsia="Times New Roman" w:hAnsi="Times New Roman"/>
                <w:sz w:val="17"/>
                <w:szCs w:val="17"/>
                <w:color w:val="auto"/>
                <w:highlight w:val="yellow"/>
                <w:w w:val="97"/>
              </w:rPr>
              <w:t>PARTICIPANT NAME</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332740</wp:posOffset>
            </wp:positionV>
            <wp:extent cx="71234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0"/>
        <w:spacing w:after="0"/>
        <w:tabs>
          <w:tab w:leader="none" w:pos="7960" w:val="left"/>
        </w:tabs>
        <w:rPr>
          <w:sz w:val="20"/>
          <w:szCs w:val="20"/>
          <w:color w:val="auto"/>
        </w:rPr>
      </w:pPr>
      <w:r>
        <w:rPr>
          <w:rFonts w:ascii="Times New Roman" w:cs="Times New Roman" w:eastAsia="Times New Roman" w:hAnsi="Times New Roman"/>
          <w:sz w:val="17"/>
          <w:szCs w:val="17"/>
          <w:color w:val="auto"/>
        </w:rPr>
        <w:t>Chief Human Resources Officer</w:t>
      </w:r>
      <w:r>
        <w:rPr>
          <w:sz w:val="20"/>
          <w:szCs w:val="20"/>
          <w:color w:val="auto"/>
        </w:rPr>
        <w:tab/>
      </w:r>
      <w:r>
        <w:rPr>
          <w:rFonts w:ascii="Times New Roman" w:cs="Times New Roman" w:eastAsia="Times New Roman" w:hAnsi="Times New Roman"/>
          <w:sz w:val="16"/>
          <w:szCs w:val="16"/>
          <w:color w:val="auto"/>
        </w:rPr>
        <w:t>Signed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920"/>
          </w:cols>
          <w:pgMar w:left="320" w:top="1138" w:right="659" w:bottom="1440" w:gutter="0" w:footer="0" w:header="0"/>
        </w:sectPr>
      </w:pPr>
    </w:p>
    <w:bookmarkStart w:id="185" w:name="page186"/>
    <w:bookmarkEnd w:id="185"/>
    <w:p>
      <w:pPr>
        <w:ind w:left="40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3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POLICIES FOR GLOBAL COMPLIANCE OF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613"/>
        <w:spacing w:after="0" w:line="266" w:lineRule="auto"/>
        <w:rPr>
          <w:sz w:val="20"/>
          <w:szCs w:val="20"/>
          <w:color w:val="auto"/>
        </w:rPr>
      </w:pPr>
      <w:r>
        <w:rPr>
          <w:rFonts w:ascii="Times New Roman" w:cs="Times New Roman" w:eastAsia="Times New Roman" w:hAnsi="Times New Roman"/>
          <w:sz w:val="16"/>
          <w:szCs w:val="16"/>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68" w:lineRule="exact"/>
        <w:rPr>
          <w:sz w:val="20"/>
          <w:szCs w:val="20"/>
          <w:color w:val="auto"/>
        </w:rPr>
      </w:pPr>
    </w:p>
    <w:p>
      <w:pPr>
        <w:ind w:right="20" w:firstLine="716"/>
        <w:spacing w:after="0" w:line="258" w:lineRule="auto"/>
        <w:rPr>
          <w:sz w:val="20"/>
          <w:szCs w:val="20"/>
          <w:color w:val="auto"/>
        </w:rPr>
      </w:pPr>
      <w:r>
        <w:rPr>
          <w:rFonts w:ascii="Times New Roman" w:cs="Times New Roman" w:eastAsia="Times New Roman" w:hAnsi="Times New Roman"/>
          <w:sz w:val="16"/>
          <w:szCs w:val="16"/>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6"/>
          <w:szCs w:val="16"/>
          <w:u w:val="single" w:color="auto"/>
          <w:color w:val="auto"/>
        </w:rPr>
        <w:t>must satisfy</w:t>
      </w:r>
      <w:r>
        <w:rPr>
          <w:rFonts w:ascii="Times New Roman" w:cs="Times New Roman" w:eastAsia="Times New Roman" w:hAnsi="Times New Roman"/>
          <w:sz w:val="16"/>
          <w:szCs w:val="16"/>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174" w:lineRule="exact"/>
        <w:rPr>
          <w:sz w:val="20"/>
          <w:szCs w:val="20"/>
          <w:color w:val="auto"/>
        </w:rPr>
      </w:pPr>
    </w:p>
    <w:p>
      <w:pPr>
        <w:ind w:right="40" w:firstLine="716"/>
        <w:spacing w:after="0" w:line="266" w:lineRule="auto"/>
        <w:rPr>
          <w:sz w:val="20"/>
          <w:szCs w:val="20"/>
          <w:color w:val="auto"/>
        </w:rPr>
      </w:pPr>
      <w:r>
        <w:rPr>
          <w:rFonts w:ascii="Times New Roman" w:cs="Times New Roman" w:eastAsia="Times New Roman" w:hAnsi="Times New Roman"/>
          <w:sz w:val="16"/>
          <w:szCs w:val="16"/>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68" w:lineRule="exact"/>
        <w:rPr>
          <w:sz w:val="20"/>
          <w:szCs w:val="20"/>
          <w:color w:val="auto"/>
        </w:rPr>
      </w:pPr>
    </w:p>
    <w:p>
      <w:pPr>
        <w:ind w:firstLine="716"/>
        <w:spacing w:after="0" w:line="284" w:lineRule="auto"/>
        <w:rPr>
          <w:sz w:val="20"/>
          <w:szCs w:val="20"/>
          <w:color w:val="auto"/>
        </w:rPr>
      </w:pPr>
      <w:r>
        <w:rPr>
          <w:rFonts w:ascii="Times New Roman" w:cs="Times New Roman" w:eastAsia="Times New Roman" w:hAnsi="Times New Roman"/>
          <w:sz w:val="16"/>
          <w:szCs w:val="16"/>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733"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5"/>
          <w:szCs w:val="15"/>
          <w:color w:val="auto"/>
        </w:rPr>
        <w:t>COUNTRY-SPECIF1C POLICIES</w:t>
      </w:r>
    </w:p>
    <w:p>
      <w:pPr>
        <w:sectPr>
          <w:pgSz w:w="11900" w:h="16838" w:orient="portrait"/>
          <w:cols w:equalWidth="0" w:num="1">
            <w:col w:w="9019"/>
          </w:cols>
          <w:pgMar w:left="1440" w:top="11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added if applicable]</w:t>
      </w:r>
    </w:p>
    <w:p>
      <w:pPr>
        <w:sectPr>
          <w:pgSz w:w="11900" w:h="16838" w:orient="portrait"/>
          <w:cols w:equalWidth="0" w:num="1">
            <w:col w:w="9019"/>
          </w:cols>
          <w:pgMar w:left="1440" w:top="1192" w:right="1440" w:bottom="1440" w:gutter="0" w:footer="0" w:header="0"/>
          <w:type w:val="continuous"/>
        </w:sectPr>
      </w:pPr>
    </w:p>
    <w:bookmarkStart w:id="187" w:name="page188"/>
    <w:bookmarkEnd w:id="187"/>
    <w:p>
      <w:pPr>
        <w:jc w:val="right"/>
        <w:spacing w:after="0"/>
        <w:rPr>
          <w:sz w:val="20"/>
          <w:szCs w:val="20"/>
          <w:color w:val="auto"/>
        </w:rPr>
      </w:pPr>
      <w:r>
        <w:rPr>
          <w:rFonts w:ascii="Times New Roman" w:cs="Times New Roman" w:eastAsia="Times New Roman" w:hAnsi="Times New Roman"/>
          <w:sz w:val="20"/>
          <w:szCs w:val="20"/>
          <w:b w:val="1"/>
          <w:bCs w:val="1"/>
          <w:color w:val="auto"/>
        </w:rPr>
        <w:t>Exhibit 10.54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PERFORMANCE UNIT AWARD AGREEMENT</w:t>
      </w:r>
    </w:p>
    <w:p>
      <w:pPr>
        <w:spacing w:after="0" w:line="239"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7"/>
          <w:szCs w:val="17"/>
          <w:b w:val="1"/>
          <w:bCs w:val="1"/>
          <w:color w:val="auto"/>
        </w:rPr>
        <w:t>PERFORMANCE-BASED RESTRICTED STOCK UNIT AGREEMENT</w:t>
      </w:r>
    </w:p>
    <w:p>
      <w:pPr>
        <w:spacing w:after="0" w:line="3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9"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200" w:lineRule="exact"/>
        <w:rPr>
          <w:sz w:val="20"/>
          <w:szCs w:val="20"/>
          <w:color w:val="auto"/>
        </w:rPr>
      </w:pPr>
    </w:p>
    <w:p>
      <w:pPr>
        <w:spacing w:after="0" w:line="222" w:lineRule="exact"/>
        <w:rPr>
          <w:sz w:val="20"/>
          <w:szCs w:val="20"/>
          <w:color w:val="auto"/>
        </w:rPr>
      </w:pPr>
    </w:p>
    <w:p>
      <w:pPr>
        <w:ind w:right="1060" w:firstLine="519"/>
        <w:spacing w:after="0" w:line="288" w:lineRule="auto"/>
        <w:rPr>
          <w:sz w:val="20"/>
          <w:szCs w:val="20"/>
          <w:color w:val="auto"/>
        </w:rPr>
      </w:pPr>
      <w:r>
        <w:rPr>
          <w:rFonts w:ascii="Times New Roman" w:cs="Times New Roman" w:eastAsia="Times New Roman" w:hAnsi="Times New Roman"/>
          <w:sz w:val="17"/>
          <w:szCs w:val="17"/>
          <w:color w:val="auto"/>
        </w:rPr>
        <w:t xml:space="preserve">THIS AGREEMENT (the “Agreement”) is made on </w:t>
      </w:r>
      <w:r>
        <w:rPr>
          <w:rFonts w:ascii="Times New Roman" w:cs="Times New Roman" w:eastAsia="Times New Roman" w:hAnsi="Times New Roman"/>
          <w:sz w:val="17"/>
          <w:szCs w:val="17"/>
          <w:b w:val="1"/>
          <w:bCs w:val="1"/>
          <w:color w:val="auto"/>
          <w:highlight w:val="yellow"/>
        </w:rPr>
        <w:t>&lt;&lt;GRANT DATE&gt;&gt;</w:t>
      </w:r>
      <w:r>
        <w:rPr>
          <w:rFonts w:ascii="Times New Roman" w:cs="Times New Roman" w:eastAsia="Times New Roman" w:hAnsi="Times New Roman"/>
          <w:sz w:val="17"/>
          <w:szCs w:val="17"/>
          <w:color w:val="auto"/>
        </w:rPr>
        <w:t xml:space="preserve"> (the “Grant Date”) by MARRIOTT VACATIONS WORLDWIDE CORPORATION (the “Company”) and </w:t>
      </w:r>
      <w:r>
        <w:rPr>
          <w:rFonts w:ascii="Times New Roman" w:cs="Times New Roman" w:eastAsia="Times New Roman" w:hAnsi="Times New Roman"/>
          <w:sz w:val="17"/>
          <w:szCs w:val="17"/>
          <w:b w:val="1"/>
          <w:bCs w:val="1"/>
          <w:color w:val="auto"/>
          <w:highlight w:val="yellow"/>
        </w:rPr>
        <w:t>&lt;&lt;PARTICIPANT NAME&gt;&gt;</w:t>
      </w:r>
      <w:r>
        <w:rPr>
          <w:rFonts w:ascii="Times New Roman" w:cs="Times New Roman" w:eastAsia="Times New Roman" w:hAnsi="Times New Roman"/>
          <w:sz w:val="17"/>
          <w:szCs w:val="17"/>
          <w:color w:val="auto"/>
        </w:rPr>
        <w:t>(“Employee”).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WITNESSETH:</w:t>
      </w:r>
    </w:p>
    <w:p>
      <w:pPr>
        <w:spacing w:after="0" w:line="213" w:lineRule="exact"/>
        <w:rPr>
          <w:sz w:val="20"/>
          <w:szCs w:val="20"/>
          <w:color w:val="auto"/>
        </w:rPr>
      </w:pPr>
    </w:p>
    <w:p>
      <w:pPr>
        <w:ind w:right="260" w:firstLine="519"/>
        <w:spacing w:after="0" w:line="283" w:lineRule="auto"/>
        <w:rPr>
          <w:sz w:val="20"/>
          <w:szCs w:val="20"/>
          <w:color w:val="auto"/>
        </w:rPr>
      </w:pPr>
      <w:r>
        <w:rPr>
          <w:rFonts w:ascii="Times New Roman" w:cs="Times New Roman" w:eastAsia="Times New Roman" w:hAnsi="Times New Roman"/>
          <w:sz w:val="17"/>
          <w:szCs w:val="17"/>
          <w:color w:val="auto"/>
        </w:rPr>
        <w:t>WHEREAS, the Company maintains the Marriott Vacations Worldwide Corporation 2020 Equity Incentive Plan, as it may be amended from time to time (the “Plan”); and</w:t>
      </w:r>
    </w:p>
    <w:p>
      <w:pPr>
        <w:spacing w:after="0" w:line="152" w:lineRule="exact"/>
        <w:rPr>
          <w:sz w:val="20"/>
          <w:szCs w:val="20"/>
          <w:color w:val="auto"/>
        </w:rPr>
      </w:pPr>
    </w:p>
    <w:p>
      <w:pPr>
        <w:ind w:right="20" w:firstLine="519"/>
        <w:spacing w:after="0" w:line="283" w:lineRule="auto"/>
        <w:rPr>
          <w:sz w:val="20"/>
          <w:szCs w:val="20"/>
          <w:color w:val="auto"/>
        </w:rPr>
      </w:pPr>
      <w:r>
        <w:rPr>
          <w:rFonts w:ascii="Times New Roman" w:cs="Times New Roman" w:eastAsia="Times New Roman" w:hAnsi="Times New Roman"/>
          <w:sz w:val="17"/>
          <w:szCs w:val="17"/>
          <w:color w:val="auto"/>
        </w:rPr>
        <w:t>WHEREAS, the Company wishes to award to designated employees certain Restricted Stock Unit awards (“RSUs”) as provided in Article 8 of the Plan with performance-based vesting criteria; and</w:t>
      </w:r>
    </w:p>
    <w:p>
      <w:pPr>
        <w:spacing w:after="0" w:line="152" w:lineRule="exact"/>
        <w:rPr>
          <w:sz w:val="20"/>
          <w:szCs w:val="20"/>
          <w:color w:val="auto"/>
        </w:rPr>
      </w:pPr>
    </w:p>
    <w:p>
      <w:pPr>
        <w:ind w:right="320" w:firstLine="519"/>
        <w:spacing w:after="0" w:line="283" w:lineRule="auto"/>
        <w:rPr>
          <w:sz w:val="20"/>
          <w:szCs w:val="20"/>
          <w:color w:val="auto"/>
        </w:rPr>
      </w:pPr>
      <w:r>
        <w:rPr>
          <w:rFonts w:ascii="Times New Roman" w:cs="Times New Roman" w:eastAsia="Times New Roman" w:hAnsi="Times New Roman"/>
          <w:sz w:val="17"/>
          <w:szCs w:val="17"/>
          <w:color w:val="auto"/>
        </w:rPr>
        <w:t>WHEREAS, Employee has been approved by the Compensation Policy Committee (including any delegate thereof, the “Committee”) of the Company’s Board of Directors (the “Board”) to receive an award of RSUs under the Plan;</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it is agreed as follows:</w:t>
      </w:r>
    </w:p>
    <w:p>
      <w:pPr>
        <w:spacing w:after="0" w:line="209" w:lineRule="exact"/>
        <w:rPr>
          <w:sz w:val="20"/>
          <w:szCs w:val="20"/>
          <w:color w:val="auto"/>
        </w:rPr>
      </w:pPr>
    </w:p>
    <w:p>
      <w:pPr>
        <w:ind w:right="80" w:firstLine="522"/>
        <w:spacing w:after="0" w:line="269" w:lineRule="auto"/>
        <w:tabs>
          <w:tab w:leader="none" w:pos="69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Employee has been provided with, and hereby acknowledges receipt of, a Prospectus for the Plan dated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auto"/>
          <w:highlight w:val="yellow"/>
        </w:rPr>
        <w:t>&lt;&lt;DATE&gt;&gt;</w:t>
      </w:r>
      <w:r>
        <w:rPr>
          <w:rFonts w:ascii="Times New Roman" w:cs="Times New Roman" w:eastAsia="Times New Roman" w:hAnsi="Times New Roman"/>
          <w:sz w:val="17"/>
          <w:szCs w:val="17"/>
          <w:color w:val="auto"/>
        </w:rPr>
        <w:t>, which contains, among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things, a detailed description of the RSU award provisions of the Plan. Employee further acknowledges that Employee has read the Prospectus and this Agreement, and that Employee understands the provisions thereof.</w:t>
      </w:r>
    </w:p>
    <w:p>
      <w:pPr>
        <w:spacing w:after="0" w:line="160" w:lineRule="exact"/>
        <w:rPr>
          <w:rFonts w:ascii="Times New Roman" w:cs="Times New Roman" w:eastAsia="Times New Roman" w:hAnsi="Times New Roman"/>
          <w:sz w:val="17"/>
          <w:szCs w:val="17"/>
          <w:color w:val="auto"/>
        </w:rPr>
      </w:pPr>
    </w:p>
    <w:p>
      <w:pPr>
        <w:jc w:val="both"/>
        <w:ind w:right="60" w:firstLine="522"/>
        <w:spacing w:after="0" w:line="263" w:lineRule="auto"/>
        <w:tabs>
          <w:tab w:leader="none" w:pos="69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 The provisions of the Plan are incorporated herein by reference and form an integral part of this Agreement. Except as otherwise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65" w:lineRule="exact"/>
        <w:rPr>
          <w:rFonts w:ascii="Times New Roman" w:cs="Times New Roman" w:eastAsia="Times New Roman" w:hAnsi="Times New Roman"/>
          <w:sz w:val="17"/>
          <w:szCs w:val="17"/>
          <w:color w:val="auto"/>
        </w:rPr>
      </w:pPr>
    </w:p>
    <w:p>
      <w:pPr>
        <w:ind w:right="140" w:firstLine="522"/>
        <w:spacing w:after="0" w:line="321" w:lineRule="auto"/>
        <w:tabs>
          <w:tab w:leader="none" w:pos="69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Grant of RSUs</w:t>
      </w:r>
      <w:r>
        <w:rPr>
          <w:rFonts w:ascii="Times New Roman" w:cs="Times New Roman" w:eastAsia="Times New Roman" w:hAnsi="Times New Roman"/>
          <w:sz w:val="16"/>
          <w:szCs w:val="16"/>
          <w:color w:val="auto"/>
        </w:rPr>
        <w:t>. Subject to the terms and conditions of the Plan, Employee’s acceptance of this Agreement and satisfaction of the tax provisions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policy of the Company regarding international assignments, if applicable, this award (the “Award”) of </w:t>
      </w:r>
      <w:r>
        <w:rPr>
          <w:rFonts w:ascii="Times New Roman" w:cs="Times New Roman" w:eastAsia="Times New Roman" w:hAnsi="Times New Roman"/>
          <w:sz w:val="16"/>
          <w:szCs w:val="16"/>
          <w:b w:val="1"/>
          <w:bCs w:val="1"/>
          <w:color w:val="auto"/>
          <w:highlight w:val="yellow"/>
        </w:rPr>
        <w:t>&lt;&lt;QTY GRANTED&gt;&gt;</w:t>
      </w:r>
      <w:r>
        <w:rPr>
          <w:rFonts w:ascii="Times New Roman" w:cs="Times New Roman" w:eastAsia="Times New Roman" w:hAnsi="Times New Roman"/>
          <w:sz w:val="16"/>
          <w:szCs w:val="16"/>
          <w:color w:val="auto"/>
        </w:rPr>
        <w:t xml:space="preserve"> RSUs is made as of the Grant Date.</w:t>
      </w:r>
    </w:p>
    <w:p>
      <w:pPr>
        <w:spacing w:after="0" w:line="121" w:lineRule="exact"/>
        <w:rPr>
          <w:rFonts w:ascii="Times New Roman" w:cs="Times New Roman" w:eastAsia="Times New Roman" w:hAnsi="Times New Roman"/>
          <w:sz w:val="16"/>
          <w:szCs w:val="16"/>
          <w:color w:val="auto"/>
        </w:rPr>
      </w:pPr>
    </w:p>
    <w:p>
      <w:pPr>
        <w:ind w:firstLine="522"/>
        <w:spacing w:after="0" w:line="255" w:lineRule="auto"/>
        <w:tabs>
          <w:tab w:leader="none" w:pos="69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RSU and Common Share Rights</w:t>
      </w:r>
      <w:r>
        <w:rPr>
          <w:rFonts w:ascii="Times New Roman" w:cs="Times New Roman" w:eastAsia="Times New Roman" w:hAnsi="Times New Roman"/>
          <w:sz w:val="17"/>
          <w:szCs w:val="17"/>
          <w:color w:val="auto"/>
        </w:rPr>
        <w:t>. The RSUs awarded under this Agreement shall be recorded in a Company book-keeping account and shall represent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unsecured right to receive from the Company the transfer of title to shares of Common Stock of the Company (“Common Shares”) earned in accordance with paragraph 5 below and Appendix A attached hereto, provided that Employee has satisfied the Conditions of Transfer set forth in paragraph 6 below and subject to the satisfaction of the provision on withholding taxes set forth in paragraph 10 below. On the Settlement Date set forth below, the Company shall reverse the book-keeping entry for all of the RSUs and transfer a number of Common Shares equal to the portion of the RSUs that is earned in accordance with paragraph 5 below and Appendix A hereto (which number of Common Shares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Any RSUs which are not earned in accordance with paragraph 5 and Appendix A shall be forfeited effective as of the last day of the Performance Period (as defined in paragraph 5 below). Employee shall have all the rights of a stockholder with respect to the Common Shares transferred to the Account, including but not limited to the right to vote the Common Shares, to sell, transfer, liquidate or otherwise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23" w:right="339" w:bottom="1440" w:gutter="0" w:footer="0" w:header="0"/>
        </w:sectPr>
      </w:pPr>
    </w:p>
    <w:bookmarkStart w:id="188" w:name="page189"/>
    <w:bookmarkEnd w:id="188"/>
    <w:p>
      <w:pPr>
        <w:ind w:right="20"/>
        <w:spacing w:after="0" w:line="267" w:lineRule="auto"/>
        <w:rPr>
          <w:sz w:val="20"/>
          <w:szCs w:val="20"/>
          <w:color w:val="auto"/>
        </w:rPr>
      </w:pPr>
      <w:r>
        <w:rPr>
          <w:rFonts w:ascii="Times New Roman" w:cs="Times New Roman" w:eastAsia="Times New Roman" w:hAnsi="Times New Roman"/>
          <w:sz w:val="17"/>
          <w:szCs w:val="17"/>
          <w:color w:val="auto"/>
        </w:rPr>
        <w:t>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such Common Shares are transferred, if at all, to the Account.</w:t>
      </w:r>
    </w:p>
    <w:p>
      <w:pPr>
        <w:spacing w:after="0" w:line="161" w:lineRule="exact"/>
        <w:rPr>
          <w:sz w:val="20"/>
          <w:szCs w:val="20"/>
          <w:color w:val="auto"/>
        </w:rPr>
      </w:pPr>
    </w:p>
    <w:p>
      <w:pPr>
        <w:ind w:firstLine="615"/>
        <w:spacing w:after="0" w:line="255" w:lineRule="auto"/>
        <w:tabs>
          <w:tab w:leader="none" w:pos="784"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Vesting and Settlement of the RSUs</w:t>
      </w:r>
      <w:r>
        <w:rPr>
          <w:rFonts w:ascii="Times New Roman" w:cs="Times New Roman" w:eastAsia="Times New Roman" w:hAnsi="Times New Roman"/>
          <w:sz w:val="17"/>
          <w:szCs w:val="17"/>
          <w:color w:val="auto"/>
        </w:rPr>
        <w:t>. Except as otherwise provided in paragraph 8 below and subject to paragraph 6 below, on the Settlement Date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shall vest in a number of RSUs, if any, based upon the achievement of specified levels of performance during the Performance Period, as set forth in Appendix A hereto. For purposes of this Agreement, the “Performance Period” shall be the year period(s) commencing on January 1, ______ and ending on December 31, ______ [Insert additional periods]. For purposes of this Agreement, the “Settlement Date” shall be a date established by the Committee on or after the date on which the Committee determines the level of achievement with respect to the performance criteria set forth in Appendix A, which Settlement Date shall be no later than the 15th day of the third month following the month in which the Performance Period ends. Notwithstanding the foregoing, in the event that the Settlement Date is a Saturday, Sunday or other day on which stock of the Company is not traded on the New York Stock Exchange or another national exchange, then the Settlement Date shall be the next following day on which the stock of the Company is traded on the New York Stock Exchange or another national exchange.</w:t>
      </w:r>
    </w:p>
    <w:p>
      <w:pPr>
        <w:spacing w:after="0" w:line="174" w:lineRule="exact"/>
        <w:rPr>
          <w:rFonts w:ascii="Times New Roman" w:cs="Times New Roman" w:eastAsia="Times New Roman" w:hAnsi="Times New Roman"/>
          <w:sz w:val="17"/>
          <w:szCs w:val="17"/>
          <w:color w:val="auto"/>
        </w:rPr>
      </w:pPr>
    </w:p>
    <w:p>
      <w:pPr>
        <w:jc w:val="both"/>
        <w:ind w:right="100" w:firstLine="522"/>
        <w:spacing w:after="0" w:line="269" w:lineRule="auto"/>
        <w:tabs>
          <w:tab w:leader="none" w:pos="69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Conditions of Transfer</w:t>
      </w:r>
      <w:r>
        <w:rPr>
          <w:rFonts w:ascii="Times New Roman" w:cs="Times New Roman" w:eastAsia="Times New Roman" w:hAnsi="Times New Roman"/>
          <w:sz w:val="17"/>
          <w:szCs w:val="17"/>
          <w:color w:val="auto"/>
        </w:rPr>
        <w:t>. Except as otherwise provided in paragraph 8 below, with respect to any RSUs awarded to Employee under this Agreement,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 of Employee receiving a transfer in accordance with paragraph 4 above of any Common Shares earned in accordance with paragraph 5 and Appendix A, Employee shall meet all of the following conditions during the entire period from the Grant Date hereof through the Settlement Date relating to such RSUs:</w:t>
      </w:r>
    </w:p>
    <w:p>
      <w:pPr>
        <w:spacing w:after="0" w:line="164" w:lineRule="exact"/>
        <w:rPr>
          <w:sz w:val="20"/>
          <w:szCs w:val="20"/>
          <w:color w:val="auto"/>
        </w:rPr>
      </w:pPr>
    </w:p>
    <w:p>
      <w:pPr>
        <w:ind w:left="700" w:hanging="238"/>
        <w:spacing w:after="0"/>
        <w:tabs>
          <w:tab w:leader="none" w:pos="7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must continue to be an active employee of the Company or any Subsidiary (“Continuous Employment”);</w:t>
      </w:r>
    </w:p>
    <w:p>
      <w:pPr>
        <w:spacing w:after="0" w:line="213" w:lineRule="exact"/>
        <w:rPr>
          <w:rFonts w:ascii="Times New Roman" w:cs="Times New Roman" w:eastAsia="Times New Roman" w:hAnsi="Times New Roman"/>
          <w:sz w:val="17"/>
          <w:szCs w:val="17"/>
          <w:color w:val="auto"/>
        </w:rPr>
      </w:pPr>
    </w:p>
    <w:p>
      <w:pPr>
        <w:ind w:left="760" w:right="120" w:hanging="298"/>
        <w:spacing w:after="0" w:line="283" w:lineRule="auto"/>
        <w:tabs>
          <w:tab w:leader="none" w:pos="69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prohibited or unenforceable under applicable law, Employee must refrain from Engaging in Competition (as defined in Section 2.17 of the Plan) without first having obtained the written consent thereto from the Company (“Non-competition”); and</w:t>
      </w:r>
    </w:p>
    <w:p>
      <w:pPr>
        <w:spacing w:after="0" w:line="152" w:lineRule="exact"/>
        <w:rPr>
          <w:rFonts w:ascii="Times New Roman" w:cs="Times New Roman" w:eastAsia="Times New Roman" w:hAnsi="Times New Roman"/>
          <w:sz w:val="17"/>
          <w:szCs w:val="17"/>
          <w:color w:val="auto"/>
        </w:rPr>
      </w:pPr>
    </w:p>
    <w:p>
      <w:pPr>
        <w:ind w:left="760" w:right="80" w:hanging="298"/>
        <w:spacing w:after="0" w:line="261" w:lineRule="auto"/>
        <w:tabs>
          <w:tab w:leader="none" w:pos="68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must refrain from committing any criminal offense or malicious tort relating to or against the Company or any Subsidiary or, as determined by the Committee in its discretion, engaging in willful acts or omissions or acts or omissions of gross negligence that are or potentially are injurious to the Company’s or a Subsidiary’s operations, financial condition or business reputation (“No Improper Conduct”). The Company’s determination as to whether or not particular conduct constitutes Improper Conduct shall be conclusive.</w:t>
      </w:r>
    </w:p>
    <w:p>
      <w:pPr>
        <w:spacing w:after="0" w:line="172" w:lineRule="exact"/>
        <w:rPr>
          <w:sz w:val="20"/>
          <w:szCs w:val="20"/>
          <w:color w:val="auto"/>
        </w:rPr>
      </w:pPr>
    </w:p>
    <w:p>
      <w:pPr>
        <w:ind w:right="60" w:firstLine="519"/>
        <w:spacing w:after="0" w:line="261" w:lineRule="auto"/>
        <w:rPr>
          <w:sz w:val="20"/>
          <w:szCs w:val="20"/>
          <w:color w:val="auto"/>
        </w:rPr>
      </w:pPr>
      <w:r>
        <w:rPr>
          <w:rFonts w:ascii="Times New Roman" w:cs="Times New Roman" w:eastAsia="Times New Roman" w:hAnsi="Times New Roman"/>
          <w:sz w:val="17"/>
          <w:szCs w:val="17"/>
          <w:color w:val="auto"/>
        </w:rPr>
        <w:t>If Employee should fail to meet the requirements relating to (i) Continuous Employment, (ii) Non- competition, or (iii) No Improper Conduct, then Employee shall forfeit the right to earn any RSUs granted hereunder, and Employee shall accordingly forfeit the right to receive the transfer of title to any Common Shares underlying such RSUs. The forfeiture of rights with respect to RSUs (and corresponding Common Shares) shall not affect the rights of Employee with respect to any Common Shares the title of which has already been transferred to the Account.</w:t>
      </w:r>
    </w:p>
    <w:p>
      <w:pPr>
        <w:spacing w:after="0" w:line="168" w:lineRule="exact"/>
        <w:rPr>
          <w:sz w:val="20"/>
          <w:szCs w:val="20"/>
          <w:color w:val="auto"/>
        </w:rPr>
      </w:pPr>
    </w:p>
    <w:p>
      <w:pPr>
        <w:ind w:left="700" w:hanging="178"/>
        <w:spacing w:after="0"/>
        <w:tabs>
          <w:tab w:leader="none" w:pos="7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Non-Assignability. </w:t>
      </w:r>
      <w:r>
        <w:rPr>
          <w:rFonts w:ascii="Times New Roman" w:cs="Times New Roman" w:eastAsia="Times New Roman" w:hAnsi="Times New Roman"/>
          <w:sz w:val="17"/>
          <w:szCs w:val="17"/>
          <w:color w:val="auto"/>
        </w:rPr>
        <w:t>The RSUs shall not be assignable or transferable by Employee except by will or by the laws of descent and distribution.</w:t>
      </w:r>
    </w:p>
    <w:p>
      <w:pPr>
        <w:spacing w:after="0" w:line="213" w:lineRule="exact"/>
        <w:rPr>
          <w:rFonts w:ascii="Times New Roman" w:cs="Times New Roman" w:eastAsia="Times New Roman" w:hAnsi="Times New Roman"/>
          <w:sz w:val="17"/>
          <w:szCs w:val="17"/>
          <w:color w:val="auto"/>
        </w:rPr>
      </w:pPr>
    </w:p>
    <w:p>
      <w:pPr>
        <w:ind w:left="700" w:hanging="178"/>
        <w:spacing w:after="0"/>
        <w:tabs>
          <w:tab w:leader="none" w:pos="7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Effect of Termination of Employment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760" w:right="60" w:hanging="298"/>
        <w:spacing w:after="0" w:line="259" w:lineRule="auto"/>
        <w:tabs>
          <w:tab w:leader="none" w:pos="68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Settlement Date on account of Employee’s death or Disability (as defined in Section 2.15 of the Plan), and if Employee had otherwise met the requirements of Continuous Employment, Non-competition and No Improper Conduct from the Grant Date through the date of such death or Disability, then, immediately upon such termination of employment due to death or Disability, a portion of Employee’s RSUs granted hereunder equal to the total number of RSUs awarded under this Agreement multiplied by a fraction (in no event greater than 1), the numerator of which is the days between the beginning of the Performance Period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20"/>
          </w:cols>
          <w:pgMar w:left="320" w:top="1248" w:right="359" w:bottom="1440" w:gutter="0" w:footer="0" w:header="0"/>
        </w:sectPr>
      </w:pPr>
    </w:p>
    <w:bookmarkStart w:id="189" w:name="page190"/>
    <w:bookmarkEnd w:id="189"/>
    <w:p>
      <w:pPr>
        <w:ind w:left="760"/>
        <w:spacing w:after="0" w:line="259" w:lineRule="auto"/>
        <w:rPr>
          <w:sz w:val="20"/>
          <w:szCs w:val="20"/>
          <w:color w:val="auto"/>
        </w:rPr>
      </w:pPr>
      <w:r>
        <w:rPr>
          <w:rFonts w:ascii="Times New Roman" w:cs="Times New Roman" w:eastAsia="Times New Roman" w:hAnsi="Times New Roman"/>
          <w:sz w:val="17"/>
          <w:szCs w:val="17"/>
          <w:color w:val="auto"/>
        </w:rPr>
        <w:t>the date of such termination, and the denominator of which is the total number of days in the Performance Period, shall vest and be settled in accordance with paragraph 4, with the date of death or Disability deemed to be the Settlement Date for purposes of such paragraph, assuming the target level of performance set forth on Appendix A had been achieved. In the case of Employee’s death, Employee’s rights hereunder with respect to any such RSUs that vest shall inure to the benefit of Employee’s executors, administrators, personal representatives and assigns. The RSUs that do not vest in accordance with this paragraph shall be immediately forfeited upon such termination due to death or Disability.</w:t>
      </w:r>
    </w:p>
    <w:p>
      <w:pPr>
        <w:spacing w:after="0" w:line="172" w:lineRule="exact"/>
        <w:rPr>
          <w:sz w:val="20"/>
          <w:szCs w:val="20"/>
          <w:color w:val="auto"/>
        </w:rPr>
      </w:pPr>
    </w:p>
    <w:p>
      <w:pPr>
        <w:ind w:left="760" w:right="20" w:hanging="298"/>
        <w:spacing w:after="0" w:line="254" w:lineRule="auto"/>
        <w:tabs>
          <w:tab w:leader="none" w:pos="694"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Settlement Date on account of Employee’s Retirement (as defined below), and if Employee had otherwise met the requirements of Continuous Employment, Non-competition and No Improper Conduct from the Grant Date through the date of such Retirement, and provided that Employee continues to meet the requirements of Non-competition and No Improper Conduct, then Employee’s rights hereunder with respect to a portion of Employee’s unvested RSUs equal to the total number of RSUs awarded under this Agreement multiplied by a fraction (in no event greater than 1), the numerator of which is the days between the beginning of the Performance Period and the date of Retirement inclusive, and the denominator of which is the total number of days in the Performance Period, shall continue in the same manner as if Employee continued to meet the Continuous Employment requirement through the Settlement Date (and, as such, shall remain contingent upon achievement of the performance criteria set forth in Appendix A), and the remaining unvested RSUs shall be immediately forfeited upon such Retirement. For purposes of this Agreement, “Retirement” shall mean termination of employment on account of retiring with the specific approval of the Committee on or after such date on which Employee has attained age 55 and completed ten (10) Years of Service.</w:t>
      </w:r>
    </w:p>
    <w:p>
      <w:pPr>
        <w:spacing w:after="0" w:line="179" w:lineRule="exact"/>
        <w:rPr>
          <w:rFonts w:ascii="Times New Roman" w:cs="Times New Roman" w:eastAsia="Times New Roman" w:hAnsi="Times New Roman"/>
          <w:sz w:val="17"/>
          <w:szCs w:val="17"/>
          <w:color w:val="auto"/>
        </w:rPr>
      </w:pPr>
    </w:p>
    <w:p>
      <w:pPr>
        <w:ind w:left="760" w:hanging="298"/>
        <w:spacing w:after="0" w:line="253" w:lineRule="auto"/>
        <w:tabs>
          <w:tab w:leader="none" w:pos="68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Settlement Date as a result of a Divestiture (defined as either (i) the disposition by the Company or a Subsidiary of all or a portion of the assets used by the Company or Subsidiary in a trade or business, for which the Employee works, to an unrelated corporation or entity and which results in the Employee ceasing to be employed by the Company or a Subsidiary or (ii) the disposition by the Company of its equity interest in a Subsidiary that employs the Employee to an unrelated individual or entity (which, for the avoidance of doubt, excludes a spin-off or split-off or similar transaction), provided that such Subsidiary ceases to be controlled by the Company as a result of such disposition), and if Employee had otherwise met the requirements of Continuous Employment, Non-competition and No Improper Conduct from the Grant Date through the date of such termination, the number of RSUs awarded under this Agreement for which the Performance Period has not been completed as of the Divestiture shall be deemed vested upon the Divestiture assuming the target level of performance set forth on Appendix A had been achieved. With respect to RSUs awarded under this Agreement for which the Performance Period has been completed as of the Divestiture, then such RSUs shall vest upon the Divestiture based on the actual level of achievement of the performance criteria as set forth on Appendix A. All RSUs that become vested under this subsection (c) shall be settled in accordance with paragraph 4, with the Divestiture deemed to be the Settlement Date for purposes of such paragraph.</w:t>
      </w:r>
    </w:p>
    <w:p>
      <w:pPr>
        <w:spacing w:after="0" w:line="184" w:lineRule="exact"/>
        <w:rPr>
          <w:rFonts w:ascii="Times New Roman" w:cs="Times New Roman" w:eastAsia="Times New Roman" w:hAnsi="Times New Roman"/>
          <w:sz w:val="17"/>
          <w:szCs w:val="17"/>
          <w:color w:val="auto"/>
        </w:rPr>
      </w:pPr>
    </w:p>
    <w:p>
      <w:pPr>
        <w:ind w:left="760" w:right="360" w:hanging="298"/>
        <w:spacing w:after="0" w:line="283" w:lineRule="auto"/>
        <w:tabs>
          <w:tab w:leader="none" w:pos="694"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Employee’s Continuous Employment is terminated prior to the Settlement Date for any reason other than those specified in (a), (b) or (c) above, Employee shall immediately forfeit all of the RSUs granted 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set forth in paragraph 8(a) above, no other transfer of rights with respect to RSUs shall be permitted pursuant to this Agreement.</w:t>
      </w:r>
    </w:p>
    <w:p>
      <w:pPr>
        <w:spacing w:after="0" w:line="209" w:lineRule="exact"/>
        <w:rPr>
          <w:sz w:val="20"/>
          <w:szCs w:val="20"/>
          <w:color w:val="auto"/>
        </w:rPr>
      </w:pPr>
    </w:p>
    <w:p>
      <w:pPr>
        <w:ind w:right="100" w:firstLine="505"/>
        <w:spacing w:after="0" w:line="258" w:lineRule="auto"/>
        <w:tabs>
          <w:tab w:leader="none" w:pos="67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Non-Solicitation. </w:t>
      </w:r>
      <w:r>
        <w:rPr>
          <w:rFonts w:ascii="Times New Roman" w:cs="Times New Roman" w:eastAsia="Times New Roman" w:hAnsi="Times New Roman"/>
          <w:sz w:val="17"/>
          <w:szCs w:val="17"/>
          <w:color w:val="auto"/>
        </w:rPr>
        <w:t>In consideration of good and valuable consideration in the form of the RSUs granted herein to which Employee is not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the receipt 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247" w:right="339" w:bottom="1440" w:gutter="0" w:footer="0" w:header="0"/>
        </w:sectPr>
      </w:pPr>
    </w:p>
    <w:bookmarkStart w:id="190" w:name="page191"/>
    <w:bookmarkEnd w:id="190"/>
    <w:p>
      <w:pPr>
        <w:ind w:right="20"/>
        <w:spacing w:after="0" w:line="255" w:lineRule="auto"/>
        <w:rPr>
          <w:sz w:val="20"/>
          <w:szCs w:val="20"/>
          <w:color w:val="auto"/>
        </w:rPr>
      </w:pPr>
      <w:r>
        <w:rPr>
          <w:rFonts w:ascii="Times New Roman" w:cs="Times New Roman" w:eastAsia="Times New Roman" w:hAnsi="Times New Roman"/>
          <w:sz w:val="17"/>
          <w:szCs w:val="17"/>
          <w:color w:val="auto"/>
        </w:rPr>
        <w:t>any other person or entity, directly or indirectly contact, solicit or induce (or attempt to solicit or induce) any employee of the Company or any Subsidiary with whom Employee had material contact during Employee’s employment to leave their employment with the Company or a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74" w:lineRule="exact"/>
        <w:rPr>
          <w:sz w:val="20"/>
          <w:szCs w:val="20"/>
          <w:color w:val="auto"/>
        </w:rPr>
      </w:pPr>
    </w:p>
    <w:p>
      <w:pPr>
        <w:jc w:val="both"/>
        <w:ind w:right="60" w:firstLine="504"/>
        <w:spacing w:after="0" w:line="269" w:lineRule="auto"/>
        <w:tabs>
          <w:tab w:leader="none" w:pos="757" w:val="left"/>
        </w:tabs>
        <w:numPr>
          <w:ilvl w:val="3"/>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The transfer of Common Shares on the Settlement Date, pursuant to paragraphs 4, 6 and 8 above, shall be subject to the further condition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provide for the withholding of any taxes required by federal, state, or local law in respect of the Settlement Date by reducing the number of RSUs to be transferred to the Account or by such other manner as the Committee shall determine in its discretion.</w:t>
      </w:r>
    </w:p>
    <w:p>
      <w:pPr>
        <w:spacing w:after="0" w:line="160" w:lineRule="exact"/>
        <w:rPr>
          <w:rFonts w:ascii="Times New Roman" w:cs="Times New Roman" w:eastAsia="Times New Roman" w:hAnsi="Times New Roman"/>
          <w:sz w:val="17"/>
          <w:szCs w:val="17"/>
          <w:color w:val="auto"/>
        </w:rPr>
      </w:pPr>
    </w:p>
    <w:p>
      <w:pPr>
        <w:ind w:right="120" w:firstLine="505"/>
        <w:spacing w:after="0" w:line="257" w:lineRule="auto"/>
        <w:tabs>
          <w:tab w:leader="none" w:pos="751" w:val="left"/>
        </w:tabs>
        <w:numPr>
          <w:ilvl w:val="3"/>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Consent. </w:t>
      </w:r>
      <w:r>
        <w:rPr>
          <w:rFonts w:ascii="Times New Roman" w:cs="Times New Roman" w:eastAsia="Times New Roman" w:hAnsi="Times New Roman"/>
          <w:sz w:val="17"/>
          <w:szCs w:val="17"/>
          <w:color w:val="auto"/>
        </w:rPr>
        <w:t>By executing this Agreement, Employee consents to the collection, maintenance and processing of Employee’s personal information (such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Settlement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74" w:lineRule="exact"/>
        <w:rPr>
          <w:rFonts w:ascii="Times New Roman" w:cs="Times New Roman" w:eastAsia="Times New Roman" w:hAnsi="Times New Roman"/>
          <w:sz w:val="17"/>
          <w:szCs w:val="17"/>
          <w:color w:val="auto"/>
        </w:rPr>
      </w:pPr>
    </w:p>
    <w:p>
      <w:pPr>
        <w:ind w:left="700" w:right="100" w:hanging="314"/>
        <w:spacing w:after="0" w:line="283" w:lineRule="auto"/>
        <w:tabs>
          <w:tab w:leader="none" w:pos="62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this Agreement, investor questionnaires or other forms that Employee submits to the Company or a Subsidiary or contracts that Employee enters into with the Company or a Subsidiary;</w:t>
      </w:r>
    </w:p>
    <w:p>
      <w:pPr>
        <w:spacing w:after="0" w:line="152" w:lineRule="exact"/>
        <w:rPr>
          <w:rFonts w:ascii="Times New Roman" w:cs="Times New Roman" w:eastAsia="Times New Roman" w:hAnsi="Times New Roman"/>
          <w:sz w:val="17"/>
          <w:szCs w:val="17"/>
          <w:color w:val="auto"/>
        </w:rPr>
      </w:pPr>
    </w:p>
    <w:p>
      <w:pPr>
        <w:ind w:left="640" w:hanging="233"/>
        <w:spacing w:after="0"/>
        <w:tabs>
          <w:tab w:leader="none" w:pos="6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Employee’s transactions with the Company, the Company’s affiliates and service providers;</w:t>
      </w:r>
    </w:p>
    <w:p>
      <w:pPr>
        <w:spacing w:after="0" w:line="213" w:lineRule="exact"/>
        <w:rPr>
          <w:rFonts w:ascii="Times New Roman" w:cs="Times New Roman" w:eastAsia="Times New Roman" w:hAnsi="Times New Roman"/>
          <w:sz w:val="17"/>
          <w:szCs w:val="17"/>
          <w:color w:val="auto"/>
        </w:rPr>
      </w:pPr>
    </w:p>
    <w:p>
      <w:pPr>
        <w:ind w:left="660" w:hanging="235"/>
        <w:spacing w:after="0"/>
        <w:tabs>
          <w:tab w:leader="none" w:pos="66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Employee’s employment records with the Company or a Subsidiary; and</w:t>
      </w:r>
    </w:p>
    <w:p>
      <w:pPr>
        <w:spacing w:after="0" w:line="213" w:lineRule="exact"/>
        <w:rPr>
          <w:rFonts w:ascii="Times New Roman" w:cs="Times New Roman" w:eastAsia="Times New Roman" w:hAnsi="Times New Roman"/>
          <w:sz w:val="17"/>
          <w:szCs w:val="17"/>
          <w:color w:val="auto"/>
        </w:rPr>
      </w:pPr>
    </w:p>
    <w:p>
      <w:pPr>
        <w:ind w:left="660" w:hanging="235"/>
        <w:spacing w:after="0"/>
        <w:tabs>
          <w:tab w:leader="none" w:pos="660"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meetings, telephone conversations and other communications with Employee.</w:t>
      </w:r>
    </w:p>
    <w:p>
      <w:pPr>
        <w:spacing w:after="0" w:line="213" w:lineRule="exact"/>
        <w:rPr>
          <w:sz w:val="20"/>
          <w:szCs w:val="20"/>
          <w:color w:val="auto"/>
        </w:rPr>
      </w:pPr>
    </w:p>
    <w:p>
      <w:pPr>
        <w:ind w:right="280" w:firstLine="519"/>
        <w:spacing w:after="0" w:line="283" w:lineRule="auto"/>
        <w:rPr>
          <w:sz w:val="20"/>
          <w:szCs w:val="20"/>
          <w:color w:val="auto"/>
        </w:rPr>
      </w:pPr>
      <w:r>
        <w:rPr>
          <w:rFonts w:ascii="Times New Roman" w:cs="Times New Roman" w:eastAsia="Times New Roman" w:hAnsi="Times New Roman"/>
          <w:sz w:val="17"/>
          <w:szCs w:val="17"/>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152" w:lineRule="exact"/>
        <w:rPr>
          <w:sz w:val="20"/>
          <w:szCs w:val="20"/>
          <w:color w:val="auto"/>
        </w:rPr>
      </w:pPr>
    </w:p>
    <w:p>
      <w:pPr>
        <w:ind w:left="660" w:hanging="235"/>
        <w:spacing w:after="0"/>
        <w:tabs>
          <w:tab w:leader="none" w:pos="66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service providers, such as broker-dealers, custodians, banks and others used to finance or facilitate transactions by, or operations of, the Plan;</w:t>
      </w:r>
    </w:p>
    <w:p>
      <w:pPr>
        <w:spacing w:after="0" w:line="213" w:lineRule="exact"/>
        <w:rPr>
          <w:rFonts w:ascii="Times New Roman" w:cs="Times New Roman" w:eastAsia="Times New Roman" w:hAnsi="Times New Roman"/>
          <w:sz w:val="17"/>
          <w:szCs w:val="17"/>
          <w:color w:val="auto"/>
        </w:rPr>
      </w:pPr>
    </w:p>
    <w:p>
      <w:pPr>
        <w:ind w:left="660" w:hanging="235"/>
        <w:spacing w:after="0"/>
        <w:tabs>
          <w:tab w:leader="none" w:pos="66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service providers to the Plan, such as accounting, legal, or tax preparation services;</w:t>
      </w:r>
    </w:p>
    <w:p>
      <w:pPr>
        <w:spacing w:after="0" w:line="213" w:lineRule="exact"/>
        <w:rPr>
          <w:rFonts w:ascii="Times New Roman" w:cs="Times New Roman" w:eastAsia="Times New Roman" w:hAnsi="Times New Roman"/>
          <w:sz w:val="17"/>
          <w:szCs w:val="17"/>
          <w:color w:val="auto"/>
        </w:rPr>
      </w:pPr>
    </w:p>
    <w:p>
      <w:pPr>
        <w:ind w:left="660" w:hanging="235"/>
        <w:spacing w:after="0"/>
        <w:tabs>
          <w:tab w:leader="none" w:pos="66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and</w:t>
      </w:r>
    </w:p>
    <w:p>
      <w:pPr>
        <w:spacing w:after="0" w:line="213" w:lineRule="exact"/>
        <w:rPr>
          <w:rFonts w:ascii="Times New Roman" w:cs="Times New Roman" w:eastAsia="Times New Roman" w:hAnsi="Times New Roman"/>
          <w:sz w:val="17"/>
          <w:szCs w:val="17"/>
          <w:color w:val="auto"/>
        </w:rPr>
      </w:pPr>
    </w:p>
    <w:p>
      <w:pPr>
        <w:ind w:left="620" w:hanging="234"/>
        <w:spacing w:after="0"/>
        <w:tabs>
          <w:tab w:leader="none" w:pos="6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agents, portfolio companies, brokerage firms and the like, in connection with distributions to Plan participants.</w:t>
      </w:r>
    </w:p>
    <w:p>
      <w:pPr>
        <w:spacing w:after="0" w:line="213" w:lineRule="exact"/>
        <w:rPr>
          <w:sz w:val="20"/>
          <w:szCs w:val="20"/>
          <w:color w:val="auto"/>
        </w:rPr>
      </w:pPr>
    </w:p>
    <w:p>
      <w:pPr>
        <w:ind w:firstLine="519"/>
        <w:spacing w:after="0" w:line="283" w:lineRule="auto"/>
        <w:rPr>
          <w:sz w:val="20"/>
          <w:szCs w:val="20"/>
          <w:color w:val="auto"/>
        </w:rPr>
      </w:pPr>
      <w:r>
        <w:rPr>
          <w:rFonts w:ascii="Times New Roman" w:cs="Times New Roman" w:eastAsia="Times New Roman" w:hAnsi="Times New Roman"/>
          <w:sz w:val="17"/>
          <w:szCs w:val="17"/>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248" w:right="339" w:bottom="1440" w:gutter="0" w:footer="0" w:header="0"/>
        </w:sectPr>
      </w:pPr>
    </w:p>
    <w:bookmarkStart w:id="191" w:name="page192"/>
    <w:bookmarkEnd w:id="191"/>
    <w:p>
      <w:pPr>
        <w:ind w:firstLine="519"/>
        <w:spacing w:after="0" w:line="255" w:lineRule="auto"/>
        <w:rPr>
          <w:sz w:val="20"/>
          <w:szCs w:val="20"/>
          <w:color w:val="auto"/>
        </w:rPr>
      </w:pPr>
      <w:r>
        <w:rPr>
          <w:rFonts w:ascii="Times New Roman" w:cs="Times New Roman" w:eastAsia="Times New Roman" w:hAnsi="Times New Roman"/>
          <w:sz w:val="17"/>
          <w:szCs w:val="17"/>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71" w:lineRule="exact"/>
        <w:rPr>
          <w:sz w:val="20"/>
          <w:szCs w:val="20"/>
          <w:color w:val="auto"/>
        </w:rPr>
      </w:pPr>
    </w:p>
    <w:p>
      <w:pPr>
        <w:ind w:right="40" w:firstLine="522"/>
        <w:spacing w:after="0" w:line="257" w:lineRule="auto"/>
        <w:tabs>
          <w:tab w:leader="none" w:pos="77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Additional Rights. </w:t>
      </w:r>
      <w:r>
        <w:rPr>
          <w:rFonts w:ascii="Times New Roman" w:cs="Times New Roman" w:eastAsia="Times New Roman" w:hAnsi="Times New Roman"/>
          <w:sz w:val="17"/>
          <w:szCs w:val="17"/>
          <w:color w:val="auto"/>
        </w:rPr>
        <w:t>Benefits under the Plan are not guaranteed. The grant of this Award is a one-time benefit and does not create any contractual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right or 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70" w:lineRule="exact"/>
        <w:rPr>
          <w:rFonts w:ascii="Times New Roman" w:cs="Times New Roman" w:eastAsia="Times New Roman" w:hAnsi="Times New Roman"/>
          <w:sz w:val="17"/>
          <w:szCs w:val="17"/>
          <w:color w:val="auto"/>
        </w:rPr>
      </w:pPr>
    </w:p>
    <w:p>
      <w:pPr>
        <w:ind w:right="60" w:firstLine="522"/>
        <w:spacing w:after="0" w:line="263" w:lineRule="auto"/>
        <w:tabs>
          <w:tab w:leader="none" w:pos="77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Recapitalization, Reorganization, Unusual Events. </w:t>
      </w:r>
      <w:r>
        <w:rPr>
          <w:rFonts w:ascii="Times New Roman" w:cs="Times New Roman" w:eastAsia="Times New Roman" w:hAnsi="Times New Roman"/>
          <w:sz w:val="17"/>
          <w:szCs w:val="17"/>
          <w:color w:val="auto"/>
        </w:rPr>
        <w:t>Certain events affecting the Common Shares of the Company and mergers, consolidations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reorganizations affecting 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165" w:lineRule="exact"/>
        <w:rPr>
          <w:rFonts w:ascii="Times New Roman" w:cs="Times New Roman" w:eastAsia="Times New Roman" w:hAnsi="Times New Roman"/>
          <w:sz w:val="17"/>
          <w:szCs w:val="17"/>
          <w:color w:val="auto"/>
        </w:rPr>
      </w:pPr>
    </w:p>
    <w:p>
      <w:pPr>
        <w:ind w:right="100" w:firstLine="521"/>
        <w:spacing w:after="0" w:line="260" w:lineRule="auto"/>
        <w:tabs>
          <w:tab w:leader="none" w:pos="774"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 of this Agreement</w:t>
      </w:r>
      <w:r>
        <w:rPr>
          <w:rFonts w:ascii="Times New Roman" w:cs="Times New Roman" w:eastAsia="Times New Roman" w:hAnsi="Times New Roman"/>
          <w:sz w:val="17"/>
          <w:szCs w:val="17"/>
          <w:color w:val="auto"/>
        </w:rPr>
        <w:t>. The Board of Directors may at any time amend, suspend or terminate the Plan or this Agreement; provided, however,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no amendment, suspension or termination of the Plan or this Agreement shall adversely affect this Agreement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67" w:lineRule="exact"/>
        <w:rPr>
          <w:rFonts w:ascii="Times New Roman" w:cs="Times New Roman" w:eastAsia="Times New Roman" w:hAnsi="Times New Roman"/>
          <w:sz w:val="17"/>
          <w:szCs w:val="17"/>
          <w:color w:val="auto"/>
        </w:rPr>
      </w:pPr>
    </w:p>
    <w:p>
      <w:pPr>
        <w:ind w:right="80" w:firstLine="522"/>
        <w:spacing w:after="0" w:line="269" w:lineRule="auto"/>
        <w:tabs>
          <w:tab w:leader="none" w:pos="77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Notices. </w:t>
      </w:r>
      <w:r>
        <w:rPr>
          <w:rFonts w:ascii="Times New Roman" w:cs="Times New Roman" w:eastAsia="Times New Roman" w:hAnsi="Times New Roman"/>
          <w:sz w:val="17"/>
          <w:szCs w:val="17"/>
          <w:color w:val="auto"/>
        </w:rPr>
        <w:t>Notices hereunder shall be in writing, and if to the Company, may be delivered personally to the Compensation Department or such other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designated by the Company or mailed to its principal office at 7812 Palm Parkway, Orlando, Florida 32836, addressed to the attention of the Vice President, Talent Rewards, and if to Employee, may be delivered personally or mailed to Employee at his or her address on the records of the Company.</w:t>
      </w:r>
    </w:p>
    <w:p>
      <w:pPr>
        <w:spacing w:after="0" w:line="160" w:lineRule="exact"/>
        <w:rPr>
          <w:rFonts w:ascii="Times New Roman" w:cs="Times New Roman" w:eastAsia="Times New Roman" w:hAnsi="Times New Roman"/>
          <w:sz w:val="17"/>
          <w:szCs w:val="17"/>
          <w:color w:val="auto"/>
        </w:rPr>
      </w:pPr>
    </w:p>
    <w:p>
      <w:pPr>
        <w:ind w:right="80" w:firstLine="522"/>
        <w:spacing w:after="0" w:line="288" w:lineRule="auto"/>
        <w:tabs>
          <w:tab w:leader="none" w:pos="77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 This Agreement shall bind and inure to the benefit of the parties hereto and the successors and assigns of the Company and,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extent provided in paragraph 8(a) above and in the Plan, to the personal representatives, legatees and heirs of Employee.</w:t>
      </w:r>
    </w:p>
    <w:p>
      <w:pPr>
        <w:spacing w:after="0" w:line="144" w:lineRule="exact"/>
        <w:rPr>
          <w:rFonts w:ascii="Times New Roman" w:cs="Times New Roman" w:eastAsia="Times New Roman" w:hAnsi="Times New Roman"/>
          <w:sz w:val="17"/>
          <w:szCs w:val="17"/>
          <w:color w:val="auto"/>
        </w:rPr>
      </w:pPr>
    </w:p>
    <w:p>
      <w:pPr>
        <w:ind w:right="200" w:firstLine="522"/>
        <w:spacing w:after="0" w:line="288" w:lineRule="auto"/>
        <w:tabs>
          <w:tab w:leader="none" w:pos="77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Effect on Employment</w:t>
      </w:r>
      <w:r>
        <w:rPr>
          <w:rFonts w:ascii="Times New Roman" w:cs="Times New Roman" w:eastAsia="Times New Roman" w:hAnsi="Times New Roman"/>
          <w:sz w:val="17"/>
          <w:szCs w:val="17"/>
          <w:color w:val="auto"/>
        </w:rPr>
        <w:t>. This agreement is not a contract of employment or otherwise a limitation on the right of the Company to terminate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of Employee or to increase or decrease Employee’s compensation from the rate of compensation in existence at the time this Agreement is executed.</w:t>
      </w:r>
    </w:p>
    <w:p>
      <w:pPr>
        <w:spacing w:after="0" w:line="144" w:lineRule="exact"/>
        <w:rPr>
          <w:sz w:val="20"/>
          <w:szCs w:val="20"/>
          <w:color w:val="auto"/>
        </w:rPr>
      </w:pPr>
    </w:p>
    <w:p>
      <w:pPr>
        <w:ind w:right="100" w:firstLine="519"/>
        <w:spacing w:after="0" w:line="269" w:lineRule="auto"/>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17"/>
          <w:szCs w:val="17"/>
          <w:b w:val="1"/>
          <w:bCs w:val="1"/>
          <w:color w:val="auto"/>
        </w:rPr>
        <w:t>. Additional (Non-U.S.) Terms and Conditions.</w:t>
      </w:r>
      <w:r>
        <w:rPr>
          <w:rFonts w:ascii="Times New Roman" w:cs="Times New Roman" w:eastAsia="Times New Roman" w:hAnsi="Times New Roman"/>
          <w:sz w:val="17"/>
          <w:szCs w:val="17"/>
          <w:color w:val="auto"/>
        </w:rPr>
        <w:t xml:space="preserve"> RSUs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20"/>
          </w:cols>
          <w:pgMar w:left="320" w:top="1248" w:right="359" w:bottom="1440" w:gutter="0" w:footer="0" w:header="0"/>
        </w:sectPr>
      </w:pPr>
    </w:p>
    <w:bookmarkStart w:id="192" w:name="page193"/>
    <w:bookmarkEnd w:id="192"/>
    <w:p>
      <w:pPr>
        <w:ind w:right="220" w:firstLine="522"/>
        <w:spacing w:after="0" w:line="269" w:lineRule="auto"/>
        <w:tabs>
          <w:tab w:leader="none" w:pos="77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Clawback Policy. </w:t>
      </w:r>
      <w:r>
        <w:rPr>
          <w:rFonts w:ascii="Times New Roman" w:cs="Times New Roman" w:eastAsia="Times New Roman" w:hAnsi="Times New Roman"/>
          <w:sz w:val="17"/>
          <w:szCs w:val="17"/>
          <w:color w:val="auto"/>
        </w:rPr>
        <w:t>RSUs awarded under this Agreement, as well as any Common Shares issued with respect to such RSUs, shall be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Clawback Policy adopted by the Committee on February 13, 2014, and any successor policy thereto, to the extent that at any relevant time Employee is subject to such policy in accordance with its terms.</w:t>
      </w:r>
    </w:p>
    <w:p>
      <w:pPr>
        <w:spacing w:after="0" w:line="160" w:lineRule="exact"/>
        <w:rPr>
          <w:sz w:val="20"/>
          <w:szCs w:val="20"/>
          <w:color w:val="auto"/>
        </w:rPr>
      </w:pPr>
    </w:p>
    <w:p>
      <w:pPr>
        <w:ind w:firstLine="551"/>
        <w:spacing w:after="0" w:line="288"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MARRIOTT VACATIONS WORLDWIDE CORPORATION has caused this Agreement to be signed by its Chief Human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Resources Officer,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1399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VACATIONS WORLDWIDE</w:t>
            </w:r>
          </w:p>
        </w:tc>
        <w:tc>
          <w:tcPr>
            <w:tcW w:w="20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CORPORATION</w:t>
            </w:r>
          </w:p>
        </w:tc>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w:t>
            </w:r>
          </w:p>
        </w:tc>
        <w:tc>
          <w:tcPr>
            <w:tcW w:w="0" w:type="dxa"/>
            <w:vAlign w:val="bottom"/>
          </w:tcPr>
          <w:p>
            <w:pPr>
              <w:spacing w:after="0"/>
              <w:rPr>
                <w:sz w:val="1"/>
                <w:szCs w:val="1"/>
                <w:color w:val="auto"/>
              </w:rPr>
            </w:pPr>
          </w:p>
        </w:tc>
      </w:tr>
      <w:tr>
        <w:trPr>
          <w:trHeight w:val="267"/>
        </w:trPr>
        <w:tc>
          <w:tcPr>
            <w:tcW w:w="5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0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shd w:val="clear" w:color="auto" w:fill="FFFF00"/>
          </w:tcPr>
          <w:p>
            <w:pPr>
              <w:spacing w:after="0" w:line="192" w:lineRule="exact"/>
              <w:rPr>
                <w:sz w:val="20"/>
                <w:szCs w:val="20"/>
                <w:color w:val="auto"/>
              </w:rPr>
            </w:pPr>
            <w:r>
              <w:rPr>
                <w:rFonts w:ascii="Times New Roman" w:cs="Times New Roman" w:eastAsia="Times New Roman" w:hAnsi="Times New Roman"/>
                <w:sz w:val="17"/>
                <w:szCs w:val="17"/>
                <w:color w:val="auto"/>
                <w:highlight w:val="yellow"/>
                <w:w w:val="97"/>
              </w:rPr>
              <w:t>&lt;&lt;PARTICIPANT NAME&gt;&gt;</w:t>
            </w: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020" w:type="dxa"/>
            <w:vAlign w:val="bottom"/>
            <w:tcBorders>
              <w:bottom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622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Chief Human Resources Officer</w:t>
            </w:r>
          </w:p>
        </w:tc>
        <w:tc>
          <w:tcPr>
            <w:tcW w:w="5020" w:type="dxa"/>
            <w:vAlign w:val="bottom"/>
            <w:gridSpan w:val="2"/>
          </w:tcPr>
          <w:p>
            <w:pPr>
              <w:ind w:left="1780"/>
              <w:spacing w:after="0"/>
              <w:rPr>
                <w:sz w:val="20"/>
                <w:szCs w:val="20"/>
                <w:color w:val="auto"/>
              </w:rPr>
            </w:pPr>
            <w:r>
              <w:rPr>
                <w:rFonts w:ascii="Times New Roman" w:cs="Times New Roman" w:eastAsia="Times New Roman" w:hAnsi="Times New Roman"/>
                <w:sz w:val="17"/>
                <w:szCs w:val="17"/>
                <w:color w:val="auto"/>
              </w:rPr>
              <w:t>Signed Electronically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244" w:right="339" w:bottom="1440" w:gutter="0" w:footer="0" w:header="0"/>
        </w:sectPr>
      </w:pPr>
    </w:p>
    <w:bookmarkStart w:id="193" w:name="page194"/>
    <w:bookmarkEnd w:id="193"/>
    <w:p>
      <w:pPr>
        <w:ind w:left="57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TERMS OF PERFORMANCE UNIT AWARDS</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 Performance Period(s)</w:t>
      </w:r>
    </w:p>
    <w:p>
      <w:pPr>
        <w:spacing w:after="0" w:line="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January 1, ______ through December 31, ______</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Criteria</w:t>
      </w:r>
    </w:p>
    <w:p>
      <w:pPr>
        <w:spacing w:after="0" w:line="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number of RSUs earned, if any, will be determined following the end of the [last] Performance Period based on the Company’s achievement over [each of the three annual Performance Periods] [the Performance Period] with respect to two performance objectives: (1) Adjusted EBITDA and (2) Adjusted ROIC.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Payout Formula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number of RSUs earned for [each] [the] Performance Period shall equal the following:</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(Target Number of RSUs) multiplied by 50% multiplied by (% of target earned with respect to the Adjusted EBITDA objective); plus</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(Target Number of RSUs) multiplied by 50% multiplied by (% of target earned with respect to the Adjusted ROIC objective).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Payout Matrix</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Committee has established the following payout matrix with respect to each of the performance objectives described above. If performance falls between threshold and below target, between below target and target or between target and maximum, the vesting percentage will be determined by the Committee based on straight-line interpolation; provided, however, that no payout shall be made with respect to a performance objective if the Threshold level of performance is not attained for the objective.</w:t>
      </w:r>
    </w:p>
    <w:p>
      <w:pPr>
        <w:spacing w:after="0" w:line="194" w:lineRule="exact"/>
        <w:rPr>
          <w:sz w:val="20"/>
          <w:szCs w:val="20"/>
          <w:color w:val="auto"/>
        </w:rPr>
      </w:pPr>
    </w:p>
    <w:tbl>
      <w:tblPr>
        <w:tblLayout w:type="fixed"/>
        <w:tblInd w:w="90" w:type="dxa"/>
        <w:tblCellMar>
          <w:top w:w="0" w:type="dxa"/>
          <w:left w:w="0" w:type="dxa"/>
          <w:bottom w:w="0" w:type="dxa"/>
          <w:right w:w="0" w:type="dxa"/>
        </w:tblCellMar>
      </w:tblPr>
      <w:tr>
        <w:trPr>
          <w:trHeight w:val="197"/>
        </w:trPr>
        <w:tc>
          <w:tcPr>
            <w:tcW w:w="1660" w:type="dxa"/>
            <w:vAlign w:val="bottom"/>
            <w:tcBorders>
              <w:top w:val="single" w:sz="8" w:color="auto"/>
              <w:left w:val="single" w:sz="8" w:color="auto"/>
              <w:right w:val="single" w:sz="8" w:color="auto"/>
            </w:tcBorders>
            <w:vMerge w:val="restart"/>
            <w:shd w:val="clear" w:color="auto" w:fill="C5D9F1"/>
          </w:tcPr>
          <w:p>
            <w:pPr>
              <w:ind w:left="140"/>
              <w:spacing w:after="0"/>
              <w:rPr>
                <w:sz w:val="20"/>
                <w:szCs w:val="20"/>
                <w:color w:val="auto"/>
              </w:rPr>
            </w:pPr>
            <w:r>
              <w:rPr>
                <w:rFonts w:ascii="Times New Roman" w:cs="Times New Roman" w:eastAsia="Times New Roman" w:hAnsi="Times New Roman"/>
                <w:sz w:val="17"/>
                <w:szCs w:val="17"/>
                <w:b w:val="1"/>
                <w:bCs w:val="1"/>
                <w:color w:val="auto"/>
              </w:rPr>
              <w:t>Performance Level</w:t>
            </w:r>
          </w:p>
        </w:tc>
        <w:tc>
          <w:tcPr>
            <w:tcW w:w="1980" w:type="dxa"/>
            <w:vAlign w:val="bottom"/>
            <w:tcBorders>
              <w:top w:val="single" w:sz="8" w:color="auto"/>
              <w:right w:val="single" w:sz="8" w:color="auto"/>
            </w:tcBorders>
            <w:vMerge w:val="restart"/>
            <w:shd w:val="clear" w:color="auto" w:fill="C5D9F1"/>
          </w:tcPr>
          <w:p>
            <w:pPr>
              <w:ind w:left="30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860" w:type="dxa"/>
            <w:vAlign w:val="bottom"/>
            <w:tcBorders>
              <w:top w:val="single" w:sz="8" w:color="auto"/>
              <w:right w:val="single" w:sz="8" w:color="auto"/>
            </w:tcBorders>
            <w:shd w:val="clear" w:color="auto" w:fill="C5D9F1"/>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1860" w:type="dxa"/>
            <w:vAlign w:val="bottom"/>
            <w:tcBorders>
              <w:top w:val="single" w:sz="8" w:color="auto"/>
              <w:right w:val="single" w:sz="8" w:color="auto"/>
            </w:tcBorders>
            <w:shd w:val="clear" w:color="auto" w:fill="C5D9F1"/>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RSUs Earned (% of</w:t>
            </w:r>
          </w:p>
        </w:tc>
        <w:tc>
          <w:tcPr>
            <w:tcW w:w="0" w:type="dxa"/>
            <w:vAlign w:val="bottom"/>
          </w:tcPr>
          <w:p>
            <w:pPr>
              <w:spacing w:after="0"/>
              <w:rPr>
                <w:sz w:val="1"/>
                <w:szCs w:val="1"/>
                <w:color w:val="auto"/>
              </w:rPr>
            </w:pPr>
          </w:p>
        </w:tc>
      </w:tr>
      <w:tr>
        <w:trPr>
          <w:trHeight w:val="124"/>
        </w:trPr>
        <w:tc>
          <w:tcPr>
            <w:tcW w:w="1660" w:type="dxa"/>
            <w:vAlign w:val="bottom"/>
            <w:tcBorders>
              <w:left w:val="single" w:sz="8" w:color="auto"/>
              <w:right w:val="single" w:sz="8" w:color="auto"/>
            </w:tcBorders>
            <w:vMerge w:val="continue"/>
            <w:shd w:val="clear" w:color="auto" w:fill="C5D9F1"/>
          </w:tcPr>
          <w:p>
            <w:pPr>
              <w:spacing w:after="0"/>
              <w:rPr>
                <w:sz w:val="10"/>
                <w:szCs w:val="10"/>
                <w:color w:val="auto"/>
              </w:rPr>
            </w:pPr>
          </w:p>
        </w:tc>
        <w:tc>
          <w:tcPr>
            <w:tcW w:w="1980" w:type="dxa"/>
            <w:vAlign w:val="bottom"/>
            <w:tcBorders>
              <w:right w:val="single" w:sz="8" w:color="auto"/>
            </w:tcBorders>
            <w:vMerge w:val="continue"/>
            <w:shd w:val="clear" w:color="auto" w:fill="C5D9F1"/>
          </w:tcPr>
          <w:p>
            <w:pPr>
              <w:spacing w:after="0"/>
              <w:rPr>
                <w:sz w:val="10"/>
                <w:szCs w:val="10"/>
                <w:color w:val="auto"/>
              </w:rPr>
            </w:pPr>
          </w:p>
        </w:tc>
        <w:tc>
          <w:tcPr>
            <w:tcW w:w="1860" w:type="dxa"/>
            <w:vAlign w:val="bottom"/>
            <w:tcBorders>
              <w:right w:val="single" w:sz="8" w:color="auto"/>
            </w:tcBorders>
            <w:vMerge w:val="restart"/>
            <w:shd w:val="clear" w:color="auto" w:fill="C5D9F1"/>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ROIC</w:t>
            </w:r>
          </w:p>
        </w:tc>
        <w:tc>
          <w:tcPr>
            <w:tcW w:w="1860" w:type="dxa"/>
            <w:vAlign w:val="bottom"/>
            <w:tcBorders>
              <w:right w:val="single" w:sz="8" w:color="auto"/>
            </w:tcBorders>
            <w:vMerge w:val="restart"/>
            <w:shd w:val="clear" w:color="auto" w:fill="C5D9F1"/>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0" w:type="dxa"/>
            <w:vAlign w:val="bottom"/>
          </w:tcPr>
          <w:p>
            <w:pPr>
              <w:spacing w:after="0"/>
              <w:rPr>
                <w:sz w:val="1"/>
                <w:szCs w:val="1"/>
                <w:color w:val="auto"/>
              </w:rPr>
            </w:pPr>
          </w:p>
        </w:tc>
      </w:tr>
      <w:tr>
        <w:trPr>
          <w:trHeight w:val="127"/>
        </w:trPr>
        <w:tc>
          <w:tcPr>
            <w:tcW w:w="1660" w:type="dxa"/>
            <w:vAlign w:val="bottom"/>
            <w:tcBorders>
              <w:left w:val="single" w:sz="8" w:color="auto"/>
              <w:bottom w:val="single" w:sz="8" w:color="C5D9F1"/>
              <w:right w:val="single" w:sz="8" w:color="auto"/>
            </w:tcBorders>
            <w:shd w:val="clear" w:color="auto" w:fill="C5D9F1"/>
          </w:tcPr>
          <w:p>
            <w:pPr>
              <w:spacing w:after="0"/>
              <w:rPr>
                <w:sz w:val="11"/>
                <w:szCs w:val="11"/>
                <w:color w:val="auto"/>
              </w:rPr>
            </w:pPr>
          </w:p>
        </w:tc>
        <w:tc>
          <w:tcPr>
            <w:tcW w:w="1980" w:type="dxa"/>
            <w:vAlign w:val="bottom"/>
            <w:tcBorders>
              <w:bottom w:val="single" w:sz="8" w:color="C5D9F1"/>
              <w:right w:val="single" w:sz="8" w:color="auto"/>
            </w:tcBorders>
            <w:shd w:val="clear" w:color="auto" w:fill="C5D9F1"/>
          </w:tcPr>
          <w:p>
            <w:pPr>
              <w:spacing w:after="0"/>
              <w:rPr>
                <w:sz w:val="11"/>
                <w:szCs w:val="11"/>
                <w:color w:val="auto"/>
              </w:rPr>
            </w:pPr>
          </w:p>
        </w:tc>
        <w:tc>
          <w:tcPr>
            <w:tcW w:w="1860" w:type="dxa"/>
            <w:vAlign w:val="bottom"/>
            <w:tcBorders>
              <w:bottom w:val="single" w:sz="8" w:color="C5D9F1"/>
              <w:right w:val="single" w:sz="8" w:color="auto"/>
            </w:tcBorders>
            <w:vMerge w:val="continue"/>
            <w:shd w:val="clear" w:color="auto" w:fill="C5D9F1"/>
          </w:tcPr>
          <w:p>
            <w:pPr>
              <w:spacing w:after="0"/>
              <w:rPr>
                <w:sz w:val="11"/>
                <w:szCs w:val="11"/>
                <w:color w:val="auto"/>
              </w:rPr>
            </w:pPr>
          </w:p>
        </w:tc>
        <w:tc>
          <w:tcPr>
            <w:tcW w:w="1860" w:type="dxa"/>
            <w:vAlign w:val="bottom"/>
            <w:tcBorders>
              <w:bottom w:val="single" w:sz="8" w:color="C5D9F1"/>
              <w:right w:val="single" w:sz="8" w:color="auto"/>
            </w:tcBorders>
            <w:vMerge w:val="continue"/>
            <w:shd w:val="clear" w:color="auto" w:fill="C5D9F1"/>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Maximum</w:t>
            </w:r>
          </w:p>
        </w:tc>
        <w:tc>
          <w:tcPr>
            <w:tcW w:w="1980" w:type="dxa"/>
            <w:vAlign w:val="bottom"/>
            <w:tcBorders>
              <w:top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Target</w:t>
            </w:r>
          </w:p>
        </w:tc>
        <w:tc>
          <w:tcPr>
            <w:tcW w:w="19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Below Target</w:t>
            </w:r>
          </w:p>
        </w:tc>
        <w:tc>
          <w:tcPr>
            <w:tcW w:w="19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Threshold</w:t>
            </w:r>
          </w:p>
        </w:tc>
        <w:tc>
          <w:tcPr>
            <w:tcW w:w="19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Objective Definitions</w:t>
      </w:r>
    </w:p>
    <w:p>
      <w:pPr>
        <w:spacing w:after="0" w:line="5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u w:val="single" w:color="auto"/>
          <w:color w:val="auto"/>
        </w:rPr>
        <w:t>Adjusted Earnings Before Interest, Taxes, Depreciation and Amortization</w:t>
      </w:r>
      <w:r>
        <w:rPr>
          <w:rFonts w:ascii="Times New Roman" w:cs="Times New Roman" w:eastAsia="Times New Roman" w:hAnsi="Times New Roman"/>
          <w:sz w:val="17"/>
          <w:szCs w:val="17"/>
          <w:color w:val="auto"/>
        </w:rPr>
        <w:t>. “Adjusted EBITDA” means EBITDA (as reported in the Company’s Annual Reports on Form 10-K) over the Performance Period, excluding the impact of share-based compensation expense, impairments, transaction and integration costs, gains and losses on the disposal of assets or businesses, gains and losses on foreign currency exchange related activity, litigation charges, and activity not associated with the Company’s ongoing core operations, and including the appropriate approved financial impact of new business ventures. [Other adjustments approved by the Committee] No adjustment is made for consumer financing interest expense associated with the term securitization transactions in calculating Adjusted EBITDA.</w:t>
      </w:r>
    </w:p>
    <w:p>
      <w:pPr>
        <w:spacing w:after="0" w:line="172"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u w:val="single" w:color="auto"/>
          <w:color w:val="auto"/>
        </w:rPr>
        <w:t>Adjusted EBIT</w:t>
      </w:r>
      <w:r>
        <w:rPr>
          <w:rFonts w:ascii="Times New Roman" w:cs="Times New Roman" w:eastAsia="Times New Roman" w:hAnsi="Times New Roman"/>
          <w:sz w:val="17"/>
          <w:szCs w:val="17"/>
          <w:color w:val="auto"/>
        </w:rPr>
        <w:t>. “Adjusted EBIT” means Adjusted EBITDA as defined above less Depreciation and Amortization. as reported in the Company’s Annual Report on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Adjusted Return on Invested Capital</w:t>
      </w:r>
      <w:r>
        <w:rPr>
          <w:rFonts w:ascii="Times New Roman" w:cs="Times New Roman" w:eastAsia="Times New Roman" w:hAnsi="Times New Roman"/>
          <w:sz w:val="17"/>
          <w:szCs w:val="17"/>
          <w:color w:val="auto"/>
        </w:rPr>
        <w:t>. “Adjusted ROIC” means Adjusted EBIT (as defined above) over the Performance Period, as a percentage of Net Total</w:t>
      </w:r>
    </w:p>
    <w:p>
      <w:pPr>
        <w:spacing w:after="0" w:line="4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Invested Capital. “Net Total Invested Capital” means the average of the beginning of the Performance Period and the end of the Performance Period total assets less current liabilities (excluding non-securitized debt) and securitized debt, provided that any cash in excess of $150 million will be disregarded for purposes of determining total assets.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calculating Adjusted EBITDA and Adjusted ROIC, the impact of any changes in U.S. generally accepted accounting principles will be excluded.</w:t>
      </w:r>
    </w:p>
    <w:p>
      <w:pPr>
        <w:sectPr>
          <w:pgSz w:w="11900" w:h="16838" w:orient="portrait"/>
          <w:cols w:equalWidth="0" w:num="1">
            <w:col w:w="11180"/>
          </w:cols>
          <w:pgMar w:left="320" w:top="1247" w:right="39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2"/>
          </w:tcPr>
          <w:p>
            <w:pPr>
              <w:ind w:left="1960"/>
              <w:spacing w:after="0"/>
              <w:rPr>
                <w:sz w:val="20"/>
                <w:szCs w:val="20"/>
                <w:color w:val="auto"/>
              </w:rPr>
            </w:pPr>
            <w:r>
              <w:rPr>
                <w:rFonts w:ascii="Times New Roman" w:cs="Times New Roman" w:eastAsia="Times New Roman" w:hAnsi="Times New Roman"/>
                <w:sz w:val="17"/>
                <w:szCs w:val="17"/>
                <w:b w:val="1"/>
                <w:bCs w:val="1"/>
                <w:color w:val="auto"/>
              </w:rPr>
              <w:t>Exhibit 21.1</w:t>
            </w:r>
          </w:p>
        </w:tc>
      </w:tr>
      <w:tr>
        <w:trPr>
          <w:trHeight w:val="204"/>
        </w:trPr>
        <w:tc>
          <w:tcPr>
            <w:tcW w:w="520" w:type="dxa"/>
            <w:vAlign w:val="bottom"/>
          </w:tcPr>
          <w:p>
            <w:pPr>
              <w:spacing w:after="0"/>
              <w:rPr>
                <w:sz w:val="17"/>
                <w:szCs w:val="17"/>
                <w:color w:val="auto"/>
              </w:rPr>
            </w:pPr>
          </w:p>
        </w:tc>
        <w:tc>
          <w:tcPr>
            <w:tcW w:w="10720" w:type="dxa"/>
            <w:vAlign w:val="bottom"/>
            <w:gridSpan w:val="6"/>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8"/>
              </w:rPr>
              <w:t>MARRIOTT VACATIONS WORLDWIDE CORPORATION</w:t>
            </w:r>
          </w:p>
        </w:tc>
      </w:tr>
      <w:tr>
        <w:trPr>
          <w:trHeight w:val="208"/>
        </w:trPr>
        <w:tc>
          <w:tcPr>
            <w:tcW w:w="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40" w:type="dxa"/>
            <w:vAlign w:val="bottom"/>
            <w:gridSpan w:val="5"/>
          </w:tcPr>
          <w:p>
            <w:pPr>
              <w:jc w:val="center"/>
              <w:ind w:right="4140"/>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r>
      <w:tr>
        <w:trPr>
          <w:trHeight w:val="222"/>
        </w:trPr>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140" w:type="dxa"/>
            <w:vAlign w:val="bottom"/>
            <w:gridSpan w:val="5"/>
          </w:tcPr>
          <w:p>
            <w:pPr>
              <w:jc w:val="center"/>
              <w:ind w:right="4120"/>
              <w:spacing w:after="0"/>
              <w:rPr>
                <w:sz w:val="20"/>
                <w:szCs w:val="20"/>
                <w:color w:val="auto"/>
              </w:rPr>
            </w:pPr>
            <w:r>
              <w:rPr>
                <w:rFonts w:ascii="Times New Roman" w:cs="Times New Roman" w:eastAsia="Times New Roman" w:hAnsi="Times New Roman"/>
                <w:sz w:val="17"/>
                <w:szCs w:val="17"/>
                <w:color w:val="auto"/>
              </w:rPr>
              <w:t>(as of December 31, 2023)</w:t>
            </w:r>
          </w:p>
        </w:tc>
      </w:tr>
      <w:tr>
        <w:trPr>
          <w:trHeight w:val="472"/>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1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Apollo Marketing, Inc.</w:t>
            </w:r>
          </w:p>
        </w:tc>
        <w:tc>
          <w:tcPr>
            <w:tcW w:w="17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c>
          <w:tcPr>
            <w:tcW w:w="20" w:type="dxa"/>
            <w:vAlign w:val="bottom"/>
          </w:tcPr>
          <w:p>
            <w:pPr>
              <w:spacing w:after="0"/>
              <w:rPr>
                <w:sz w:val="18"/>
                <w:szCs w:val="18"/>
                <w:color w:val="auto"/>
              </w:rPr>
            </w:pPr>
          </w:p>
        </w:tc>
      </w:tr>
      <w:tr>
        <w:trPr>
          <w:trHeight w:val="26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Hospitality LLC</w:t>
            </w:r>
          </w:p>
        </w:tc>
        <w:tc>
          <w:tcPr>
            <w:tcW w:w="17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1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 Oasis</w:t>
            </w:r>
          </w:p>
        </w:tc>
        <w:tc>
          <w:tcPr>
            <w:tcW w:w="1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&amp; Resorts, LLC</w:t>
            </w:r>
          </w:p>
        </w:tc>
        <w:tc>
          <w:tcPr>
            <w:tcW w:w="1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and Resorts Operator LLC</w:t>
            </w:r>
          </w:p>
        </w:tc>
        <w:tc>
          <w:tcPr>
            <w:tcW w:w="1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Hotels and Resorts, Inc.</w:t>
            </w:r>
          </w:p>
        </w:tc>
        <w:tc>
          <w:tcPr>
            <w:tcW w:w="1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 Luana Operator LLC</w:t>
            </w:r>
          </w:p>
        </w:tc>
        <w:tc>
          <w:tcPr>
            <w:tcW w:w="1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Holdings, Inc.*</w:t>
            </w:r>
          </w:p>
        </w:tc>
        <w:tc>
          <w:tcPr>
            <w:tcW w:w="1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Hospitality, LLC</w:t>
            </w:r>
          </w:p>
        </w:tc>
        <w:tc>
          <w:tcPr>
            <w:tcW w:w="17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17"/>
        </w:trPr>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1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 Aloha Surf Hotel</w:t>
            </w:r>
          </w:p>
        </w:tc>
        <w:tc>
          <w:tcPr>
            <w:tcW w:w="7140" w:type="dxa"/>
            <w:vAlign w:val="bottom"/>
            <w:gridSpan w:val="5"/>
          </w:tcPr>
          <w:p>
            <w:pPr>
              <w:ind w:left="1640"/>
              <w:spacing w:after="0"/>
              <w:rPr>
                <w:sz w:val="20"/>
                <w:szCs w:val="20"/>
                <w:color w:val="auto"/>
              </w:rPr>
            </w:pPr>
            <w:r>
              <w:rPr>
                <w:rFonts w:ascii="Times New Roman" w:cs="Times New Roman" w:eastAsia="Times New Roman" w:hAnsi="Times New Roman"/>
                <w:sz w:val="17"/>
                <w:szCs w:val="17"/>
                <w:color w:val="auto"/>
              </w:rPr>
              <w:t>•  Aston Islander On The Beach</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 Aloha Surf Waikiki</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5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Aston Kaanapali Shores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 Palms Waikiki</w:t>
            </w:r>
          </w:p>
        </w:tc>
        <w:tc>
          <w:tcPr>
            <w:tcW w:w="7140" w:type="dxa"/>
            <w:vAlign w:val="bottom"/>
            <w:gridSpan w:val="5"/>
          </w:tcPr>
          <w:p>
            <w:pPr>
              <w:ind w:left="1640"/>
              <w:spacing w:after="0"/>
              <w:rPr>
                <w:sz w:val="20"/>
                <w:szCs w:val="20"/>
                <w:color w:val="auto"/>
              </w:rPr>
            </w:pPr>
            <w:r>
              <w:rPr>
                <w:rFonts w:ascii="Times New Roman" w:cs="Times New Roman" w:eastAsia="Times New Roman" w:hAnsi="Times New Roman"/>
                <w:sz w:val="17"/>
                <w:szCs w:val="17"/>
                <w:color w:val="auto"/>
              </w:rPr>
              <w:t>•  Aston Kona By The Sea</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Aqua-Aston Advantage</w:t>
            </w:r>
          </w:p>
        </w:tc>
        <w:tc>
          <w:tcPr>
            <w:tcW w:w="7140" w:type="dxa"/>
            <w:vAlign w:val="bottom"/>
            <w:gridSpan w:val="5"/>
          </w:tcPr>
          <w:p>
            <w:pPr>
              <w:ind w:left="1640"/>
              <w:spacing w:after="0"/>
              <w:rPr>
                <w:sz w:val="20"/>
                <w:szCs w:val="20"/>
                <w:color w:val="auto"/>
              </w:rPr>
            </w:pPr>
            <w:r>
              <w:rPr>
                <w:rFonts w:ascii="Times New Roman" w:cs="Times New Roman" w:eastAsia="Times New Roman" w:hAnsi="Times New Roman"/>
                <w:sz w:val="17"/>
                <w:szCs w:val="17"/>
                <w:color w:val="auto"/>
              </w:rPr>
              <w:t>•  Aston Mahana At Kaanapali</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Aqua-Aston Property Management</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5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Aston Maui Hill</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w:t>
            </w:r>
          </w:p>
        </w:tc>
        <w:tc>
          <w:tcPr>
            <w:tcW w:w="7140" w:type="dxa"/>
            <w:vAlign w:val="bottom"/>
            <w:gridSpan w:val="5"/>
          </w:tcPr>
          <w:p>
            <w:pPr>
              <w:ind w:left="1640"/>
              <w:spacing w:after="0"/>
              <w:rPr>
                <w:sz w:val="20"/>
                <w:szCs w:val="20"/>
                <w:color w:val="auto"/>
              </w:rPr>
            </w:pPr>
            <w:r>
              <w:rPr>
                <w:rFonts w:ascii="Times New Roman" w:cs="Times New Roman" w:eastAsia="Times New Roman" w:hAnsi="Times New Roman"/>
                <w:sz w:val="17"/>
                <w:szCs w:val="17"/>
                <w:color w:val="auto"/>
              </w:rPr>
              <w:t>•  Aston Maui Kaanapali Villas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Papakea Resort</w:t>
            </w:r>
          </w:p>
        </w:tc>
        <w:tc>
          <w:tcPr>
            <w:tcW w:w="7140" w:type="dxa"/>
            <w:vAlign w:val="bottom"/>
            <w:gridSpan w:val="5"/>
          </w:tcPr>
          <w:p>
            <w:pPr>
              <w:ind w:left="1640"/>
              <w:spacing w:after="0"/>
              <w:rPr>
                <w:sz w:val="20"/>
                <w:szCs w:val="20"/>
                <w:color w:val="auto"/>
              </w:rPr>
            </w:pPr>
            <w:r>
              <w:rPr>
                <w:rFonts w:ascii="Times New Roman" w:cs="Times New Roman" w:eastAsia="Times New Roman" w:hAnsi="Times New Roman"/>
                <w:sz w:val="17"/>
                <w:szCs w:val="17"/>
                <w:color w:val="auto"/>
              </w:rPr>
              <w:t>•  Aston Waikiki Beach Tower</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Poipu Kai</w:t>
            </w:r>
          </w:p>
        </w:tc>
        <w:tc>
          <w:tcPr>
            <w:tcW w:w="7140" w:type="dxa"/>
            <w:vAlign w:val="bottom"/>
            <w:gridSpan w:val="5"/>
          </w:tcPr>
          <w:p>
            <w:pPr>
              <w:ind w:left="1640"/>
              <w:spacing w:after="0"/>
              <w:rPr>
                <w:sz w:val="20"/>
                <w:szCs w:val="20"/>
                <w:color w:val="auto"/>
              </w:rPr>
            </w:pPr>
            <w:r>
              <w:rPr>
                <w:rFonts w:ascii="Times New Roman" w:cs="Times New Roman" w:eastAsia="Times New Roman" w:hAnsi="Times New Roman"/>
                <w:sz w:val="17"/>
                <w:szCs w:val="17"/>
                <w:color w:val="auto"/>
              </w:rPr>
              <w:t>•  Aston Waikiki Circle Hotel</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The Executive Centre Hotel</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5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Aston Waikiki Sunset</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the Maui Banyan</w:t>
            </w:r>
          </w:p>
        </w:tc>
        <w:tc>
          <w:tcPr>
            <w:tcW w:w="7140" w:type="dxa"/>
            <w:vAlign w:val="bottom"/>
            <w:gridSpan w:val="5"/>
          </w:tcPr>
          <w:p>
            <w:pPr>
              <w:ind w:left="1640"/>
              <w:spacing w:after="0"/>
              <w:rPr>
                <w:sz w:val="20"/>
                <w:szCs w:val="20"/>
                <w:color w:val="auto"/>
              </w:rPr>
            </w:pPr>
            <w:r>
              <w:rPr>
                <w:rFonts w:ascii="Times New Roman" w:cs="Times New Roman" w:eastAsia="Times New Roman" w:hAnsi="Times New Roman"/>
                <w:sz w:val="17"/>
                <w:szCs w:val="17"/>
                <w:color w:val="auto"/>
              </w:rPr>
              <w:t>•  Enjoy an Endless Summer</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The Waikiki Banyan</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5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Kaanapali Shores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at The Whaler on Kaanapali Beach</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5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Kope Cabana</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Aston Hotels &amp; Resorts</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536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Waikiki Beach Hotel</w:t>
            </w:r>
          </w:p>
        </w:tc>
      </w:tr>
      <w:tr>
        <w:trPr>
          <w:trHeight w:val="26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Aqua-Aston Management Holdings, LLC</w:t>
            </w:r>
          </w:p>
        </w:tc>
        <w:tc>
          <w:tcPr>
            <w:tcW w:w="1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Aston Hotels &amp; Resorts Florida, LLC</w:t>
            </w:r>
          </w:p>
        </w:tc>
        <w:tc>
          <w:tcPr>
            <w:tcW w:w="17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22"/>
        </w:trPr>
        <w:tc>
          <w:tcPr>
            <w:tcW w:w="4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1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ind w:left="680" w:hanging="361"/>
        <w:spacing w:after="0"/>
        <w:tabs>
          <w:tab w:leader="none" w:pos="68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Aston Orlando Resort</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Beach House Development Partnership</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CDP GP,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CDP Investors, L.P.</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Cerromar Development Partners GP,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Cerromar Development Partners, L.P., S.E.</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Champagne Resorts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Coconut Plantation Partner,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Data Marketing Associates East, Inc.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Diamond Head Management LLC</w:t>
            </w:r>
          </w:p>
        </w:tc>
        <w:tc>
          <w:tcPr>
            <w:tcW w:w="3920" w:type="dxa"/>
            <w:vAlign w:val="bottom"/>
          </w:tcPr>
          <w:p>
            <w:pPr>
              <w:jc w:val="center"/>
              <w:ind w:left="3195"/>
              <w:spacing w:after="0"/>
              <w:rPr>
                <w:sz w:val="20"/>
                <w:szCs w:val="20"/>
                <w:color w:val="auto"/>
              </w:rPr>
            </w:pPr>
            <w:r>
              <w:rPr>
                <w:rFonts w:ascii="Times New Roman" w:cs="Times New Roman" w:eastAsia="Times New Roman" w:hAnsi="Times New Roman"/>
                <w:sz w:val="17"/>
                <w:szCs w:val="17"/>
                <w:color w:val="auto"/>
                <w:w w:val="97"/>
              </w:rPr>
              <w:t>Hawaii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20"/>
          </w:cols>
          <w:pgMar w:left="340" w:top="1192"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Eagle Tree Construction, LLC</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Fifth and Fifty-Fifth Holdings,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New York</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Flex Collection,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FOH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FOH Hospitality, LLC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Kai Ala Market</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Princeville Ocean Resort Villas</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Kauhale Market</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Spa Helani</w:t>
            </w:r>
          </w:p>
        </w:tc>
      </w:tr>
    </w:tbl>
    <w:p>
      <w:pPr>
        <w:ind w:left="680" w:hanging="361"/>
        <w:spacing w:after="0"/>
        <w:tabs>
          <w:tab w:leader="none" w:pos="68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Princeville Market</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Grand Aspen Holdings,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Grand Aspen Lodging,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Hard Carbon,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rPr>
              <w:t>Nevada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Hawaii Vacation Title Services,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Heavenly Resort Properties,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rPr>
              <w:t>Nevada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Highlands Inn Investors II, L.P.*</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Hospitality Team Members,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4"/>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Hotel Management Services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17"/>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90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Ilikai Hotel &amp; Luxury Suites</w:t>
            </w:r>
          </w:p>
        </w:tc>
        <w:tc>
          <w:tcPr>
            <w:tcW w:w="3900" w:type="dxa"/>
            <w:vAlign w:val="bottom"/>
          </w:tcPr>
          <w:p>
            <w:pPr>
              <w:spacing w:after="0"/>
              <w:rPr>
                <w:sz w:val="19"/>
                <w:szCs w:val="19"/>
                <w:color w:val="auto"/>
              </w:rPr>
            </w:pP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HPC Developer,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HT-Highlands,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HTS-BC,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HTS-Beach House Partner,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HTS-Beach House,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HTS-CHC (Sedona),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HTS-Coconut Point,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HTS-Ground Lake Tahoe,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HTS-Key West,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HTS-KW,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HTS-Lake Tahoe,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HTS-Loan Servicing,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HTS-Main Street Station,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HTS-Maui,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HTS-San Antonio, Inc.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HTS-San Antonio, L.L.C.</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HTS-San Antonio, L.P.</w:t>
            </w:r>
          </w:p>
        </w:tc>
        <w:tc>
          <w:tcPr>
            <w:tcW w:w="3900" w:type="dxa"/>
            <w:vAlign w:val="bottom"/>
          </w:tcPr>
          <w:p>
            <w:pPr>
              <w:jc w:val="center"/>
              <w:ind w:left="313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90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HTS-Hyatt San Antonio, L.P.</w:t>
            </w:r>
          </w:p>
        </w:tc>
        <w:tc>
          <w:tcPr>
            <w:tcW w:w="3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20"/>
          </w:cols>
          <w:pgMar w:left="340" w:top="1231" w:right="3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HTS-Sedona, Inc.</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HTS-Sunset Harbor Partner,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HTS-Wild Oak Ranch Beverage,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HTS-Windward Pointe Partner,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 Global Group,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460" w:type="dxa"/>
            <w:vAlign w:val="bottom"/>
            <w:gridSpan w:val="2"/>
          </w:tcPr>
          <w:p>
            <w:pPr>
              <w:jc w:val="center"/>
              <w:ind w:right="119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jc w:val="center"/>
              <w:ind w:right="1735"/>
              <w:spacing w:after="0"/>
              <w:rPr>
                <w:sz w:val="20"/>
                <w:szCs w:val="20"/>
                <w:color w:val="auto"/>
              </w:rPr>
            </w:pPr>
            <w:r>
              <w:rPr>
                <w:rFonts w:ascii="Times New Roman" w:cs="Times New Roman" w:eastAsia="Times New Roman" w:hAnsi="Times New Roman"/>
                <w:sz w:val="17"/>
                <w:szCs w:val="17"/>
                <w:color w:val="auto"/>
                <w:w w:val="98"/>
              </w:rPr>
              <w:t>Hyatt Vacation Ownership</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 Global Management Corporation</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460" w:type="dxa"/>
            <w:vAlign w:val="bottom"/>
            <w:gridSpan w:val="2"/>
          </w:tcPr>
          <w:p>
            <w:pPr>
              <w:jc w:val="center"/>
              <w:ind w:right="119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jc w:val="center"/>
              <w:ind w:right="1735"/>
              <w:spacing w:after="0"/>
              <w:rPr>
                <w:sz w:val="20"/>
                <w:szCs w:val="20"/>
                <w:color w:val="auto"/>
              </w:rPr>
            </w:pPr>
            <w:r>
              <w:rPr>
                <w:rFonts w:ascii="Times New Roman" w:cs="Times New Roman" w:eastAsia="Times New Roman" w:hAnsi="Times New Roman"/>
                <w:sz w:val="17"/>
                <w:szCs w:val="17"/>
                <w:color w:val="auto"/>
                <w:w w:val="98"/>
              </w:rPr>
              <w:t>Hyatt Vacation Ownership</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 Global Marketing Corporation</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4460" w:type="dxa"/>
            <w:vAlign w:val="bottom"/>
            <w:gridSpan w:val="2"/>
          </w:tcPr>
          <w:p>
            <w:pPr>
              <w:jc w:val="center"/>
              <w:ind w:right="119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jc w:val="center"/>
              <w:ind w:right="1735"/>
              <w:spacing w:after="0"/>
              <w:rPr>
                <w:sz w:val="20"/>
                <w:szCs w:val="20"/>
                <w:color w:val="auto"/>
              </w:rPr>
            </w:pPr>
            <w:r>
              <w:rPr>
                <w:rFonts w:ascii="Times New Roman" w:cs="Times New Roman" w:eastAsia="Times New Roman" w:hAnsi="Times New Roman"/>
                <w:sz w:val="17"/>
                <w:szCs w:val="17"/>
                <w:color w:val="auto"/>
                <w:w w:val="98"/>
              </w:rPr>
              <w:t>Hyatt Vacation Ownership</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HVC-Highlands,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HVO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IIC Holdings, Incorporated</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International Holdings,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Management,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Shared Ownership,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ILG,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Holdings,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Overseas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Interval Purchasing Services</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Shared Ownership Investment Conference</w:t>
            </w:r>
          </w:p>
        </w:tc>
      </w:tr>
    </w:tbl>
    <w:p>
      <w:pPr>
        <w:ind w:left="680" w:hanging="361"/>
        <w:spacing w:after="0"/>
        <w:tabs>
          <w:tab w:leader="none" w:pos="68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Residences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Interval Resort &amp; Financial Services, Inc.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Interval Software Services,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Interval Vacation Exchange,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 D Kapule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Kai Management Services,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4"/>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Kauai Blue, Inc.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8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Sheraton Kauai</w:t>
            </w:r>
          </w:p>
        </w:tc>
        <w:tc>
          <w:tcPr>
            <w:tcW w:w="3880" w:type="dxa"/>
            <w:vAlign w:val="bottom"/>
          </w:tcPr>
          <w:p>
            <w:pPr>
              <w:spacing w:after="0"/>
              <w:rPr>
                <w:sz w:val="19"/>
                <w:szCs w:val="19"/>
                <w:color w:val="auto"/>
              </w:rPr>
            </w:pP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Kauai Lagoons Holdings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Kauai Lagoons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Kauai Lagoons Vessels LLC</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Key Wester Limited</w:t>
            </w:r>
          </w:p>
        </w:tc>
        <w:tc>
          <w:tcPr>
            <w:tcW w:w="3880" w:type="dxa"/>
            <w:vAlign w:val="bottom"/>
          </w:tcPr>
          <w:p>
            <w:pPr>
              <w:jc w:val="center"/>
              <w:ind w:left="3155"/>
              <w:spacing w:after="0"/>
              <w:rPr>
                <w:sz w:val="20"/>
                <w:szCs w:val="20"/>
                <w:color w:val="auto"/>
              </w:rPr>
            </w:pPr>
            <w:r>
              <w:rPr>
                <w:rFonts w:ascii="Times New Roman" w:cs="Times New Roman" w:eastAsia="Times New Roman" w:hAnsi="Times New Roman"/>
                <w:sz w:val="17"/>
                <w:szCs w:val="17"/>
                <w:color w:val="auto"/>
                <w:w w:val="97"/>
              </w:rPr>
              <w:t>Florida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20"/>
          </w:cols>
          <w:pgMar w:left="340" w:top="1231"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25"/>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1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Lagunamar Cancun Mexico, Inc.</w:t>
            </w: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MAIC Travel LLC</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MAIC Travel, Inc.</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Management Acquisition Holdings, LLC</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Kauai Ownership Resorts, Inc.</w:t>
            </w:r>
          </w:p>
        </w:tc>
        <w:tc>
          <w:tcPr>
            <w:tcW w:w="11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1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Overseas Owners Services Corporation</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Ownership Resorts Procurement, LLC</w:t>
            </w:r>
          </w:p>
        </w:tc>
        <w:tc>
          <w:tcPr>
            <w:tcW w:w="1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Ownership Resorts, Inc.</w:t>
            </w:r>
          </w:p>
        </w:tc>
        <w:tc>
          <w:tcPr>
            <w:tcW w:w="11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Grand Residence by Marriott</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 Vacation Club International Corp.</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Grand Residences by Marriott</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Marriott’s Mountainside Resort</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Golf Academy</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Marriott’s Summit Watch</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Marriott’s Waiohai Beach Resort</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The Marketplace</w:t>
            </w:r>
          </w:p>
        </w:tc>
      </w:tr>
      <w:tr>
        <w:trPr>
          <w:trHeight w:val="26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Corporation</w:t>
            </w:r>
          </w:p>
        </w:tc>
        <w:tc>
          <w:tcPr>
            <w:tcW w:w="11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South Carolina</w:t>
            </w:r>
          </w:p>
        </w:tc>
      </w:tr>
      <w:tr>
        <w:trPr>
          <w:trHeight w:val="217"/>
        </w:trPr>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Marriott’s Vacation Club, South Beach</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 Corp.</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Marriott’s Villas at Doral</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Pulse San Diego</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Marriott’s Willow Ridge Lodge</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Pulse, New York City</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Reflections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New York City</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Strand Bistro</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 Vacation Club, South Beach</w:t>
            </w:r>
          </w:p>
        </w:tc>
        <w:tc>
          <w:tcPr>
            <w:tcW w:w="11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The Market Place</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Marriott’s Custom House</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Tidewater’s Sweets and Sundries</w:t>
            </w: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Marriott’s Legends Edge at Bay Point</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Top Of The Strand</w:t>
            </w: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Marriott’s Oceana Palms</w:t>
            </w:r>
          </w:p>
        </w:tc>
        <w:tc>
          <w:tcPr>
            <w:tcW w:w="646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  Twisted Knot Cafe &amp; Lounge</w:t>
            </w:r>
          </w:p>
        </w:tc>
      </w:tr>
    </w:tbl>
    <w:p>
      <w:pPr>
        <w:ind w:left="680" w:hanging="361"/>
        <w:spacing w:after="0"/>
        <w:tabs>
          <w:tab w:leader="none" w:pos="68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Marriott’s Summit Watch Resort</w:t>
      </w:r>
    </w:p>
    <w:p>
      <w:pPr>
        <w:sectPr>
          <w:pgSz w:w="11900" w:h="16838" w:orient="portrait"/>
          <w:cols w:equalWidth="0" w:num="1">
            <w:col w:w="11220"/>
          </w:cols>
          <w:pgMar w:left="340" w:top="1231"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Marriott Resorts Sales Company, Inc.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8" w:lineRule="exact"/>
        <w:rPr>
          <w:sz w:val="20"/>
          <w:szCs w:val="20"/>
          <w:color w:val="auto"/>
        </w:rPr>
      </w:pPr>
    </w:p>
    <w:p>
      <w:pPr>
        <w:sectPr>
          <w:pgSz w:w="11900" w:h="16838" w:orient="portrait"/>
          <w:cols w:equalWidth="0" w:num="2">
            <w:col w:w="8760" w:space="720"/>
            <w:col w:w="1740"/>
          </w:cols>
          <w:pgMar w:left="340" w:top="1231"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p>
      <w:pPr>
        <w:sectPr>
          <w:pgSz w:w="11900" w:h="16838" w:orient="portrait"/>
          <w:cols w:equalWidth="0" w:num="1">
            <w:col w:w="11220"/>
          </w:cols>
          <w:pgMar w:left="340" w:top="1231" w:right="339" w:bottom="1440" w:gutter="0" w:footer="0" w:header="0"/>
          <w:type w:val="continuous"/>
        </w:sectPr>
      </w:pPr>
    </w:p>
    <w:p>
      <w:pPr>
        <w:spacing w:after="0" w:line="2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Marriott Resorts Realty, Inc.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Marriott Vacation Club International Ltd.</w:t>
      </w:r>
    </w:p>
    <w:p>
      <w:pPr>
        <w:spacing w:after="0" w:line="80" w:lineRule="exact"/>
        <w:rPr>
          <w:sz w:val="20"/>
          <w:szCs w:val="20"/>
          <w:color w:val="auto"/>
        </w:rPr>
      </w:pPr>
    </w:p>
    <w:p>
      <w:pPr>
        <w:sectPr>
          <w:pgSz w:w="11900" w:h="16838" w:orient="portrait"/>
          <w:cols w:equalWidth="0" w:num="2">
            <w:col w:w="5020" w:space="720"/>
            <w:col w:w="5480"/>
          </w:cols>
          <w:pgMar w:left="340" w:top="12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Marriott Resorts Title Company, Inc.</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255" w:lineRule="exact"/>
        <w:rPr>
          <w:sz w:val="20"/>
          <w:szCs w:val="20"/>
          <w:color w:val="auto"/>
        </w:rPr>
      </w:pPr>
    </w:p>
    <w:p>
      <w:pPr>
        <w:sectPr>
          <w:pgSz w:w="11900" w:h="16838" w:orient="portrait"/>
          <w:cols w:equalWidth="0" w:num="2">
            <w:col w:w="8840" w:space="720"/>
            <w:col w:w="1660"/>
          </w:cols>
          <w:pgMar w:left="340" w:top="1231" w:right="339" w:bottom="1440" w:gutter="0" w:footer="0" w:header="0"/>
          <w:type w:val="continuous"/>
        </w:sectPr>
      </w:pPr>
    </w:p>
    <w:p>
      <w:pPr>
        <w:ind w:left="680" w:hanging="361"/>
        <w:spacing w:after="0"/>
        <w:tabs>
          <w:tab w:leader="none" w:pos="6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Resorts Title, Inc.</w:t>
      </w:r>
    </w:p>
    <w:p>
      <w:pPr>
        <w:sectPr>
          <w:pgSz w:w="11900" w:h="16838" w:orient="portrait"/>
          <w:cols w:equalWidth="0" w:num="1">
            <w:col w:w="11220"/>
          </w:cols>
          <w:pgMar w:left="340" w:top="1231" w:right="339" w:bottom="1440" w:gutter="0" w:footer="0" w:header="0"/>
          <w:type w:val="continuous"/>
        </w:sectPr>
      </w:pP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Marriott Resorts, Travel Company, Inc.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8" w:lineRule="exact"/>
        <w:rPr>
          <w:sz w:val="20"/>
          <w:szCs w:val="20"/>
          <w:color w:val="auto"/>
        </w:rPr>
      </w:pPr>
    </w:p>
    <w:p>
      <w:pPr>
        <w:sectPr>
          <w:pgSz w:w="11900" w:h="16838" w:orient="portrait"/>
          <w:cols w:equalWidth="0" w:num="2">
            <w:col w:w="8760" w:space="720"/>
            <w:col w:w="1740"/>
          </w:cols>
          <w:pgMar w:left="340" w:top="1231"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p>
      <w:pPr>
        <w:sectPr>
          <w:pgSz w:w="11900" w:h="16838" w:orient="portrait"/>
          <w:cols w:equalWidth="0" w:num="1">
            <w:col w:w="11220"/>
          </w:cols>
          <w:pgMar w:left="340" w:top="1231" w:right="339" w:bottom="1440" w:gutter="0" w:footer="0" w:header="0"/>
          <w:type w:val="continuous"/>
        </w:sectPr>
      </w:pPr>
    </w:p>
    <w:p>
      <w:pPr>
        <w:spacing w:after="0" w:line="2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Marriott Vacation Club International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MVC Exchange Company</w:t>
      </w:r>
    </w:p>
    <w:p>
      <w:pPr>
        <w:spacing w:after="0" w:line="80" w:lineRule="exact"/>
        <w:rPr>
          <w:sz w:val="20"/>
          <w:szCs w:val="20"/>
          <w:color w:val="auto"/>
        </w:rPr>
      </w:pPr>
    </w:p>
    <w:p>
      <w:pPr>
        <w:sectPr>
          <w:pgSz w:w="11900" w:h="16838" w:orient="portrait"/>
          <w:cols w:equalWidth="0" w:num="2">
            <w:col w:w="5020" w:space="720"/>
            <w:col w:w="5480"/>
          </w:cols>
          <w:pgMar w:left="340" w:top="12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Marriott Vacation Properties of Florida,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Marriott Vacations Worldwide Corporation</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55" w:lineRule="exact"/>
        <w:rPr>
          <w:sz w:val="20"/>
          <w:szCs w:val="20"/>
          <w:color w:val="auto"/>
        </w:rPr>
      </w:pPr>
    </w:p>
    <w:p>
      <w:pPr>
        <w:sectPr>
          <w:pgSz w:w="11900" w:h="16838" w:orient="portrait"/>
          <w:cols w:equalWidth="0" w:num="2">
            <w:col w:w="8760" w:space="720"/>
            <w:col w:w="1740"/>
          </w:cols>
          <w:pgMar w:left="340" w:top="1231" w:right="339" w:bottom="1440" w:gutter="0" w:footer="0" w:header="0"/>
          <w:type w:val="continuous"/>
        </w:sectPr>
      </w:pPr>
    </w:p>
    <w:p>
      <w:pPr>
        <w:ind w:left="680" w:hanging="361"/>
        <w:spacing w:after="0"/>
        <w:tabs>
          <w:tab w:leader="none" w:pos="6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w:t>
      </w:r>
    </w:p>
    <w:p>
      <w:pPr>
        <w:spacing w:after="0" w:line="68" w:lineRule="exact"/>
        <w:rPr>
          <w:sz w:val="20"/>
          <w:szCs w:val="20"/>
          <w:color w:val="auto"/>
        </w:rPr>
      </w:pPr>
    </w:p>
    <w:p>
      <w:pPr>
        <w:ind w:left="20"/>
        <w:spacing w:after="0"/>
        <w:tabs>
          <w:tab w:leader="none" w:pos="9460" w:val="left"/>
        </w:tabs>
        <w:rPr>
          <w:sz w:val="20"/>
          <w:szCs w:val="20"/>
          <w:color w:val="auto"/>
        </w:rPr>
      </w:pPr>
      <w:r>
        <w:rPr>
          <w:rFonts w:ascii="Times New Roman" w:cs="Times New Roman" w:eastAsia="Times New Roman" w:hAnsi="Times New Roman"/>
          <w:sz w:val="17"/>
          <w:szCs w:val="17"/>
          <w:color w:val="auto"/>
        </w:rPr>
        <w:t>Marriott's Desert Springs Development Corporation</w:t>
      </w:r>
      <w:r>
        <w:rPr>
          <w:sz w:val="20"/>
          <w:szCs w:val="20"/>
          <w:color w:val="auto"/>
        </w:rPr>
        <w:tab/>
      </w:r>
      <w:r>
        <w:rPr>
          <w:rFonts w:ascii="Times New Roman" w:cs="Times New Roman" w:eastAsia="Times New Roman" w:hAnsi="Times New Roman"/>
          <w:sz w:val="16"/>
          <w:szCs w:val="16"/>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40" w:top="1231" w:right="339" w:bottom="144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Maui Condo and Home, LLC</w:t>
            </w: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Hawaii Condo and Home</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Member Development,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Meragon Financial Services,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North Carolina</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Meridian Financial Services,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North Carolina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Meridian Financial Services, Inc.</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Meridian Financial Services, USA (FN)</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MH Kapalua Venture,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Golf (Kauai),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Member (Kauai),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Residences,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SPC Series Corp.</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MORI Waikoloa Holding Company,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MTSC,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MVCO Series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2019-1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2019-2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2020-1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2021-1W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2021-2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2022-1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2022-2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2023-1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2023-2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International Finance Company,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of Hawaii,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Marketplace Express</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Marriott's Waiohai Beach Club</w:t>
            </w:r>
          </w:p>
        </w:tc>
      </w:tr>
      <w:tr>
        <w:trPr>
          <w:trHeight w:val="217"/>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Marriott Vacation Club, Waikiki</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The Marketplace at Ko Olina</w:t>
            </w:r>
          </w:p>
        </w:tc>
      </w:tr>
      <w:tr>
        <w:trPr>
          <w:trHeight w:val="217"/>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Marriott's Ko Olina Beach Club</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Waikiki Marketplace</w:t>
            </w:r>
          </w:p>
        </w:tc>
      </w:tr>
      <w:tr>
        <w:trPr>
          <w:trHeight w:val="222"/>
        </w:trPr>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Marriott's Maui Ocean Club</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of Nevada,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Marriott's Grand Chateau</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Services Corporation</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SSC,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US Holdings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US Services,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20"/>
          </w:cols>
          <w:pgMar w:left="340" w:top="1231" w:right="3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Vacations LLC</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MVW Warehouse I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Ozark Tourism Marketing,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Missouri</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Branson Tourism Center</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Branson.com</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Ozark Travel Services,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Missouri</w:t>
            </w:r>
          </w:p>
        </w:tc>
      </w:tr>
      <w:tr>
        <w:trPr>
          <w:trHeight w:val="222"/>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ind w:left="680" w:hanging="361"/>
        <w:spacing w:after="0"/>
        <w:tabs>
          <w:tab w:leader="none" w:pos="68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Branson Travel Agency</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Pelican Landing Timeshare Ventures Limited Partnership</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Platinum Vacations,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Points of Colorado,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Premier Vacation Ownership,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 Chronicle Building, L.P.</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RBF,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660" w:type="dxa"/>
            <w:vAlign w:val="bottom"/>
            <w:gridSpan w:val="2"/>
          </w:tcPr>
          <w:p>
            <w:pPr>
              <w:jc w:val="center"/>
              <w:ind w:right="343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46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RBF-Jupiter, LLC</w:t>
            </w:r>
          </w:p>
        </w:tc>
        <w:tc>
          <w:tcPr>
            <w:tcW w:w="3460" w:type="dxa"/>
            <w:vAlign w:val="bottom"/>
          </w:tcPr>
          <w:p>
            <w:pPr>
              <w:spacing w:after="0"/>
              <w:rPr>
                <w:sz w:val="19"/>
                <w:szCs w:val="19"/>
                <w:color w:val="auto"/>
              </w:rPr>
            </w:pP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RCC (GP) Holdings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RCC (LP) Holdings L.P.</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RCDC 942,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660" w:type="dxa"/>
            <w:vAlign w:val="bottom"/>
            <w:gridSpan w:val="2"/>
          </w:tcPr>
          <w:p>
            <w:pPr>
              <w:jc w:val="center"/>
              <w:ind w:right="343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46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RCDC 942 Market Street, LLC</w:t>
            </w:r>
          </w:p>
        </w:tc>
        <w:tc>
          <w:tcPr>
            <w:tcW w:w="3460" w:type="dxa"/>
            <w:vAlign w:val="bottom"/>
          </w:tcPr>
          <w:p>
            <w:pPr>
              <w:spacing w:after="0"/>
              <w:rPr>
                <w:sz w:val="19"/>
                <w:szCs w:val="19"/>
                <w:color w:val="auto"/>
              </w:rPr>
            </w:pP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RCDC Chronicle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 Holdings, Ltd.</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Resort Management Finance Services,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Resort Sales Services,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RQI Holdings,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S.O.I. Acquisition Corp.</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Scottsdale Residence Club Sales,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Scottsdale Residence Club,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Sheraton Flex Vacations,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Soleil Communications,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Soleil NV,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Nevada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Regis Colorado Management,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Regis New York Management,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Regis Residence Club of Colorado,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 Regis Residence Club, New York Inc.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Steamboat Resort Village LLC</w:t>
            </w:r>
          </w:p>
        </w:tc>
        <w:tc>
          <w:tcPr>
            <w:tcW w:w="3460" w:type="dxa"/>
            <w:vAlign w:val="bottom"/>
          </w:tcPr>
          <w:p>
            <w:pPr>
              <w:jc w:val="center"/>
              <w:ind w:left="2695"/>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6660" w:type="dxa"/>
            <w:vAlign w:val="bottom"/>
            <w:gridSpan w:val="2"/>
          </w:tcPr>
          <w:p>
            <w:pPr>
              <w:jc w:val="center"/>
              <w:ind w:right="3435"/>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460" w:type="dxa"/>
            <w:vAlign w:val="bottom"/>
          </w:tcPr>
          <w:p>
            <w:pPr>
              <w:spacing w:after="0"/>
              <w:rPr>
                <w:sz w:val="18"/>
                <w:szCs w:val="18"/>
                <w:color w:val="auto"/>
              </w:rPr>
            </w:pPr>
          </w:p>
        </w:tc>
      </w:tr>
      <w:tr>
        <w:trPr>
          <w:trHeight w:val="222"/>
        </w:trPr>
        <w:tc>
          <w:tcPr>
            <w:tcW w:w="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160" w:type="dxa"/>
            <w:vAlign w:val="bottom"/>
          </w:tcPr>
          <w:p>
            <w:pPr>
              <w:jc w:val="center"/>
              <w:ind w:right="3895"/>
              <w:spacing w:after="0"/>
              <w:rPr>
                <w:sz w:val="20"/>
                <w:szCs w:val="20"/>
                <w:color w:val="auto"/>
              </w:rPr>
            </w:pPr>
            <w:r>
              <w:rPr>
                <w:rFonts w:ascii="Times New Roman" w:cs="Times New Roman" w:eastAsia="Times New Roman" w:hAnsi="Times New Roman"/>
                <w:sz w:val="17"/>
                <w:szCs w:val="17"/>
                <w:color w:val="auto"/>
              </w:rPr>
              <w:t>Sheraton Steamboat Resort</w:t>
            </w:r>
          </w:p>
        </w:tc>
        <w:tc>
          <w:tcPr>
            <w:tcW w:w="3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40" w:top="1231"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25"/>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6"/>
        </w:trPr>
        <w:tc>
          <w:tcPr>
            <w:tcW w:w="8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Success Developments, L.L.C.</w:t>
            </w:r>
          </w:p>
        </w:tc>
        <w:tc>
          <w:tcPr>
            <w:tcW w:w="80" w:type="dxa"/>
            <w:vAlign w:val="bottom"/>
          </w:tcPr>
          <w:p>
            <w:pPr>
              <w:spacing w:after="0"/>
              <w:rPr>
                <w:sz w:val="17"/>
                <w:szCs w:val="17"/>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Villas of Cave Creek, L.L.C.</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Sunset Harbor Development Partnership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SVO 2011-A VOI Mortgage Corp.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SVO 2011-A VOI Mortgage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SVO 2012-A VOI Mortgage Corp.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SVO 2012-A VOI Mortgage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Cobalt Travel Company,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Lion &amp; Crown Travel Co.,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Development Company,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The Ritz-Carlton Destination Club</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Management Company,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Sales Company,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Title Company,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WAVE Insurance Corporation</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Timber Ridge Escapes,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Missouri</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Vacanza 2019-A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Vacation Ownership Lending GP,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Vacation Ownership Lending, L.P.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Vacation Title Services,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Vacation Title Services Agency</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VCH Communications,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VCH Consulting,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VCH Systems,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Vistana Vacation Club</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Acceptance Corp.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Arizona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Aventuras,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California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Colorado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Mountain Vista Market</w:t>
            </w:r>
          </w:p>
        </w:tc>
        <w:tc>
          <w:tcPr>
            <w:tcW w:w="2840" w:type="dxa"/>
            <w:vAlign w:val="bottom"/>
          </w:tcPr>
          <w:p>
            <w:pPr>
              <w:spacing w:after="0"/>
              <w:rPr>
                <w:sz w:val="19"/>
                <w:szCs w:val="19"/>
                <w:color w:val="auto"/>
              </w:rPr>
            </w:pPr>
          </w:p>
        </w:tc>
      </w:tr>
      <w:tr>
        <w:trPr>
          <w:trHeight w:val="264"/>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Development,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jc w:val="center"/>
              <w:ind w:right="5700"/>
              <w:spacing w:after="0"/>
              <w:rPr>
                <w:sz w:val="20"/>
                <w:szCs w:val="20"/>
                <w:color w:val="auto"/>
              </w:rPr>
            </w:pPr>
            <w:r>
              <w:rPr>
                <w:rFonts w:ascii="Times New Roman" w:cs="Times New Roman" w:eastAsia="Times New Roman" w:hAnsi="Times New Roman"/>
                <w:sz w:val="17"/>
                <w:szCs w:val="17"/>
                <w:color w:val="auto"/>
                <w:w w:val="99"/>
              </w:rPr>
              <w:t>Vistana Development, Ltd.</w:t>
            </w:r>
          </w:p>
        </w:tc>
        <w:tc>
          <w:tcPr>
            <w:tcW w:w="28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20"/>
          </w:cols>
          <w:pgMar w:left="340" w:top="1231"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25"/>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8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Vistana Hawaii Management, Inc.</w:t>
            </w:r>
          </w:p>
        </w:tc>
        <w:tc>
          <w:tcPr>
            <w:tcW w:w="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0"/>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838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2"/>
          </w:tcPr>
          <w:p>
            <w:pPr>
              <w:jc w:val="center"/>
              <w:ind w:right="5740"/>
              <w:spacing w:after="0"/>
              <w:rPr>
                <w:sz w:val="20"/>
                <w:szCs w:val="20"/>
                <w:color w:val="auto"/>
              </w:rPr>
            </w:pPr>
            <w:r>
              <w:rPr>
                <w:rFonts w:ascii="Times New Roman" w:cs="Times New Roman" w:eastAsia="Times New Roman" w:hAnsi="Times New Roman"/>
                <w:sz w:val="17"/>
                <w:szCs w:val="17"/>
                <w:color w:val="auto"/>
                <w:w w:val="99"/>
              </w:rPr>
              <w:t>Vistana Management, Ltd.</w:t>
            </w:r>
          </w:p>
        </w:tc>
        <w:tc>
          <w:tcPr>
            <w:tcW w:w="2840" w:type="dxa"/>
            <w:vAlign w:val="bottom"/>
          </w:tcPr>
          <w:p>
            <w:pPr>
              <w:spacing w:after="0"/>
              <w:rPr>
                <w:sz w:val="19"/>
                <w:szCs w:val="19"/>
                <w:color w:val="auto"/>
              </w:rPr>
            </w:pP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MB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South Carolina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Portfolio Services,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PSL,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Residential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Scottsdale Development,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Scottsdale Management,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Scottsdale,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Signature Experiences,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Signature Network,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Vacation Ownership,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Vacation Realty,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Vacation Services Hawaii,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Hawaii</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VOL GP,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VOL Investors, L.P.</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Volt Merger Sub,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2016-A VOI Mortgage,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2017-A VOI Mortgage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2017-A VOI Mortgage,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2018-A VOI Mortgage,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2018-A VOI Mortgage,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Arizona Development,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Arizona Realty,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Bahamas Holdings,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California Sales,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Development,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East,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International Holdco,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International,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Mexico Portfolio Services,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Myrtle Beach, LLC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South Carolina</w:t>
            </w:r>
          </w:p>
        </w:tc>
      </w:tr>
      <w:tr>
        <w:trPr>
          <w:trHeight w:val="268"/>
        </w:trPr>
        <w:tc>
          <w:tcPr>
            <w:tcW w:w="8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Pacific, Inc.</w:t>
            </w: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bl>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p>
      <w:pPr>
        <w:sectPr>
          <w:pgSz w:w="11900" w:h="16838" w:orient="portrait"/>
          <w:cols w:equalWidth="0" w:num="1">
            <w:col w:w="11220"/>
          </w:cols>
          <w:pgMar w:left="340" w:top="1231" w:right="339" w:bottom="1440" w:gutter="0" w:footer="0" w:header="0"/>
        </w:sectPr>
      </w:pPr>
    </w:p>
    <w:p>
      <w:pPr>
        <w:spacing w:after="0" w:line="2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Hawaii Activity Planners</w:t>
      </w:r>
    </w:p>
    <w:p>
      <w:pPr>
        <w:spacing w:after="0" w:line="2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Westin Nanea Ocean Villas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Westin Ka'anapali Ocean Resort Villas</w:t>
      </w:r>
    </w:p>
    <w:p>
      <w:pPr>
        <w:spacing w:after="0" w:line="3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7"/>
          <w:szCs w:val="17"/>
          <w:color w:val="auto"/>
        </w:rPr>
        <w:t>•</w:t>
        <w:tab/>
        <w:t>Westin Vacation Club</w:t>
      </w:r>
    </w:p>
    <w:p>
      <w:pPr>
        <w:spacing w:after="0" w:line="200" w:lineRule="exact"/>
        <w:rPr>
          <w:sz w:val="20"/>
          <w:szCs w:val="20"/>
          <w:color w:val="auto"/>
        </w:rPr>
      </w:pPr>
    </w:p>
    <w:p>
      <w:pPr>
        <w:sectPr>
          <w:pgSz w:w="11900" w:h="16838" w:orient="portrait"/>
          <w:cols w:equalWidth="0" w:num="2">
            <w:col w:w="5020" w:space="720"/>
            <w:col w:w="5480"/>
          </w:cols>
          <w:pgMar w:left="340" w:top="12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20"/>
          </w:cols>
          <w:pgMar w:left="340" w:top="1231" w:right="339" w:bottom="144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25"/>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in the United States</w:t>
            </w:r>
          </w:p>
        </w:tc>
        <w:tc>
          <w:tcPr>
            <w:tcW w:w="3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Residence Club Sales of New York, Inc.</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New York</w:t>
            </w:r>
          </w:p>
        </w:tc>
      </w:tr>
      <w:tr>
        <w:trPr>
          <w:trHeight w:val="26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Residence Club Sales,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Trademark,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Villas Arizona,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Arizona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Vistana Villages,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VSE West,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VVO International Holdco,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Hospitality Services,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Resorts 2013-A,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Resorts 2015-A,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Resorts 2017-A,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Resorts 2019-A,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Warehouse Facility 2,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Welk Warehouse Facility,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Westin Sheraton Vacation Services,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Florida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Sheraton Vacations</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Westin Vacations</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Hospitality Management,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Mountain Villas,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 Group,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17"/>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Lodges at Timber Ridge</w:t>
            </w:r>
          </w:p>
        </w:tc>
        <w:tc>
          <w:tcPr>
            <w:tcW w:w="676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  Villas on the Green</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 Properties, Inc.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Resorts Breckenridge,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Colorado</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Resorts Cabo,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Resorts Northstar, LLC</w:t>
            </w: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6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WHV Resorts Vacation Rentals, Inc.</w:t>
            </w:r>
          </w:p>
        </w:tc>
        <w:tc>
          <w:tcPr>
            <w:tcW w:w="3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222"/>
        </w:trPr>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ind w:left="680" w:hanging="361"/>
        <w:spacing w:after="0"/>
        <w:tabs>
          <w:tab w:leader="none" w:pos="6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Club Rentals</w:t>
      </w:r>
    </w:p>
    <w:p>
      <w:pPr>
        <w:sectPr>
          <w:pgSz w:w="11900" w:h="16838" w:orient="portrait"/>
          <w:cols w:equalWidth="0" w:num="1">
            <w:col w:w="11220"/>
          </w:cols>
          <w:pgMar w:left="340" w:top="1231"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Windward Pointe II, L.L.C.</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Worldex Corporation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Worldwide Vacation &amp; Travel, Inc.</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Delaware</w:t>
      </w:r>
    </w:p>
    <w:p>
      <w:pPr>
        <w:spacing w:after="0" w:line="8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Florida</w:t>
      </w:r>
    </w:p>
    <w:p>
      <w:pPr>
        <w:spacing w:after="0" w:line="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Florida</w:t>
      </w:r>
    </w:p>
    <w:p>
      <w:pPr>
        <w:spacing w:after="0" w:line="26" w:lineRule="exact"/>
        <w:rPr>
          <w:sz w:val="20"/>
          <w:szCs w:val="20"/>
          <w:color w:val="auto"/>
        </w:rPr>
      </w:pPr>
    </w:p>
    <w:p>
      <w:pPr>
        <w:sectPr>
          <w:pgSz w:w="11900" w:h="16838" w:orient="portrait"/>
          <w:cols w:equalWidth="0" w:num="2">
            <w:col w:w="8760" w:space="720"/>
            <w:col w:w="1740"/>
          </w:cols>
          <w:pgMar w:left="340" w:top="1231" w:right="3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p>
      <w:pPr>
        <w:sectPr>
          <w:pgSz w:w="11900" w:h="16838" w:orient="portrait"/>
          <w:cols w:equalWidth="0" w:num="1">
            <w:col w:w="11220"/>
          </w:cols>
          <w:pgMar w:left="340" w:top="1231" w:right="339" w:bottom="1440" w:gutter="0" w:footer="0" w:header="0"/>
          <w:type w:val="continuous"/>
        </w:sectPr>
      </w:pPr>
    </w:p>
    <w:p>
      <w:pPr>
        <w:spacing w:after="0" w:line="2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condodirect.com</w:t>
      </w:r>
    </w:p>
    <w:p>
      <w:pPr>
        <w:spacing w:after="0" w:line="22" w:lineRule="exact"/>
        <w:rPr>
          <w:sz w:val="20"/>
          <w:szCs w:val="20"/>
          <w:color w:val="auto"/>
        </w:rPr>
      </w:pPr>
    </w:p>
    <w:p>
      <w:pPr>
        <w:ind w:left="320"/>
        <w:spacing w:after="0"/>
        <w:tabs>
          <w:tab w:leader="none" w:pos="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Dream Vacation Week</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Leisure Time Passport</w:t>
      </w:r>
    </w:p>
    <w:p>
      <w:pPr>
        <w:spacing w:after="0" w:line="3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7"/>
          <w:szCs w:val="17"/>
          <w:color w:val="auto"/>
        </w:rPr>
        <w:t>•</w:t>
        <w:tab/>
        <w:t>Vacationsource</w:t>
      </w:r>
    </w:p>
    <w:p>
      <w:pPr>
        <w:spacing w:after="0" w:line="22" w:lineRule="exact"/>
        <w:rPr>
          <w:sz w:val="20"/>
          <w:szCs w:val="20"/>
          <w:color w:val="auto"/>
        </w:rPr>
      </w:pPr>
    </w:p>
    <w:p>
      <w:pPr>
        <w:sectPr>
          <w:pgSz w:w="11900" w:h="16838" w:orient="portrait"/>
          <w:cols w:equalWidth="0" w:num="2">
            <w:col w:w="5020" w:space="720"/>
            <w:col w:w="5480"/>
          </w:cols>
          <w:pgMar w:left="340" w:top="1231" w:right="339" w:bottom="1440" w:gutter="0" w:footer="0" w:header="0"/>
          <w:type w:val="continuous"/>
        </w:sectPr>
      </w:pPr>
    </w:p>
    <w:p>
      <w:pPr>
        <w:ind w:left="680" w:hanging="361"/>
        <w:spacing w:after="0"/>
        <w:tabs>
          <w:tab w:leader="none" w:pos="6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Interval Travel</w:t>
      </w:r>
    </w:p>
    <w:p>
      <w:pPr>
        <w:sectPr>
          <w:pgSz w:w="11900" w:h="16838" w:orient="portrait"/>
          <w:cols w:equalWidth="0" w:num="1">
            <w:col w:w="11220"/>
          </w:cols>
          <w:pgMar w:left="340" w:top="1231" w:right="339" w:bottom="1440" w:gutter="0" w:footer="0" w:header="0"/>
          <w:type w:val="continuous"/>
        </w:sectPr>
      </w:pP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WVC Rancho Mirage, Inc.</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XYZII, Inc.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Delaware</w:t>
      </w:r>
    </w:p>
    <w:p>
      <w:pPr>
        <w:spacing w:after="0" w:line="7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Washington</w:t>
      </w:r>
    </w:p>
    <w:p>
      <w:pPr>
        <w:spacing w:after="0" w:line="211" w:lineRule="exact"/>
        <w:rPr>
          <w:sz w:val="20"/>
          <w:szCs w:val="20"/>
          <w:color w:val="auto"/>
        </w:rPr>
      </w:pPr>
    </w:p>
    <w:p>
      <w:pPr>
        <w:sectPr>
          <w:pgSz w:w="11900" w:h="16838" w:orient="portrait"/>
          <w:cols w:equalWidth="0" w:num="2">
            <w:col w:w="8680" w:space="720"/>
            <w:col w:w="1820"/>
          </w:cols>
          <w:pgMar w:left="340" w:top="12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20"/>
          </w:cols>
          <w:pgMar w:left="340" w:top="1231" w:right="339" w:bottom="1440" w:gutter="0" w:footer="0" w:header="0"/>
          <w:type w:val="continuous"/>
        </w:sectPr>
      </w:pPr>
    </w:p>
    <w:bookmarkStart w:id="203" w:name="page204"/>
    <w:bookmarkEnd w:id="203"/>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c>
          <w:tcPr>
            <w:tcW w:w="0" w:type="dxa"/>
            <w:vAlign w:val="bottom"/>
          </w:tcPr>
          <w:p>
            <w:pPr>
              <w:spacing w:after="0"/>
              <w:rPr>
                <w:sz w:val="1"/>
                <w:szCs w:val="1"/>
                <w:color w:val="auto"/>
              </w:rPr>
            </w:pPr>
          </w:p>
        </w:tc>
      </w:tr>
      <w:tr>
        <w:trPr>
          <w:trHeight w:val="215"/>
        </w:trPr>
        <w:tc>
          <w:tcPr>
            <w:tcW w:w="8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AP (Macau) Pte Limited*</w:t>
            </w:r>
          </w:p>
        </w:tc>
        <w:tc>
          <w:tcPr>
            <w:tcW w:w="8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Macau</w:t>
            </w:r>
          </w:p>
        </w:tc>
        <w:tc>
          <w:tcPr>
            <w:tcW w:w="0" w:type="dxa"/>
            <w:vAlign w:val="bottom"/>
          </w:tcPr>
          <w:p>
            <w:pPr>
              <w:spacing w:after="0"/>
              <w:rPr>
                <w:sz w:val="1"/>
                <w:szCs w:val="1"/>
                <w:color w:val="auto"/>
              </w:rPr>
            </w:pPr>
          </w:p>
        </w:tc>
      </w:tr>
      <w:tr>
        <w:trPr>
          <w:trHeight w:val="26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Bali Enclave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Bali Terrace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Nusa Dua Bali Hong Kong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Nusa Dua Enclave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AP Nusa Dua Terrace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Aqua-Aston Hospitalidad Ltda.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Aruba Finance Holdings B.V.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Caide Desarrollos,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Chaihat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Thailand</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Club Holidays Australia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Club Resorts No. 1 Australia Pty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c>
          <w:tcPr>
            <w:tcW w:w="0" w:type="dxa"/>
            <w:vAlign w:val="bottom"/>
          </w:tcPr>
          <w:p>
            <w:pPr>
              <w:spacing w:after="0"/>
              <w:rPr>
                <w:sz w:val="1"/>
                <w:szCs w:val="1"/>
                <w:color w:val="auto"/>
              </w:rPr>
            </w:pPr>
          </w:p>
        </w:tc>
      </w:tr>
      <w:tr>
        <w:trPr>
          <w:trHeight w:val="216"/>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Costa Del Sol Development Company N.V., trading as Aruba Surf Club Development and Management Aruba Surf Club</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c>
          <w:tcPr>
            <w:tcW w:w="0" w:type="dxa"/>
            <w:vAlign w:val="bottom"/>
          </w:tcPr>
          <w:p>
            <w:pPr>
              <w:spacing w:after="0"/>
              <w:rPr>
                <w:sz w:val="1"/>
                <w:szCs w:val="1"/>
                <w:color w:val="auto"/>
              </w:rPr>
            </w:pPr>
          </w:p>
        </w:tc>
      </w:tr>
      <w:tr>
        <w:trPr>
          <w:trHeight w:val="141"/>
        </w:trPr>
        <w:tc>
          <w:tcPr>
            <w:tcW w:w="8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Development Company</w:t>
            </w: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400" w:type="dxa"/>
            <w:vAlign w:val="bottom"/>
            <w:gridSpan w:val="3"/>
            <w:vMerge w:val="continue"/>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8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Aruba Surf Club Development and Management Company</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Costa Del Sol Financing Company VBA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CR Resorts Holdings, S.L.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CR Vacation Nominee Limitada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Empresa de Servicios Cancun,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Empresa de Servicios K20 Cancun,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Empresa de Servicios Los Cabos,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Empresa de Servicios Vallarta 205,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Fortyseven Park Street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Hoteles Cabos K22.5,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Hoteles Cancun K20,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ILG Lux Finance S.a.r.l.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ILG Lux Holdings II S.a.r.l.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ILG Lux Holdings S.a.r.l.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Indah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Intercambios Internacionales de Vacaciones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Argentina S.A.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Argentina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Brasil Servicos Ltda.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Brazil</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de Colombia, S.A.S.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Colombia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Eastern Canada,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Canada</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Egypt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Egypt</w:t>
            </w:r>
          </w:p>
        </w:tc>
        <w:tc>
          <w:tcPr>
            <w:tcW w:w="0" w:type="dxa"/>
            <w:vAlign w:val="bottom"/>
          </w:tcPr>
          <w:p>
            <w:pPr>
              <w:spacing w:after="0"/>
              <w:rPr>
                <w:sz w:val="1"/>
                <w:szCs w:val="1"/>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Finland Oy</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Finland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20"/>
          </w:cols>
          <w:pgMar w:left="340" w:top="1440"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2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8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Interval International GmbH</w:t>
            </w:r>
          </w:p>
        </w:tc>
        <w:tc>
          <w:tcPr>
            <w:tcW w:w="8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Germany</w:t>
            </w:r>
          </w:p>
        </w:tc>
      </w:tr>
      <w:tr>
        <w:trPr>
          <w:trHeight w:val="26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Holdings Mexico,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Italia S.r.l.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Italy</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International Singapore (Pte)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Leisure Group Management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Leisure Group UK Holdings (No. 2)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Leisure Group UK Holdings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Servicios de Mexico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UK Holdings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Interval Vacation Exchange S.A.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Los Cabos Villa Management,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MAIC Travel de Mexico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Maikhao Land Owning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Thailand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Ownership Resorts (Bahamas)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Ownership Resorts (St. Thomas),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(Bahamas)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of Aruba N.V.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Vacation Club International of Aruba N.V.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Vacation Club International of Japan,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Japan</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Marriott Vacation Club Timesharing GmbH</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MGRC Management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r>
      <w:tr>
        <w:trPr>
          <w:trHeight w:val="264"/>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 LS Costa Rica, Ltda.</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Costa Rica</w:t>
            </w:r>
          </w:p>
        </w:tc>
      </w:tr>
      <w:tr>
        <w:trPr>
          <w:trHeight w:val="217"/>
        </w:trPr>
        <w:tc>
          <w:tcPr>
            <w:tcW w:w="8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2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MVC LS Costa Rica, Ltd.</w:t>
            </w:r>
          </w:p>
        </w:tc>
        <w:tc>
          <w:tcPr>
            <w:tcW w:w="2820" w:type="dxa"/>
            <w:vAlign w:val="bottom"/>
          </w:tcPr>
          <w:p>
            <w:pPr>
              <w:spacing w:after="0"/>
              <w:rPr>
                <w:sz w:val="19"/>
                <w:szCs w:val="19"/>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(Thailand)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Thailand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AP Macau Marketing Pte,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Macau</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Asia Pacific (Hong Kong) Pte.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Asia Pacific Finance Pte.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Asia Pacific Pte.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Australia Pty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Egypt B.V.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Europe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United Kingdom</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Finance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Aruba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France SAS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France</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Holdings B.V.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Netherlands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Holidays France S.A.S.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France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20"/>
          </w:cols>
          <w:pgMar w:left="340" w:top="1333" w:right="33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2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15"/>
        </w:trPr>
        <w:tc>
          <w:tcPr>
            <w:tcW w:w="8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MVCI Holidays, S.L.</w:t>
            </w:r>
          </w:p>
        </w:tc>
        <w:tc>
          <w:tcPr>
            <w:tcW w:w="8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6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Ireland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Ireland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Management, S.L.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Playa Andaluza Holidays, S.L.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Spain</w:t>
            </w:r>
          </w:p>
        </w:tc>
      </w:tr>
      <w:tr>
        <w:trPr>
          <w:trHeight w:val="264"/>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Puerto Rico,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Puerto Rico</w:t>
            </w:r>
          </w:p>
        </w:tc>
      </w:tr>
      <w:tr>
        <w:trPr>
          <w:trHeight w:val="217"/>
        </w:trPr>
        <w:tc>
          <w:tcPr>
            <w:tcW w:w="8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w:t>
            </w:r>
          </w:p>
        </w:tc>
        <w:tc>
          <w:tcPr>
            <w:tcW w:w="282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Marriott Vacation Club International</w:t>
            </w:r>
          </w:p>
        </w:tc>
        <w:tc>
          <w:tcPr>
            <w:tcW w:w="2820" w:type="dxa"/>
            <w:vAlign w:val="bottom"/>
          </w:tcPr>
          <w:p>
            <w:pPr>
              <w:spacing w:after="0"/>
              <w:rPr>
                <w:sz w:val="19"/>
                <w:szCs w:val="19"/>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Services Designated Activity Company or MVCI Services DAC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Ireland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St. Kitts Company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Nevis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MVCI Travel Information Consultancy (Shanghai) Co.,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China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MVW de Mexico,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MVW International Holding Company S.à r.l.</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Luxembourg</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MVW International Switzerland Holding GmbH</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Switzerland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Overseas Promotions,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Promociones Marriott,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PT Indonesia Bali Resort Enclave</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Pt. Indonesia Bali Resort Expansion</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PT. Indonesia MOC Services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Indonesia</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R.M. Mexicana S.A.de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RC Abaco Holding Company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British</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RC Management Company Bahamas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RC St. Thomas, LLC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TA Resort Servicing Mexico, S.A.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Teman HK Holding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Hong Kong</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Abaco Club RC,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The Ritz-Carlton Club, St. Thomas,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Turistica Cancun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Bahamas Investments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Vistana Bahamas Sales and Marketing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Bahamas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Azteca Holdings,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Cancun Sales,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Cayman Holdings Limited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Mexico Holding,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UK Holdings Ltd.</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England</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VSE Villas Los Cabos,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20"/>
          </w:cols>
          <w:pgMar w:left="340" w:top="1333" w:right="339" w:bottom="1440" w:gutter="0" w:footer="0" w:header="0"/>
        </w:sectPr>
      </w:pPr>
    </w:p>
    <w:bookmarkStart w:id="206" w:name="page207"/>
    <w:bookmarkEnd w:id="206"/>
    <w:tbl>
      <w:tblPr>
        <w:tblLayout w:type="fixed"/>
        <w:tblInd w:w="20" w:type="dxa"/>
        <w:tblCellMar>
          <w:top w:w="0" w:type="dxa"/>
          <w:left w:w="0" w:type="dxa"/>
          <w:bottom w:w="0" w:type="dxa"/>
          <w:right w:w="0" w:type="dxa"/>
        </w:tblCellMar>
      </w:tblPr>
      <w:tr>
        <w:trPr>
          <w:trHeight w:val="225"/>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Organized Outside the United States</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6"/>
        </w:trPr>
        <w:tc>
          <w:tcPr>
            <w:tcW w:w="8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Westin St. John Hotel Company, Inc.</w:t>
            </w:r>
          </w:p>
        </w:tc>
        <w:tc>
          <w:tcPr>
            <w:tcW w:w="80" w:type="dxa"/>
            <w:vAlign w:val="bottom"/>
          </w:tcPr>
          <w:p>
            <w:pPr>
              <w:spacing w:after="0"/>
              <w:rPr>
                <w:sz w:val="17"/>
                <w:szCs w:val="17"/>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17"/>
        </w:trPr>
        <w:tc>
          <w:tcPr>
            <w:tcW w:w="8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Entity also does business under the names:</w:t>
            </w:r>
          </w:p>
        </w:tc>
        <w:tc>
          <w:tcPr>
            <w:tcW w:w="282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Lemongrass Restaurant and Bar</w:t>
            </w:r>
          </w:p>
        </w:tc>
        <w:tc>
          <w:tcPr>
            <w:tcW w:w="282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The Marketplace at Great Cruz Bay</w:t>
            </w:r>
          </w:p>
        </w:tc>
        <w:tc>
          <w:tcPr>
            <w:tcW w:w="2820" w:type="dxa"/>
            <w:vAlign w:val="bottom"/>
          </w:tcPr>
          <w:p>
            <w:pPr>
              <w:spacing w:after="0"/>
              <w:rPr>
                <w:sz w:val="18"/>
                <w:szCs w:val="18"/>
                <w:color w:val="auto"/>
              </w:rPr>
            </w:pPr>
          </w:p>
        </w:tc>
      </w:tr>
      <w:tr>
        <w:trPr>
          <w:trHeight w:val="217"/>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The Westin Health &amp; Spa</w:t>
            </w:r>
          </w:p>
        </w:tc>
        <w:tc>
          <w:tcPr>
            <w:tcW w:w="2820" w:type="dxa"/>
            <w:vAlign w:val="bottom"/>
          </w:tcPr>
          <w:p>
            <w:pPr>
              <w:spacing w:after="0"/>
              <w:rPr>
                <w:sz w:val="18"/>
                <w:szCs w:val="18"/>
                <w:color w:val="auto"/>
              </w:rPr>
            </w:pPr>
          </w:p>
        </w:tc>
      </w:tr>
      <w:tr>
        <w:trPr>
          <w:trHeight w:val="222"/>
        </w:trPr>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The Westin St. John Resort &amp; Villas</w:t>
            </w:r>
          </w:p>
        </w:tc>
        <w:tc>
          <w:tcPr>
            <w:tcW w:w="2820" w:type="dxa"/>
            <w:vAlign w:val="bottom"/>
          </w:tcPr>
          <w:p>
            <w:pPr>
              <w:spacing w:after="0"/>
              <w:rPr>
                <w:sz w:val="19"/>
                <w:szCs w:val="19"/>
                <w:color w:val="auto"/>
              </w:rPr>
            </w:pP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Westin Vacation Management Company</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WHV Cabo Associates 1,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WHV Cabo Associates 2,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WHV Cabo Management,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WHV Platinum Preview, S. de R.L. de C.V.</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Mexico</w:t>
            </w:r>
          </w:p>
        </w:tc>
      </w:tr>
      <w:tr>
        <w:trPr>
          <w:trHeight w:val="268"/>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WVC St. John,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Virgin Islands - US</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Marriott Vacations Worldwide Corporation owns less than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33"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List of the Issuer and its Guarantor Subsidiaries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the following subsidiaries of Marriott Vacations Worldwide Corporation guarantee the $350 million aggregate principal amount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4.750% Senior Unsecured Notes due 2028 issued in the fourth quarter of 2019 with a maturity date of January 15, 2028 (the "2028 Notes"):</w:t>
      </w:r>
    </w:p>
    <w:p>
      <w:pPr>
        <w:spacing w:after="0" w:line="106" w:lineRule="exact"/>
        <w:rPr>
          <w:sz w:val="20"/>
          <w:szCs w:val="20"/>
          <w:color w:val="auto"/>
        </w:rPr>
      </w:pPr>
    </w:p>
    <w:tbl>
      <w:tblPr>
        <w:tblLayout w:type="fixed"/>
        <w:tblInd w:w="1480" w:type="dxa"/>
        <w:tblCellMar>
          <w:top w:w="0" w:type="dxa"/>
          <w:left w:w="0" w:type="dxa"/>
          <w:bottom w:w="0" w:type="dxa"/>
          <w:right w:w="0" w:type="dxa"/>
        </w:tblCellMar>
      </w:tblPr>
      <w:tr>
        <w:trPr>
          <w:trHeight w:val="195"/>
        </w:trPr>
        <w:tc>
          <w:tcPr>
            <w:tcW w:w="3520" w:type="dxa"/>
            <w:vAlign w:val="bottom"/>
          </w:tcPr>
          <w:p>
            <w:pPr>
              <w:spacing w:after="0"/>
              <w:rPr>
                <w:sz w:val="17"/>
                <w:szCs w:val="17"/>
                <w:color w:val="auto"/>
              </w:rPr>
            </w:pP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2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3320" w:type="dxa"/>
            <w:vAlign w:val="bottom"/>
          </w:tcPr>
          <w:p>
            <w:pPr>
              <w:jc w:val="center"/>
              <w:ind w:left="1375"/>
              <w:spacing w:after="0" w:line="172" w:lineRule="exact"/>
              <w:rPr>
                <w:sz w:val="20"/>
                <w:szCs w:val="20"/>
                <w:color w:val="auto"/>
              </w:rPr>
            </w:pPr>
            <w:r>
              <w:rPr>
                <w:rFonts w:ascii="Times New Roman" w:cs="Times New Roman" w:eastAsia="Times New Roman" w:hAnsi="Times New Roman"/>
                <w:sz w:val="17"/>
                <w:szCs w:val="17"/>
                <w:b w:val="1"/>
                <w:bCs w:val="1"/>
                <w:color w:val="auto"/>
                <w:w w:val="99"/>
              </w:rPr>
              <w:t>Incorporation or</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0" w:type="dxa"/>
            <w:vAlign w:val="bottom"/>
          </w:tcPr>
          <w:p>
            <w:pPr>
              <w:spacing w:after="0"/>
              <w:rPr>
                <w:sz w:val="1"/>
                <w:szCs w:val="1"/>
                <w:color w:val="auto"/>
              </w:rPr>
            </w:pPr>
          </w:p>
        </w:tc>
      </w:tr>
      <w:tr>
        <w:trPr>
          <w:trHeight w:val="225"/>
        </w:trPr>
        <w:tc>
          <w:tcPr>
            <w:tcW w:w="3520" w:type="dxa"/>
            <w:vAlign w:val="bottom"/>
            <w:tcBorders>
              <w:bottom w:val="single" w:sz="8" w:color="auto"/>
            </w:tcBorders>
            <w:vMerge w:val="continue"/>
          </w:tcPr>
          <w:p>
            <w:pPr>
              <w:spacing w:after="0"/>
              <w:rPr>
                <w:sz w:val="19"/>
                <w:szCs w:val="19"/>
                <w:color w:val="auto"/>
              </w:rPr>
            </w:pPr>
          </w:p>
        </w:tc>
        <w:tc>
          <w:tcPr>
            <w:tcW w:w="3320" w:type="dxa"/>
            <w:vAlign w:val="bottom"/>
            <w:tcBorders>
              <w:bottom w:val="single" w:sz="8" w:color="auto"/>
            </w:tcBorders>
          </w:tcPr>
          <w:p>
            <w:pPr>
              <w:jc w:val="center"/>
              <w:ind w:left="1355"/>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Ownership Resorts,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Issuer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Vacations Worldwide Corporation</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Apollo Marketing,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Hospitality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Hotels and Resorts Operator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Hotels and Resorts,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Hotels &amp; Resorts,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 Luana Operator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Aqua-Aston Holdings,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Aqua-Aston Hospitality,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Aston Hotels &amp; Resorts Florida,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Beach House Development Partnership</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CDP GP,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CDP Investors, L.P.</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Cerromar Development Partners GP,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Cerromar Development Partners, L.P., S.E.</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Champagne Resorts,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Coconut Plantation Partner,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Data Marketing Associates East,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Diamond Head Management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Flex Collection,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FOH Holdings,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FOH Hospitality,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Aspen Holdings,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Aspen Lodging,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Hawaii Vacation Title Services,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Hospitality Team Members,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Management Services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HPC Developer,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HT-Highlands,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HTS-BC,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HTS-Beach House Partner, L.L.C.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HTS-Beach House,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HTS-Coconut Point,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HTS-Ground Lake Tahoe,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HTS-Key West,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HTS-KW,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HTS-Lake Tahoe, Inc.</w:t>
            </w:r>
          </w:p>
        </w:tc>
        <w:tc>
          <w:tcPr>
            <w:tcW w:w="3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818"/>
        </w:trPr>
        <w:tc>
          <w:tcPr>
            <w:tcW w:w="3520" w:type="dxa"/>
            <w:vAlign w:val="bottom"/>
          </w:tcPr>
          <w:p>
            <w:pPr>
              <w:spacing w:after="0"/>
              <w:rPr>
                <w:sz w:val="24"/>
                <w:szCs w:val="24"/>
                <w:color w:val="auto"/>
              </w:rPr>
            </w:pPr>
          </w:p>
        </w:tc>
        <w:tc>
          <w:tcPr>
            <w:tcW w:w="3320" w:type="dxa"/>
            <w:vAlign w:val="bottom"/>
          </w:tcPr>
          <w:p>
            <w:pPr>
              <w:jc w:val="right"/>
              <w:ind w:right="2575"/>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8" w:right="339" w:bottom="1440" w:gutter="0" w:footer="0" w:header="0"/>
        </w:sectPr>
      </w:pPr>
    </w:p>
    <w:bookmarkStart w:id="208" w:name="page209"/>
    <w:bookmarkEnd w:id="208"/>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280" w:type="dxa"/>
            <w:vAlign w:val="bottom"/>
          </w:tcPr>
          <w:p>
            <w:pPr>
              <w:spacing w:after="0"/>
              <w:rPr>
                <w:sz w:val="17"/>
                <w:szCs w:val="17"/>
                <w:color w:val="auto"/>
              </w:rPr>
            </w:pP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8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2560" w:type="dxa"/>
            <w:vAlign w:val="bottom"/>
          </w:tcPr>
          <w:p>
            <w:pPr>
              <w:jc w:val="center"/>
              <w:ind w:left="615"/>
              <w:spacing w:after="0" w:line="172" w:lineRule="exact"/>
              <w:rPr>
                <w:sz w:val="20"/>
                <w:szCs w:val="20"/>
                <w:color w:val="auto"/>
              </w:rPr>
            </w:pPr>
            <w:r>
              <w:rPr>
                <w:rFonts w:ascii="Times New Roman" w:cs="Times New Roman" w:eastAsia="Times New Roman" w:hAnsi="Times New Roman"/>
                <w:sz w:val="17"/>
                <w:szCs w:val="17"/>
                <w:b w:val="1"/>
                <w:bCs w:val="1"/>
                <w:color w:val="auto"/>
                <w:w w:val="99"/>
              </w:rPr>
              <w:t>Incorporation or</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auto"/>
            </w:tcBorders>
            <w:vMerge w:val="continue"/>
          </w:tcPr>
          <w:p>
            <w:pPr>
              <w:spacing w:after="0"/>
              <w:rPr>
                <w:sz w:val="19"/>
                <w:szCs w:val="19"/>
                <w:color w:val="auto"/>
              </w:rPr>
            </w:pPr>
          </w:p>
        </w:tc>
        <w:tc>
          <w:tcPr>
            <w:tcW w:w="256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HTS-Loan Servicing,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HTS-Main Street Station,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HTS-Maui,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HTS-San Antonio, L.P.</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HTS-Sedona,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HTS-Sunset Harbor Partner,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HTS-Windward Pointe Partner,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Group,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Management Corporation</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 Global Marketing Corporation</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HVO Holdings,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IIC Holdings, Incorporated</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Management,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ILG Shared Ownership,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Holdings,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International,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Resort &amp; Financial Services,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Interval Software Services,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Kai Management Services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Kauai Blue,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Kauai Lagoons Holdings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Key Wester Limited</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Lagunamar Cancun Mexico,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MAIC Travel,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MAIC Travel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 Acquisition Holdings,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Kauai Ownership Resorts,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Ownership Resorts Procurement,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Resorts Hospitality Corporation</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w w:val="99"/>
              </w:rPr>
              <w:t>South Carolina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Resorts Sales Company,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Maui Condo and Home,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Member Development,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MH Kapalua Venture,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Golf (Kauai),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Member (Kauai),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Residences,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MORI Waikoloa Holding Company,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MTSC,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of Hawaii,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Services Corporation</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SSC, Inc.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US Holdings LLC</w:t>
            </w:r>
          </w:p>
        </w:tc>
        <w:tc>
          <w:tcPr>
            <w:tcW w:w="2560" w:type="dxa"/>
            <w:vAlign w:val="bottom"/>
          </w:tcPr>
          <w:p>
            <w:pPr>
              <w:jc w:val="center"/>
              <w:ind w:left="61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966"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966" w:right="1440" w:bottom="1440" w:gutter="0" w:footer="0" w:header="0"/>
          <w:type w:val="continuous"/>
        </w:sectPr>
      </w:pPr>
    </w:p>
    <w:bookmarkStart w:id="209" w:name="page210"/>
    <w:bookmarkEnd w:id="209"/>
    <w:tbl>
      <w:tblPr>
        <w:tblLayout w:type="fixed"/>
        <w:tblInd w:w="360" w:type="dxa"/>
        <w:tblCellMar>
          <w:top w:w="0" w:type="dxa"/>
          <w:left w:w="0" w:type="dxa"/>
          <w:bottom w:w="0" w:type="dxa"/>
          <w:right w:w="0" w:type="dxa"/>
        </w:tblCellMar>
      </w:tblPr>
      <w:tr>
        <w:trPr>
          <w:trHeight w:val="195"/>
        </w:trPr>
        <w:tc>
          <w:tcPr>
            <w:tcW w:w="4020" w:type="dxa"/>
            <w:vAlign w:val="bottom"/>
          </w:tcPr>
          <w:p>
            <w:pPr>
              <w:spacing w:after="0"/>
              <w:rPr>
                <w:sz w:val="17"/>
                <w:szCs w:val="17"/>
                <w:color w:val="auto"/>
              </w:rPr>
            </w:pP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2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2820" w:type="dxa"/>
            <w:vAlign w:val="bottom"/>
          </w:tcPr>
          <w:p>
            <w:pPr>
              <w:jc w:val="center"/>
              <w:ind w:left="875"/>
              <w:spacing w:after="0" w:line="172" w:lineRule="exact"/>
              <w:rPr>
                <w:sz w:val="20"/>
                <w:szCs w:val="20"/>
                <w:color w:val="auto"/>
              </w:rPr>
            </w:pPr>
            <w:r>
              <w:rPr>
                <w:rFonts w:ascii="Times New Roman" w:cs="Times New Roman" w:eastAsia="Times New Roman" w:hAnsi="Times New Roman"/>
                <w:sz w:val="17"/>
                <w:szCs w:val="17"/>
                <w:b w:val="1"/>
                <w:bCs w:val="1"/>
                <w:color w:val="auto"/>
                <w:w w:val="99"/>
              </w:rPr>
              <w:t>Incorporation or</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auto"/>
            </w:tcBorders>
            <w:vMerge w:val="continue"/>
          </w:tcPr>
          <w:p>
            <w:pPr>
              <w:spacing w:after="0"/>
              <w:rPr>
                <w:sz w:val="19"/>
                <w:szCs w:val="19"/>
                <w:color w:val="auto"/>
              </w:rPr>
            </w:pPr>
          </w:p>
        </w:tc>
        <w:tc>
          <w:tcPr>
            <w:tcW w:w="2820" w:type="dxa"/>
            <w:vAlign w:val="bottom"/>
            <w:tcBorders>
              <w:bottom w:val="single" w:sz="8" w:color="auto"/>
            </w:tcBorders>
          </w:tcPr>
          <w:p>
            <w:pPr>
              <w:jc w:val="center"/>
              <w:ind w:left="895"/>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US Services,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 Vacations,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Pelican Landing Timeshare Ventures Limited Partnership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 Chronicle Building, L.P.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RBF,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RCC (GP) Holdings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RCC (LP) Holdings L.P.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RCDC 942,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RCDC Chronicle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 Holdings, Ltd.</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Management Finance Services,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Resort Sales Services,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RQI Holdings,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S.O.I. Acquisition Corp.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Scottsdale Residence Club,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Sheraton Flex Vacations,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Soleil Communications,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 Regis New York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 Regis Residence Club, New York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Cobalt Travel Company,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Lion &amp; Crown Travel Co.,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Ritz-Carlton Development Company,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Ritz-Carlton Management Company, L.L.C.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Ritz-Carlton Sales Company,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Ritz-Carlton Title Company,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Ownership Lending GP,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Ownership Lending, L.P.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Vacation Title Services,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VCH Communications,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VCH Consulting,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VCH Systems,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Acceptance Corp.</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Aventuras,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California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Development,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Hawaii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MB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w w:val="99"/>
              </w:rPr>
              <w:t>South Carolina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Portfolio Services,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PSL,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Residential Management,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Signature Experiences,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Signature Network, Inc.</w:t>
            </w:r>
          </w:p>
        </w:tc>
        <w:tc>
          <w:tcPr>
            <w:tcW w:w="2820" w:type="dxa"/>
            <w:vAlign w:val="bottom"/>
          </w:tcPr>
          <w:p>
            <w:pPr>
              <w:jc w:val="center"/>
              <w:ind w:left="8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818"/>
        </w:trPr>
        <w:tc>
          <w:tcPr>
            <w:tcW w:w="4020" w:type="dxa"/>
            <w:vAlign w:val="bottom"/>
          </w:tcPr>
          <w:p>
            <w:pPr>
              <w:spacing w:after="0"/>
              <w:rPr>
                <w:sz w:val="24"/>
                <w:szCs w:val="24"/>
                <w:color w:val="auto"/>
              </w:rPr>
            </w:pPr>
          </w:p>
        </w:tc>
        <w:tc>
          <w:tcPr>
            <w:tcW w:w="2820" w:type="dxa"/>
            <w:vAlign w:val="bottom"/>
          </w:tcPr>
          <w:p>
            <w:pPr>
              <w:jc w:val="right"/>
              <w:ind w:right="2575"/>
              <w:spacing w:after="0"/>
              <w:rPr>
                <w:sz w:val="20"/>
                <w:szCs w:val="20"/>
                <w:color w:val="auto"/>
              </w:rPr>
            </w:pPr>
            <w:r>
              <w:rPr>
                <w:rFonts w:ascii="Times New Roman" w:cs="Times New Roman" w:eastAsia="Times New Roman" w:hAnsi="Times New Roman"/>
                <w:sz w:val="17"/>
                <w:szCs w:val="17"/>
                <w:color w:val="auto"/>
              </w:rPr>
              <w:t>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66" w:right="1440" w:bottom="1440" w:gutter="0" w:footer="0" w:header="0"/>
        </w:sectPr>
      </w:pPr>
    </w:p>
    <w:bookmarkStart w:id="210" w:name="page211"/>
    <w:bookmarkEnd w:id="210"/>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3420" w:type="dxa"/>
            <w:vAlign w:val="bottom"/>
          </w:tcPr>
          <w:p>
            <w:pPr>
              <w:spacing w:after="0"/>
              <w:rPr>
                <w:sz w:val="17"/>
                <w:szCs w:val="17"/>
                <w:color w:val="auto"/>
              </w:rPr>
            </w:pP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rPr>
              <w:t>Jurisdiction of</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42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Entity</w:t>
            </w:r>
          </w:p>
        </w:tc>
        <w:tc>
          <w:tcPr>
            <w:tcW w:w="3420" w:type="dxa"/>
            <w:vAlign w:val="bottom"/>
          </w:tcPr>
          <w:p>
            <w:pPr>
              <w:jc w:val="center"/>
              <w:ind w:left="1475"/>
              <w:spacing w:after="0" w:line="172" w:lineRule="exact"/>
              <w:rPr>
                <w:sz w:val="20"/>
                <w:szCs w:val="20"/>
                <w:color w:val="auto"/>
              </w:rPr>
            </w:pPr>
            <w:r>
              <w:rPr>
                <w:rFonts w:ascii="Times New Roman" w:cs="Times New Roman" w:eastAsia="Times New Roman" w:hAnsi="Times New Roman"/>
                <w:sz w:val="17"/>
                <w:szCs w:val="17"/>
                <w:b w:val="1"/>
                <w:bCs w:val="1"/>
                <w:color w:val="auto"/>
                <w:w w:val="99"/>
              </w:rPr>
              <w:t>Incorporation or</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auto"/>
            </w:tcBorders>
            <w:vMerge w:val="continue"/>
          </w:tcPr>
          <w:p>
            <w:pPr>
              <w:spacing w:after="0"/>
              <w:rPr>
                <w:sz w:val="19"/>
                <w:szCs w:val="19"/>
                <w:color w:val="auto"/>
              </w:rPr>
            </w:pPr>
          </w:p>
        </w:tc>
        <w:tc>
          <w:tcPr>
            <w:tcW w:w="3420" w:type="dxa"/>
            <w:vAlign w:val="bottom"/>
            <w:tcBorders>
              <w:bottom w:val="single" w:sz="8" w:color="auto"/>
            </w:tcBorders>
          </w:tcPr>
          <w:p>
            <w:pPr>
              <w:jc w:val="center"/>
              <w:ind w:left="1455"/>
              <w:spacing w:after="0"/>
              <w:rPr>
                <w:sz w:val="20"/>
                <w:szCs w:val="20"/>
                <w:color w:val="auto"/>
              </w:rPr>
            </w:pPr>
            <w:r>
              <w:rPr>
                <w:rFonts w:ascii="Times New Roman" w:cs="Times New Roman" w:eastAsia="Times New Roman" w:hAnsi="Times New Roman"/>
                <w:sz w:val="17"/>
                <w:szCs w:val="17"/>
                <w:b w:val="1"/>
                <w:bCs w:val="1"/>
                <w:color w:val="auto"/>
                <w:w w:val="99"/>
              </w:rPr>
              <w:t>Organization</w:t>
            </w: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Ownership,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Realty,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Vistana Vacation Services Hawaii,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Hawaii</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 GP,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 Investors, L.P.</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Volt Merger Sub, LLC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Development,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East,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Mexico Portfolio Services,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Myrtle Beach, LLC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w w:val="99"/>
              </w:rPr>
              <w:t>South Carolina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Pacific,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Trademark,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Vistana Villages,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VSE West,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Hospitality Management,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Mountain Villas,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 Group,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 Properties,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 Vacation Rentals,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WHV Resorts Northstar, LLC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California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Westin Sheraton Vacation Services,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Windward Pointe II, L.L.C.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Worldwide Vacation &amp; Travel,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Florida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WVC Rancho Mirage, Inc.</w:t>
            </w:r>
          </w:p>
        </w:tc>
        <w:tc>
          <w:tcPr>
            <w:tcW w:w="3420" w:type="dxa"/>
            <w:vAlign w:val="bottom"/>
          </w:tcPr>
          <w:p>
            <w:pPr>
              <w:jc w:val="center"/>
              <w:ind w:left="1475"/>
              <w:spacing w:after="0"/>
              <w:rPr>
                <w:sz w:val="20"/>
                <w:szCs w:val="20"/>
                <w:color w:val="auto"/>
              </w:rPr>
            </w:pPr>
            <w:r>
              <w:rPr>
                <w:rFonts w:ascii="Times New Roman" w:cs="Times New Roman" w:eastAsia="Times New Roman" w:hAnsi="Times New Roman"/>
                <w:sz w:val="17"/>
                <w:szCs w:val="17"/>
                <w:color w:val="auto"/>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Guarantor</w:t>
            </w:r>
          </w:p>
        </w:tc>
        <w:tc>
          <w:tcPr>
            <w:tcW w:w="0" w:type="dxa"/>
            <w:vAlign w:val="bottom"/>
          </w:tcPr>
          <w:p>
            <w:pPr>
              <w:spacing w:after="0"/>
              <w:rPr>
                <w:sz w:val="1"/>
                <w:szCs w:val="1"/>
                <w:color w:val="auto"/>
              </w:rPr>
            </w:pPr>
          </w:p>
        </w:tc>
      </w:tr>
      <w:tr>
        <w:trPr>
          <w:trHeight w:val="818"/>
        </w:trPr>
        <w:tc>
          <w:tcPr>
            <w:tcW w:w="3420" w:type="dxa"/>
            <w:vAlign w:val="bottom"/>
          </w:tcPr>
          <w:p>
            <w:pPr>
              <w:spacing w:after="0"/>
              <w:rPr>
                <w:sz w:val="24"/>
                <w:szCs w:val="24"/>
                <w:color w:val="auto"/>
              </w:rPr>
            </w:pPr>
          </w:p>
        </w:tc>
        <w:tc>
          <w:tcPr>
            <w:tcW w:w="3420" w:type="dxa"/>
            <w:vAlign w:val="bottom"/>
          </w:tcPr>
          <w:p>
            <w:pPr>
              <w:jc w:val="right"/>
              <w:ind w:right="2575"/>
              <w:spacing w:after="0"/>
              <w:rPr>
                <w:sz w:val="20"/>
                <w:szCs w:val="20"/>
                <w:color w:val="auto"/>
              </w:rPr>
            </w:pPr>
            <w:r>
              <w:rPr>
                <w:rFonts w:ascii="Times New Roman" w:cs="Times New Roman" w:eastAsia="Times New Roman" w:hAnsi="Times New Roman"/>
                <w:sz w:val="17"/>
                <w:szCs w:val="17"/>
                <w:color w:val="auto"/>
              </w:rPr>
              <w:t>4</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66" w:right="1440"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19" w:lineRule="exact"/>
        <w:rPr>
          <w:sz w:val="20"/>
          <w:szCs w:val="20"/>
          <w:color w:val="auto"/>
        </w:rPr>
      </w:pPr>
    </w:p>
    <w:p>
      <w:pPr>
        <w:ind w:right="3000" w:firstLine="3012"/>
        <w:spacing w:after="0" w:line="475" w:lineRule="auto"/>
        <w:rPr>
          <w:sz w:val="20"/>
          <w:szCs w:val="20"/>
          <w:color w:val="auto"/>
        </w:rPr>
      </w:pPr>
      <w:r>
        <w:rPr>
          <w:rFonts w:ascii="Times New Roman" w:cs="Times New Roman" w:eastAsia="Times New Roman" w:hAnsi="Times New Roman"/>
          <w:sz w:val="20"/>
          <w:szCs w:val="20"/>
          <w:b w:val="1"/>
          <w:bCs w:val="1"/>
          <w:color w:val="auto"/>
        </w:rPr>
        <w:t xml:space="preserve">Consent of Independent Registered Public Accounting Firm </w:t>
      </w:r>
      <w:r>
        <w:rPr>
          <w:rFonts w:ascii="Times New Roman" w:cs="Times New Roman" w:eastAsia="Times New Roman" w:hAnsi="Times New Roman"/>
          <w:sz w:val="20"/>
          <w:szCs w:val="20"/>
          <w:color w:val="auto"/>
        </w:rPr>
        <w:t>We consent to the incorporation by reference in the following Registration Statements:</w:t>
      </w:r>
    </w:p>
    <w:p>
      <w:pPr>
        <w:spacing w:after="0" w:line="1" w:lineRule="exact"/>
        <w:rPr>
          <w:sz w:val="20"/>
          <w:szCs w:val="20"/>
          <w:color w:val="auto"/>
        </w:rPr>
      </w:pPr>
    </w:p>
    <w:p>
      <w:pPr>
        <w:ind w:left="620" w:right="660" w:hanging="311"/>
        <w:spacing w:after="0" w:line="291" w:lineRule="auto"/>
        <w:tabs>
          <w:tab w:leader="none" w:pos="61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333-191765) pertaining to the Marriott Vacations Worldwide Corporation Deferred Compensation Plan,</w:t>
      </w:r>
    </w:p>
    <w:p>
      <w:pPr>
        <w:spacing w:after="0" w:line="132" w:lineRule="exact"/>
        <w:rPr>
          <w:rFonts w:ascii="Times New Roman" w:cs="Times New Roman" w:eastAsia="Times New Roman" w:hAnsi="Times New Roman"/>
          <w:sz w:val="20"/>
          <w:szCs w:val="20"/>
          <w:color w:val="auto"/>
        </w:rPr>
      </w:pPr>
    </w:p>
    <w:p>
      <w:pPr>
        <w:ind w:left="620" w:right="120" w:hanging="311"/>
        <w:spacing w:after="0" w:line="291" w:lineRule="auto"/>
        <w:tabs>
          <w:tab w:leader="none" w:pos="61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333-177798) pertaining to the Marriott Vacations Worldwide Corporation Stock and Cash Incentive Plan,</w:t>
      </w:r>
    </w:p>
    <w:p>
      <w:pPr>
        <w:spacing w:after="0" w:line="132" w:lineRule="exact"/>
        <w:rPr>
          <w:rFonts w:ascii="Times New Roman" w:cs="Times New Roman" w:eastAsia="Times New Roman" w:hAnsi="Times New Roman"/>
          <w:sz w:val="20"/>
          <w:szCs w:val="20"/>
          <w:color w:val="auto"/>
        </w:rPr>
      </w:pPr>
    </w:p>
    <w:p>
      <w:pPr>
        <w:ind w:left="620" w:right="40" w:hanging="311"/>
        <w:spacing w:after="0" w:line="304" w:lineRule="auto"/>
        <w:tabs>
          <w:tab w:leader="none" w:pos="61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333-205808) pertaining to the Marriott Vacations Worldwide Corporation Employee Stock Purchase Plan,</w:t>
      </w:r>
    </w:p>
    <w:p>
      <w:pPr>
        <w:spacing w:after="0" w:line="120" w:lineRule="exact"/>
        <w:rPr>
          <w:rFonts w:ascii="Times New Roman" w:cs="Times New Roman" w:eastAsia="Times New Roman" w:hAnsi="Times New Roman"/>
          <w:sz w:val="20"/>
          <w:szCs w:val="20"/>
          <w:color w:val="auto"/>
        </w:rPr>
      </w:pPr>
    </w:p>
    <w:p>
      <w:pPr>
        <w:ind w:left="620" w:right="680" w:hanging="311"/>
        <w:spacing w:after="0" w:line="291" w:lineRule="auto"/>
        <w:tabs>
          <w:tab w:leader="none" w:pos="61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333-211037) pertaining to the Marriott Vacations Worldwide Corporation Deferred Compensation Plan,</w:t>
      </w:r>
    </w:p>
    <w:p>
      <w:pPr>
        <w:spacing w:after="0" w:line="132" w:lineRule="exact"/>
        <w:rPr>
          <w:rFonts w:ascii="Times New Roman" w:cs="Times New Roman" w:eastAsia="Times New Roman" w:hAnsi="Times New Roman"/>
          <w:sz w:val="20"/>
          <w:szCs w:val="20"/>
          <w:color w:val="auto"/>
        </w:rPr>
      </w:pPr>
    </w:p>
    <w:p>
      <w:pPr>
        <w:ind w:left="620" w:right="280" w:hanging="311"/>
        <w:spacing w:after="0" w:line="291" w:lineRule="auto"/>
        <w:tabs>
          <w:tab w:leader="none" w:pos="61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333-227187) pertaining to the Amended and Restated Interval Leisure Group, Inc. 2013 Stock and Incentive Compensation Plan,</w:t>
      </w:r>
    </w:p>
    <w:p>
      <w:pPr>
        <w:spacing w:after="0" w:line="132" w:lineRule="exact"/>
        <w:rPr>
          <w:rFonts w:ascii="Times New Roman" w:cs="Times New Roman" w:eastAsia="Times New Roman" w:hAnsi="Times New Roman"/>
          <w:sz w:val="20"/>
          <w:szCs w:val="20"/>
          <w:color w:val="auto"/>
        </w:rPr>
      </w:pPr>
    </w:p>
    <w:p>
      <w:pPr>
        <w:ind w:left="620" w:right="380" w:hanging="311"/>
        <w:spacing w:after="0" w:line="304" w:lineRule="auto"/>
        <w:tabs>
          <w:tab w:leader="none" w:pos="61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333-239368) pertaining to the Marriott Vacations Worldwide Corporation 2020 Equity Incentive Plan,</w:t>
      </w:r>
    </w:p>
    <w:p>
      <w:pPr>
        <w:spacing w:after="0" w:line="120" w:lineRule="exact"/>
        <w:rPr>
          <w:rFonts w:ascii="Times New Roman" w:cs="Times New Roman" w:eastAsia="Times New Roman" w:hAnsi="Times New Roman"/>
          <w:sz w:val="20"/>
          <w:szCs w:val="20"/>
          <w:color w:val="auto"/>
        </w:rPr>
      </w:pPr>
    </w:p>
    <w:p>
      <w:pPr>
        <w:ind w:left="600" w:hanging="291"/>
        <w:spacing w:after="0"/>
        <w:tabs>
          <w:tab w:leader="none" w:pos="6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333-253844) of Marriott Vacations Worldwide Corporation, and</w:t>
      </w:r>
    </w:p>
    <w:p>
      <w:pPr>
        <w:spacing w:after="0" w:line="217" w:lineRule="exact"/>
        <w:rPr>
          <w:rFonts w:ascii="Times New Roman" w:cs="Times New Roman" w:eastAsia="Times New Roman" w:hAnsi="Times New Roman"/>
          <w:sz w:val="20"/>
          <w:szCs w:val="20"/>
          <w:color w:val="auto"/>
        </w:rPr>
      </w:pPr>
    </w:p>
    <w:p>
      <w:pPr>
        <w:ind w:left="620" w:right="660" w:hanging="311"/>
        <w:spacing w:after="0" w:line="291" w:lineRule="auto"/>
        <w:tabs>
          <w:tab w:leader="none" w:pos="61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333-266734) pertaining to the Marriott Vacations Worldwide Corporation Deferred Compensation Plan;</w:t>
      </w:r>
    </w:p>
    <w:p>
      <w:pPr>
        <w:spacing w:after="0" w:line="132"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color w:val="auto"/>
        </w:rPr>
        <w:t>of our reports dated February 27, 2024,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year ended December 31, 2023.</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Orlando, Florida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2024</w:t>
      </w:r>
    </w:p>
    <w:p>
      <w:pPr>
        <w:sectPr>
          <w:pgSz w:w="11900" w:h="16838" w:orient="portrait"/>
          <w:cols w:equalWidth="0" w:num="1">
            <w:col w:w="11240"/>
          </w:cols>
          <w:pgMar w:left="320" w:top="736"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E. Geller, Jr., certify that:</w:t>
      </w:r>
    </w:p>
    <w:p>
      <w:pPr>
        <w:spacing w:after="0" w:line="111" w:lineRule="exact"/>
        <w:rPr>
          <w:sz w:val="20"/>
          <w:szCs w:val="20"/>
          <w:color w:val="auto"/>
        </w:rPr>
      </w:pPr>
    </w:p>
    <w:p>
      <w:pPr>
        <w:ind w:left="620" w:hanging="311"/>
        <w:spacing w:after="0"/>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Marriott Vacations Worldwide Corporation;</w:t>
      </w:r>
    </w:p>
    <w:p>
      <w:pPr>
        <w:spacing w:after="0" w:line="111" w:lineRule="exact"/>
        <w:rPr>
          <w:rFonts w:ascii="Times New Roman" w:cs="Times New Roman" w:eastAsia="Times New Roman" w:hAnsi="Times New Roman"/>
          <w:sz w:val="17"/>
          <w:szCs w:val="17"/>
          <w:color w:val="auto"/>
        </w:rPr>
      </w:pPr>
    </w:p>
    <w:p>
      <w:pPr>
        <w:ind w:left="620" w:right="240" w:hanging="311"/>
        <w:spacing w:after="0" w:line="283" w:lineRule="auto"/>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7"/>
          <w:szCs w:val="17"/>
          <w:color w:val="auto"/>
        </w:rPr>
      </w:pPr>
    </w:p>
    <w:p>
      <w:pPr>
        <w:ind w:left="620" w:right="40" w:hanging="311"/>
        <w:spacing w:after="0" w:line="283" w:lineRule="auto"/>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7"/>
          <w:szCs w:val="17"/>
          <w:color w:val="auto"/>
        </w:rPr>
      </w:pPr>
    </w:p>
    <w:p>
      <w:pPr>
        <w:ind w:left="620" w:hanging="311"/>
        <w:spacing w:after="0" w:line="267" w:lineRule="auto"/>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7"/>
          <w:szCs w:val="17"/>
          <w:color w:val="auto"/>
        </w:rPr>
      </w:pPr>
    </w:p>
    <w:p>
      <w:pPr>
        <w:ind w:left="1300" w:right="280" w:hanging="378"/>
        <w:spacing w:after="0" w:line="267" w:lineRule="auto"/>
        <w:tabs>
          <w:tab w:leader="none" w:pos="1297"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left="1220" w:right="60" w:hanging="298"/>
        <w:spacing w:after="0" w:line="267" w:lineRule="auto"/>
        <w:tabs>
          <w:tab w:leader="none" w:pos="1214"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jc w:val="both"/>
        <w:ind w:left="1220" w:right="800" w:hanging="298"/>
        <w:spacing w:after="0" w:line="283" w:lineRule="auto"/>
        <w:tabs>
          <w:tab w:leader="none" w:pos="1217"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7"/>
          <w:szCs w:val="17"/>
          <w:color w:val="auto"/>
        </w:rPr>
      </w:pPr>
    </w:p>
    <w:p>
      <w:pPr>
        <w:ind w:left="1220" w:right="80" w:hanging="298"/>
        <w:spacing w:after="0" w:line="267" w:lineRule="auto"/>
        <w:tabs>
          <w:tab w:leader="none" w:pos="1214"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7"/>
          <w:szCs w:val="17"/>
          <w:color w:val="auto"/>
        </w:rPr>
      </w:pPr>
    </w:p>
    <w:p>
      <w:pPr>
        <w:ind w:left="620" w:right="440" w:hanging="311"/>
        <w:spacing w:after="0" w:line="283" w:lineRule="auto"/>
        <w:tabs>
          <w:tab w:leader="none" w:pos="6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7"/>
          <w:szCs w:val="17"/>
          <w:color w:val="auto"/>
        </w:rPr>
      </w:pPr>
    </w:p>
    <w:p>
      <w:pPr>
        <w:ind w:left="1220" w:right="260" w:hanging="298"/>
        <w:spacing w:after="0" w:line="283" w:lineRule="auto"/>
        <w:tabs>
          <w:tab w:leader="none" w:pos="1217"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left="1220" w:right="220" w:hanging="298"/>
        <w:spacing w:after="0" w:line="283" w:lineRule="auto"/>
        <w:tabs>
          <w:tab w:leader="none" w:pos="1214"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2024</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733"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certify that:</w:t>
      </w:r>
    </w:p>
    <w:p>
      <w:pPr>
        <w:spacing w:after="0" w:line="239" w:lineRule="exact"/>
        <w:rPr>
          <w:sz w:val="20"/>
          <w:szCs w:val="20"/>
          <w:color w:val="auto"/>
        </w:rPr>
      </w:pPr>
    </w:p>
    <w:p>
      <w:pPr>
        <w:ind w:left="620" w:hanging="311"/>
        <w:spacing w:after="0"/>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Marriott Vacations Worldwide Corporation;</w:t>
      </w:r>
    </w:p>
    <w:p>
      <w:pPr>
        <w:spacing w:after="0" w:line="111" w:lineRule="exact"/>
        <w:rPr>
          <w:rFonts w:ascii="Times New Roman" w:cs="Times New Roman" w:eastAsia="Times New Roman" w:hAnsi="Times New Roman"/>
          <w:sz w:val="17"/>
          <w:szCs w:val="17"/>
          <w:color w:val="auto"/>
        </w:rPr>
      </w:pPr>
    </w:p>
    <w:p>
      <w:pPr>
        <w:ind w:left="620" w:right="240" w:hanging="311"/>
        <w:spacing w:after="0" w:line="283"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7"/>
          <w:szCs w:val="17"/>
          <w:color w:val="auto"/>
        </w:rPr>
      </w:pPr>
    </w:p>
    <w:p>
      <w:pPr>
        <w:ind w:left="620" w:right="40" w:hanging="311"/>
        <w:spacing w:after="0" w:line="283"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7"/>
          <w:szCs w:val="17"/>
          <w:color w:val="auto"/>
        </w:rPr>
      </w:pPr>
    </w:p>
    <w:p>
      <w:pPr>
        <w:ind w:left="620" w:hanging="311"/>
        <w:spacing w:after="0" w:line="267"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7"/>
          <w:szCs w:val="17"/>
          <w:color w:val="auto"/>
        </w:rPr>
      </w:pPr>
    </w:p>
    <w:p>
      <w:pPr>
        <w:ind w:left="1220" w:right="360" w:hanging="298"/>
        <w:spacing w:after="0" w:line="267" w:lineRule="auto"/>
        <w:tabs>
          <w:tab w:leader="none" w:pos="1217"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left="1220" w:right="60" w:hanging="298"/>
        <w:spacing w:after="0" w:line="267" w:lineRule="auto"/>
        <w:tabs>
          <w:tab w:leader="none" w:pos="1214"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7"/>
          <w:szCs w:val="17"/>
          <w:color w:val="auto"/>
        </w:rPr>
      </w:pPr>
    </w:p>
    <w:p>
      <w:pPr>
        <w:jc w:val="both"/>
        <w:ind w:left="1220" w:right="800" w:hanging="298"/>
        <w:spacing w:after="0" w:line="283" w:lineRule="auto"/>
        <w:tabs>
          <w:tab w:leader="none" w:pos="1217"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7"/>
          <w:szCs w:val="17"/>
          <w:color w:val="auto"/>
        </w:rPr>
      </w:pPr>
    </w:p>
    <w:p>
      <w:pPr>
        <w:ind w:left="1220" w:right="80" w:hanging="298"/>
        <w:spacing w:after="0" w:line="267" w:lineRule="auto"/>
        <w:tabs>
          <w:tab w:leader="none" w:pos="1214"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7"/>
          <w:szCs w:val="17"/>
          <w:color w:val="auto"/>
        </w:rPr>
      </w:pPr>
    </w:p>
    <w:p>
      <w:pPr>
        <w:ind w:left="620" w:right="440" w:hanging="311"/>
        <w:spacing w:after="0" w:line="283" w:lineRule="auto"/>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7"/>
          <w:szCs w:val="17"/>
          <w:color w:val="auto"/>
        </w:rPr>
      </w:pPr>
    </w:p>
    <w:p>
      <w:pPr>
        <w:ind w:left="1220" w:right="260" w:hanging="298"/>
        <w:spacing w:after="0" w:line="283" w:lineRule="auto"/>
        <w:tabs>
          <w:tab w:leader="none" w:pos="1217"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7"/>
          <w:szCs w:val="17"/>
          <w:color w:val="auto"/>
        </w:rPr>
      </w:pPr>
    </w:p>
    <w:p>
      <w:pPr>
        <w:ind w:left="1220" w:right="220" w:hanging="298"/>
        <w:spacing w:after="0" w:line="283" w:lineRule="auto"/>
        <w:tabs>
          <w:tab w:leader="none" w:pos="1214"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2024</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0745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7">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Jason P. Marino</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733"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Sections 1350(a) and (b))</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John E. Geller, Jr., President and Chief Executive Officer of Marriott Vacations Worldwide Corporation (the “Company”) certify that:</w:t>
      </w:r>
    </w:p>
    <w:p>
      <w:pPr>
        <w:spacing w:after="0" w:line="213" w:lineRule="exact"/>
        <w:rPr>
          <w:sz w:val="20"/>
          <w:szCs w:val="20"/>
          <w:color w:val="auto"/>
        </w:rPr>
      </w:pPr>
    </w:p>
    <w:p>
      <w:pPr>
        <w:ind w:left="620" w:right="60" w:hanging="311"/>
        <w:spacing w:after="0" w:line="283" w:lineRule="auto"/>
        <w:tabs>
          <w:tab w:leader="none" w:pos="6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period ended December 31, 2023 (the “Annual Report”), fully complies with the requirements of section 13(a) or 15(d) of the Securities Exchange Act of 1934 (15 U.S.C. 78m or 78o(d)); and</w:t>
      </w:r>
    </w:p>
    <w:p>
      <w:pPr>
        <w:spacing w:after="0" w:line="152"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2024</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73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Sections 1350(a) and (b))</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Jason P. Marino, Executive Vice President and Chief Financial Officer of Marriott Vacations Worldwide Corporation (the “Company”) certify that:</w:t>
      </w:r>
    </w:p>
    <w:p>
      <w:pPr>
        <w:spacing w:after="0" w:line="213" w:lineRule="exact"/>
        <w:rPr>
          <w:sz w:val="20"/>
          <w:szCs w:val="20"/>
          <w:color w:val="auto"/>
        </w:rPr>
      </w:pPr>
    </w:p>
    <w:p>
      <w:pPr>
        <w:ind w:left="620" w:right="60" w:hanging="311"/>
        <w:spacing w:after="0" w:line="283" w:lineRule="auto"/>
        <w:tabs>
          <w:tab w:leader="none" w:pos="6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period ended December 31, 2023 (the “Annual Report”), fully complies with the requirements of section 13(a) or 15(d) of the Securities Exchange Act of 1934 (15 U.S.C. 78m or 78o(d)); and</w:t>
      </w:r>
    </w:p>
    <w:p>
      <w:pPr>
        <w:spacing w:after="0" w:line="152"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2024</w:t>
      </w: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Jason P. Marino</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733"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05285"/>
        </w:rPr>
        <w:t>Executive Officer Policy - NYSE Clawback Policy</w:t>
      </w:r>
    </w:p>
    <w:p>
      <w:pPr>
        <w:spacing w:after="0" w:line="261" w:lineRule="exact"/>
        <w:rPr>
          <w:sz w:val="20"/>
          <w:szCs w:val="20"/>
          <w:color w:val="auto"/>
        </w:rPr>
      </w:pPr>
    </w:p>
    <w:p>
      <w:pPr>
        <w:spacing w:after="0"/>
        <w:rPr>
          <w:sz w:val="20"/>
          <w:szCs w:val="20"/>
          <w:color w:val="auto"/>
        </w:rPr>
      </w:pPr>
      <w:r>
        <w:rPr>
          <w:rFonts w:ascii="Arial" w:cs="Arial" w:eastAsia="Arial" w:hAnsi="Arial"/>
          <w:sz w:val="24"/>
          <w:szCs w:val="24"/>
          <w:b w:val="1"/>
          <w:bCs w:val="1"/>
          <w:color w:val="005285"/>
        </w:rPr>
        <w:t>PURPOSE</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This NYSE Clawback Policy (the “Policy”) is adopted by the Compensation Policy Committee of the Board of Directors (the “Board”) of Marriott Vacations Worldwide Corporation (the “Company”) on May 11, 2023 and amended on February 15, 2024 and shall be effective as so amended from and after February 15, 2024.</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005285"/>
        </w:rPr>
        <w:t>POSITIONS COVERED</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positions covered by this policy include (i) each person required to be covered by Section 303A.14 of the New York Stock Exchange (the “Exchange) Listed Company Manual as it may be amended from time to time (the “Manual”), and (ii) the positions set forth on Exhibit A, if any (collectively, the “Covered Persons”).</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005285"/>
        </w:rPr>
        <w:t>RESTATEMENT OF FINANCIAL STATEMENTS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the event that the Company is required to restate its financial results due to material non-compliance with any financial reporting requirement under the securities laws as generally applied, including any required accounting restatement to correct an error in previously issued financial statements that is material to the previously issued financial statements, or that would result in material misstatements if the error were corrected in the current period or left uncorrected in the current period, the Compensation Policy Committee will review all compensation that is or was granted, earned, or vested based wholly or in part upon the attainment of a financial reporting measure (such compensation, whether determined wholly or in part from such measure under GAAP or on a non-GAAP basis and whether or not such measure is presented within the financial statements, and including stock price and total shareholder return, is referred to as “Incentive Based Compensation”) to Covered Persons, in each case to the extent such Incentive Based Compensation was paid, awarded, earned or vested during the recovery period as set forth in Section 303A.14 of the Manual. If the Compensation Policy Committee determines that any Incentive Based Compensation would have been lower had it been determined or calculated based on such restated results, the Compensation Policy Committee will seek, for the benefit of the Company, recoupment from any Covered Person that benefited from the misstated results, all erroneously awarded, paid or vested Incentive Based Compensation during the recovery period, unless the Compensation Policy Committee determines that recovery would be impracticable and is not required under Rule 10D-1 of the Securities Exchange Act of 1934, as amended, including because the (i) direct expenses to third parties to assist in the recovery (e.g., legal expenses, consulting fees, etc.) would exceed the amount to be recovered, and the Company has made a reasonable attempt to recover and provided documentation of the Company’s reasonable attempt to the Exchange; (ii) recovery would violate the home country laws of a foreign private issuer, and the Company obtained a legal opinion to that effect and has provided such opinion to the Exchange; or (iii)</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1 of 3</w:t>
      </w:r>
    </w:p>
    <w:p>
      <w:pPr>
        <w:sectPr>
          <w:pgSz w:w="11900" w:h="16838" w:orient="portrait"/>
          <w:cols w:equalWidth="0" w:num="1">
            <w:col w:w="11240"/>
          </w:cols>
          <w:pgMar w:left="320" w:top="123" w:right="339" w:bottom="1440" w:gutter="0" w:footer="0" w:header="0"/>
        </w:sectPr>
      </w:pPr>
    </w:p>
    <w:bookmarkStart w:id="217" w:name="page218"/>
    <w:bookmarkEnd w:id="217"/>
    <w:p>
      <w:pPr>
        <w:jc w:val="both"/>
        <w:spacing w:after="0" w:line="296" w:lineRule="auto"/>
        <w:rPr>
          <w:sz w:val="20"/>
          <w:szCs w:val="20"/>
          <w:color w:val="auto"/>
        </w:rPr>
      </w:pPr>
      <w:r>
        <w:rPr>
          <w:rFonts w:ascii="Arial" w:cs="Arial" w:eastAsia="Arial" w:hAnsi="Arial"/>
          <w:sz w:val="20"/>
          <w:szCs w:val="20"/>
          <w:color w:val="auto"/>
        </w:rPr>
        <w:t>recovery would likely cause an otherwise tax-qualified retirement plan under which benefits are broadly available to employees of the Company to fail to meet the requirements of the Internal Revenue Code.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amount that will be subject to recoupment is the sum of (i) the amount of Incentive Based Compensation received that exceeds the amount of Incentive Based Compensation that otherwise would have been received had it been determined based on the restated amounts, and must be computed without regard to any taxes paid and (ii) for Incentive 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 Based Compensation was received; and (B) documentation of the determination of that reasonable estimate shall be provided to the Exchange.</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005285"/>
        </w:rPr>
        <w:t>ADMINISTRATION OF THE POLICY</w:t>
      </w:r>
    </w:p>
    <w:p>
      <w:pPr>
        <w:spacing w:after="0" w:line="21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may recover or recoup compensation from a Covered Person by requiring such person(s) to pay such amount(s) to the Company, by set-off, by reducing future compensation, by forfeiting unvested equity awards, or by such other means or combination of means as the Board or Compensation Policy Committee determines to be appropriate.</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The Company is authorized to take appropriate steps to implement this Policy with respect to Incentive Based Compensation arrangements with Covered Persons.</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2 of 3</w:t>
      </w:r>
    </w:p>
    <w:p>
      <w:pPr>
        <w:sectPr>
          <w:pgSz w:w="11900" w:h="16838" w:orient="portrait"/>
          <w:cols w:equalWidth="0" w:num="1">
            <w:col w:w="11240"/>
          </w:cols>
          <w:pgMar w:left="320" w:top="1251"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4"/>
          <w:szCs w:val="24"/>
          <w:b w:val="1"/>
          <w:bCs w:val="1"/>
          <w:color w:val="005285"/>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005285"/>
        </w:rPr>
        <w:t>OTHER POSITIONS COVERED BY POLICY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Other members of the Company’s Executive Committee, including:</w:t>
      </w:r>
    </w:p>
    <w:p>
      <w:pPr>
        <w:spacing w:after="0" w:line="41" w:lineRule="exact"/>
        <w:rPr>
          <w:sz w:val="20"/>
          <w:szCs w:val="20"/>
          <w:color w:val="auto"/>
        </w:rPr>
      </w:pPr>
    </w:p>
    <w:p>
      <w:pPr>
        <w:ind w:left="620" w:hanging="311"/>
        <w:spacing w:after="0"/>
        <w:tabs>
          <w:tab w:leader="none" w:pos="620"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Executive Vice President and Managing Director, Interval International</w:t>
      </w:r>
    </w:p>
    <w:p>
      <w:pPr>
        <w:spacing w:after="0" w:line="17" w:lineRule="exact"/>
        <w:rPr>
          <w:rFonts w:ascii="Arial" w:cs="Arial" w:eastAsia="Arial" w:hAnsi="Arial"/>
          <w:sz w:val="20"/>
          <w:szCs w:val="20"/>
          <w:b w:val="1"/>
          <w:bCs w:val="1"/>
          <w:color w:val="auto"/>
        </w:rPr>
      </w:pPr>
    </w:p>
    <w:p>
      <w:pPr>
        <w:ind w:left="620" w:hanging="311"/>
        <w:spacing w:after="0"/>
        <w:tabs>
          <w:tab w:leader="none" w:pos="620"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Executive Vice President and Chief Marketing &amp; Sales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3 of 3</w:t>
      </w:r>
    </w:p>
    <w:sectPr>
      <w:pgSz w:w="11900" w:h="16838" w:orient="portrait"/>
      <w:cols w:equalWidth="0" w:num="1">
        <w:col w:w="11240"/>
      </w:cols>
      <w:pgMar w:left="320" w:top="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2"/>
      <w:numFmt w:val="bullet"/>
      <w:start w:val="1"/>
    </w:lvl>
  </w:abstractNum>
  <w:abstractNum w:abstractNumId="3">
    <w:nsid w:val="1381823A"/>
    <w:multiLevelType w:val="hybridMultilevel"/>
    <w:lvl w:ilvl="0">
      <w:lvlJc w:val="left"/>
      <w:lvlText w:val="3"/>
      <w:numFmt w:val="bullet"/>
      <w:start w:val="1"/>
    </w:lvl>
  </w:abstractNum>
  <w:abstractNum w:abstractNumId="4">
    <w:nsid w:val="5DB70AE5"/>
    <w:multiLevelType w:val="hybridMultilevel"/>
    <w:lvl w:ilvl="0">
      <w:lvlJc w:val="left"/>
      <w:lvlText w:val="1"/>
      <w:numFmt w:val="bullet"/>
      <w:start w:val="1"/>
    </w:lvl>
  </w:abstractNum>
  <w:abstractNum w:abstractNumId="5">
    <w:nsid w:val="100F8FCA"/>
    <w:multiLevelType w:val="hybridMultilevel"/>
    <w:lvl w:ilvl="0">
      <w:lvlJc w:val="left"/>
      <w:lvlText w:val="2"/>
      <w:numFmt w:val="bullet"/>
      <w:start w:val="1"/>
    </w:lvl>
  </w:abstractNum>
  <w:abstractNum w:abstractNumId="6">
    <w:nsid w:val="6590700B"/>
    <w:multiLevelType w:val="hybridMultilevel"/>
    <w:lvl w:ilvl="0">
      <w:lvlJc w:val="left"/>
      <w:lvlText w:val="3"/>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1)"/>
      <w:numFmt w:val="decimal"/>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lvl w:ilvl="1">
      <w:lvlJc w:val="left"/>
      <w:lvlText w:val="•"/>
      <w:numFmt w:val="bullet"/>
      <w:start w:val="1"/>
    </w:lvl>
  </w:abstractNum>
  <w:abstractNum w:abstractNumId="12">
    <w:nsid w:val="42C296BD"/>
    <w:multiLevelType w:val="hybridMultilevel"/>
    <w:lvl w:ilvl="0">
      <w:lvlJc w:val="left"/>
      <w:lvlText w:val="(%1)"/>
      <w:numFmt w:val="decimal"/>
      <w:start w:val="1"/>
    </w:lvl>
  </w:abstractNum>
  <w:abstractNum w:abstractNumId="13">
    <w:nsid w:val="168E121F"/>
    <w:multiLevelType w:val="hybridMultilevel"/>
    <w:lvl w:ilvl="0">
      <w:lvlJc w:val="left"/>
      <w:lvlText w:val="(%1)"/>
      <w:numFmt w:val="decimal"/>
      <w:start w:val="1"/>
    </w:lvl>
  </w:abstractNum>
  <w:abstractNum w:abstractNumId="14">
    <w:nsid w:val="1EBA5D23"/>
    <w:multiLevelType w:val="hybridMultilevel"/>
    <w:lvl w:ilvl="0">
      <w:lvlJc w:val="left"/>
      <w:lvlText w:val="(%1)"/>
      <w:numFmt w:val="decimal"/>
      <w:start w:val="1"/>
    </w:lvl>
  </w:abstractNum>
  <w:abstractNum w:abstractNumId="15">
    <w:nsid w:val="661E3F1E"/>
    <w:multiLevelType w:val="hybridMultilevel"/>
    <w:lvl w:ilvl="0">
      <w:lvlJc w:val="left"/>
      <w:lvlText w:val="(%1)"/>
      <w:numFmt w:val="decimal"/>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1)"/>
      <w:numFmt w:val="lowerRoman"/>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1)"/>
      <w:numFmt w:val="decimal"/>
      <w:start w:val="1"/>
    </w:lvl>
  </w:abstractNum>
  <w:abstractNum w:abstractNumId="21">
    <w:nsid w:val="BF72B14"/>
    <w:multiLevelType w:val="hybridMultilevel"/>
    <w:lvl w:ilvl="0">
      <w:lvlJc w:val="left"/>
      <w:lvlText w:val="(%1)"/>
      <w:numFmt w:val="decimal"/>
      <w:start w:val="1"/>
    </w:lvl>
  </w:abstractNum>
  <w:abstractNum w:abstractNumId="22">
    <w:nsid w:val="11447B73"/>
    <w:multiLevelType w:val="hybridMultilevel"/>
    <w:lvl w:ilvl="0">
      <w:lvlJc w:val="left"/>
      <w:lvlText w:val="(%1)"/>
      <w:numFmt w:val="decimal"/>
      <w:start w:val="1"/>
    </w:lvl>
  </w:abstractNum>
  <w:abstractNum w:abstractNumId="23">
    <w:nsid w:val="42963E5A"/>
    <w:multiLevelType w:val="hybridMultilevel"/>
    <w:lvl w:ilvl="0">
      <w:lvlJc w:val="left"/>
      <w:lvlText w:val="(%1)"/>
      <w:numFmt w:val="decimal"/>
      <w:start w:val="1"/>
    </w:lvl>
  </w:abstractNum>
  <w:abstractNum w:abstractNumId="24">
    <w:nsid w:val="A0382C5"/>
    <w:multiLevelType w:val="hybridMultilevel"/>
    <w:lvl w:ilvl="0">
      <w:lvlJc w:val="left"/>
      <w:lvlText w:val="(%1)"/>
      <w:numFmt w:val="decimal"/>
      <w:start w:val="1"/>
    </w:lvl>
  </w:abstractNum>
  <w:abstractNum w:abstractNumId="25">
    <w:nsid w:val="8F2B15E"/>
    <w:multiLevelType w:val="hybridMultilevel"/>
    <w:lvl w:ilvl="0">
      <w:lvlJc w:val="left"/>
      <w:lvlText w:val="(%1)"/>
      <w:numFmt w:val="decimal"/>
      <w:start w:val="1"/>
    </w:lvl>
  </w:abstractNum>
  <w:abstractNum w:abstractNumId="26">
    <w:nsid w:val="1A32234B"/>
    <w:multiLevelType w:val="hybridMultilevel"/>
    <w:lvl w:ilvl="0">
      <w:lvlJc w:val="left"/>
      <w:lvlText w:val="(%1)"/>
      <w:numFmt w:val="decimal"/>
      <w:start w:val="1"/>
    </w:lvl>
  </w:abstractNum>
  <w:abstractNum w:abstractNumId="27">
    <w:nsid w:val="3B0FD379"/>
    <w:multiLevelType w:val="hybridMultilevel"/>
    <w:lvl w:ilvl="0">
      <w:lvlJc w:val="left"/>
      <w:lvlText w:val="&amp;"/>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1)"/>
      <w:numFmt w:val="decimal"/>
      <w:start w:val="1"/>
    </w:lvl>
  </w:abstractNum>
  <w:abstractNum w:abstractNumId="31">
    <w:nsid w:val="6A5EE64"/>
    <w:multiLevelType w:val="hybridMultilevel"/>
    <w:lvl w:ilvl="0">
      <w:lvlJc w:val="left"/>
      <w:lvlText w:val="(%1)"/>
      <w:numFmt w:val="decimal"/>
      <w:start w:val="1"/>
    </w:lvl>
  </w:abstractNum>
  <w:abstractNum w:abstractNumId="32">
    <w:nsid w:val="14330624"/>
    <w:multiLevelType w:val="hybridMultilevel"/>
    <w:lvl w:ilvl="0">
      <w:lvlJc w:val="left"/>
      <w:lvlText w:val="(%1)"/>
      <w:numFmt w:val="decimal"/>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1)"/>
      <w:numFmt w:val="decimal"/>
      <w:start w:val="1"/>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1)"/>
      <w:numFmt w:val="decimal"/>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1"/>
      <w:numFmt w:val="decimal"/>
      <w:start w:val="101"/>
    </w:lvl>
  </w:abstractNum>
  <w:abstractNum w:abstractNumId="39">
    <w:nsid w:val="6F6DD9AC"/>
    <w:multiLevelType w:val="hybridMultilevel"/>
    <w:lvl w:ilvl="0">
      <w:lvlJc w:val="left"/>
      <w:lvlText w:val="*"/>
      <w:numFmt w:val="bullet"/>
      <w:start w:val="1"/>
    </w:lvl>
    <w:lvl w:ilvl="1">
      <w:lvlJc w:val="left"/>
      <w:lvlText w:val="%2"/>
      <w:numFmt w:val="decimal"/>
      <w:start w:val="104"/>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1)"/>
      <w:numFmt w:val="decimal"/>
      <w:start w:val="1"/>
    </w:lvl>
  </w:abstractNum>
  <w:abstractNum w:abstractNumId="42">
    <w:nsid w:val="76272110"/>
    <w:multiLevelType w:val="hybridMultilevel"/>
    <w:lvl w:ilvl="0">
      <w:lvlJc w:val="left"/>
      <w:lvlText w:val="(%1)"/>
      <w:numFmt w:val="lowerLetter"/>
      <w:start w:val="1"/>
    </w:lvl>
  </w:abstractNum>
  <w:abstractNum w:abstractNumId="43">
    <w:nsid w:val="4C04A8AF"/>
    <w:multiLevelType w:val="hybridMultilevel"/>
    <w:lvl w:ilvl="0">
      <w:lvlJc w:val="left"/>
      <w:lvlText w:val="%1"/>
      <w:numFmt w:val="lowerLetter"/>
      <w:start w:val="1"/>
    </w:lvl>
    <w:lvl w:ilvl="1">
      <w:lvlJc w:val="left"/>
      <w:lvlText w:val="(%2)"/>
      <w:numFmt w:val="decimal"/>
      <w:start w:val="1"/>
    </w:lvl>
  </w:abstractNum>
  <w:abstractNum w:abstractNumId="44">
    <w:nsid w:val="1716703B"/>
    <w:multiLevelType w:val="hybridMultilevel"/>
    <w:lvl w:ilvl="0">
      <w:lvlJc w:val="left"/>
      <w:lvlText w:val="(%1)"/>
      <w:numFmt w:val="lowerLetter"/>
      <w:start w:val="7"/>
    </w:lvl>
    <w:lvl w:ilvl="1">
      <w:lvlJc w:val="left"/>
      <w:lvlText w:val="%2"/>
      <w:numFmt w:val="decimal"/>
      <w:start w:val="1"/>
    </w:lvl>
  </w:abstractNum>
  <w:abstractNum w:abstractNumId="45">
    <w:nsid w:val="14E17E33"/>
    <w:multiLevelType w:val="hybridMultilevel"/>
    <w:lvl w:ilvl="0">
      <w:lvlJc w:val="left"/>
      <w:lvlText w:val="(%1)"/>
      <w:numFmt w:val="lowerLetter"/>
      <w:start w:val="12"/>
    </w:lvl>
  </w:abstractNum>
  <w:abstractNum w:abstractNumId="46">
    <w:nsid w:val="3222E7CD"/>
    <w:multiLevelType w:val="hybridMultilevel"/>
    <w:lvl w:ilvl="0">
      <w:lvlJc w:val="left"/>
      <w:lvlText w:val="(%1)"/>
      <w:numFmt w:val="lowerLetter"/>
      <w:start w:val="19"/>
    </w:lvl>
  </w:abstractNum>
  <w:abstractNum w:abstractNumId="47">
    <w:nsid w:val="74DE0EE3"/>
    <w:multiLevelType w:val="hybridMultilevel"/>
    <w:lvl w:ilvl="0">
      <w:lvlJc w:val="left"/>
      <w:lvlText w:val="(%1)"/>
      <w:numFmt w:val="lowerLetter"/>
      <w:start w:val="1"/>
    </w:lvl>
  </w:abstractNum>
  <w:abstractNum w:abstractNumId="48">
    <w:nsid w:val="68EBC550"/>
    <w:multiLevelType w:val="hybridMultilevel"/>
    <w:lvl w:ilvl="0">
      <w:lvlJc w:val="left"/>
      <w:lvlText w:val="(%1)"/>
      <w:numFmt w:val="decimal"/>
      <w:start w:val="1"/>
    </w:lvl>
  </w:abstractNum>
  <w:abstractNum w:abstractNumId="49">
    <w:nsid w:val="2DF6D648"/>
    <w:multiLevelType w:val="hybridMultilevel"/>
    <w:lvl w:ilvl="0">
      <w:lvlJc w:val="left"/>
      <w:lvlText w:val="(%1)"/>
      <w:numFmt w:val="lowerLetter"/>
      <w:start w:val="1"/>
    </w:lvl>
  </w:abstractNum>
  <w:abstractNum w:abstractNumId="50">
    <w:nsid w:val="46B7D447"/>
    <w:multiLevelType w:val="hybridMultilevel"/>
    <w:lvl w:ilvl="0">
      <w:lvlJc w:val="left"/>
      <w:lvlText w:val="(%1)"/>
      <w:numFmt w:val="lowerLetter"/>
      <w:start w:val="1"/>
    </w:lvl>
  </w:abstractNum>
  <w:abstractNum w:abstractNumId="51">
    <w:nsid w:val="4A2AC315"/>
    <w:multiLevelType w:val="hybridMultilevel"/>
    <w:lvl w:ilvl="0">
      <w:lvlJc w:val="left"/>
      <w:lvlText w:val="(%1)"/>
      <w:numFmt w:val="lowerLetter"/>
      <w:start w:val="2"/>
    </w:lvl>
  </w:abstractNum>
  <w:abstractNum w:abstractNumId="52">
    <w:nsid w:val="39EE015C"/>
    <w:multiLevelType w:val="hybridMultilevel"/>
    <w:lvl w:ilvl="0">
      <w:lvlJc w:val="left"/>
      <w:lvlText w:val="(%1)"/>
      <w:numFmt w:val="lowerLetter"/>
      <w:start w:val="1"/>
    </w:lvl>
  </w:abstractNum>
  <w:abstractNum w:abstractNumId="53">
    <w:nsid w:val="57FC4FBB"/>
    <w:multiLevelType w:val="hybridMultilevel"/>
    <w:lvl w:ilvl="0">
      <w:lvlJc w:val="left"/>
      <w:lvlText w:val="(%1)"/>
      <w:numFmt w:val="lowerRoman"/>
      <w:start w:val="4"/>
    </w:lvl>
  </w:abstractNum>
  <w:abstractNum w:abstractNumId="54">
    <w:nsid w:val="CC1016F"/>
    <w:multiLevelType w:val="hybridMultilevel"/>
    <w:lvl w:ilvl="0">
      <w:lvlJc w:val="left"/>
      <w:lvlText w:val="(%1)"/>
      <w:numFmt w:val="lowerLetter"/>
      <w:start w:val="1"/>
    </w:lvl>
    <w:lvl w:ilvl="1">
      <w:lvlJc w:val="left"/>
      <w:lvlText w:val="(%2)"/>
      <w:numFmt w:val="lowerRoman"/>
      <w:start w:val="1"/>
    </w:lvl>
  </w:abstractNum>
  <w:abstractNum w:abstractNumId="55">
    <w:nsid w:val="43F18422"/>
    <w:multiLevelType w:val="hybridMultilevel"/>
    <w:lvl w:ilvl="0">
      <w:lvlJc w:val="left"/>
      <w:lvlText w:val="(%1)"/>
      <w:numFmt w:val="lowerLetter"/>
      <w:start w:val="3"/>
    </w:lvl>
    <w:lvl w:ilvl="1">
      <w:lvlJc w:val="left"/>
      <w:lvlText w:val="(%2)"/>
      <w:numFmt w:val="lowerRoman"/>
      <w:start w:val="1"/>
    </w:lvl>
  </w:abstractNum>
  <w:abstractNum w:abstractNumId="56">
    <w:nsid w:val="60EF0119"/>
    <w:multiLevelType w:val="hybridMultilevel"/>
    <w:lvl w:ilvl="0">
      <w:lvlJc w:val="left"/>
      <w:lvlText w:val="(%1)"/>
      <w:numFmt w:val="lowerLetter"/>
      <w:start w:val="1"/>
    </w:lvl>
  </w:abstractNum>
  <w:abstractNum w:abstractNumId="57">
    <w:nsid w:val="26F324BA"/>
    <w:multiLevelType w:val="hybridMultilevel"/>
    <w:lvl w:ilvl="0">
      <w:lvlJc w:val="left"/>
      <w:lvlText w:val="(%1)"/>
      <w:numFmt w:val="lowerLetter"/>
      <w:start w:val="3"/>
    </w:lvl>
  </w:abstractNum>
  <w:abstractNum w:abstractNumId="58">
    <w:nsid w:val="7F01579B"/>
    <w:multiLevelType w:val="hybridMultilevel"/>
    <w:lvl w:ilvl="0">
      <w:lvlJc w:val="left"/>
      <w:lvlText w:val="%1."/>
      <w:numFmt w:val="decimal"/>
      <w:start w:val="1"/>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lowerLetter"/>
      <w:start w:val="4"/>
    </w:lvl>
  </w:abstractNum>
  <w:abstractNum w:abstractNumId="61">
    <w:nsid w:val="5FB8370B"/>
    <w:multiLevelType w:val="hybridMultilevel"/>
    <w:lvl w:ilvl="0">
      <w:lvlJc w:val="left"/>
      <w:lvlText w:val="(%1)"/>
      <w:numFmt w:val="lowerRoman"/>
      <w:start w:val="1"/>
    </w:lvl>
    <w:lvl w:ilvl="1">
      <w:lvlJc w:val="left"/>
      <w:lvlText w:val="(%2)"/>
      <w:numFmt w:val="upperLetter"/>
      <w:start w:val="2"/>
    </w:lvl>
  </w:abstractNum>
  <w:abstractNum w:abstractNumId="62">
    <w:nsid w:val="50801EE1"/>
    <w:multiLevelType w:val="hybridMultilevel"/>
    <w:lvl w:ilvl="0">
      <w:lvlJc w:val="left"/>
      <w:lvlText w:val="(%1)"/>
      <w:numFmt w:val="lowerRoman"/>
      <w:start w:val="2"/>
    </w:lvl>
    <w:lvl w:ilvl="1">
      <w:lvlJc w:val="left"/>
      <w:lvlText w:val="(%2)"/>
      <w:numFmt w:val="upperLetter"/>
      <w:start w:val="2"/>
    </w:lvl>
  </w:abstractNum>
  <w:abstractNum w:abstractNumId="63">
    <w:nsid w:val="488AC1A"/>
    <w:multiLevelType w:val="hybridMultilevel"/>
    <w:lvl w:ilvl="0">
      <w:lvlJc w:val="left"/>
      <w:lvlText w:val="%1"/>
      <w:numFmt w:val="lowerLetter"/>
      <w:start w:val="1"/>
    </w:lvl>
    <w:lvl w:ilvl="1">
      <w:lvlJc w:val="left"/>
      <w:lvlText w:val="(%2)"/>
      <w:numFmt w:val="upperLetter"/>
      <w:start w:val="1"/>
    </w:lvl>
  </w:abstractNum>
  <w:abstractNum w:abstractNumId="64">
    <w:nsid w:val="5FB8011C"/>
    <w:multiLevelType w:val="hybridMultilevel"/>
    <w:lvl w:ilvl="0">
      <w:lvlJc w:val="left"/>
      <w:lvlText w:val="(%1)"/>
      <w:numFmt w:val="lowerLetter"/>
      <w:start w:val="5"/>
    </w:lvl>
    <w:lvl w:ilvl="1">
      <w:lvlJc w:val="left"/>
      <w:lvlText w:val="%2"/>
      <w:numFmt w:val="upperLetter"/>
      <w:start w:val="1"/>
    </w:lvl>
  </w:abstractNum>
  <w:abstractNum w:abstractNumId="65">
    <w:nsid w:val="6AA78F7F"/>
    <w:multiLevelType w:val="hybridMultilevel"/>
    <w:lvl w:ilvl="0">
      <w:lvlJc w:val="left"/>
      <w:lvlText w:val="%1."/>
      <w:numFmt w:val="decimal"/>
      <w:start w:val="2"/>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lowerLetter"/>
      <w:start w:val="2"/>
    </w:lvl>
  </w:abstractNum>
  <w:abstractNum w:abstractNumId="68">
    <w:nsid w:val="6A5F7029"/>
    <w:multiLevelType w:val="hybridMultilevel"/>
    <w:lvl w:ilvl="0">
      <w:lvlJc w:val="left"/>
      <w:lvlText w:val="(%1)"/>
      <w:numFmt w:val="lowerLetter"/>
      <w:start w:val="3"/>
    </w:lvl>
  </w:abstractNum>
  <w:abstractNum w:abstractNumId="69">
    <w:nsid w:val="7D5E18F8"/>
    <w:multiLevelType w:val="hybridMultilevel"/>
    <w:lvl w:ilvl="0">
      <w:lvlJc w:val="left"/>
      <w:lvlText w:val="(%1)"/>
      <w:numFmt w:val="lowerLetter"/>
      <w:start w:val="4"/>
    </w:lvl>
  </w:abstractNum>
  <w:abstractNum w:abstractNumId="70">
    <w:nsid w:val="5F3534A4"/>
    <w:multiLevelType w:val="hybridMultilevel"/>
    <w:lvl w:ilvl="0">
      <w:lvlJc w:val="left"/>
      <w:lvlText w:val="(%1)"/>
      <w:numFmt w:val="lowerLetter"/>
      <w:start w:val="35"/>
    </w:lvl>
  </w:abstractNum>
  <w:abstractNum w:abstractNumId="71">
    <w:nsid w:val="73A1821B"/>
    <w:multiLevelType w:val="hybridMultilevel"/>
    <w:lvl w:ilvl="0">
      <w:lvlJc w:val="left"/>
      <w:lvlText w:val="(%1)"/>
      <w:numFmt w:val="lowerLetter"/>
      <w:start w:val="5"/>
    </w:lvl>
  </w:abstractNum>
  <w:abstractNum w:abstractNumId="72">
    <w:nsid w:val="7DE67713"/>
    <w:multiLevelType w:val="hybridMultilevel"/>
    <w:lvl w:ilvl="0">
      <w:lvlJc w:val="left"/>
      <w:lvlText w:val="(%1)"/>
      <w:numFmt w:val="lowerLetter"/>
      <w:start w:val="8"/>
    </w:lvl>
  </w:abstractNum>
  <w:abstractNum w:abstractNumId="73">
    <w:nsid w:val="555C55B5"/>
    <w:multiLevelType w:val="hybridMultilevel"/>
    <w:lvl w:ilvl="0">
      <w:lvlJc w:val="left"/>
      <w:lvlText w:val="%1."/>
      <w:numFmt w:val="decimal"/>
      <w:start w:val="3"/>
    </w:lvl>
  </w:abstractNum>
  <w:abstractNum w:abstractNumId="74">
    <w:nsid w:val="3FA62ACA"/>
    <w:multiLevelType w:val="hybridMultilevel"/>
    <w:lvl w:ilvl="0">
      <w:lvlJc w:val="left"/>
      <w:lvlText w:val="%1."/>
      <w:numFmt w:val="decimal"/>
      <w:start w:val="4"/>
    </w:lvl>
  </w:abstractNum>
  <w:abstractNum w:abstractNumId="75">
    <w:nsid w:val="14FCE74E"/>
    <w:multiLevelType w:val="hybridMultilevel"/>
    <w:lvl w:ilvl="0">
      <w:lvlJc w:val="left"/>
      <w:lvlText w:val="%1."/>
      <w:numFmt w:val="decimal"/>
      <w:start w:val="8"/>
    </w:lvl>
  </w:abstractNum>
  <w:abstractNum w:abstractNumId="76">
    <w:nsid w:val="6A3DD3E8"/>
    <w:multiLevelType w:val="hybridMultilevel"/>
    <w:lvl w:ilvl="0">
      <w:lvlJc w:val="left"/>
      <w:lvlText w:val="(%1)"/>
      <w:numFmt w:val="lowerLetter"/>
      <w:start w:val="1"/>
    </w:lvl>
  </w:abstractNum>
  <w:abstractNum w:abstractNumId="77">
    <w:nsid w:val="71C91298"/>
    <w:multiLevelType w:val="hybridMultilevel"/>
    <w:lvl w:ilvl="0">
      <w:lvlJc w:val="left"/>
      <w:lvlText w:val="(%1)"/>
      <w:numFmt w:val="lowerRoman"/>
      <w:start w:val="2"/>
    </w:lvl>
  </w:abstractNum>
  <w:abstractNum w:abstractNumId="78">
    <w:nsid w:val="9DAF632"/>
    <w:multiLevelType w:val="hybridMultilevel"/>
    <w:lvl w:ilvl="0">
      <w:lvlJc w:val="left"/>
      <w:lvlText w:val="(%1)"/>
      <w:numFmt w:val="lowerLetter"/>
      <w:start w:val="2"/>
    </w:lvl>
  </w:abstractNum>
  <w:abstractNum w:abstractNumId="79">
    <w:nsid w:val="53299938"/>
    <w:multiLevelType w:val="hybridMultilevel"/>
    <w:lvl w:ilvl="0">
      <w:lvlJc w:val="left"/>
      <w:lvlText w:val="%1."/>
      <w:numFmt w:val="decimal"/>
      <w:start w:val="1"/>
    </w:lvl>
  </w:abstractNum>
  <w:abstractNum w:abstractNumId="80">
    <w:nsid w:val="1FBFE8E0"/>
    <w:multiLevelType w:val="hybridMultilevel"/>
    <w:lvl w:ilvl="0">
      <w:lvlJc w:val="left"/>
      <w:lvlText w:val="%1."/>
      <w:numFmt w:val="decimal"/>
      <w:start w:val="3"/>
    </w:lvl>
  </w:abstractNum>
  <w:abstractNum w:abstractNumId="81">
    <w:nsid w:val="5092CA79"/>
    <w:multiLevelType w:val="hybridMultilevel"/>
    <w:lvl w:ilvl="0">
      <w:lvlJc w:val="left"/>
      <w:lvlText w:val="%1."/>
      <w:numFmt w:val="decimal"/>
      <w:start w:val="1"/>
    </w:lvl>
  </w:abstractNum>
  <w:abstractNum w:abstractNumId="82">
    <w:nsid w:val="1D545C4D"/>
    <w:multiLevelType w:val="hybridMultilevel"/>
    <w:lvl w:ilvl="0">
      <w:lvlJc w:val="left"/>
      <w:lvlText w:val="%1."/>
      <w:numFmt w:val="decimal"/>
      <w:start w:val="7"/>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decimal"/>
      <w:start w:val="8"/>
    </w:lvl>
  </w:abstractNum>
  <w:abstractNum w:abstractNumId="85">
    <w:nsid w:val="2A155DBC"/>
    <w:multiLevelType w:val="hybridMultilevel"/>
    <w:lvl w:ilvl="0">
      <w:lvlJc w:val="left"/>
      <w:lvlText w:val="%1"/>
      <w:numFmt w:val="lowerLetter"/>
      <w:start w:val="1"/>
    </w:lvl>
    <w:lvl w:ilvl="1">
      <w:lvlJc w:val="left"/>
      <w:lvlText w:val="(%2)"/>
      <w:numFmt w:val="lowerLetter"/>
      <w:start w:val="1"/>
    </w:lvl>
  </w:abstractNum>
  <w:abstractNum w:abstractNumId="86">
    <w:nsid w:val="1D9F6E5F"/>
    <w:multiLevelType w:val="hybridMultilevel"/>
    <w:lvl w:ilvl="0">
      <w:lvlJc w:val="left"/>
      <w:lvlText w:val="(%1)"/>
      <w:numFmt w:val="lowerLetter"/>
      <w:start w:val="35"/>
    </w:lvl>
    <w:lvl w:ilvl="1">
      <w:lvlJc w:val="left"/>
      <w:lvlText w:val="(%2)"/>
      <w:numFmt w:val="lowerLetter"/>
      <w:start w:val="2"/>
    </w:lvl>
  </w:abstractNum>
  <w:abstractNum w:abstractNumId="87">
    <w:nsid w:val="97E1B4E"/>
    <w:multiLevelType w:val="hybridMultilevel"/>
    <w:lvl w:ilvl="0">
      <w:lvlJc w:val="left"/>
      <w:lvlText w:val="(%1)"/>
      <w:numFmt w:val="lowerLetter"/>
      <w:start w:val="3"/>
    </w:lvl>
  </w:abstractNum>
  <w:abstractNum w:abstractNumId="88">
    <w:nsid w:val="51088277"/>
    <w:multiLevelType w:val="hybridMultilevel"/>
    <w:lvl w:ilvl="0">
      <w:lvlJc w:val="left"/>
      <w:lvlText w:val="%1"/>
      <w:numFmt w:val="lowerLetter"/>
      <w:start w:val="1"/>
    </w:lvl>
    <w:lvl w:ilvl="1">
      <w:lvlJc w:val="left"/>
      <w:lvlText w:val="%2."/>
      <w:numFmt w:val="decimal"/>
      <w:start w:val="11"/>
    </w:lvl>
  </w:abstractNum>
  <w:abstractNum w:abstractNumId="89">
    <w:nsid w:val="1CA0C5FA"/>
    <w:multiLevelType w:val="hybridMultilevel"/>
    <w:lvl w:ilvl="0">
      <w:lvlJc w:val="left"/>
      <w:lvlText w:val="(%1)"/>
      <w:numFmt w:val="lowerLetter"/>
      <w:start w:val="1"/>
    </w:lvl>
    <w:lvl w:ilvl="1">
      <w:lvlJc w:val="left"/>
      <w:lvlText w:val="%2"/>
      <w:numFmt w:val="decimal"/>
      <w:start w:val="1"/>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decimal"/>
      <w:start w:val="12"/>
    </w:lvl>
  </w:abstractNum>
  <w:abstractNum w:abstractNumId="92">
    <w:nsid w:val="7C58FD05"/>
    <w:multiLevelType w:val="hybridMultilevel"/>
    <w:lvl w:ilvl="0">
      <w:lvlJc w:val="left"/>
      <w:lvlText w:val="%1."/>
      <w:numFmt w:val="decimal"/>
      <w:start w:val="17"/>
    </w:lvl>
  </w:abstractNum>
  <w:abstractNum w:abstractNumId="93">
    <w:nsid w:val="23D86AAC"/>
    <w:multiLevelType w:val="hybridMultilevel"/>
    <w:lvl w:ilvl="0">
      <w:lvlJc w:val="left"/>
      <w:lvlText w:val="%1."/>
      <w:numFmt w:val="decimal"/>
      <w:start w:val="1"/>
    </w:lvl>
  </w:abstractNum>
  <w:abstractNum w:abstractNumId="94">
    <w:nsid w:val="45E6D486"/>
    <w:multiLevelType w:val="hybridMultilevel"/>
    <w:lvl w:ilvl="0">
      <w:lvlJc w:val="left"/>
      <w:lvlText w:val="%1."/>
      <w:numFmt w:val="decimal"/>
      <w:start w:val="6"/>
    </w:lvl>
    <w:lvl w:ilvl="1">
      <w:lvlJc w:val="left"/>
      <w:lvlText w:val="(%2)"/>
      <w:numFmt w:val="lowerLetter"/>
      <w:start w:val="1"/>
    </w:lvl>
  </w:abstractNum>
  <w:abstractNum w:abstractNumId="95">
    <w:nsid w:val="5C10FE21"/>
    <w:multiLevelType w:val="hybridMultilevel"/>
    <w:lvl w:ilvl="0">
      <w:lvlJc w:val="left"/>
      <w:lvlText w:val="%1"/>
      <w:numFmt w:val="lowerLetter"/>
      <w:start w:val="1"/>
    </w:lvl>
    <w:lvl w:ilvl="1">
      <w:lvlJc w:val="left"/>
      <w:lvlText w:val="%2."/>
      <w:numFmt w:val="decimal"/>
      <w:start w:val="7"/>
    </w:lvl>
  </w:abstractNum>
  <w:abstractNum w:abstractNumId="96">
    <w:nsid w:val="E7FFA2B"/>
    <w:multiLevelType w:val="hybridMultilevel"/>
    <w:lvl w:ilvl="0">
      <w:lvlJc w:val="left"/>
      <w:lvlText w:val="(%1)"/>
      <w:numFmt w:val="lowerLetter"/>
      <w:start w:val="1"/>
    </w:lvl>
    <w:lvl w:ilvl="1">
      <w:lvlJc w:val="left"/>
      <w:lvlText w:val="%2"/>
      <w:numFmt w:val="decimal"/>
      <w:start w:val="1"/>
    </w:lvl>
  </w:abstractNum>
  <w:abstractNum w:abstractNumId="97">
    <w:nsid w:val="3C5991AA"/>
    <w:multiLevelType w:val="hybridMultilevel"/>
    <w:lvl w:ilvl="0">
      <w:lvlJc w:val="left"/>
      <w:lvlText w:val="(%1)"/>
      <w:numFmt w:val="lowerLetter"/>
      <w:start w:val="4"/>
    </w:lvl>
  </w:abstractNum>
  <w:abstractNum w:abstractNumId="98">
    <w:nsid w:val="4BD8591A"/>
    <w:multiLevelType w:val="hybridMultilevel"/>
    <w:lvl w:ilvl="0">
      <w:lvlJc w:val="left"/>
      <w:lvlText w:val="%1"/>
      <w:numFmt w:val="lowerLetter"/>
      <w:start w:val="1"/>
    </w:lvl>
    <w:lvl w:ilvl="1">
      <w:lvlJc w:val="left"/>
      <w:lvlText w:val="%2."/>
      <w:numFmt w:val="decimal"/>
      <w:start w:val="9"/>
    </w:lvl>
  </w:abstractNum>
  <w:abstractNum w:abstractNumId="99">
    <w:nsid w:val="78DF6A55"/>
    <w:multiLevelType w:val="hybridMultilevel"/>
    <w:lvl w:ilvl="0">
      <w:lvlJc w:val="left"/>
      <w:lvlText w:val="(%1)"/>
      <w:numFmt w:val="lowerLetter"/>
      <w:start w:val="1"/>
    </w:lvl>
    <w:lvl w:ilvl="1">
      <w:lvlJc w:val="left"/>
      <w:lvlText w:val="%2"/>
      <w:numFmt w:val="decimal"/>
      <w:start w:val="1"/>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decimal"/>
      <w:start w:val="12"/>
    </w:lvl>
  </w:abstractNum>
  <w:abstractNum w:abstractNumId="102">
    <w:nsid w:val="6C80EC70"/>
    <w:multiLevelType w:val="hybridMultilevel"/>
    <w:lvl w:ilvl="0">
      <w:lvlJc w:val="left"/>
      <w:lvlText w:val="%1."/>
      <w:numFmt w:val="decimal"/>
      <w:start w:val="1"/>
    </w:lvl>
  </w:abstractNum>
  <w:abstractNum w:abstractNumId="103">
    <w:nsid w:val="379E21B5"/>
    <w:multiLevelType w:val="hybridMultilevel"/>
    <w:lvl w:ilvl="0">
      <w:lvlJc w:val="left"/>
      <w:lvlText w:val="%1"/>
      <w:numFmt w:val="decimal"/>
      <w:start w:val="1"/>
    </w:lvl>
    <w:lvl w:ilvl="1">
      <w:lvlJc w:val="left"/>
      <w:lvlText w:val="%2."/>
      <w:numFmt w:val="decimal"/>
      <w:start w:val="5"/>
    </w:lvl>
  </w:abstractNum>
  <w:abstractNum w:abstractNumId="104">
    <w:nsid w:val="69E373"/>
    <w:multiLevelType w:val="hybridMultilevel"/>
    <w:lvl w:ilvl="0">
      <w:lvlJc w:val="left"/>
      <w:lvlText w:val="%1."/>
      <w:numFmt w:val="decimal"/>
      <w:start w:val="6"/>
    </w:lvl>
    <w:lvl w:ilvl="1">
      <w:lvlJc w:val="left"/>
      <w:lvlText w:val="%2"/>
      <w:numFmt w:val="decimal"/>
      <w:start w:val="1"/>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decimal"/>
      <w:start w:val="7"/>
    </w:lvl>
  </w:abstractNum>
  <w:abstractNum w:abstractNumId="107">
    <w:nsid w:val="6AA7B75C"/>
    <w:multiLevelType w:val="hybridMultilevel"/>
    <w:lvl w:ilvl="0">
      <w:lvlJc w:val="left"/>
      <w:lvlText w:val="(%1)"/>
      <w:numFmt w:val="lowerLetter"/>
      <w:start w:val="1"/>
    </w:lvl>
  </w:abstractNum>
  <w:abstractNum w:abstractNumId="108">
    <w:nsid w:val="1DF029D3"/>
    <w:multiLevelType w:val="hybridMultilevel"/>
    <w:lvl w:ilvl="0">
      <w:lvlJc w:val="left"/>
      <w:lvlText w:val="(%1)"/>
      <w:numFmt w:val="lowerLetter"/>
      <w:start w:val="2"/>
    </w:lvl>
  </w:abstractNum>
  <w:abstractNum w:abstractNumId="109">
    <w:nsid w:val="5675FF36"/>
    <w:multiLevelType w:val="hybridMultilevel"/>
    <w:lvl w:ilvl="0">
      <w:lvlJc w:val="left"/>
      <w:lvlText w:val="%1."/>
      <w:numFmt w:val="decimal"/>
      <w:start w:val="9"/>
    </w:lvl>
  </w:abstractNum>
  <w:abstractNum w:abstractNumId="110">
    <w:nsid w:val="3DD150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0"/>
    </w:lvl>
  </w:abstractNum>
  <w:abstractNum w:abstractNumId="111">
    <w:nsid w:val="3DB012B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decimal"/>
      <w:start w:val="1"/>
    </w:lvl>
  </w:abstractNum>
  <w:abstractNum w:abstractNumId="112">
    <w:nsid w:val="2708C9AF"/>
    <w:multiLevelType w:val="hybridMultilevel"/>
    <w:lvl w:ilvl="0">
      <w:lvlJc w:val="left"/>
      <w:lvlText w:val="%1"/>
      <w:numFmt w:val="lowerLetter"/>
      <w:start w:val="1"/>
    </w:lvl>
    <w:lvl w:ilvl="1">
      <w:lvlJc w:val="left"/>
      <w:lvlText w:val="(%2)"/>
      <w:numFmt w:val="lowerLetter"/>
      <w:start w:val="1"/>
    </w:lvl>
  </w:abstractNum>
  <w:abstractNum w:abstractNumId="113">
    <w:nsid w:val="5B25ACE2"/>
    <w:multiLevelType w:val="hybridMultilevel"/>
    <w:lvl w:ilvl="0">
      <w:lvlJc w:val="left"/>
      <w:lvlText w:val="(%1)"/>
      <w:numFmt w:val="lowerLetter"/>
      <w:start w:val="4"/>
    </w:lvl>
    <w:lvl w:ilvl="1">
      <w:lvlJc w:val="left"/>
      <w:lvlText w:val="%2"/>
      <w:numFmt w:val="lowerLetter"/>
      <w:start w:val="1"/>
    </w:lvl>
  </w:abstractNum>
  <w:abstractNum w:abstractNumId="114">
    <w:nsid w:val="175DFCF0"/>
    <w:multiLevelType w:val="hybridMultilevel"/>
    <w:lvl w:ilvl="0">
      <w:lvlJc w:val="left"/>
      <w:lvlText w:val="%1."/>
      <w:numFmt w:val="decimal"/>
      <w:start w:val="12"/>
    </w:lvl>
  </w:abstractNum>
  <w:abstractNum w:abstractNumId="115">
    <w:nsid w:val="4F97E3E4"/>
    <w:multiLevelType w:val="hybridMultilevel"/>
    <w:lvl w:ilvl="0">
      <w:lvlJc w:val="left"/>
      <w:lvlText w:val="%1."/>
      <w:numFmt w:val="decimal"/>
      <w:start w:val="19"/>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
      <w:numFmt w:val="bullet"/>
      <w:start w:val="1"/>
    </w:lvl>
  </w:abstractNum>
  <w:abstractNum w:abstractNumId="119">
    <w:nsid w:val="56438D15"/>
    <w:multiLevelType w:val="hybridMultilevel"/>
    <w:lvl w:ilvl="0">
      <w:lvlJc w:val="left"/>
      <w:lvlText w:val="•"/>
      <w:numFmt w:val="bullet"/>
      <w:start w:val="1"/>
    </w:lvl>
  </w:abstractNum>
  <w:abstractNum w:abstractNumId="120">
    <w:nsid w:val="519E3149"/>
    <w:multiLevelType w:val="hybridMultilevel"/>
    <w:lvl w:ilvl="0">
      <w:lvlJc w:val="left"/>
      <w:lvlText w:val="•"/>
      <w:numFmt w:val="bullet"/>
      <w:start w:val="1"/>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
      <w:numFmt w:val="bullet"/>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
      <w:numFmt w:val="bullet"/>
      <w:start w:val="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decimal"/>
      <w:start w:val="1"/>
    </w:lvl>
    <w:lvl w:ilvl="1">
      <w:lvlJc w:val="left"/>
      <w:lvlText w:val="(%2)"/>
      <w:numFmt w:val="lowerLetter"/>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81" Type="http://schemas.openxmlformats.org/officeDocument/2006/relationships/image" Target="media/image168.png"/><Relationship Id="rId183" Type="http://schemas.openxmlformats.org/officeDocument/2006/relationships/image" Target="media/image169.png"/><Relationship Id="rId186" Type="http://schemas.openxmlformats.org/officeDocument/2006/relationships/image" Target="media/image170.png"/><Relationship Id="rId188" Type="http://schemas.openxmlformats.org/officeDocument/2006/relationships/image" Target="media/image171.png"/><Relationship Id="rId191" Type="http://schemas.openxmlformats.org/officeDocument/2006/relationships/image" Target="media/image172.png"/><Relationship Id="rId193" Type="http://schemas.openxmlformats.org/officeDocument/2006/relationships/image" Target="media/image173.png"/><Relationship Id="rId197" Type="http://schemas.openxmlformats.org/officeDocument/2006/relationships/image" Target="media/image174.png"/><Relationship Id="rId199"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5" Type="http://schemas.openxmlformats.org/officeDocument/2006/relationships/image" Target="media/image179.png"/><Relationship Id="rId208" Type="http://schemas.openxmlformats.org/officeDocument/2006/relationships/image" Target="media/image180.png"/><Relationship Id="rId212" Type="http://schemas.openxmlformats.org/officeDocument/2006/relationships/image" Target="media/image181.png"/><Relationship Id="rId215" Type="http://schemas.openxmlformats.org/officeDocument/2006/relationships/image" Target="media/image182.png"/><Relationship Id="rId218" Type="http://schemas.openxmlformats.org/officeDocument/2006/relationships/image" Target="media/image183.png"/><Relationship Id="rId220" Type="http://schemas.openxmlformats.org/officeDocument/2006/relationships/image" Target="media/image184.png"/><Relationship Id="rId223"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31" Type="http://schemas.openxmlformats.org/officeDocument/2006/relationships/image" Target="media/image189.png"/><Relationship Id="rId234" Type="http://schemas.openxmlformats.org/officeDocument/2006/relationships/image" Target="media/image190.png"/><Relationship Id="rId237" Type="http://schemas.openxmlformats.org/officeDocument/2006/relationships/image" Target="media/image191.png"/><Relationship Id="rId240" Type="http://schemas.openxmlformats.org/officeDocument/2006/relationships/image" Target="media/image192.png"/><Relationship Id="rId243" Type="http://schemas.openxmlformats.org/officeDocument/2006/relationships/image" Target="media/image193.png"/><Relationship Id="rId246" Type="http://schemas.openxmlformats.org/officeDocument/2006/relationships/image" Target="media/image194.png"/><Relationship Id="rId249" Type="http://schemas.openxmlformats.org/officeDocument/2006/relationships/image" Target="media/image195.png"/><Relationship Id="rId251" Type="http://schemas.openxmlformats.org/officeDocument/2006/relationships/image" Target="media/image196.png"/><Relationship Id="rId255" Type="http://schemas.openxmlformats.org/officeDocument/2006/relationships/image" Target="media/image197.png"/><Relationship Id="rId257" Type="http://schemas.openxmlformats.org/officeDocument/2006/relationships/image" Target="media/image198.png"/><Relationship Id="rId269" Type="http://schemas.openxmlformats.org/officeDocument/2006/relationships/image" Target="media/image199.png"/><Relationship Id="rId270" Type="http://schemas.openxmlformats.org/officeDocument/2006/relationships/image" Target="media/image200.png"/><Relationship Id="rId271" Type="http://schemas.openxmlformats.org/officeDocument/2006/relationships/image" Target="media/image201.png"/><Relationship Id="rId272" Type="http://schemas.openxmlformats.org/officeDocument/2006/relationships/image" Target="media/image202.png"/><Relationship Id="rId273" Type="http://schemas.openxmlformats.org/officeDocument/2006/relationships/image" Target="media/image203.png"/><Relationship Id="rId274" Type="http://schemas.openxmlformats.org/officeDocument/2006/relationships/image" Target="media/image204.png"/><Relationship Id="rId275" Type="http://schemas.openxmlformats.org/officeDocument/2006/relationships/image" Target="media/image205.png"/><Relationship Id="rId276" Type="http://schemas.openxmlformats.org/officeDocument/2006/relationships/image" Target="media/image206.png"/><Relationship Id="rId277" Type="http://schemas.openxmlformats.org/officeDocument/2006/relationships/image" Target="media/image207.png"/><Relationship Id="rId278" Type="http://schemas.openxmlformats.org/officeDocument/2006/relationships/image" Target="media/image208.png"/><Relationship Id="rId279" Type="http://schemas.openxmlformats.org/officeDocument/2006/relationships/image" Target="media/image209.png"/><Relationship Id="rId280" Type="http://schemas.openxmlformats.org/officeDocument/2006/relationships/image" Target="media/image210.png"/><Relationship Id="rId281" Type="http://schemas.openxmlformats.org/officeDocument/2006/relationships/image" Target="media/image211.png"/><Relationship Id="rId282" Type="http://schemas.openxmlformats.org/officeDocument/2006/relationships/image" Target="media/image212.png"/><Relationship Id="rId283" Type="http://schemas.openxmlformats.org/officeDocument/2006/relationships/image" Target="media/image213.png"/><Relationship Id="rId284" Type="http://schemas.openxmlformats.org/officeDocument/2006/relationships/image" Target="media/image214.png"/><Relationship Id="rId285" Type="http://schemas.openxmlformats.org/officeDocument/2006/relationships/image" Target="media/image215.png"/><Relationship Id="rId286" Type="http://schemas.openxmlformats.org/officeDocument/2006/relationships/image" Target="media/image216.png"/><Relationship Id="rId287" Type="http://schemas.openxmlformats.org/officeDocument/2006/relationships/image" Target="media/image217.png"/><Relationship Id="rId288" Type="http://schemas.openxmlformats.org/officeDocument/2006/relationships/image" Target="media/image218.png"/><Relationship Id="rId289" Type="http://schemas.openxmlformats.org/officeDocument/2006/relationships/image" Target="media/image219.png"/><Relationship Id="rId290" Type="http://schemas.openxmlformats.org/officeDocument/2006/relationships/image" Target="media/image220.png"/><Relationship Id="rId291" Type="http://schemas.openxmlformats.org/officeDocument/2006/relationships/image" Target="media/image221.png"/><Relationship Id="rId292" Type="http://schemas.openxmlformats.org/officeDocument/2006/relationships/image" Target="media/image222.png"/><Relationship Id="rId293" Type="http://schemas.openxmlformats.org/officeDocument/2006/relationships/image" Target="media/image223.png"/><Relationship Id="rId294" Type="http://schemas.openxmlformats.org/officeDocument/2006/relationships/image" Target="media/image224.png"/><Relationship Id="rId295" Type="http://schemas.openxmlformats.org/officeDocument/2006/relationships/image" Target="media/image225.png"/><Relationship Id="rId296" Type="http://schemas.openxmlformats.org/officeDocument/2006/relationships/image" Target="media/image226.png"/><Relationship Id="rId297" Type="http://schemas.openxmlformats.org/officeDocument/2006/relationships/image" Target="media/image227.png"/><Relationship Id="rId298" Type="http://schemas.openxmlformats.org/officeDocument/2006/relationships/image" Target="media/image228.png"/><Relationship Id="rId299" Type="http://schemas.openxmlformats.org/officeDocument/2006/relationships/image" Target="media/image229.png"/><Relationship Id="rId300" Type="http://schemas.openxmlformats.org/officeDocument/2006/relationships/image" Target="media/image230.png"/><Relationship Id="rId301" Type="http://schemas.openxmlformats.org/officeDocument/2006/relationships/image" Target="media/image231.png"/><Relationship Id="rId302" Type="http://schemas.openxmlformats.org/officeDocument/2006/relationships/image" Target="media/image232.png"/><Relationship Id="rId303" Type="http://schemas.openxmlformats.org/officeDocument/2006/relationships/image" Target="media/image233.png"/><Relationship Id="rId304" Type="http://schemas.openxmlformats.org/officeDocument/2006/relationships/image" Target="media/image234.png"/><Relationship Id="rId305" Type="http://schemas.openxmlformats.org/officeDocument/2006/relationships/image" Target="media/image235.png"/><Relationship Id="rId306" Type="http://schemas.openxmlformats.org/officeDocument/2006/relationships/image" Target="media/image236.png"/><Relationship Id="rId307" Type="http://schemas.openxmlformats.org/officeDocument/2006/relationships/image" Target="media/image237.png"/><Relationship Id="rId308" Type="http://schemas.openxmlformats.org/officeDocument/2006/relationships/image" Target="media/image238.png"/><Relationship Id="rId309" Type="http://schemas.openxmlformats.org/officeDocument/2006/relationships/image" Target="media/image239.png"/><Relationship Id="rId68" Type="http://schemas.openxmlformats.org/officeDocument/2006/relationships/hyperlink" Target="https://www.sec.gov/ix?doc=/Archives/edgar/data/1524358/000152435823000009/vac-20221231.htm" TargetMode="External"/><Relationship Id="rId174" Type="http://schemas.openxmlformats.org/officeDocument/2006/relationships/hyperlink" Target="https://www.sec.gov/Archives/edgar/data/1524358/000119312511320045/d256766dex21.htm" TargetMode="External"/><Relationship Id="rId175" Type="http://schemas.openxmlformats.org/officeDocument/2006/relationships/hyperlink" Target="https://www.sec.gov/Archives/edgar/data/1524358/000119312518144431/d577638dex21.htm" TargetMode="External"/><Relationship Id="rId178" Type="http://schemas.openxmlformats.org/officeDocument/2006/relationships/hyperlink" Target="https://www.sec.gov/Archives/edgar/data/1524358/000152435821000007/projectchampagne-mergeragr.htm" TargetMode="External"/><Relationship Id="rId179" Type="http://schemas.openxmlformats.org/officeDocument/2006/relationships/hyperlink" Target="https://www.sec.gov/Archives/edgar/data/1524358/000152435823000022/exhibit32secondrestatedcer.htm" TargetMode="External"/><Relationship Id="rId180" Type="http://schemas.openxmlformats.org/officeDocument/2006/relationships/hyperlink" Target="https://www.sec.gov/Archives/edgar/data/1524358/000152435823000031/a2023q2ex33restatedbylawso.htm" TargetMode="External"/><Relationship Id="rId182" Type="http://schemas.openxmlformats.org/officeDocument/2006/relationships/hyperlink" Target="https://www.sec.gov/Archives/edgar/data/1524358/000119312511271851/d197736dex41.htm" TargetMode="External"/><Relationship Id="rId184" Type="http://schemas.openxmlformats.org/officeDocument/2006/relationships/hyperlink" Target="https://www.sec.gov/Archives/edgar/data/1524358/000119312519259964/d812229dex41.htm" TargetMode="External"/><Relationship Id="rId185" Type="http://schemas.openxmlformats.org/officeDocument/2006/relationships/hyperlink" Target="https://www.sec.gov/Archives/edgar/data/1524358/000119312519259964/d812229dex43.htm" TargetMode="External"/><Relationship Id="rId187" Type="http://schemas.openxmlformats.org/officeDocument/2006/relationships/hyperlink" Target="https://www.sec.gov/Archives/edgar/data/1524358/000119312521027303/d41256dex41.htm" TargetMode="External"/><Relationship Id="rId189" Type="http://schemas.openxmlformats.org/officeDocument/2006/relationships/hyperlink" Target="https://www.sec.gov/Archives/edgar/data/1524358/000119312521195243/d158882dex41.htm" TargetMode="External"/><Relationship Id="rId190" Type="http://schemas.openxmlformats.org/officeDocument/2006/relationships/hyperlink" Target="https://www.sec.gov/Archives/edgar/data/1524358/000119312521195243/d158882dex41.htm#tx158882_515" TargetMode="External"/><Relationship Id="rId192" Type="http://schemas.openxmlformats.org/officeDocument/2006/relationships/hyperlink" Target="https://www.sec.gov/Archives/edgar/data/1524358/000119312522301061/d433395dex41.htm" TargetMode="External"/><Relationship Id="rId194" Type="http://schemas.openxmlformats.org/officeDocument/2006/relationships/hyperlink" Target="https://www.sec.gov/Archives/edgar/data/1524358/000119312522301061/d433395dex41.htm#tx433395_1" TargetMode="External"/><Relationship Id="rId195" Type="http://schemas.openxmlformats.org/officeDocument/2006/relationships/hyperlink" Target="https://www.sec.gov/Archives/edgar/data/1524358/000152435820000011/a201910-kex416descript.htm" TargetMode="External"/><Relationship Id="rId196" Type="http://schemas.openxmlformats.org/officeDocument/2006/relationships/hyperlink" Target="https://www.sec.gov/Archives/edgar/data/1524358/000119312511320045/d256766dex101.htm" TargetMode="External"/><Relationship Id="rId198" Type="http://schemas.openxmlformats.org/officeDocument/2006/relationships/hyperlink" Target="https://www.sec.gov/Archives/edgar/data/1524358/000119312513173034/d500890dex101.htm" TargetMode="External"/><Relationship Id="rId200" Type="http://schemas.openxmlformats.org/officeDocument/2006/relationships/hyperlink" Target="https://www.sec.gov/Archives/edgar/data/1524358/000119312516653231/d205528dex103.htm" TargetMode="External"/><Relationship Id="rId204" Type="http://schemas.openxmlformats.org/officeDocument/2006/relationships/hyperlink" Target="https://www.sec.gov/Archives/edgar/data/1524358/000152435818000007/mvw201710kex104.htm" TargetMode="External"/><Relationship Id="rId206" Type="http://schemas.openxmlformats.org/officeDocument/2006/relationships/hyperlink" Target="https://www.sec.gov/Archives/edgar/data/1524358/000152435818000007/a201710-kex105.htm" TargetMode="External"/><Relationship Id="rId207" Type="http://schemas.openxmlformats.org/officeDocument/2006/relationships/hyperlink" Target="https://www.sec.gov/Archives/edgar/data/1524358/000152435822000013/a2021ex106xmarriottlicense.htm" TargetMode="External"/><Relationship Id="rId209" Type="http://schemas.openxmlformats.org/officeDocument/2006/relationships/hyperlink" Target="https://www.sec.gov/Archives/edgar/data/1524358/000152435822000030/a2022q2ex103marketingtrack.htm" TargetMode="External"/><Relationship Id="rId210" Type="http://schemas.openxmlformats.org/officeDocument/2006/relationships/hyperlink" Target="https://www.sec.gov/Archives/edgar/data/1524358/000119312511320045/d256766dex102.htm" TargetMode="External"/><Relationship Id="rId211" Type="http://schemas.openxmlformats.org/officeDocument/2006/relationships/hyperlink" Target="https://www.sec.gov/Archives/edgar/data/1524358/000152435818000007/mvw201710-kex107.htm" TargetMode="External"/><Relationship Id="rId213" Type="http://schemas.openxmlformats.org/officeDocument/2006/relationships/hyperlink" Target="https://www.sec.gov/Archives/edgar/data/1524358/000119312511320045/d256766dex103.htm" TargetMode="External"/><Relationship Id="rId214" Type="http://schemas.openxmlformats.org/officeDocument/2006/relationships/hyperlink" Target="https://www.sec.gov/Archives/edgar/data/1524358/000119312511320045/d256766dex104.htm" TargetMode="External"/><Relationship Id="rId216" Type="http://schemas.openxmlformats.org/officeDocument/2006/relationships/hyperlink" Target="https://www.sec.gov/Archives/edgar/data/1524358/000119312512426822/d401766dex101.htm" TargetMode="External"/><Relationship Id="rId217" Type="http://schemas.openxmlformats.org/officeDocument/2006/relationships/hyperlink" Target="https://www.sec.gov/Archives/edgar/data/1524358/000152435822000013/a2021ex1014xbonvoyaffiliat.htm" TargetMode="External"/><Relationship Id="rId219" Type="http://schemas.openxmlformats.org/officeDocument/2006/relationships/hyperlink" Target="https://www.sec.gov/Archives/edgar/data/1524358/000152435818000007/a201710-kex1014.htm" TargetMode="External"/><Relationship Id="rId221" Type="http://schemas.openxmlformats.org/officeDocument/2006/relationships/hyperlink" Target="https://www.sec.gov/Archives/edgar/data/1524358/000152435817000004/ex1014-amendedandrestateds.htm" TargetMode="External"/><Relationship Id="rId222" Type="http://schemas.openxmlformats.org/officeDocument/2006/relationships/hyperlink" Target="https://www.sec.gov/Archives/edgar/data/1524358/000119312511336723/d264428dex101.htm" TargetMode="External"/><Relationship Id="rId224" Type="http://schemas.openxmlformats.org/officeDocument/2006/relationships/hyperlink" Target="https://www.sec.gov/Archives/edgar/data/1524358/000119312511336723/d264428dex102.htm" TargetMode="External"/><Relationship Id="rId225" Type="http://schemas.openxmlformats.org/officeDocument/2006/relationships/hyperlink" Target="https://www.sec.gov/Archives/edgar/data/1524358/000119312512119944/d317362dex101.htm" TargetMode="External"/><Relationship Id="rId229" Type="http://schemas.openxmlformats.org/officeDocument/2006/relationships/hyperlink" Target="https://www.sec.gov/Archives/edgar/data/1524358/000152435823000031/a2023q2ex103xformofnonxemp.htm" TargetMode="External"/><Relationship Id="rId230" Type="http://schemas.openxmlformats.org/officeDocument/2006/relationships/hyperlink" Target="https://www.sec.gov/Archives/edgar/data/1524358/000152435823000031/a2023q1ex104xformofnonxemp.htm" TargetMode="External"/><Relationship Id="rId232" Type="http://schemas.openxmlformats.org/officeDocument/2006/relationships/hyperlink" Target="https://www.sec.gov/Archives/edgar/data/1524358/000152435823000031/a2023q2ex105xformofdirecto.htm" TargetMode="External"/><Relationship Id="rId233" Type="http://schemas.openxmlformats.org/officeDocument/2006/relationships/hyperlink" Target="https://www.sec.gov/Archives/edgar/data/1524358/000152435823000009/a2022ex1022xformofstockapp.htm" TargetMode="External"/><Relationship Id="rId235" Type="http://schemas.openxmlformats.org/officeDocument/2006/relationships/hyperlink" Target="https://www.sec.gov/Archives/edgar/data/1524358/000152435823000009/a2022ex1023xformofrestrict.htm" TargetMode="External"/><Relationship Id="rId236" Type="http://schemas.openxmlformats.org/officeDocument/2006/relationships/hyperlink" Target="https://www.sec.gov/Archives/edgar/data/1524358/000152435823000009/a2022ex1024xformofperforma.htm" TargetMode="External"/><Relationship Id="rId238" Type="http://schemas.openxmlformats.org/officeDocument/2006/relationships/hyperlink" Target="https://www.sec.gov/Archives/edgar/data/1524358/000152435823000009/a2022ex1026xformofparticip.htm" TargetMode="External"/><Relationship Id="rId239" Type="http://schemas.openxmlformats.org/officeDocument/2006/relationships/hyperlink" Target="https://www.sec.gov/Archives/edgar/data/1524358/000152435822000030/a2022q2ex104mvwcdeferredco.htm" TargetMode="External"/><Relationship Id="rId241" Type="http://schemas.openxmlformats.org/officeDocument/2006/relationships/hyperlink" Target="https://www.sec.gov/Archives/edgar/data/1524358/000119312515064836/d843780dex1021.htm" TargetMode="External"/><Relationship Id="rId242" Type="http://schemas.openxmlformats.org/officeDocument/2006/relationships/hyperlink" Target="https://www.sec.gov/Archives/edgar/data/1524358/000119312515220625/d940607dex101.htm" TargetMode="External"/><Relationship Id="rId244" Type="http://schemas.openxmlformats.org/officeDocument/2006/relationships/hyperlink" Target="https://www.sec.gov/Archives/edgar/data/1524358/000119312518266807/d597652dex49.htm" TargetMode="External"/><Relationship Id="rId245" Type="http://schemas.openxmlformats.org/officeDocument/2006/relationships/hyperlink" Target="https://www.sec.gov/Archives/edgar/data/1524358/000152435820000011/a201910-kex1038amendme.htm" TargetMode="External"/><Relationship Id="rId247" Type="http://schemas.openxmlformats.org/officeDocument/2006/relationships/hyperlink" Target="https://www.sec.gov/Archives/edgar/data/1524358/000152435823000031/a2023q2ex102amendmentno2to.htm" TargetMode="External"/><Relationship Id="rId248" Type="http://schemas.openxmlformats.org/officeDocument/2006/relationships/hyperlink" Target="https://www.sec.gov/Archives/edgar/data/1524358/000119312522097501/d303083dex101.htm" TargetMode="External"/><Relationship Id="rId250" Type="http://schemas.openxmlformats.org/officeDocument/2006/relationships/hyperlink" Target="https://www.sec.gov/Archives/edgar/data/1524358/000119312518266807/d597652dex410.htm" TargetMode="External"/><Relationship Id="rId252" Type="http://schemas.openxmlformats.org/officeDocument/2006/relationships/hyperlink" Target="https://www.sec.gov/Archives/edgar/data/1434620/000104746908008612/a2187111zex-10_12.htm" TargetMode="External"/><Relationship Id="rId253" Type="http://schemas.openxmlformats.org/officeDocument/2006/relationships/hyperlink" Target="https://www.sec.gov/Archives/edgar/data/1434620/000110465916137604/a16-16129_1ex10d1.htm" TargetMode="External"/><Relationship Id="rId254" Type="http://schemas.openxmlformats.org/officeDocument/2006/relationships/hyperlink" Target="https://www.sec.gov/Archives/edgar/data/1434620/000104746914004700/a2220043zex-10_1.htm" TargetMode="External"/><Relationship Id="rId256" Type="http://schemas.openxmlformats.org/officeDocument/2006/relationships/hyperlink" Target="https://www.sec.gov/Archives/edgar/data/1434620/000110465916120265/a16-11085_1ex10d6.htm" TargetMode="External"/><Relationship Id="rId258" Type="http://schemas.openxmlformats.org/officeDocument/2006/relationships/hyperlink" Target="https://www.sec.gov/Archives/edgar/data/1434620/000110465916120265/a16-11085_1ex10d1.htm" TargetMode="External"/><Relationship Id="rId259" Type="http://schemas.openxmlformats.org/officeDocument/2006/relationships/hyperlink" Target="https://www.sec.gov/Archives/edgar/data/1434620/000110465916120265/a16-11085_1ex10d3.htm" TargetMode="External"/><Relationship Id="rId260" Type="http://schemas.openxmlformats.org/officeDocument/2006/relationships/hyperlink" Target="https://www.sec.gov/Archives/edgar/data/1524358/000152435818000051/a9-20x20188kexhibit102.htm" TargetMode="External"/><Relationship Id="rId261" Type="http://schemas.openxmlformats.org/officeDocument/2006/relationships/hyperlink" Target="https://www.sec.gov/Archives/edgar/data/1524358/000152435818000051/a9-20x20188kexhibit101.htm" TargetMode="External"/><Relationship Id="rId262" Type="http://schemas.openxmlformats.org/officeDocument/2006/relationships/hyperlink" Target="https://www.sec.gov/Archives/edgar/data/1434620/000155837018003932/ilg-20180331ex1021fc800.htm" TargetMode="External"/><Relationship Id="rId263" Type="http://schemas.openxmlformats.org/officeDocument/2006/relationships/hyperlink" Target="https://www.sec.gov/Archives/edgar/data/1524358/000152435823000039/exhibit106amendmenttomarri.htm" TargetMode="External"/><Relationship Id="rId264" Type="http://schemas.openxmlformats.org/officeDocument/2006/relationships/hyperlink" Target="https://www.sec.gov/Archives/edgar/data/1524358/000119312521027303/d41256dex101.htm" TargetMode="External"/><Relationship Id="rId265" Type="http://schemas.openxmlformats.org/officeDocument/2006/relationships/hyperlink" Target="https://www.sec.gov/Archives/edgar/data/1524358/000119312521027303/d41256dex102.htm" TargetMode="External"/><Relationship Id="rId266" Type="http://schemas.openxmlformats.org/officeDocument/2006/relationships/hyperlink" Target="https://www.sec.gov/Archives/edgar/data/1524358/000119312522301061/d433395dex101.htm" TargetMode="External"/><Relationship Id="rId267" Type="http://schemas.openxmlformats.org/officeDocument/2006/relationships/hyperlink" Target="https://www.sec.gov/Archives/edgar/data/1524358/000119312522301061/d433395dex102.htm" TargetMode="External"/><Relationship Id="rId268" Type="http://schemas.openxmlformats.org/officeDocument/2006/relationships/hyperlink" Target="https://www.sec.gov/Archives/edgar/data/1524358/000152435822000018/a2022q1ex102umbrellaip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2024-02-27T16:27:27Z</dcterms:created>
  <dcterms:modified xsi:type="dcterms:W3CDTF">2024-02-27T16:27:27Z</dcterms:modified>
</cp:coreProperties>
</file>