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14, 2013</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7"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1" w:lineRule="exact"/>
        <w:rPr>
          <w:sz w:val="24"/>
          <w:szCs w:val="24"/>
          <w:color w:val="auto"/>
        </w:rPr>
      </w:pPr>
    </w:p>
    <w:p>
      <w:pPr>
        <w:ind w:left="356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-8890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Marriott Vacations Worldwide Corporation</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232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50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45-2598330</w:t>
            </w:r>
          </w:p>
        </w:tc>
      </w:tr>
      <w:tr>
        <w:trPr>
          <w:trHeight w:val="149"/>
        </w:trPr>
        <w:tc>
          <w:tcPr>
            <w:tcW w:w="23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5080" w:type="dxa"/>
            <w:vAlign w:val="bottom"/>
          </w:tcPr>
          <w:p>
            <w:pPr>
              <w:jc w:val="center"/>
              <w:ind w:left="3944"/>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232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5080" w:type="dxa"/>
            <w:vAlign w:val="bottom"/>
          </w:tcPr>
          <w:p>
            <w:pPr>
              <w:jc w:val="center"/>
              <w:ind w:left="3944"/>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16"/>
        </w:trPr>
        <w:tc>
          <w:tcPr>
            <w:tcW w:w="232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7"/>
              </w:rPr>
              <w:t>6649 Westwood Blvd.</w:t>
            </w:r>
          </w:p>
        </w:tc>
        <w:tc>
          <w:tcPr>
            <w:tcW w:w="5080" w:type="dxa"/>
            <w:vAlign w:val="bottom"/>
          </w:tcPr>
          <w:p>
            <w:pPr>
              <w:spacing w:after="0"/>
              <w:rPr>
                <w:sz w:val="24"/>
                <w:szCs w:val="24"/>
                <w:color w:val="auto"/>
              </w:rPr>
            </w:pPr>
          </w:p>
        </w:tc>
      </w:tr>
      <w:tr>
        <w:trPr>
          <w:trHeight w:val="229"/>
        </w:trPr>
        <w:tc>
          <w:tcPr>
            <w:tcW w:w="232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6"/>
              </w:rPr>
              <w:t>Orlando, FL</w:t>
            </w:r>
          </w:p>
        </w:tc>
        <w:tc>
          <w:tcPr>
            <w:tcW w:w="50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32821</w:t>
            </w:r>
          </w:p>
        </w:tc>
      </w:tr>
      <w:tr>
        <w:trPr>
          <w:trHeight w:val="178"/>
        </w:trPr>
        <w:tc>
          <w:tcPr>
            <w:tcW w:w="23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5080" w:type="dxa"/>
            <w:vAlign w:val="bottom"/>
          </w:tcPr>
          <w:p>
            <w:pPr>
              <w:jc w:val="center"/>
              <w:ind w:left="3944"/>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48"/>
        </w:trPr>
        <w:tc>
          <w:tcPr>
            <w:tcW w:w="2320" w:type="dxa"/>
            <w:vAlign w:val="bottom"/>
          </w:tcPr>
          <w:p>
            <w:pPr>
              <w:spacing w:after="0"/>
              <w:rPr>
                <w:sz w:val="24"/>
                <w:szCs w:val="24"/>
                <w:color w:val="auto"/>
              </w:rPr>
            </w:pPr>
          </w:p>
        </w:tc>
        <w:tc>
          <w:tcPr>
            <w:tcW w:w="5080" w:type="dxa"/>
            <w:vAlign w:val="bottom"/>
          </w:tcPr>
          <w:p>
            <w:pPr>
              <w:jc w:val="right"/>
              <w:ind w:right="2844"/>
              <w:spacing w:after="0"/>
              <w:rPr>
                <w:sz w:val="20"/>
                <w:szCs w:val="20"/>
                <w:color w:val="auto"/>
              </w:rPr>
            </w:pPr>
            <w:r>
              <w:rPr>
                <w:rFonts w:ascii="Times New Roman" w:cs="Times New Roman" w:eastAsia="Times New Roman" w:hAnsi="Times New Roman"/>
                <w:sz w:val="18"/>
                <w:szCs w:val="18"/>
                <w:b w:val="1"/>
                <w:bCs w:val="1"/>
                <w:color w:val="auto"/>
              </w:rPr>
              <w:t>(407) 206-6000</w:t>
            </w:r>
          </w:p>
        </w:tc>
      </w:tr>
      <w:tr>
        <w:trPr>
          <w:trHeight w:val="178"/>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r>
    </w:tbl>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8" w:lineRule="exact"/>
        <w:rPr>
          <w:sz w:val="24"/>
          <w:szCs w:val="24"/>
          <w:color w:val="auto"/>
        </w:rPr>
      </w:pPr>
    </w:p>
    <w:p>
      <w:pPr>
        <w:ind w:right="28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smaller reporting company. See definition of “large accelerated filer,” “accelerated filer” and “smaller reporting company” in Rule 12b-2 of the Exchange Act:</w:t>
      </w:r>
    </w:p>
    <w:p>
      <w:pPr>
        <w:sectPr>
          <w:pgSz w:w="11900" w:h="16838" w:orient="portrait"/>
          <w:cols w:equalWidth="0" w:num="1">
            <w:col w:w="11420"/>
          </w:cols>
          <w:pgMar w:left="240" w:top="226" w:right="239" w:bottom="1440" w:gutter="0" w:footer="0" w:header="0"/>
        </w:sectPr>
      </w:pP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26"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26" w:right="239" w:bottom="1440" w:gutter="0" w:footer="0" w:header="0"/>
          <w:type w:val="continuous"/>
        </w:sectPr>
      </w:pPr>
    </w:p>
    <w:p>
      <w:pPr>
        <w:spacing w:after="0" w:line="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26"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The number of shares outstanding of the issuer’s common stock, par value $0.01 per share, as of July 12, 2013 was 35,377,732.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160" w:type="dxa"/>
            <w:vAlign w:val="bottom"/>
            <w:gridSpan w:val="20"/>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INFORMATION (UNAUDITED)</w:t>
              </w:r>
            </w:hyperlink>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10160" w:type="dxa"/>
            <w:vAlign w:val="bottom"/>
            <w:gridSpan w:val="20"/>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35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Interim Consolidated Financial Statements</w:t>
              </w:r>
            </w:hyperlink>
          </w:p>
        </w:tc>
        <w:tc>
          <w:tcPr>
            <w:tcW w:w="66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Interim Consolidated Statements of Operations</w:t>
              </w:r>
            </w:hyperlink>
          </w:p>
        </w:tc>
        <w:tc>
          <w:tcPr>
            <w:tcW w:w="68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60" w:type="dxa"/>
            <w:vAlign w:val="bottom"/>
            <w:gridSpan w:val="20"/>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Interim Consolidated Statements of Comprehensive Income (Loss)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Interim Consolidated Balance Sheets</w:t>
              </w:r>
            </w:hyperlink>
          </w:p>
        </w:tc>
        <w:tc>
          <w:tcPr>
            <w:tcW w:w="54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60" w:type="dxa"/>
            <w:vAlign w:val="bottom"/>
            <w:gridSpan w:val="20"/>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Interim Consolidated Statements of Cash Flows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Notes to Interim Consolidated Financial Statements</w:t>
              </w:r>
            </w:hyperlink>
          </w:p>
        </w:tc>
        <w:tc>
          <w:tcPr>
            <w:tcW w:w="65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160" w:type="dxa"/>
            <w:vAlign w:val="bottom"/>
            <w:gridSpan w:val="20"/>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55">
              <w:r>
                <w:rPr>
                  <w:rFonts w:ascii="Times New Roman" w:cs="Times New Roman" w:eastAsia="Times New Roman" w:hAnsi="Times New Roman"/>
                  <w:sz w:val="18"/>
                  <w:szCs w:val="18"/>
                  <w:color w:val="0000EE"/>
                  <w:w w:val="97"/>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38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55">
              <w:r>
                <w:rPr>
                  <w:rFonts w:ascii="Times New Roman" w:cs="Times New Roman" w:eastAsia="Times New Roman" w:hAnsi="Times New Roman"/>
                  <w:sz w:val="18"/>
                  <w:szCs w:val="18"/>
                  <w:color w:val="0000EE"/>
                  <w:w w:val="98"/>
                </w:rPr>
                <w:t>Controls and Procedures</w:t>
              </w:r>
            </w:hyperlink>
          </w:p>
        </w:tc>
        <w:tc>
          <w:tcPr>
            <w:tcW w:w="84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b w:val="1"/>
                <w:bCs w:val="1"/>
                <w:color w:val="0000EE"/>
                <w:w w:val="96"/>
              </w:rPr>
            </w:pPr>
            <w:hyperlink w:anchor="page55">
              <w:r>
                <w:rPr>
                  <w:rFonts w:ascii="Times New Roman" w:cs="Times New Roman" w:eastAsia="Times New Roman" w:hAnsi="Times New Roman"/>
                  <w:sz w:val="18"/>
                  <w:szCs w:val="18"/>
                  <w:b w:val="1"/>
                  <w:bCs w:val="1"/>
                  <w:color w:val="0000EE"/>
                  <w:w w:val="96"/>
                </w:rPr>
                <w:t>OTHER INFORMATION</w:t>
              </w:r>
            </w:hyperlink>
          </w:p>
        </w:tc>
        <w:tc>
          <w:tcPr>
            <w:tcW w:w="818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0160" w:type="dxa"/>
            <w:vAlign w:val="bottom"/>
            <w:gridSpan w:val="20"/>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13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Risk Factors</w:t>
              </w:r>
            </w:hyperlink>
          </w:p>
        </w:tc>
        <w:tc>
          <w:tcPr>
            <w:tcW w:w="88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160" w:type="dxa"/>
            <w:vAlign w:val="bottom"/>
            <w:gridSpan w:val="20"/>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Unregistered Sales of Equity Securities and Use of Proceeds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2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Defaults Upon Senior Securities</w:t>
              </w:r>
            </w:hyperlink>
          </w:p>
        </w:tc>
        <w:tc>
          <w:tcPr>
            <w:tcW w:w="1960" w:type="dxa"/>
            <w:vAlign w:val="bottom"/>
            <w:tcBorders>
              <w:top w:val="single" w:sz="8" w:color="0000EE"/>
            </w:tcBorders>
            <w:gridSpan w:val="7"/>
          </w:tcPr>
          <w:p>
            <w:pPr>
              <w:spacing w:after="0"/>
              <w:rPr>
                <w:sz w:val="17"/>
                <w:szCs w:val="17"/>
                <w:color w:val="auto"/>
              </w:rPr>
            </w:pPr>
          </w:p>
        </w:tc>
        <w:tc>
          <w:tcPr>
            <w:tcW w:w="59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Mine Safety Disclosures</w:t>
              </w:r>
            </w:hyperlink>
          </w:p>
        </w:tc>
        <w:tc>
          <w:tcPr>
            <w:tcW w:w="842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0160" w:type="dxa"/>
            <w:vAlign w:val="bottom"/>
            <w:gridSpan w:val="20"/>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56">
              <w:r>
                <w:rPr>
                  <w:rFonts w:ascii="Times New Roman" w:cs="Times New Roman" w:eastAsia="Times New Roman" w:hAnsi="Times New Roman"/>
                  <w:sz w:val="18"/>
                  <w:szCs w:val="18"/>
                  <w:color w:val="0000EE"/>
                  <w:w w:val="96"/>
                </w:rPr>
                <w:t>Exhibits</w:t>
              </w:r>
            </w:hyperlink>
          </w:p>
        </w:tc>
        <w:tc>
          <w:tcPr>
            <w:tcW w:w="680" w:type="dxa"/>
            <w:vAlign w:val="bottom"/>
            <w:tcBorders>
              <w:top w:val="single" w:sz="8" w:color="0000EE"/>
            </w:tcBorders>
            <w:gridSpan w:val="3"/>
          </w:tcPr>
          <w:p>
            <w:pPr>
              <w:spacing w:after="0"/>
              <w:rPr>
                <w:sz w:val="17"/>
                <w:szCs w:val="17"/>
                <w:color w:val="auto"/>
              </w:rPr>
            </w:pPr>
          </w:p>
        </w:tc>
        <w:tc>
          <w:tcPr>
            <w:tcW w:w="888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4"/>
              </w:rPr>
            </w:pPr>
            <w:hyperlink w:anchor="page57">
              <w:r>
                <w:rPr>
                  <w:rFonts w:ascii="Times New Roman" w:cs="Times New Roman" w:eastAsia="Times New Roman" w:hAnsi="Times New Roman"/>
                  <w:sz w:val="18"/>
                  <w:szCs w:val="18"/>
                  <w:color w:val="0000EE"/>
                  <w:w w:val="94"/>
                </w:rPr>
                <w:t>SIGNATURES</w:t>
              </w:r>
            </w:hyperlink>
          </w:p>
        </w:tc>
        <w:tc>
          <w:tcPr>
            <w:tcW w:w="952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8"/>
              </w:rPr>
              <w:t>Twelve Weeks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Twenty-Four Weeks Ended</w:t>
            </w:r>
          </w:p>
        </w:tc>
      </w:tr>
      <w:tr>
        <w:trPr>
          <w:trHeight w:val="125"/>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0" w:type="dxa"/>
            <w:vAlign w:val="bottom"/>
            <w:tcBorders>
              <w:top w:val="single" w:sz="8" w:color="auto"/>
            </w:tcBorders>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56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400"/>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14,</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33"/>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10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55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9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Financing</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Rental</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Cost reimbursements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20" w:type="dxa"/>
            <w:vAlign w:val="bottom"/>
          </w:tcPr>
          <w:p>
            <w:pPr>
              <w:spacing w:after="0"/>
              <w:rPr>
                <w:sz w:val="20"/>
                <w:szCs w:val="20"/>
                <w:color w:val="auto"/>
              </w:rPr>
            </w:pPr>
          </w:p>
        </w:tc>
        <w:tc>
          <w:tcPr>
            <w:tcW w:w="55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Marketing and sales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Financing</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Rental</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Litigation settlement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Organizational and separation related</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Royalty fee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Impairment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 reimbursements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w:t>
            </w: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Gains and other income</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Impairment reversals on equity investment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2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94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0.39</w:t>
            </w: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computing basic earnings per share</w:t>
            </w:r>
          </w:p>
        </w:tc>
        <w:tc>
          <w:tcPr>
            <w:tcW w:w="1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94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r>
      <w:tr>
        <w:trPr>
          <w:trHeight w:val="22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computing diluted earnings per share</w:t>
            </w:r>
          </w:p>
        </w:tc>
        <w:tc>
          <w:tcPr>
            <w:tcW w:w="1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Interim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COMPREHENSIVE INCOME (LOSS)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00" w:type="dxa"/>
            <w:vAlign w:val="bottom"/>
          </w:tcPr>
          <w:p>
            <w:pPr>
              <w:spacing w:after="0"/>
              <w:rPr>
                <w:sz w:val="14"/>
                <w:szCs w:val="14"/>
                <w:color w:val="auto"/>
              </w:rPr>
            </w:pPr>
          </w:p>
        </w:tc>
        <w:tc>
          <w:tcPr>
            <w:tcW w:w="206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840" w:type="dxa"/>
            <w:vAlign w:val="bottom"/>
            <w:tcBorders>
              <w:top w:val="single" w:sz="8" w:color="auto"/>
            </w:tcBorders>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3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460"/>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14,</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39"/>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the Interim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6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(including $42 and $31 from VIEs, respectively)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Accounts and contracts receivable (including $5 and $5 from VIEs, respectively)</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ownership notes receivable (including $699 and $727 from VIEs, respectively)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2,511</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Advance deposits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(including $2 and $1 from VIEs, respectively)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benefits liability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Marriott Rewards customer loyalty program</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Mandatorily redeemable preferred stock of consolidated subsidiary</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(including $643 and $674 from VIEs, respectively)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Contingencies and Commitments (Note 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stock—$.01 par value; 2,000,000 shares authorized; none issued or outstanding</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Common stock—$.01 par value; 100,000,000 shares authorized; 35,369,314 and 35,026,533 shares issued and outstanding,</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abbreviation VIEs above means Variable Interest Entities.</w:t>
      </w:r>
    </w:p>
    <w:p>
      <w:pPr>
        <w:spacing w:after="0" w:line="16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See Notes to Interim Consolidated Financial Statements</w:t>
      </w:r>
    </w:p>
    <w:p>
      <w:pPr>
        <w:spacing w:after="0" w:line="16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5"/>
              </w:rPr>
              <w:t>Twenty-Four Weeks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460" w:type="dxa"/>
            <w:vAlign w:val="bottom"/>
          </w:tcPr>
          <w:p>
            <w:pPr>
              <w:spacing w:after="0"/>
              <w:rPr>
                <w:sz w:val="10"/>
                <w:szCs w:val="10"/>
                <w:color w:val="auto"/>
              </w:rPr>
            </w:pPr>
          </w:p>
        </w:tc>
        <w:tc>
          <w:tcPr>
            <w:tcW w:w="1340" w:type="dxa"/>
            <w:vAlign w:val="bottom"/>
            <w:tcBorders>
              <w:top w:val="single" w:sz="8" w:color="auto"/>
            </w:tcBorders>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5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12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Impairment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Impairment reversals on equity investment</w:t>
            </w:r>
          </w:p>
        </w:tc>
        <w:tc>
          <w:tcPr>
            <w:tcW w:w="100" w:type="dxa"/>
            <w:vAlign w:val="bottom"/>
          </w:tcPr>
          <w:p>
            <w:pPr>
              <w:spacing w:after="0"/>
              <w:rPr>
                <w:sz w:val="18"/>
                <w:szCs w:val="18"/>
                <w:color w:val="auto"/>
              </w:rPr>
            </w:pPr>
          </w:p>
        </w:tc>
        <w:tc>
          <w:tcPr>
            <w:tcW w:w="12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Gain on disposal of 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change in assets and liabilities: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and contracts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Notes receivable originations</w:t>
            </w:r>
          </w:p>
        </w:tc>
        <w:tc>
          <w:tcPr>
            <w:tcW w:w="10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Notes receivable collections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payable, advance deposits and accrued liabilities</w:t>
            </w:r>
          </w:p>
        </w:tc>
        <w:tc>
          <w:tcPr>
            <w:tcW w:w="10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Liability for Marriott Rewards customer loyalty program</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Payroll and benefit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0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expenditures for property and equipment (excluding inventory)</w:t>
            </w:r>
          </w:p>
        </w:tc>
        <w:tc>
          <w:tcPr>
            <w:tcW w:w="10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Decrease in restricted cash</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Dispositions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Borrowings from securitization transactions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Repayment of debt related to securitization transactions</w:t>
            </w:r>
          </w:p>
        </w:tc>
        <w:tc>
          <w:tcPr>
            <w:tcW w:w="10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Borrowings on Revolving Corporate Credit Facility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Repayments on Revolving Corporate Credit Facility</w:t>
            </w:r>
          </w:p>
        </w:tc>
        <w:tc>
          <w:tcPr>
            <w:tcW w:w="10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 of withholding taxes on vesting of restricted stock units</w:t>
            </w:r>
          </w:p>
        </w:tc>
        <w:tc>
          <w:tcPr>
            <w:tcW w:w="10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Effect of changes in exchange rates on cash and cash equivalents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Interim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INTERIM CONSOLIDATED FINANCIAL STATEMENTS</w:t>
      </w:r>
    </w:p>
    <w:p>
      <w:pPr>
        <w:spacing w:after="0" w:line="157" w:lineRule="exact"/>
        <w:rPr>
          <w:sz w:val="20"/>
          <w:szCs w:val="20"/>
          <w:color w:val="auto"/>
        </w:rPr>
      </w:pPr>
    </w:p>
    <w:p>
      <w:pPr>
        <w:ind w:right="6620" w:firstLine="8"/>
        <w:spacing w:after="0" w:line="345" w:lineRule="auto"/>
        <w:tabs>
          <w:tab w:leader="none" w:pos="17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Our Business</w:t>
      </w:r>
    </w:p>
    <w:p>
      <w:pPr>
        <w:spacing w:after="0" w:line="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(“Ritz-Carlton”), a subsidiary of Marriott International, Inc. (“Marriott International”), generally provides on-site management for Ritz-Carlton branded properties.</w:t>
      </w:r>
    </w:p>
    <w:p>
      <w:pPr>
        <w:spacing w:after="0" w:line="139"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Our business is grouped into three reportable segments: North America, Europe and Asia Pacific. We operate 63 properties in the United States and nine other countries and territories.</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We generate most of our revenues from four primary sources: selling vacation ownership products, managing our resorts, financing consumer purchases, and renting vacation ownership inventory.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Spin-Off from Marriott International, Inc.</w:t>
      </w:r>
    </w:p>
    <w:p>
      <w:pPr>
        <w:spacing w:after="0" w:line="9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On November 21, 2011, the spin-off of Marriott Vacations Worldwide (the “Spin-Off”) from Marriott International, Inc. (“Marriott International”) was completed. In the Spin-Off, Marriott International’s vacation ownership operations and related residential business were separated from Marriott International through a special tax-free dividend to Marriott International’s shareholders of all of the issued and outstanding common stock of our company. As a result of the Spin-Off, we became an independent company, and our common stock is listed on the New York Stock Exchange under the symbol “VAC.” Following the Spin-Off, we and Marriott International have operated independently, and neither company has any ownership interest in the other.</w:t>
      </w:r>
    </w:p>
    <w:p>
      <w:pPr>
        <w:spacing w:after="0" w:line="13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order to provide for an orderly transition to our status as an independent, publicly owned company and to govern the ongoing relationship between us and Marriott International, we and Marriott International entered into material agreements pertaining to the provision by each company to the other of certain services, and the rights and obligations of each company, following the Spin-Off. These agreements also provide for each company to indemnify the other against certain liabilities arising from our respective businesses. The agreements include a License, Services, and Development Agreement with Marriott International and its subsidiary Marriott Worldwide Corporation and a License, Services, and Development Agreement with Ritz-Carlton under which we are granted the exclusive right, for the terms of the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p>
    <w:p>
      <w:pPr>
        <w:spacing w:after="0" w:line="92"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the consolidation accounting guidance. Intercompany accounts and transactions between consolidated companies have been eliminated in consolidation. The interim consolidated financial statements reflect our financial position, results of operations and cash flows as prepared in conformity with United States Generally Accepted Accounting Principles (“GAAP”).</w:t>
      </w:r>
    </w:p>
    <w:p>
      <w:pPr>
        <w:spacing w:after="0" w:line="139" w:lineRule="exact"/>
        <w:rPr>
          <w:sz w:val="20"/>
          <w:szCs w:val="20"/>
          <w:color w:val="auto"/>
        </w:rPr>
      </w:pPr>
    </w:p>
    <w:p>
      <w:pPr>
        <w:ind w:right="540" w:firstLine="456"/>
        <w:spacing w:after="0" w:line="262" w:lineRule="auto"/>
        <w:rPr>
          <w:sz w:val="20"/>
          <w:szCs w:val="20"/>
          <w:color w:val="auto"/>
        </w:rPr>
      </w:pPr>
      <w:r>
        <w:rPr>
          <w:rFonts w:ascii="Times New Roman" w:cs="Times New Roman" w:eastAsia="Times New Roman" w:hAnsi="Times New Roman"/>
          <w:sz w:val="18"/>
          <w:szCs w:val="18"/>
          <w:color w:val="auto"/>
        </w:rPr>
        <w:t>We refer throughout to (i) our Interim Consolidated Financial Statements as our “Financial Statements,” (ii) our Interim Consolidated Statements of Operations as our “Statements of Operations,” (iii) our Interim Consolidated Balance Sheets as our “Balance Sheets” and (iv) our Interim Consolidated Statements of Cash Flows as our “Cash Flows.”</w:t>
      </w:r>
    </w:p>
    <w:p>
      <w:pPr>
        <w:spacing w:after="0" w:line="132"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Unless otherwise specified, each reference to a particular quarter in these Financial Statements means the twelve weeks ended on the date shown in the following table, rather than the corresponding calendar quarter:</w:t>
      </w:r>
    </w:p>
    <w:p>
      <w:pPr>
        <w:spacing w:after="0" w:line="158"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19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Quarter-End Date</w:t>
            </w:r>
          </w:p>
        </w:tc>
      </w:tr>
      <w:tr>
        <w:trPr>
          <w:trHeight w:val="189"/>
        </w:trPr>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9"/>
              </w:rPr>
              <w:t>2013</w:t>
            </w:r>
          </w:p>
        </w:tc>
        <w:tc>
          <w:tcPr>
            <w:tcW w:w="22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Second Quarter</w:t>
            </w:r>
          </w:p>
        </w:tc>
        <w:tc>
          <w:tcPr>
            <w:tcW w:w="38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June 14, 2013</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2013</w:t>
            </w: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3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22, 2013</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2012</w:t>
            </w: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3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15, 2012</w:t>
            </w:r>
          </w:p>
        </w:tc>
      </w:tr>
      <w:tr>
        <w:trPr>
          <w:trHeight w:val="22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2012</w:t>
            </w: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38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23, 2012</w:t>
            </w:r>
          </w:p>
        </w:tc>
      </w:tr>
      <w:tr>
        <w:trPr>
          <w:trHeight w:val="365"/>
        </w:trPr>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40" w:type="dxa"/>
            <w:vAlign w:val="bottom"/>
          </w:tcPr>
          <w:p>
            <w:pPr>
              <w:jc w:val="right"/>
              <w:ind w:right="2492"/>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w:t>
      </w:r>
    </w:p>
    <w:p>
      <w:pPr>
        <w:spacing w:after="0" w:line="132" w:lineRule="exact"/>
        <w:rPr>
          <w:sz w:val="20"/>
          <w:szCs w:val="20"/>
          <w:color w:val="auto"/>
        </w:rPr>
      </w:pPr>
    </w:p>
    <w:p>
      <w:pPr>
        <w:jc w:val="both"/>
        <w:ind w:right="440" w:firstLine="456"/>
        <w:spacing w:after="0" w:line="256" w:lineRule="auto"/>
        <w:rPr>
          <w:sz w:val="20"/>
          <w:szCs w:val="20"/>
          <w:color w:val="auto"/>
        </w:rPr>
      </w:pPr>
      <w:r>
        <w:rPr>
          <w:rFonts w:ascii="Times New Roman" w:cs="Times New Roman" w:eastAsia="Times New Roman" w:hAnsi="Times New Roman"/>
          <w:sz w:val="18"/>
          <w:szCs w:val="18"/>
          <w:color w:val="auto"/>
        </w:rPr>
        <w:t>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you should read these interim Financial Statements in conjunction with the audited annual Consolidated Financial Statements and notes to those Consolidated Financial Statements included in our Annual Report on Form 10-K for the fiscal year ended December 28, 2012, subject to the restatement of certain items noted below.</w:t>
      </w:r>
    </w:p>
    <w:p>
      <w:pPr>
        <w:spacing w:after="0" w:line="13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Marriott Rewards customer loyalty program liability, self-insured medical plan reserves, equity-based compensation, income taxes, loss contingencies and exit and disposal activities reserves. Actual amounts may differ from these estimated amounts.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reclassified certain prior year amounts to conform to our 2013 presentation.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Restatement of Prior Financial Statements</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During the course of an internal review of certain sales documentation processes related to the sale of certain vacation ownership interests in properties associated with our Europe segment, we determined that the documentation we provided for certain sales of vacation ownership products was not strictly compliant. As a result, in accordance with applicable European regulation, the period of time during which purchasers of such interests may rescind their purchases was extended. We record revenues from the sale of vacation ownership products once the rescission period has ended. Originally, we recorded revenues from these sales of vacation ownership products based on the rescission periods in effect assuming compliant documentation had been provided to the purchasers rather than the extended periods. As a result, we recognized revenue in incorrect periods between fiscal years 2010 and 2013 and misstated revenues in our previously filed consolidated financial statements.</w:t>
      </w:r>
    </w:p>
    <w:p>
      <w:pPr>
        <w:spacing w:after="0" w:line="141"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color w:val="auto"/>
        </w:rPr>
        <w:t>The documentation issue described above was limited to sales documentation provided to purchasers of certain interests in properties associated with our Europe segment. We have taken corrective measures and compliant documentation is now being provided to purchasers. In addition, we have provided compliant documentation to purchasers for whom the extended rescission period had not yet expired. The cumulative impact of these items through December 28, 2012 was a reduction in reported income before income taxes of $12 million. The cumulative impact of these items through March 22, 2013 was a reduction in reported income before income taxes of $11 million. However, as compliant documentation has since been provided, the extended rescission period for most of the purchases at issue ended during the second quarter of 2013, with sales having a net pre-tax impact of $1 million actually having been rescinded. As a result, approximately $9 million and $10 million of this cumulative impact is reflected as an increase in pre-tax income for the twelve and twenty-four weeks ended June 14, 2013, respectively, with approximately $1 million expected to be reflected in our results for the third quarter of 2013.</w:t>
      </w:r>
    </w:p>
    <w:p>
      <w:pPr>
        <w:spacing w:after="0" w:line="11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consolidated restated financial statements will include certain other corrections related to the timing of recording adjustments to previously reported deferred tax balances. Certain deferred tax assets were determined to not be realizable in future years and thus were eliminated, albeit in the incorrect fiscal year for the years ended December 28, 2012, December 30, 2011 and December 31, 2010. These corrections were identified while we were developing internal processes relating to deferred taxes after we became a standalone public company. In addition to the adjustments required as a result of the errors described above, the restated consolidated financial statements will include certain previously unrecorded immaterial adjustments to our financial statements for fiscal years 2010 and 2011 relating to cost reimbursements, which previously were recorded on a net basis.</w:t>
      </w:r>
    </w:p>
    <w:p>
      <w:pPr>
        <w:spacing w:after="0" w:line="139"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The adjustments necessary to correct all of the errors have no impact on previously reported cash flows from operations and do not have a material impact on our balance sheet as of any date. In accordance with applicable accounting guidance, an adjustment to the financial statements for each individual period presented is required to reflect the correction of the period-specific effects of the errors described above, if material. Based on our evaluation of relevant quantitative and qualitative factors, we determined the identified misstatements are not material to our individual prior period consolidated financial statements; however, the cumulative correction of the prior period errors would be material to our current year consolidated financial statements. Consequently, we will restate the consolidated Statements of Operations for the years ended December 28, 2012 and December 30, 2011, and the Statements of Operations for the periods ended March 22, 2013 and March 23, 2012. We have restated the accompanying consolidated Balance Sheet as of December 28, 2012 and the Statement of Operations for the twelve and twenty-four weeks ended June 15, 2012. We have also restated the opening December 29, 2012 balances presented in our shareholders’ equity table as of June 14, 2013 (included in Footnote No. 12, “Shareholders’ Equity”) appearing herein, from amounts previously reported, to correct the prior period misstatements.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cumulative impact of these misstatements on our 2012 annual and interim consolidated statements of cash flows is inconsequential as the impact on individual line items within operating activities is not material and had no impact on net cash provided by (used in) operating, investing or financing activities. However, we will restate the 2012 statement of cash flows when disclosed in our Annual Report on Form 10-K for the fiscal year ended January 3, 2014 to reflect changes to individual line items within operating activities.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impact of these adjustments on the financial statements is detailed in the tables below.</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For the Twelve Weeks Ended</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March 22, 2013</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4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center"/>
              <w:ind w:right="192"/>
              <w:spacing w:after="0" w:line="125" w:lineRule="exact"/>
              <w:rPr>
                <w:sz w:val="20"/>
                <w:szCs w:val="20"/>
                <w:color w:val="auto"/>
              </w:rPr>
            </w:pPr>
            <w:r>
              <w:rPr>
                <w:rFonts w:ascii="Times New Roman" w:cs="Times New Roman" w:eastAsia="Times New Roman" w:hAnsi="Times New Roman"/>
                <w:sz w:val="14"/>
                <w:szCs w:val="14"/>
                <w:b w:val="1"/>
                <w:bCs w:val="1"/>
                <w:color w:val="auto"/>
              </w:rPr>
              <w:t>As</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4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r>
      <w:tr>
        <w:trPr>
          <w:trHeight w:val="165"/>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data)</w:t>
            </w:r>
          </w:p>
        </w:tc>
        <w:tc>
          <w:tcPr>
            <w:tcW w:w="2040" w:type="dxa"/>
            <w:vAlign w:val="bottom"/>
          </w:tcPr>
          <w:p>
            <w:pPr>
              <w:spacing w:after="0"/>
              <w:rPr>
                <w:sz w:val="14"/>
                <w:szCs w:val="14"/>
                <w:color w:val="auto"/>
              </w:rPr>
            </w:pPr>
          </w:p>
        </w:tc>
        <w:tc>
          <w:tcPr>
            <w:tcW w:w="720" w:type="dxa"/>
            <w:vAlign w:val="bottom"/>
            <w:gridSpan w:val="3"/>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4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140</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389</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r>
      <w:tr>
        <w:trPr>
          <w:trHeight w:val="3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29</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3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0.52</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0.53</w:t>
            </w:r>
          </w:p>
        </w:tc>
      </w:tr>
      <w:tr>
        <w:trPr>
          <w:trHeight w:val="21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0.50</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0.51</w:t>
            </w:r>
          </w:p>
        </w:tc>
      </w:tr>
      <w:tr>
        <w:trPr>
          <w:trHeight w:val="365"/>
        </w:trPr>
        <w:tc>
          <w:tcPr>
            <w:tcW w:w="4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As of December 28, 2012</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44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center"/>
              <w:ind w:right="192"/>
              <w:spacing w:after="0" w:line="125" w:lineRule="exact"/>
              <w:rPr>
                <w:sz w:val="20"/>
                <w:szCs w:val="20"/>
                <w:color w:val="auto"/>
              </w:rPr>
            </w:pPr>
            <w:r>
              <w:rPr>
                <w:rFonts w:ascii="Times New Roman" w:cs="Times New Roman" w:eastAsia="Times New Roman" w:hAnsi="Times New Roman"/>
                <w:sz w:val="14"/>
                <w:szCs w:val="14"/>
                <w:b w:val="1"/>
                <w:bCs w:val="1"/>
                <w:color w:val="auto"/>
              </w:rPr>
              <w:t>As</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4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r>
      <w:tr>
        <w:trPr>
          <w:trHeight w:val="165"/>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40" w:type="dxa"/>
            <w:vAlign w:val="bottom"/>
          </w:tcPr>
          <w:p>
            <w:pPr>
              <w:spacing w:after="0"/>
              <w:rPr>
                <w:sz w:val="14"/>
                <w:szCs w:val="14"/>
                <w:color w:val="auto"/>
              </w:rPr>
            </w:pPr>
          </w:p>
        </w:tc>
        <w:tc>
          <w:tcPr>
            <w:tcW w:w="720" w:type="dxa"/>
            <w:vAlign w:val="bottom"/>
            <w:gridSpan w:val="3"/>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4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881</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135</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r>
      <w:tr>
        <w:trPr>
          <w:trHeight w:val="228"/>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2,604</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2"/>
              </w:rPr>
              <w:t>$ 2,613</w:t>
            </w:r>
          </w:p>
        </w:tc>
      </w:tr>
      <w:tr>
        <w:trPr>
          <w:trHeight w:val="96"/>
        </w:trPr>
        <w:tc>
          <w:tcPr>
            <w:tcW w:w="4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deposits</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42</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43</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1,453</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2"/>
              </w:rPr>
              <w:t>$ 1,474</w:t>
            </w:r>
          </w:p>
        </w:tc>
      </w:tr>
      <w:tr>
        <w:trPr>
          <w:trHeight w:val="3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 (deficit)</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EQUITY</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1,151</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2"/>
              </w:rPr>
              <w:t>$ 1,139</w:t>
            </w:r>
          </w:p>
        </w:tc>
      </w:tr>
      <w:tr>
        <w:trPr>
          <w:trHeight w:val="228"/>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2,604</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2"/>
              </w:rPr>
              <w:t>$ 2,613</w:t>
            </w:r>
          </w:p>
        </w:tc>
      </w:tr>
      <w:tr>
        <w:trPr>
          <w:trHeight w:val="336"/>
        </w:trPr>
        <w:tc>
          <w:tcPr>
            <w:tcW w:w="4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For the Year Ended</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5"/>
        </w:trPr>
        <w:tc>
          <w:tcPr>
            <w:tcW w:w="4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December 28, 2012</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4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center"/>
              <w:ind w:right="192"/>
              <w:spacing w:after="0" w:line="125" w:lineRule="exact"/>
              <w:rPr>
                <w:sz w:val="20"/>
                <w:szCs w:val="20"/>
                <w:color w:val="auto"/>
              </w:rPr>
            </w:pPr>
            <w:r>
              <w:rPr>
                <w:rFonts w:ascii="Times New Roman" w:cs="Times New Roman" w:eastAsia="Times New Roman" w:hAnsi="Times New Roman"/>
                <w:sz w:val="14"/>
                <w:szCs w:val="14"/>
                <w:b w:val="1"/>
                <w:bCs w:val="1"/>
                <w:color w:val="auto"/>
              </w:rPr>
              <w:t>As</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4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r>
      <w:tr>
        <w:trPr>
          <w:trHeight w:val="165"/>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data)</w:t>
            </w:r>
          </w:p>
        </w:tc>
        <w:tc>
          <w:tcPr>
            <w:tcW w:w="2040" w:type="dxa"/>
            <w:vAlign w:val="bottom"/>
          </w:tcPr>
          <w:p>
            <w:pPr>
              <w:spacing w:after="0"/>
              <w:rPr>
                <w:sz w:val="14"/>
                <w:szCs w:val="14"/>
                <w:color w:val="auto"/>
              </w:rPr>
            </w:pPr>
          </w:p>
        </w:tc>
        <w:tc>
          <w:tcPr>
            <w:tcW w:w="720" w:type="dxa"/>
            <w:vAlign w:val="bottom"/>
            <w:gridSpan w:val="3"/>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4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627</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1,648</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2"/>
              </w:rPr>
              <w:t>$ 1,639</w:t>
            </w:r>
          </w:p>
        </w:tc>
      </w:tr>
      <w:tr>
        <w:trPr>
          <w:trHeight w:val="3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205</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1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330</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r>
      <w:tr>
        <w:trPr>
          <w:trHeight w:val="228"/>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1,623</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2"/>
              </w:rPr>
              <w:t>$ 1,620</w:t>
            </w:r>
          </w:p>
        </w:tc>
      </w:tr>
      <w:tr>
        <w:trPr>
          <w:trHeight w:val="96"/>
        </w:trPr>
        <w:tc>
          <w:tcPr>
            <w:tcW w:w="4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37</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3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0.46</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(0.27)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r>
      <w:tr>
        <w:trPr>
          <w:trHeight w:val="21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0.44</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r>
      <w:tr>
        <w:trPr>
          <w:trHeight w:val="363"/>
        </w:trPr>
        <w:tc>
          <w:tcPr>
            <w:tcW w:w="4440" w:type="dxa"/>
            <w:vAlign w:val="bottom"/>
          </w:tcPr>
          <w:p>
            <w:pPr>
              <w:spacing w:after="0"/>
              <w:rPr>
                <w:sz w:val="24"/>
                <w:szCs w:val="24"/>
                <w:color w:val="auto"/>
              </w:rPr>
            </w:pPr>
          </w:p>
        </w:tc>
        <w:tc>
          <w:tcPr>
            <w:tcW w:w="2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For the Twelve Weeks Ended</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June 15, 2012</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4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272"/>
              <w:spacing w:after="0" w:line="125" w:lineRule="exact"/>
              <w:rPr>
                <w:sz w:val="20"/>
                <w:szCs w:val="20"/>
                <w:color w:val="auto"/>
              </w:rPr>
            </w:pPr>
            <w:r>
              <w:rPr>
                <w:rFonts w:ascii="Times New Roman" w:cs="Times New Roman" w:eastAsia="Times New Roman" w:hAnsi="Times New Roman"/>
                <w:sz w:val="14"/>
                <w:szCs w:val="14"/>
                <w:b w:val="1"/>
                <w:bCs w:val="1"/>
                <w:color w:val="auto"/>
              </w:rPr>
              <w:t>As</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4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r>
      <w:tr>
        <w:trPr>
          <w:trHeight w:val="165"/>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data)</w:t>
            </w:r>
          </w:p>
        </w:tc>
        <w:tc>
          <w:tcPr>
            <w:tcW w:w="2040" w:type="dxa"/>
            <w:vAlign w:val="bottom"/>
          </w:tcPr>
          <w:p>
            <w:pPr>
              <w:spacing w:after="0"/>
              <w:rPr>
                <w:sz w:val="14"/>
                <w:szCs w:val="14"/>
                <w:color w:val="auto"/>
              </w:rPr>
            </w:pPr>
          </w:p>
        </w:tc>
        <w:tc>
          <w:tcPr>
            <w:tcW w:w="800" w:type="dxa"/>
            <w:vAlign w:val="bottom"/>
            <w:gridSpan w:val="3"/>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4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145</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387</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r>
      <w:tr>
        <w:trPr>
          <w:trHeight w:val="3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7"/>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377</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r>
      <w:tr>
        <w:trPr>
          <w:trHeight w:val="3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3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0.25</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21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0.24</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r>
      <w:tr>
        <w:trPr>
          <w:trHeight w:val="348"/>
        </w:trPr>
        <w:tc>
          <w:tcPr>
            <w:tcW w:w="4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7"/>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5"/>
              </w:rPr>
              <w:t>For the Twenty-Four Weeks Ended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5"/>
        </w:trPr>
        <w:tc>
          <w:tcPr>
            <w:tcW w:w="4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June 15, 2012</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4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272"/>
              <w:spacing w:after="0" w:line="125" w:lineRule="exact"/>
              <w:rPr>
                <w:sz w:val="20"/>
                <w:szCs w:val="20"/>
                <w:color w:val="auto"/>
              </w:rPr>
            </w:pPr>
            <w:r>
              <w:rPr>
                <w:rFonts w:ascii="Times New Roman" w:cs="Times New Roman" w:eastAsia="Times New Roman" w:hAnsi="Times New Roman"/>
                <w:sz w:val="14"/>
                <w:szCs w:val="14"/>
                <w:b w:val="1"/>
                <w:bCs w:val="1"/>
                <w:color w:val="auto"/>
              </w:rPr>
              <w:t>As</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4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r>
      <w:tr>
        <w:trPr>
          <w:trHeight w:val="165"/>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data)</w:t>
            </w:r>
          </w:p>
        </w:tc>
        <w:tc>
          <w:tcPr>
            <w:tcW w:w="2040" w:type="dxa"/>
            <w:vAlign w:val="bottom"/>
          </w:tcPr>
          <w:p>
            <w:pPr>
              <w:spacing w:after="0"/>
              <w:rPr>
                <w:sz w:val="14"/>
                <w:szCs w:val="14"/>
                <w:color w:val="auto"/>
              </w:rPr>
            </w:pPr>
          </w:p>
        </w:tc>
        <w:tc>
          <w:tcPr>
            <w:tcW w:w="800" w:type="dxa"/>
            <w:vAlign w:val="bottom"/>
            <w:gridSpan w:val="3"/>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4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279</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763</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w:t>
            </w:r>
          </w:p>
        </w:tc>
      </w:tr>
      <w:tr>
        <w:trPr>
          <w:trHeight w:val="3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17"/>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736</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w:t>
            </w:r>
          </w:p>
        </w:tc>
      </w:tr>
      <w:tr>
        <w:trPr>
          <w:trHeight w:val="3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3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0.50</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0.39</w:t>
            </w:r>
          </w:p>
        </w:tc>
      </w:tr>
      <w:tr>
        <w:trPr>
          <w:trHeight w:val="21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0.48</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r>
      <w:tr>
        <w:trPr>
          <w:trHeight w:val="348"/>
        </w:trPr>
        <w:tc>
          <w:tcPr>
            <w:tcW w:w="4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For the Year Ended</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5"/>
        </w:trPr>
        <w:tc>
          <w:tcPr>
            <w:tcW w:w="4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December 30, 2011</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4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272"/>
              <w:spacing w:after="0" w:line="125" w:lineRule="exact"/>
              <w:rPr>
                <w:sz w:val="20"/>
                <w:szCs w:val="20"/>
                <w:color w:val="auto"/>
              </w:rPr>
            </w:pPr>
            <w:r>
              <w:rPr>
                <w:rFonts w:ascii="Times New Roman" w:cs="Times New Roman" w:eastAsia="Times New Roman" w:hAnsi="Times New Roman"/>
                <w:sz w:val="14"/>
                <w:szCs w:val="14"/>
                <w:b w:val="1"/>
                <w:bCs w:val="1"/>
                <w:color w:val="auto"/>
              </w:rPr>
              <w:t>As</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4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r>
      <w:tr>
        <w:trPr>
          <w:trHeight w:val="165"/>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data)</w:t>
            </w:r>
          </w:p>
        </w:tc>
        <w:tc>
          <w:tcPr>
            <w:tcW w:w="2040" w:type="dxa"/>
            <w:vAlign w:val="bottom"/>
          </w:tcPr>
          <w:p>
            <w:pPr>
              <w:spacing w:after="0"/>
              <w:rPr>
                <w:sz w:val="14"/>
                <w:szCs w:val="14"/>
                <w:color w:val="auto"/>
              </w:rPr>
            </w:pPr>
          </w:p>
        </w:tc>
        <w:tc>
          <w:tcPr>
            <w:tcW w:w="800" w:type="dxa"/>
            <w:vAlign w:val="bottom"/>
            <w:gridSpan w:val="3"/>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4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634</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reimbursements</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331</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28"/>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1,613</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2"/>
              </w:rPr>
              <w:t>$ 1,624</w:t>
            </w:r>
          </w:p>
        </w:tc>
      </w:tr>
      <w:tr>
        <w:trPr>
          <w:trHeight w:val="96"/>
        </w:trPr>
        <w:tc>
          <w:tcPr>
            <w:tcW w:w="4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242</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342</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reimbursements</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331</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28"/>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1,833</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w:t>
            </w: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2"/>
              </w:rPr>
              <w:t>$ 1,847</w:t>
            </w:r>
          </w:p>
        </w:tc>
      </w:tr>
      <w:tr>
        <w:trPr>
          <w:trHeight w:val="96"/>
        </w:trPr>
        <w:tc>
          <w:tcPr>
            <w:tcW w:w="4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(214)</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(217)</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36</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(178)</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3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(5.29)</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0.17</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 (5.12)</w:t>
            </w:r>
          </w:p>
        </w:tc>
      </w:tr>
      <w:tr>
        <w:trPr>
          <w:trHeight w:val="21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(5.29)</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0.17</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 (5.12)</w:t>
            </w:r>
          </w:p>
        </w:tc>
      </w:tr>
      <w:tr>
        <w:trPr>
          <w:trHeight w:val="363"/>
        </w:trPr>
        <w:tc>
          <w:tcPr>
            <w:tcW w:w="4440" w:type="dxa"/>
            <w:vAlign w:val="bottom"/>
          </w:tcPr>
          <w:p>
            <w:pPr>
              <w:spacing w:after="0"/>
              <w:rPr>
                <w:sz w:val="24"/>
                <w:szCs w:val="24"/>
                <w:color w:val="auto"/>
              </w:rPr>
            </w:pPr>
          </w:p>
        </w:tc>
        <w:tc>
          <w:tcPr>
            <w:tcW w:w="2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500"/>
          </w:cols>
          <w:pgMar w:left="240" w:top="455" w:right="11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6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2010</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6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420"/>
              <w:spacing w:after="0" w:line="125" w:lineRule="exact"/>
              <w:rPr>
                <w:sz w:val="20"/>
                <w:szCs w:val="20"/>
                <w:color w:val="auto"/>
              </w:rPr>
            </w:pPr>
            <w:r>
              <w:rPr>
                <w:rFonts w:ascii="Times New Roman" w:cs="Times New Roman" w:eastAsia="Times New Roman" w:hAnsi="Times New Roman"/>
                <w:sz w:val="14"/>
                <w:szCs w:val="14"/>
                <w:b w:val="1"/>
                <w:bCs w:val="1"/>
                <w:color w:val="auto"/>
              </w:rPr>
              <w:t>As</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648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r>
      <w:tr>
        <w:trPr>
          <w:trHeight w:val="165"/>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data)</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4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196"/>
        </w:trPr>
        <w:tc>
          <w:tcPr>
            <w:tcW w:w="6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635</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reimbursements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318</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r>
      <w:tr>
        <w:trPr>
          <w:trHeight w:val="228"/>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1,584</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1,592</w:t>
            </w:r>
          </w:p>
        </w:tc>
      </w:tr>
      <w:tr>
        <w:trPr>
          <w:trHeight w:val="96"/>
        </w:trPr>
        <w:tc>
          <w:tcPr>
            <w:tcW w:w="6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reimbursements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318</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r>
      <w:tr>
        <w:trPr>
          <w:trHeight w:val="228"/>
        </w:trPr>
        <w:tc>
          <w:tcPr>
            <w:tcW w:w="6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1,496</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1,507</w:t>
            </w:r>
          </w:p>
        </w:tc>
      </w:tr>
      <w:tr>
        <w:trPr>
          <w:trHeight w:val="96"/>
        </w:trPr>
        <w:tc>
          <w:tcPr>
            <w:tcW w:w="6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3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1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bl>
    <w:p>
      <w:pPr>
        <w:spacing w:after="0" w:line="14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cumulative effect of the prior period misstatements of approximately $12 million was recorded as a reduction to retained earnings in our accompanying consolidated balance sheet as of December 28, 2012 and the opening December 28, 2012 balances presented in our stockholders’ equity disclosure as of June 14, 2013. The cumulative effect of the prior period misstatements of approximately $9 million will be presented in our Annual Report on Form 10-K for the fiscal year ended January 3, 2014 as a reduction to retained earnings as of January 1, 2011.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90" w:lineRule="exact"/>
        <w:rPr>
          <w:sz w:val="20"/>
          <w:szCs w:val="20"/>
          <w:color w:val="auto"/>
        </w:rPr>
      </w:pPr>
    </w:p>
    <w:p>
      <w:pPr>
        <w:ind w:left="240" w:right="920"/>
        <w:spacing w:after="0" w:line="277" w:lineRule="auto"/>
        <w:rPr>
          <w:sz w:val="20"/>
          <w:szCs w:val="20"/>
          <w:color w:val="auto"/>
        </w:rPr>
      </w:pPr>
      <w:r>
        <w:rPr>
          <w:rFonts w:ascii="Times New Roman" w:cs="Times New Roman" w:eastAsia="Times New Roman" w:hAnsi="Times New Roman"/>
          <w:sz w:val="18"/>
          <w:szCs w:val="18"/>
          <w:i w:val="1"/>
          <w:iCs w:val="1"/>
          <w:u w:val="single" w:color="auto"/>
          <w:color w:val="auto"/>
        </w:rPr>
        <w:t>Accounting Standards Update No. 2013-02 – “Comprehensive Income (Topic 220): Reporting of Amounts Reclassified Out of Accumulated Other Comprehensive Income” (“ASU No. 2013-02”)</w:t>
      </w:r>
    </w:p>
    <w:p>
      <w:pPr>
        <w:spacing w:after="0" w:line="37"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ASU No. 2013-02, which we adopted in the first quarter of 2013, amends existing guidance by requiring that additional information be disclosed about items reclassified (“reclassification adjustments”) out of accumulated other comprehensive income. The additional information includes a separate statement of the total change for each component of other comprehensive income (for example unrealized gains or losses on available-for-sale securities or foreign currency items) and separate disclosure of both current-period other comprehensive income and reclassification adjustments. Entities are also required to present, either on the face of the income statement or in the notes to the financial statements, significant amounts reclassified out of accumulated other comprehensive income as separate line items of net income but only if the entire amount reclassified must be reclassified to net income in the same reporting period. For amounts that are not required to be reclassified in their entirety to net income, an entity must cross-reference to other disclosures that provide additional detail about those amounts. The adoption of this update did not have a material impact on our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INCOME TAXES</w:t>
      </w:r>
    </w:p>
    <w:p>
      <w:pPr>
        <w:spacing w:after="0" w:line="9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Marriott Vacations Worldwide files U.S. consolidated federal and state tax returns, as well as separate tax filings for non-U.S. jurisdictions. On November 21, 2011, we entered into a Tax Sharing and Indemnification Agreement with Marriott International (as subsequently amended, the “Tax Sharing and Indemnification Agreement”), which governs the allocation of responsibility for federal, state, local and foreign income and other taxes related to taxable periods prior to and subsequent to the Spin-Off between Marriott International and Marriott Vacations Worldwide. Under this agreement, if any part of the Spin-Off fails to qualify for the tax treatment stated in the ruling Marriott International received from the U.S. Internal Revenue Service (the “IRS”) in connection with the Spin-Off, taxes imposed will be allocated between Marriott International and Marriott Vacations Worldwide and each will indemnify and hold harmless the other from and against the taxes so allocated. We had unrecognized tax benefits of less than $1 million at both June 14, 2013 and December 28, 2012 relating to contested tax assessments, which, if realized, would have impacted our effective tax rate.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Marriott Vacations Worldwide has joined in the Marriott International U.S. Federal tax consolidated filing for all years prior to 2011 and the portion of 2011 up to the date of the Spin-Off. The IRS has examined Marriott International’s federal income tax returns, and it has settled all issues related to the timeshare business for the tax years through the Spin-Off. Although we do not anticipate that a significant impact to our unrecognized tax benefit balance will occur during the next fiscal year as a result of audits by other tax jurisdictions, the amount of our liability for unrecognized tax benefits could change as a result of these audits. Pursuant to the Tax Sharing and Indemnification Agreement, Marriott International is liable and shall pay the relevant tax authority for all taxes related to our taxable income prior to the Spin-Off. Our tax years subsequent to the Spin-Off are subject to examination by relevant tax authorities.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VACATION OWNERSHIP NOTES RECEIVABLE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composition of our vacation ownership notes receivable balances, net of reserves:</w:t>
      </w:r>
    </w:p>
    <w:p>
      <w:pPr>
        <w:spacing w:after="0" w:line="25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14,</w:t>
            </w:r>
          </w:p>
        </w:tc>
        <w:tc>
          <w:tcPr>
            <w:tcW w:w="160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65"/>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2013</w:t>
            </w: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ownership notes receivable — securitized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Vacation ownership notes receivable — non-securitized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Eligible for securitization</w:t>
            </w:r>
            <w:r>
              <w:rPr>
                <w:rFonts w:ascii="Times New Roman" w:cs="Times New Roman" w:eastAsia="Times New Roman" w:hAnsi="Times New Roman"/>
                <w:sz w:val="11"/>
                <w:szCs w:val="11"/>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8"/>
                <w:szCs w:val="18"/>
                <w:color w:val="auto"/>
              </w:rPr>
            </w:pPr>
          </w:p>
        </w:tc>
      </w:tr>
      <w:tr>
        <w:trPr>
          <w:trHeight w:val="223"/>
        </w:trPr>
        <w:tc>
          <w:tcPr>
            <w:tcW w:w="6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Not eligible for securitization</w:t>
            </w:r>
            <w:r>
              <w:rPr>
                <w:rFonts w:ascii="Times New Roman" w:cs="Times New Roman" w:eastAsia="Times New Roman" w:hAnsi="Times New Roman"/>
                <w:sz w:val="11"/>
                <w:szCs w:val="11"/>
                <w:color w:val="auto"/>
              </w:rPr>
              <w:t>(1)</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r>
      <w:tr>
        <w:trPr>
          <w:trHeight w:val="216"/>
        </w:trPr>
        <w:tc>
          <w:tcPr>
            <w:tcW w:w="6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Subtotal</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8"/>
                <w:szCs w:val="18"/>
                <w:color w:val="auto"/>
              </w:rPr>
            </w:pP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Total vacation ownership notes receivable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Refer to Footnote No. 4, “Financial Instruments,” for a discussion of the eligibility of our vacation ownership notes receivable for securitization.</w:t>
      </w:r>
    </w:p>
    <w:p>
      <w:pPr>
        <w:spacing w:after="0" w:line="150"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tables show future principal payments, net of reserves, as well as interest rates for our securitized and non-securitized vacation ownership notes receivable:</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3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Non-Securitized</w:t>
            </w:r>
          </w:p>
        </w:tc>
        <w:tc>
          <w:tcPr>
            <w:tcW w:w="10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Securitized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Vacation</w:t>
            </w: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Vacation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Ownership</w:t>
            </w: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Ownership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5"/>
              </w:rPr>
              <w:t>Receivable</w:t>
            </w: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Receivable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14, 2013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stated interest rate at June 14, 2013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Range of stated interest rates at June 14, 2013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0.0% to 19.5%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6.0% to 18.7%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0.0% to 19.5%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We reflect interest income associated with vacation ownership notes receivable in our Statements of Operations in the Financing revenues caption. The following table summarizes interest income associated with vacation ownership notes receivable:</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76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52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7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720" w:type="dxa"/>
            <w:vAlign w:val="bottom"/>
          </w:tcPr>
          <w:p>
            <w:pPr>
              <w:spacing w:after="0"/>
              <w:rPr>
                <w:sz w:val="10"/>
                <w:szCs w:val="10"/>
                <w:color w:val="auto"/>
              </w:rPr>
            </w:pPr>
          </w:p>
        </w:tc>
        <w:tc>
          <w:tcPr>
            <w:tcW w:w="820" w:type="dxa"/>
            <w:vAlign w:val="bottom"/>
            <w:tcBorders>
              <w:top w:val="single" w:sz="8" w:color="auto"/>
            </w:tcBorders>
            <w:gridSpan w:val="3"/>
          </w:tcPr>
          <w:p>
            <w:pPr>
              <w:jc w:val="right"/>
              <w:ind w:right="340"/>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14,</w:t>
            </w:r>
          </w:p>
        </w:tc>
        <w:tc>
          <w:tcPr>
            <w:tcW w:w="3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Pr>
          <w:p>
            <w:pPr>
              <w:spacing w:after="0"/>
              <w:rPr>
                <w:sz w:val="14"/>
                <w:szCs w:val="14"/>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Interest income associated with vacation ownership notes receivable —</w:t>
            </w: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securitized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Interest income associated with vacation ownership notes receivable — non-</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securitized</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income associated with vacation ownership notes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45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of the remaining vacation ownership notes receivable. For those vacation ownership notes receivable that are not in default, we assess collectability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vacation ownership notes receivable reserve for the twenty-four weeks ended June 14, 2013:</w:t>
      </w:r>
    </w:p>
    <w:p>
      <w:pPr>
        <w:spacing w:after="0" w:line="25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180" w:type="dxa"/>
            <w:vAlign w:val="bottom"/>
            <w:gridSpan w:val="4"/>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w w:val="97"/>
              </w:rPr>
              <w:t>Non-Securitized</w:t>
            </w:r>
          </w:p>
        </w:tc>
        <w:tc>
          <w:tcPr>
            <w:tcW w:w="11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Securitized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Vacation</w:t>
            </w:r>
          </w:p>
        </w:tc>
        <w:tc>
          <w:tcPr>
            <w:tcW w:w="220" w:type="dxa"/>
            <w:vAlign w:val="bottom"/>
          </w:tcPr>
          <w:p>
            <w:pPr>
              <w:spacing w:after="0"/>
              <w:rPr>
                <w:sz w:val="12"/>
                <w:szCs w:val="12"/>
                <w:color w:val="auto"/>
              </w:rPr>
            </w:pPr>
          </w:p>
        </w:tc>
        <w:tc>
          <w:tcPr>
            <w:tcW w:w="9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Vacation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Ownership</w:t>
            </w:r>
          </w:p>
        </w:tc>
        <w:tc>
          <w:tcPr>
            <w:tcW w:w="11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Ownership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Receivable</w:t>
            </w:r>
          </w:p>
        </w:tc>
        <w:tc>
          <w:tcPr>
            <w:tcW w:w="220" w:type="dxa"/>
            <w:vAlign w:val="bottom"/>
          </w:tcPr>
          <w:p>
            <w:pPr>
              <w:spacing w:after="0"/>
              <w:rPr>
                <w:sz w:val="12"/>
                <w:szCs w:val="12"/>
                <w:color w:val="auto"/>
              </w:rPr>
            </w:pPr>
          </w:p>
        </w:tc>
        <w:tc>
          <w:tcPr>
            <w:tcW w:w="9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Receivable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Reserve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Reserve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year-end 2012</w:t>
            </w: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147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Securitizations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Clean-up calls </w:t>
            </w:r>
            <w:r>
              <w:rPr>
                <w:rFonts w:ascii="Times New Roman" w:cs="Times New Roman" w:eastAsia="Times New Roman" w:hAnsi="Times New Roman"/>
                <w:sz w:val="11"/>
                <w:szCs w:val="11"/>
                <w:color w:val="auto"/>
              </w:rPr>
              <w:t>(1)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Defaulted notes receivable repurchase activity </w:t>
            </w:r>
            <w:r>
              <w:rPr>
                <w:rFonts w:ascii="Times New Roman" w:cs="Times New Roman" w:eastAsia="Times New Roman" w:hAnsi="Times New Roman"/>
                <w:sz w:val="11"/>
                <w:szCs w:val="11"/>
                <w:color w:val="auto"/>
              </w:rPr>
              <w:t>(2)</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14, 2013</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460" w:right="240" w:hanging="452"/>
        <w:spacing w:after="0" w:line="231" w:lineRule="auto"/>
        <w:tabs>
          <w:tab w:leader="none" w:pos="46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Refers to our voluntary repurchase of previously securitized non-defaulted vacation ownership notes receivable to retire outstanding vacation ownership notes receivable securitizations.</w:t>
      </w:r>
    </w:p>
    <w:p>
      <w:pPr>
        <w:spacing w:after="0" w:line="1" w:lineRule="exact"/>
        <w:rPr>
          <w:rFonts w:ascii="Times New Roman" w:cs="Times New Roman" w:eastAsia="Times New Roman" w:hAnsi="Times New Roman"/>
          <w:sz w:val="22"/>
          <w:szCs w:val="22"/>
          <w:color w:val="auto"/>
          <w:vertAlign w:val="superscript"/>
        </w:rPr>
      </w:pPr>
    </w:p>
    <w:p>
      <w:pPr>
        <w:ind w:left="460" w:right="480" w:hanging="452"/>
        <w:spacing w:after="0" w:line="225" w:lineRule="auto"/>
        <w:tabs>
          <w:tab w:leader="none" w:pos="46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Decrease in securitized vacation ownership notes receivable reserve and increase in non-securitized vacation ownership notes receivable reserve was attributable to the transfer of the reserve when we voluntarily repurchased the vacation ownership notes receivable.</w:t>
      </w:r>
    </w:p>
    <w:p>
      <w:pPr>
        <w:spacing w:after="0" w:line="151"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principal, interest, fees and penalties owed and fully reinstate the note. We write off uncollectible vacation ownership notes receivable against the reserve once we receive title of the vacation ownership products through the foreclosure or deed-in-lieu process or, in Europe or Asia Pacific, when revocation is complete. For both non-securitized and securitized vacation ownership notes receivable, we estimated average remaining default rates of 7.20 percent and 7.42 percent as of June 14, 2013 and December 28, 2012, respectively. A 0.5 percentage point increase in the estimated default rate would have resulted in an increase in our allowance for credit losses of $5 million as of June 14, 2013 and $6 million as of December 28, 2012.</w:t>
      </w:r>
    </w:p>
    <w:p>
      <w:pPr>
        <w:spacing w:after="0" w:line="33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our recorded investment in non-accrual vacation ownership notes receivable, which are vacation ownership notes receivable that are 90 days or more past due:</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w w:val="95"/>
              </w:rPr>
              <w:t>Non-Securitized</w:t>
            </w:r>
          </w:p>
        </w:tc>
        <w:tc>
          <w:tcPr>
            <w:tcW w:w="13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w w:val="92"/>
              </w:rPr>
              <w:t>Securitized</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4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w w:val="96"/>
              </w:rPr>
              <w:t>Vacation</w:t>
            </w:r>
          </w:p>
        </w:tc>
        <w:tc>
          <w:tcPr>
            <w:tcW w:w="6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Vacation</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w w:val="96"/>
              </w:rPr>
              <w:t>Ownership</w:t>
            </w:r>
          </w:p>
        </w:tc>
        <w:tc>
          <w:tcPr>
            <w:tcW w:w="1300" w:type="dxa"/>
            <w:vAlign w:val="bottom"/>
            <w:gridSpan w:val="3"/>
          </w:tcPr>
          <w:p>
            <w:pPr>
              <w:ind w:left="6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Ownership</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Notes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47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5"/>
              </w:rPr>
              <w:t>Receivable</w:t>
            </w:r>
          </w:p>
        </w:tc>
        <w:tc>
          <w:tcPr>
            <w:tcW w:w="6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Receivable</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2"/>
        </w:trPr>
        <w:tc>
          <w:tcPr>
            <w:tcW w:w="47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Investment in notes receivable on non-accrual status at</w:t>
            </w: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June 14, 2013</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7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0"/>
                <w:szCs w:val="20"/>
                <w:color w:val="auto"/>
              </w:rPr>
            </w:pPr>
          </w:p>
        </w:tc>
      </w:tr>
      <w:tr>
        <w:trPr>
          <w:trHeight w:val="202"/>
        </w:trPr>
        <w:tc>
          <w:tcPr>
            <w:tcW w:w="47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Investment in notes receivable on non-accrual status at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28, 2012</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7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r>
      <w:tr>
        <w:trPr>
          <w:trHeight w:val="204"/>
        </w:trPr>
        <w:tc>
          <w:tcPr>
            <w:tcW w:w="47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Average investment in notes receivable on non-accrual status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during the twenty-four weeks ended June 14, 2013</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7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0"/>
                <w:szCs w:val="20"/>
                <w:color w:val="auto"/>
              </w:rPr>
            </w:pPr>
          </w:p>
        </w:tc>
      </w:tr>
      <w:tr>
        <w:trPr>
          <w:trHeight w:val="202"/>
        </w:trPr>
        <w:tc>
          <w:tcPr>
            <w:tcW w:w="47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Average investment in notes receivable on non-accrual status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during the twenty-four weeks ended June 15, 2012</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7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r>
      <w:tr>
        <w:trPr>
          <w:trHeight w:val="365"/>
        </w:trPr>
        <w:tc>
          <w:tcPr>
            <w:tcW w:w="472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shows the aging of the recorded investment in principal, before reserves, in vacation ownership notes receivable as of June 14, 2013:</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Non-Securitized</w:t>
            </w:r>
          </w:p>
        </w:tc>
        <w:tc>
          <w:tcPr>
            <w:tcW w:w="70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Securitized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Vacation</w:t>
            </w:r>
          </w:p>
        </w:tc>
        <w:tc>
          <w:tcPr>
            <w:tcW w:w="7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Vacation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Ownership</w:t>
            </w:r>
          </w:p>
        </w:tc>
        <w:tc>
          <w:tcPr>
            <w:tcW w:w="7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Ownership</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Notes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Receivable</w:t>
            </w:r>
          </w:p>
        </w:tc>
        <w:tc>
          <w:tcPr>
            <w:tcW w:w="7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Receivable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31–90 days past due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91–150 days past due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150 days past due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r>
      <w:tr>
        <w:trPr>
          <w:trHeight w:val="21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1,019</w:t>
            </w:r>
          </w:p>
        </w:tc>
        <w:tc>
          <w:tcPr>
            <w:tcW w:w="10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vacation ownership notes receivable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1,130</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shows the aging of the recorded investment in principal, before reserves, in vacation ownership notes receivable as of December 28,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2012:</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Non-Securitized</w:t>
            </w:r>
          </w:p>
        </w:tc>
        <w:tc>
          <w:tcPr>
            <w:tcW w:w="70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Securitized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Vacation</w:t>
            </w:r>
          </w:p>
        </w:tc>
        <w:tc>
          <w:tcPr>
            <w:tcW w:w="7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Vacation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Ownership</w:t>
            </w:r>
          </w:p>
        </w:tc>
        <w:tc>
          <w:tcPr>
            <w:tcW w:w="7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Ownership</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Notes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Receivable</w:t>
            </w:r>
          </w:p>
        </w:tc>
        <w:tc>
          <w:tcPr>
            <w:tcW w:w="7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Receivable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31–90 days past due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91–150 days past due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150 days past due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r>
      <w:tr>
        <w:trPr>
          <w:trHeight w:val="21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1,086</w:t>
            </w:r>
          </w:p>
        </w:tc>
        <w:tc>
          <w:tcPr>
            <w:tcW w:w="10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vacation ownership notes receivable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1,203</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FINANCIAL INSTRUMENTS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following table shows the carrying values and the estimated fair values of financial assets and liabilities that qualify as financial instruments, determined in accordance with current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and Accounts payable, which had fair values approximating their carrying amounts due to the short maturities and liquidity of these instruments.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At June 14, 2013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w w:val="97"/>
              </w:rPr>
              <w:t>At December 28, 2012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1020" w:type="dxa"/>
            <w:vAlign w:val="bottom"/>
            <w:tcBorders>
              <w:top w:val="single" w:sz="8" w:color="auto"/>
            </w:tcBorders>
            <w:gridSpan w:val="4"/>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35"/>
              <w:spacing w:after="0" w:line="115" w:lineRule="exact"/>
              <w:rPr>
                <w:sz w:val="20"/>
                <w:szCs w:val="20"/>
                <w:color w:val="auto"/>
              </w:rPr>
            </w:pPr>
            <w:r>
              <w:rPr>
                <w:rFonts w:ascii="Times New Roman" w:cs="Times New Roman" w:eastAsia="Times New Roman" w:hAnsi="Times New Roman"/>
                <w:sz w:val="12"/>
                <w:szCs w:val="12"/>
                <w:b w:val="1"/>
                <w:bCs w:val="1"/>
                <w:color w:val="auto"/>
              </w:rPr>
              <w:t>Fair</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top w:val="single" w:sz="8" w:color="auto"/>
            </w:tcBorders>
            <w:gridSpan w:val="3"/>
          </w:tcPr>
          <w:p>
            <w:pPr>
              <w:ind w:left="20"/>
              <w:spacing w:after="0" w:line="115"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75"/>
              <w:spacing w:after="0" w:line="115" w:lineRule="exact"/>
              <w:rPr>
                <w:sz w:val="20"/>
                <w:szCs w:val="20"/>
                <w:color w:val="auto"/>
              </w:rPr>
            </w:pPr>
            <w:r>
              <w:rPr>
                <w:rFonts w:ascii="Times New Roman" w:cs="Times New Roman" w:eastAsia="Times New Roman" w:hAnsi="Times New Roman"/>
                <w:sz w:val="12"/>
                <w:szCs w:val="12"/>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Value</w:t>
            </w:r>
            <w:r>
              <w:rPr>
                <w:rFonts w:ascii="Times New Roman" w:cs="Times New Roman" w:eastAsia="Times New Roman" w:hAnsi="Times New Roman"/>
                <w:sz w:val="20"/>
                <w:szCs w:val="20"/>
                <w:b w:val="1"/>
                <w:bCs w:val="1"/>
                <w:color w:val="auto"/>
                <w:vertAlign w:val="superscript"/>
              </w:rPr>
              <w:t>(1)</w:t>
            </w:r>
          </w:p>
        </w:tc>
        <w:tc>
          <w:tcPr>
            <w:tcW w:w="200" w:type="dxa"/>
            <w:vAlign w:val="bottom"/>
          </w:tcPr>
          <w:p>
            <w:pPr>
              <w:spacing w:after="0"/>
              <w:rPr>
                <w:sz w:val="15"/>
                <w:szCs w:val="15"/>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660" w:type="dxa"/>
            <w:vAlign w:val="bottom"/>
            <w:gridSpan w:val="3"/>
          </w:tcPr>
          <w:p>
            <w:pPr>
              <w:jc w:val="right"/>
              <w:ind w:right="78"/>
              <w:spacing w:after="0" w:line="176" w:lineRule="exact"/>
              <w:rPr>
                <w:sz w:val="20"/>
                <w:szCs w:val="20"/>
                <w:color w:val="auto"/>
              </w:rPr>
            </w:pPr>
            <w:r>
              <w:rPr>
                <w:rFonts w:ascii="Times New Roman" w:cs="Times New Roman" w:eastAsia="Times New Roman" w:hAnsi="Times New Roman"/>
                <w:sz w:val="13"/>
                <w:szCs w:val="13"/>
                <w:b w:val="1"/>
                <w:bCs w:val="1"/>
                <w:color w:val="auto"/>
                <w:w w:val="99"/>
              </w:rPr>
              <w:t>Value</w:t>
            </w:r>
            <w:r>
              <w:rPr>
                <w:rFonts w:ascii="Times New Roman" w:cs="Times New Roman" w:eastAsia="Times New Roman" w:hAnsi="Times New Roman"/>
                <w:sz w:val="20"/>
                <w:szCs w:val="20"/>
                <w:b w:val="1"/>
                <w:bCs w:val="1"/>
                <w:color w:val="auto"/>
                <w:w w:val="99"/>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ownership notes receivable — securitized</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4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Vacation ownership notes receivable — non-securitized</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8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4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1,177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Non-recourse debt associated with vacation ownership notes receivable securitizations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(539)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(567)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credit facility</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debt</w:t>
            </w:r>
          </w:p>
        </w:tc>
        <w:tc>
          <w:tcPr>
            <w:tcW w:w="14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68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Mandatorily redeemable preferred stock of consolidated subsidiary</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Marriott Rewards customer loyalty program</w:t>
            </w:r>
          </w:p>
        </w:tc>
        <w:tc>
          <w:tcPr>
            <w:tcW w:w="14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68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4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0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93"/>
              </w:rPr>
              <w:t>(1)</w:t>
            </w:r>
          </w:p>
        </w:tc>
        <w:tc>
          <w:tcPr>
            <w:tcW w:w="5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Fair value of financial instruments has been determined using Level 3 inputs.</w:t>
            </w:r>
          </w:p>
        </w:tc>
        <w:tc>
          <w:tcPr>
            <w:tcW w:w="0" w:type="dxa"/>
            <w:vAlign w:val="bottom"/>
          </w:tcPr>
          <w:p>
            <w:pPr>
              <w:spacing w:after="0"/>
              <w:rPr>
                <w:sz w:val="1"/>
                <w:szCs w:val="1"/>
                <w:color w:val="auto"/>
              </w:rPr>
            </w:pPr>
          </w:p>
        </w:tc>
      </w:tr>
      <w:tr>
        <w:trPr>
          <w:trHeight w:val="99"/>
        </w:trPr>
        <w:tc>
          <w:tcPr>
            <w:tcW w:w="300" w:type="dxa"/>
            <w:vAlign w:val="bottom"/>
          </w:tcPr>
          <w:p>
            <w:pPr>
              <w:spacing w:after="0"/>
              <w:rPr>
                <w:sz w:val="8"/>
                <w:szCs w:val="8"/>
                <w:color w:val="auto"/>
              </w:rPr>
            </w:pPr>
          </w:p>
        </w:tc>
        <w:tc>
          <w:tcPr>
            <w:tcW w:w="5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Vacation Ownership Notes Receivable</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bifurcate our non-securitized vacation ownership notes receivable into two pools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At June 14, 2013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At December 28, 2012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4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4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ind w:right="17"/>
              <w:spacing w:after="0" w:line="125" w:lineRule="exact"/>
              <w:rPr>
                <w:sz w:val="20"/>
                <w:szCs w:val="20"/>
                <w:color w:val="auto"/>
              </w:rPr>
            </w:pPr>
            <w:r>
              <w:rPr>
                <w:rFonts w:ascii="Times New Roman" w:cs="Times New Roman" w:eastAsia="Times New Roman" w:hAnsi="Times New Roman"/>
                <w:sz w:val="14"/>
                <w:szCs w:val="14"/>
                <w:b w:val="1"/>
                <w:bCs w:val="1"/>
                <w:color w:val="auto"/>
                <w:w w:val="85"/>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40" w:type="dxa"/>
            <w:vAlign w:val="bottom"/>
          </w:tcPr>
          <w:p>
            <w:pPr>
              <w:spacing w:after="0"/>
              <w:rPr>
                <w:sz w:val="14"/>
                <w:szCs w:val="14"/>
                <w:color w:val="auto"/>
              </w:rPr>
            </w:pPr>
          </w:p>
        </w:tc>
        <w:tc>
          <w:tcPr>
            <w:tcW w:w="11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ownership notes receivable — eligible for securitization</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Vacation ownership notes receivable — not eligible for securitization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8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vacation ownership notes receivable — non-securitized</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315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and loan terms.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Non-Recourse Debt Associated with Securitized Vacation Ownership Notes Receivable</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internally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timeshare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Credit Facility</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internally generate cash flow estimates by modeling all funding activity for our non-recourse warehouse credit facility (the “Warehouse Credit Facility”) with consideration given to the collateral pledged to date. The key drivers in our analysis include default rates, prepayment rates, bond interest rates and structural factors, which we use to estimate the projected cash flows. The discount rate used to calculate the fair value of these cash flows is composed of the market swap rate for the specific average life of the cash flows plus a credit spread. Because the Warehouse Credit Facility debt is not traded in the market, we use a credit spread which is the average of indicative credit spreads obtained from investment banks on our securitized debt for the particular rating that the Warehouse Credit Facility is structured to achieve.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Mandatorily Redeemable Preferred Stock of Consolidated Subsidiary</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for Marriott Rewards Customer Loyalty Program</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determine the carrying value of the future redemption obligation of our liability for the Marriott Rewards customer loyalty program based on statistical formulas that project the timing of future redemption of Marriott Rewards Points based on historical levels, including estimates of the number of Marriott Rewards Points that will eventually be redeemed and the “breakage” for points that will never be redeemed. We estimate the fair value of the future redemption obligation by adjusting the contractual discount rate to an estimate of that of a market participant with similar nonperformance risk.</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Liabilities</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We estimate the fair value of our other liabilities that are financial instruments using expected future payments discounted at risk-adjusted rates. These liabilities represent guarantee costs and reserves and deposit liabilities. The carrying values of our guarantee costs and reserves approximate their fair values. We estimate the fair value of our deposit liabilities primarily by discounting future payments at a risk-adjusted rate.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92"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Basic earnings per common share is calculated by dividing net income attributable to common shareholders by the weighted average number of shares of common stock issued and outstanding during the reporting period.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illustrates the reconciliation of the earnings and number of shares used in our calculation of basic and diluted earnings per share.</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9"/>
              </w:rPr>
              <w:t>Twelve Weeks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r>
      <w:tr>
        <w:trPr>
          <w:trHeight w:val="115"/>
        </w:trPr>
        <w:tc>
          <w:tcPr>
            <w:tcW w:w="6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gridSpan w:val="2"/>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June 14,</w:t>
            </w:r>
          </w:p>
        </w:tc>
        <w:tc>
          <w:tcPr>
            <w:tcW w:w="6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June 15,</w:t>
            </w: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420"/>
              <w:spacing w:after="0" w:line="115" w:lineRule="exact"/>
              <w:rPr>
                <w:sz w:val="20"/>
                <w:szCs w:val="20"/>
                <w:color w:val="auto"/>
              </w:rPr>
            </w:pPr>
            <w:r>
              <w:rPr>
                <w:rFonts w:ascii="Times New Roman" w:cs="Times New Roman" w:eastAsia="Times New Roman" w:hAnsi="Times New Roman"/>
                <w:sz w:val="12"/>
                <w:szCs w:val="12"/>
                <w:b w:val="1"/>
                <w:bCs w:val="1"/>
                <w:color w:val="auto"/>
              </w:rPr>
              <w:t>June 14,</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2"/>
                <w:szCs w:val="12"/>
                <w:b w:val="1"/>
                <w:bCs w:val="1"/>
                <w:color w:val="auto"/>
              </w:rPr>
              <w:t>June 15,</w:t>
            </w:r>
          </w:p>
        </w:tc>
        <w:tc>
          <w:tcPr>
            <w:tcW w:w="100" w:type="dxa"/>
            <w:vAlign w:val="bottom"/>
          </w:tcPr>
          <w:p>
            <w:pPr>
              <w:spacing w:after="0"/>
              <w:rPr>
                <w:sz w:val="10"/>
                <w:szCs w:val="10"/>
                <w:color w:val="auto"/>
              </w:rPr>
            </w:pPr>
          </w:p>
        </w:tc>
      </w:tr>
      <w:tr>
        <w:trPr>
          <w:trHeight w:val="176"/>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5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3"/>
                <w:szCs w:val="13"/>
                <w:b w:val="1"/>
                <w:bCs w:val="1"/>
                <w:color w:val="auto"/>
                <w:w w:val="98"/>
              </w:rPr>
              <w:t xml:space="preserve">2013 </w:t>
            </w:r>
            <w:r>
              <w:rPr>
                <w:rFonts w:ascii="Times New Roman" w:cs="Times New Roman" w:eastAsia="Times New Roman" w:hAnsi="Times New Roman"/>
                <w:sz w:val="20"/>
                <w:szCs w:val="20"/>
                <w:b w:val="1"/>
                <w:bCs w:val="1"/>
                <w:color w:val="auto"/>
                <w:w w:val="98"/>
                <w:vertAlign w:val="superscript"/>
              </w:rPr>
              <w:t>(1)</w:t>
            </w:r>
          </w:p>
        </w:tc>
        <w:tc>
          <w:tcPr>
            <w:tcW w:w="11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2012 </w:t>
            </w:r>
            <w:r>
              <w:rPr>
                <w:rFonts w:ascii="Times New Roman" w:cs="Times New Roman" w:eastAsia="Times New Roman" w:hAnsi="Times New Roman"/>
                <w:sz w:val="20"/>
                <w:szCs w:val="20"/>
                <w:b w:val="1"/>
                <w:bCs w:val="1"/>
                <w:color w:val="auto"/>
                <w:vertAlign w:val="superscript"/>
              </w:rPr>
              <w:t>(2)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38"/>
              <w:spacing w:after="0" w:line="176" w:lineRule="exact"/>
              <w:rPr>
                <w:sz w:val="20"/>
                <w:szCs w:val="20"/>
                <w:color w:val="auto"/>
              </w:rPr>
            </w:pPr>
            <w:r>
              <w:rPr>
                <w:rFonts w:ascii="Times New Roman" w:cs="Times New Roman" w:eastAsia="Times New Roman" w:hAnsi="Times New Roman"/>
                <w:sz w:val="13"/>
                <w:szCs w:val="13"/>
                <w:b w:val="1"/>
                <w:bCs w:val="1"/>
                <w:color w:val="auto"/>
                <w:w w:val="98"/>
              </w:rPr>
              <w:t xml:space="preserve">2013 </w:t>
            </w:r>
            <w:r>
              <w:rPr>
                <w:rFonts w:ascii="Times New Roman" w:cs="Times New Roman" w:eastAsia="Times New Roman" w:hAnsi="Times New Roman"/>
                <w:sz w:val="20"/>
                <w:szCs w:val="20"/>
                <w:b w:val="1"/>
                <w:bCs w:val="1"/>
                <w:color w:val="auto"/>
                <w:w w:val="98"/>
                <w:vertAlign w:val="superscript"/>
              </w:rPr>
              <w:t>(1)</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7"/>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2012 </w:t>
            </w:r>
            <w:r>
              <w:rPr>
                <w:rFonts w:ascii="Times New Roman" w:cs="Times New Roman" w:eastAsia="Times New Roman" w:hAnsi="Times New Roman"/>
                <w:sz w:val="20"/>
                <w:szCs w:val="20"/>
                <w:b w:val="1"/>
                <w:bCs w:val="1"/>
                <w:color w:val="auto"/>
                <w:vertAlign w:val="superscript"/>
              </w:rPr>
              <w:t>(2)</w:t>
            </w:r>
          </w:p>
        </w:tc>
        <w:tc>
          <w:tcPr>
            <w:tcW w:w="100" w:type="dxa"/>
            <w:vAlign w:val="bottom"/>
          </w:tcPr>
          <w:p>
            <w:pPr>
              <w:spacing w:after="0"/>
              <w:rPr>
                <w:sz w:val="15"/>
                <w:szCs w:val="15"/>
                <w:color w:val="auto"/>
              </w:rPr>
            </w:pP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Computation of Basic Earnings Per Share</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76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8"/>
                <w:szCs w:val="18"/>
                <w:color w:val="auto"/>
              </w:rPr>
            </w:pPr>
          </w:p>
        </w:tc>
      </w:tr>
      <w:tr>
        <w:trPr>
          <w:trHeight w:val="223"/>
        </w:trPr>
        <w:tc>
          <w:tcPr>
            <w:tcW w:w="6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Computation of Diluted Earnings Per Share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76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Employee stock options and SARs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Restricted stock units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r>
      <w:tr>
        <w:trPr>
          <w:trHeight w:val="27"/>
        </w:trPr>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Shares for diluted earnings per share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8"/>
                <w:szCs w:val="18"/>
                <w:color w:val="auto"/>
              </w:rPr>
            </w:pPr>
          </w:p>
        </w:tc>
      </w:tr>
      <w:tr>
        <w:trPr>
          <w:trHeight w:val="223"/>
        </w:trPr>
        <w:tc>
          <w:tcPr>
            <w:tcW w:w="6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460" w:hanging="452"/>
        <w:spacing w:after="0" w:line="244" w:lineRule="auto"/>
        <w:tabs>
          <w:tab w:leader="none" w:pos="46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The computations of diluted earnings per share excludes approximately 229,000 shares of common stock, the maximum issuable upon the vesting of certain performance-based awards, because the performance conditions required for such shares to vest were not achieved by the end of the reporting period.</w:t>
      </w:r>
    </w:p>
    <w:p>
      <w:pPr>
        <w:ind w:left="460" w:hanging="452"/>
        <w:spacing w:after="0" w:line="237" w:lineRule="auto"/>
        <w:tabs>
          <w:tab w:leader="none" w:pos="46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The computations of diluted earnings per share excludes approximately 157,000 shares of common stock, the maximum issuable upon the vesting of certain performance-based awards, because the performance conditions required for such shares to vest were not achieved by the end of the reporting period.</w:t>
      </w:r>
    </w:p>
    <w:p>
      <w:pPr>
        <w:spacing w:after="0" w:line="150"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For the twelve-week period and the twenty-four-week period ended June 14, 2013, and for the twelve-week period ended June 15, 2012, we have not excluded any stock options or stock appreciation rights (“SARs”) from our calculation of diluted earnings per share as no exercise prices were greater than the average market prices for the applicable period.</w:t>
      </w:r>
    </w:p>
    <w:p>
      <w:pPr>
        <w:spacing w:after="0" w:line="132"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In accordance with the applicable accounting guidance for calculating earnings per share, for the twenty-four week period ended June 15, 2012, we have not included 40,086 stock options and SARs, with exercise prices ranging from $26.37 to $28.19, in our calculation of diluted earnings per share because the exercise prices were greater than the average market prices for the applicable periods.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composition of our inventory balances: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6"/>
              </w:rPr>
              <w:t>At June 14,</w:t>
            </w:r>
          </w:p>
        </w:tc>
        <w:tc>
          <w:tcPr>
            <w:tcW w:w="194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At December 28,</w:t>
            </w:r>
          </w:p>
        </w:tc>
      </w:tr>
      <w:tr>
        <w:trPr>
          <w:trHeight w:val="165"/>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2013</w:t>
            </w:r>
          </w:p>
        </w:tc>
        <w:tc>
          <w:tcPr>
            <w:tcW w:w="8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Finished goods </w:t>
            </w:r>
            <w:r>
              <w:rPr>
                <w:rFonts w:ascii="Times New Roman" w:cs="Times New Roman" w:eastAsia="Times New Roman" w:hAnsi="Times New Roman"/>
                <w:sz w:val="11"/>
                <w:szCs w:val="11"/>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infrastructure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8"/>
                <w:szCs w:val="18"/>
                <w:color w:val="auto"/>
              </w:rPr>
            </w:pPr>
          </w:p>
        </w:tc>
      </w:tr>
      <w:tr>
        <w:trPr>
          <w:trHeight w:val="222"/>
        </w:trPr>
        <w:tc>
          <w:tcPr>
            <w:tcW w:w="6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Real estate inventory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9"/>
                <w:szCs w:val="19"/>
                <w:color w:val="auto"/>
              </w:rPr>
            </w:pPr>
          </w:p>
        </w:tc>
      </w:tr>
      <w:tr>
        <w:trPr>
          <w:trHeight w:val="21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supplies and retail inventory</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r>
      <w:tr>
        <w:trPr>
          <w:trHeight w:val="223"/>
        </w:trPr>
        <w:tc>
          <w:tcPr>
            <w:tcW w:w="6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8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completed inventory that is either registered or unregistered and available for sale in its current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market value.</w:t>
      </w:r>
    </w:p>
    <w:p>
      <w:pPr>
        <w:spacing w:after="0" w:line="199" w:lineRule="exact"/>
        <w:rPr>
          <w:sz w:val="20"/>
          <w:szCs w:val="20"/>
          <w:color w:val="auto"/>
        </w:rPr>
      </w:pPr>
    </w:p>
    <w:p>
      <w:pPr>
        <w:ind w:right="7880" w:firstLine="8"/>
        <w:spacing w:after="0" w:line="345" w:lineRule="auto"/>
        <w:tabs>
          <w:tab w:leader="none" w:pos="17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CONTINGENCIES AND COMMITMENTS </w:t>
      </w:r>
      <w:r>
        <w:rPr>
          <w:rFonts w:ascii="Times New Roman" w:cs="Times New Roman" w:eastAsia="Times New Roman" w:hAnsi="Times New Roman"/>
          <w:sz w:val="18"/>
          <w:szCs w:val="18"/>
          <w:i w:val="1"/>
          <w:iCs w:val="1"/>
          <w:color w:val="auto"/>
        </w:rPr>
        <w:t>Guarantees</w:t>
      </w:r>
    </w:p>
    <w:p>
      <w:pPr>
        <w:spacing w:after="0" w:line="1"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We have historically issued guarantees to certain lenders in connection with the provision of third-party financing for our sales of vacation ownership products for the North America and Asia Pacific segments. The terms of guarantees to lenders generally require us to fund if the purchaser fails to pay under the term of its note payable. Prior to the Spin-Off, Marriott International guaranteed our performance under these arrangements, and subsequent to the Spin-Off continues to hold a standby letter of credit related to the Asia Pacific segment guarantee. If Marriott International is required to fund any draws by lenders under this letter of credit it would seek recourse from us. Marriott International no longer guarantees our performance with respect to third-party financing for sales of products in the North America segment. We are entitled to recover any funding to third-party lenders related to these guarantees through reacquisition and resale of the vacation ownership product. Our commitments under these guarantees expire as notes mature or are repaid. The terms of the underlying notes extend to 2022.</w:t>
      </w:r>
    </w:p>
    <w:p>
      <w:pPr>
        <w:spacing w:after="0" w:line="138"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the maximum potential amount of future fundings for financing guarantees where we are the primary obligor and the carrying amount of the liability for expected future fundings.</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Potential</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96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Liability for</w:t>
            </w:r>
          </w:p>
        </w:tc>
      </w:tr>
      <w:tr>
        <w:trPr>
          <w:trHeight w:val="149"/>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6"/>
              </w:rPr>
              <w:t>Future</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Expected</w:t>
            </w:r>
          </w:p>
        </w:tc>
      </w:tr>
      <w:tr>
        <w:trPr>
          <w:trHeight w:val="149"/>
        </w:trPr>
        <w:tc>
          <w:tcPr>
            <w:tcW w:w="616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Fundings at</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Future</w:t>
            </w:r>
          </w:p>
        </w:tc>
      </w:tr>
      <w:tr>
        <w:trPr>
          <w:trHeight w:val="149"/>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96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Fundings at</w:t>
            </w:r>
          </w:p>
        </w:tc>
      </w:tr>
      <w:tr>
        <w:trPr>
          <w:trHeight w:val="165"/>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820" w:type="dxa"/>
            <w:vAlign w:val="bottom"/>
            <w:gridSpan w:val="4"/>
          </w:tcPr>
          <w:p>
            <w:pPr>
              <w:jc w:val="center"/>
              <w:ind w:left="802"/>
              <w:spacing w:after="0"/>
              <w:rPr>
                <w:sz w:val="20"/>
                <w:szCs w:val="20"/>
                <w:color w:val="auto"/>
              </w:rPr>
            </w:pPr>
            <w:r>
              <w:rPr>
                <w:rFonts w:ascii="Times New Roman" w:cs="Times New Roman" w:eastAsia="Times New Roman" w:hAnsi="Times New Roman"/>
                <w:sz w:val="14"/>
                <w:szCs w:val="14"/>
                <w:b w:val="1"/>
                <w:bCs w:val="1"/>
                <w:color w:val="auto"/>
                <w:w w:val="95"/>
              </w:rPr>
              <w:t>June 14, 2013</w:t>
            </w: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Segment</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guarantees where we are the primary obligor</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We included our liability of less than $1 million for expected future fundings for guarantees in our Balance Sheet at June 14, 2013 in the Other caption within Liabilities.</w:t>
      </w:r>
    </w:p>
    <w:p>
      <w:pPr>
        <w:spacing w:after="0" w:line="120"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In addition to the guarantees we describe in the preceding paragraphs, in conjunction with financing obtained for specific projects or properties owned by joint ventures in which we are a party, we may provide industry standard indemnifications to the lender for loss, liability or damage occurring as a result of the actions of the other joint venture owners or our own actions.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Letters of Credit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guarantees we note in the preceding paragraphs, as of June 14, 2013, we had the following commitments outstanding:</w:t>
      </w:r>
    </w:p>
    <w:p>
      <w:pPr>
        <w:spacing w:after="0" w:line="90" w:lineRule="exact"/>
        <w:rPr>
          <w:sz w:val="20"/>
          <w:szCs w:val="20"/>
          <w:color w:val="auto"/>
        </w:rPr>
      </w:pPr>
    </w:p>
    <w:p>
      <w:pPr>
        <w:ind w:left="900" w:hanging="325"/>
        <w:spacing w:after="0" w:line="26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various contracts for the use of information technology hardware and software that we use in the normal course of business. Our commitments under these contracts were $35 million, of which we expect $5 million, $10 million, $10 million, $5 million and $5 million will be paid in 2013, 2014, 2015, 2016 and 2017, respectively.</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to subsidize vacation ownership associations were $3 million, which we expect will be paid in 2013.</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purchase commitments of $1 million (approximately €1 million) that we expect to fund during 2014.</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Surety bonds issued as of June 14, 2013 totaled $89 million, the majority of which were requested by federal, state or local governments related to our operations.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Prior to the Spin-Off, Marriott International also guaranteed our performance using letters of credit under certain agreements necessary to operate our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Europe segment. Subsequent to the Spin-Off, Marriott International continues to hold less than $1 million of standby letters of credit related to these guarantees.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Marriott International is required to fund any draws under these letters of credit it would seek recourse from us.</w:t>
      </w:r>
    </w:p>
    <w:p>
      <w:pPr>
        <w:spacing w:after="0" w:line="159" w:lineRule="exact"/>
        <w:rPr>
          <w:sz w:val="20"/>
          <w:szCs w:val="20"/>
          <w:color w:val="auto"/>
        </w:rPr>
      </w:pPr>
    </w:p>
    <w:p>
      <w:pPr>
        <w:ind w:right="740" w:firstLine="456"/>
        <w:spacing w:after="0" w:line="275" w:lineRule="auto"/>
        <w:rPr>
          <w:sz w:val="20"/>
          <w:szCs w:val="20"/>
          <w:color w:val="auto"/>
        </w:rPr>
      </w:pPr>
      <w:r>
        <w:rPr>
          <w:rFonts w:ascii="Times New Roman" w:cs="Times New Roman" w:eastAsia="Times New Roman" w:hAnsi="Times New Roman"/>
          <w:sz w:val="18"/>
          <w:szCs w:val="18"/>
          <w:color w:val="auto"/>
        </w:rPr>
        <w:t>Additionally, as of June 14, 2013, we had $4 million of letters of credit outstanding under our four-year $200 million revolving credit facility (the “Revolving Corporate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92"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In 2012, we agreed to settle two lawsuits in which certain of our subsidiaries were defendants. The plaintiffs in the lawsuits, residential unit owners at The Ritz-Carlton Club and Residences, San Francisco (the “RCC San Francisco”), a project within our North America segment, questioned the adequacy of disclosures made prior to 2008, when our business was part of Marriott International, regarding bonds issued for that project under California’s Mello-Roos Community Facilities Act of 1982 (the “Mello-Roos Act”) and their payment obligations with respect to such bonds. In March 2013, we agreed to settle a third lawsuit in which another residential unit owner at the RCC San Francisco had asserted similar claims. As a result of these matters, we recorded a charge of $41 million in the year ended December 28, 2012. In addition, as a result of the agreement to settle the third lawsuit in the twenty-four weeks ended June 14, 2013 we reversed $1 million of previously recognized expense. An additional lawsuit was recently filed against us primarily related to disclosure provided to a purchaser of a residential unit at the RCC San Francisco. We dispute the material allegations in the complaint and intend to defend this action vigorously. Given the early stages of the action, we cannot estimate a range of the potential liability, if any, at this time.</w:t>
      </w:r>
    </w:p>
    <w:p>
      <w:pPr>
        <w:spacing w:after="0" w:line="143"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Two additional lawsuits are pending against us primarily relating to disclosure provided to purchasers of fractional interests at the RCC San Francisco. The first was filed on December 21, 2012, by Jon Benner, an owner of fractional interests in the RCC San Francisco, in Superior Court for the State of California, County of San Francisco against us and certain of our subsidiaries on behalf of a putative class consisting of all owners of fractional interests at the RCC San Francisco who allegedly did not receive proper notice of their payment obligations under the Mello-Roos Act. The plaintiff alleges that the disclosures made about bonds issued for the project under this Act and the payment obligations of fractional interest purchasers with respect to such bonds were inadequate, and this and other alleged statutory violations constitute intentional and negligent misrepresentation, fraud and fraudulent concealment. The relief sought includes damages in an unspecified amount, rescission of the purchases, restitution and disgorgement of profits. This lawsuit has been referred to a judicial referee. This lawsuit is distinct from the other lawsuits described above relating to the RCC San Francisco because the disclosure process for the sale of fractional interests differs from that applicable to the sale of whole-ownership units. We dispute the material allegations in the complaint and intend to defend this action vigorously. Given the early stages of the action, we cannot estimate a range of the potential liability, if any, at this time.</w:t>
      </w:r>
    </w:p>
    <w:p>
      <w:pPr>
        <w:spacing w:after="0" w:line="14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March 29, 2013, a second lawsuit relating to disclosures provided to fractional interest purchasers at RCC San Francisco was filed against certain of our subsidiaries in San Francisco Superior Court by Elisabeth Gani. Ms. Gani alleges that the issuance of bonds pursuant to the Mello-Roos Act on October 31, 2007 constituted a material change that we were obligated to disclose under the California timeshare act. She demands rescission, punitive and exemplary damages and seeks to represent a class of all RCC San Francisco fractional interest purchasers who closed on purchases of their fractional interests subsequent to October 31, 2007. This lawsuit has been consolidated with the lawsuit filed by Jon Benner described above, which, as noted, has been referred to a judicial referee. We dispute the material allegations in the Gani complaint and intend to defend this action vigorously. Given the early stages of the action, we cannot estimate a range of the potential liability, if any, at this time.</w:t>
      </w:r>
    </w:p>
    <w:p>
      <w:pPr>
        <w:spacing w:after="0" w:line="141"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On December 11, 2012, Steven B. Hoyt and Bradley A. Hoyt, purchasers of fractional interests in two Ritz-Carlton Club projects, filed suit in the United States District Court for the District of Minnesota against us, certain of our subsidiaries and The Ritz-Carlton Hotel Company, L.L.C. on behalf of a putative class consisting of all purchasers of fractional interests at Ritz-Carlton Club projects. The plaintiffs allege that program changes beginning in 2009 caused an actionable decrease in the value of the fractional interests purchased. The relief sought includes declaratory and injunctive relief, damages in an unspecified amount, rescission of the purchases, restitution, disgorgement of profits, interest and attorneys’ fees. In response to our motion to dismiss the original complaint, plaintiffs filed an amended complaint. We dispute the material allegations in the amended complaint and intend to continue to defend this action vigorously. Given the early procedural stages of the action and the inherent uncertainties of litigation, we cannot estimate a range of the potential liability, if any, at this time.</w:t>
      </w:r>
    </w:p>
    <w:p>
      <w:pPr>
        <w:spacing w:after="0" w:line="11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January 30, 2013, Krishna and Sherrie Narayan and other owners of 12 residential units at the resort formerly known as The Ritz-Carlton Residences, Kapalua Bay (“Kapalua Bay”) were granted leave by the Court to file an amended complaint related to a suit originally filed in Circuit Court for Maui County, Hawaii in June 2012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defendants mismanaged funds of the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dispute the material allegations in the amended complaint and continue to defend this action vigorously. Given that the Court recently granted the plaintiffs leave to file the amended complaint and the inherent uncertainties of litigation, we cannot estimate a range of potential liability, if any, at this time.</w:t>
      </w:r>
    </w:p>
    <w:p>
      <w:pPr>
        <w:spacing w:after="0" w:line="138"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On September 26, 2012, we filed an arbitration demand against the Kapalua Bay Association for reimbursement of amounts advanced on behalf of the Kapalua Bay Association pursuant to the terms of the management agreement under which one of our subsidiaries provided services to the Kapalua Bay Association. Effective December 31, 2012, the management agreement was terminated as discussed in Footnote No. 11, “Variable Interest Entities.” On April 15, 2013, the Kapalua Bay Association filed a counterclaim against certain of our subsidiaries in the arbitration proceeding. In the counterclaim, the Kapalua Bay Association alleges breach of contract, misrepresentation, breach of fiduciary duty, unfair and deceptive trade practices and unjust enrichment. The relief sought consists of unspecified damages. We dispute the material allegations in the counterclaim and intend to defend this action vigorously. Given the early stage of the proceeding and the inherent uncertainties of arbitration, we cannot estimate a range of potential liability, if any, at this time.</w:t>
      </w:r>
    </w:p>
    <w:p>
      <w:pPr>
        <w:spacing w:after="0" w:line="141"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On June 19, 2013, Earl C. and Patricia A. Charles, owners of a fractional interest at Kapalua Bay, together with owners of 38 other fractional interests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amended complaint supersedes a prior complaint that was not served on any defendant.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We dispute the material allegations in the amended complaint and intend to defend this action vigorously. Given that the Court recently granted the plaintiffs leave to file the amended complaint and the inherent uncertainties of litigation, we cannot estimate a range of potential liability, if any, at this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92"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We estimate the cash outflow associated with completing the phases of our existing portfolio of vacation ownership projects currently under development will be approximately $121 million, of which $16 million is included within liabilities on our Balance Sheet. This estimate is based on our current development plans, which remain subject to change, and we expect the phases currently under development will be completed by 2016.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detail on our debt balances: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3"/>
              </w:rPr>
              <w:t>At June 14,</w:t>
            </w:r>
          </w:p>
        </w:tc>
        <w:tc>
          <w:tcPr>
            <w:tcW w:w="166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At December 28,</w:t>
            </w:r>
          </w:p>
        </w:tc>
      </w:tr>
      <w:tr>
        <w:trPr>
          <w:trHeight w:val="165"/>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5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82"/>
        </w:trPr>
        <w:tc>
          <w:tcPr>
            <w:tcW w:w="63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Vacation ownership notes receivable securitizations, interest rates ranging from</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2.6% to 7.2% (weighted average interest rate of 4.2%) </w:t>
            </w:r>
            <w:r>
              <w:rPr>
                <w:rFonts w:ascii="Times New Roman" w:cs="Times New Roman" w:eastAsia="Times New Roman" w:hAnsi="Times New Roman"/>
                <w:sz w:val="11"/>
                <w:szCs w:val="11"/>
                <w:color w:val="auto"/>
              </w:rPr>
              <w:t>(1)</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20"/>
                <w:szCs w:val="20"/>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Warehouse credit facility (effective interest rate of 2.4%) </w:t>
            </w:r>
            <w:r>
              <w:rPr>
                <w:rFonts w:ascii="Times New Roman" w:cs="Times New Roman" w:eastAsia="Times New Roman" w:hAnsi="Times New Roman"/>
                <w:sz w:val="11"/>
                <w:szCs w:val="11"/>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r>
      <w:tr>
        <w:trPr>
          <w:trHeight w:val="223"/>
        </w:trPr>
        <w:tc>
          <w:tcPr>
            <w:tcW w:w="6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Interest rates are as of June 14, 2013.</w:t>
      </w:r>
    </w:p>
    <w:p>
      <w:pPr>
        <w:spacing w:after="0" w:line="6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See Footnote No. 11, “Variable Interest Entities,” for a discussion of the collateral for the non-recourse debt associated with the securitized vacation ownership notes receivable and the Warehouse Credit Facility. All of our other debt was, and to the extent currently outstanding, is recourse to us but unsecured. The Warehouse Credit Facility currently terminates on September 10, 2014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We generally expect to securitize our vacation ownership notes receivable, including those vacation ownership notes receivable held in the Warehouse Credit Facility, in the asset backed securities market once a year.</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Although no cash borrowings were outstanding under our Revolving Corporate Credit Facility as of June 14, 2013, any amounts that are borrowed under that facility, as well as obligations with respect to letters of credit issued pursuant to that facility, are secured by a perfected first priority security interest in substantially all of our assets and the assets of the guarantors of that facility, in each case including inventory, subject to certain exceptions.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scheduled future principal payments for our debt:</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3"/>
              </w:rPr>
              <w:t>Vacation</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Ownership</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Warehouse</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540"/>
              <w:spacing w:after="0" w:line="139" w:lineRule="exact"/>
              <w:rPr>
                <w:sz w:val="20"/>
                <w:szCs w:val="20"/>
                <w:color w:val="auto"/>
              </w:rPr>
            </w:pPr>
            <w:r>
              <w:rPr>
                <w:rFonts w:ascii="Times New Roman" w:cs="Times New Roman" w:eastAsia="Times New Roman" w:hAnsi="Times New Roman"/>
                <w:sz w:val="14"/>
                <w:szCs w:val="14"/>
                <w:b w:val="1"/>
                <w:bCs w:val="1"/>
                <w:color w:val="auto"/>
                <w:w w:val="95"/>
              </w:rPr>
              <w:t>Receivable</w:t>
            </w:r>
          </w:p>
        </w:tc>
        <w:tc>
          <w:tcPr>
            <w:tcW w:w="140" w:type="dxa"/>
            <w:vAlign w:val="bottom"/>
          </w:tcPr>
          <w:p>
            <w:pPr>
              <w:spacing w:after="0"/>
              <w:rPr>
                <w:sz w:val="12"/>
                <w:szCs w:val="12"/>
                <w:color w:val="auto"/>
              </w:rPr>
            </w:pPr>
          </w:p>
        </w:tc>
        <w:tc>
          <w:tcPr>
            <w:tcW w:w="620" w:type="dxa"/>
            <w:vAlign w:val="bottom"/>
          </w:tcPr>
          <w:p>
            <w:pPr>
              <w:jc w:val="center"/>
              <w:ind w:right="55"/>
              <w:spacing w:after="0" w:line="139" w:lineRule="exact"/>
              <w:rPr>
                <w:sz w:val="20"/>
                <w:szCs w:val="20"/>
                <w:color w:val="auto"/>
              </w:rPr>
            </w:pPr>
            <w:r>
              <w:rPr>
                <w:rFonts w:ascii="Times New Roman" w:cs="Times New Roman" w:eastAsia="Times New Roman" w:hAnsi="Times New Roman"/>
                <w:sz w:val="14"/>
                <w:szCs w:val="14"/>
                <w:b w:val="1"/>
                <w:bCs w:val="1"/>
                <w:color w:val="auto"/>
                <w:w w:val="92"/>
              </w:rPr>
              <w:t>Credit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20" w:type="dxa"/>
            <w:vAlign w:val="bottom"/>
            <w:gridSpan w:val="3"/>
          </w:tcPr>
          <w:p>
            <w:pPr>
              <w:jc w:val="center"/>
              <w:ind w:right="400"/>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Securitizations </w:t>
            </w:r>
            <w:r>
              <w:rPr>
                <w:rFonts w:ascii="Times New Roman" w:cs="Times New Roman" w:eastAsia="Times New Roman" w:hAnsi="Times New Roman"/>
                <w:sz w:val="20"/>
                <w:szCs w:val="20"/>
                <w:b w:val="1"/>
                <w:bCs w:val="1"/>
                <w:color w:val="auto"/>
                <w:vertAlign w:val="superscript"/>
              </w:rPr>
              <w:t>(1)</w:t>
            </w:r>
          </w:p>
        </w:tc>
        <w:tc>
          <w:tcPr>
            <w:tcW w:w="7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Facility </w:t>
            </w:r>
            <w:r>
              <w:rPr>
                <w:rFonts w:ascii="Times New Roman" w:cs="Times New Roman" w:eastAsia="Times New Roman" w:hAnsi="Times New Roman"/>
                <w:sz w:val="20"/>
                <w:szCs w:val="20"/>
                <w:b w:val="1"/>
                <w:bCs w:val="1"/>
                <w:color w:val="auto"/>
                <w:vertAlign w:val="superscript"/>
              </w:rPr>
              <w:t>(1)</w:t>
            </w:r>
          </w:p>
        </w:tc>
        <w:tc>
          <w:tcPr>
            <w:tcW w:w="38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Other Debt</w:t>
            </w:r>
          </w:p>
        </w:tc>
        <w:tc>
          <w:tcPr>
            <w:tcW w:w="16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8"/>
                <w:szCs w:val="18"/>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Balance at June 14, 2013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vacation ownership notes receivable securitizations and the Warehouse Credit Facility are non-recourse to us.</w:t>
      </w:r>
    </w:p>
    <w:p>
      <w:pPr>
        <w:spacing w:after="0" w:line="150"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20"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We paid cash for interest, net of amounts capitalized, of $17 million in the twenty-four weeks ended June 14, 2013 and $21 million in the twenty-four weeks ended June 15, 2012.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Associated with Vacation Ownership Notes Receivable Securitizations</w:t>
      </w:r>
    </w:p>
    <w:p>
      <w:pPr>
        <w:spacing w:after="0" w:line="92"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Each of our securitized vacation ownership notes receivable pools is subject to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(related to the interests we retained) to accelerate the principal payments to investors based on the subordination of the different tranches until the performance trigger is cured. During the twenty-four weeks ended June 14, 2013, and as of June 14, 2013, no pools were out of compliance with performance triggers. As of June 14, 2013, we had 6 securitized vacation ownership notes receivable pools outstanding.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Corporate Credit Facility</w:t>
      </w:r>
    </w:p>
    <w:p>
      <w:pPr>
        <w:spacing w:after="0" w:line="92"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On June 12, 2013, we entered into a First Amendment (the “Credit Agreement Amendment”) to the credit agreement that we amended and restated in November 2012 with a syndicate of banks led by JP Morgan Chase Bank (as amended, the “Revolving Corporate Credit Facility”). Pursuant to the Revolving Corporate Credit Facility, the maximum ratio of consolidated total debt to consolidated adjusted EBITDA (as defined in the Revolving Corporate Credit Facility) that we are required to maintain will be 6 to 1 through the end of the first quarter of 2013, then will decrease to 5.75 to 1 through the end of the first quarter of 2014, and to 5.25 to 1 thereafter. Prior to the Credit Agreement Amendment, the ratio we were required to maintain was 6 to 1 through the end of the first quarter of 2013, then 5.25 to 1 through the end of the 2014 fiscal year, and 4.75 to 1 thereafter. In addition, the Credit Agreement Amendment provides for certain amendments to the definitions of “Consolidated Adjusted EBITDA” and “Consolidated Total Debt” that will provide us with additional flexibility.</w:t>
      </w:r>
    </w:p>
    <w:p>
      <w:pPr>
        <w:spacing w:after="0" w:line="11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addition to the changes described above, the Credit Agreement Amendment also includes modifications intended to comply with certain provisions of the Dodd-Frank Wall Street Reform and Consumer Protection Act (the “Dodd-Frank Act”) regarding the guarantee of foreign exchange and interest rate swap transactions by certain of our subsidiaries that guarantee our obligations under the Revolving Corporate Credit Facility (the “Guarantors”). On June 12, 2013, we also entered into a First Amendment to the guarantee and collateral agreement that we amended and restated in November 2012 (the “Guarantee and Collateral Agreement”), which modified the Guarantee and Collateral Agreement to comply with the provisions of the Dodd-Frank Act described above.</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40"/>
          </w:cols>
          <w:pgMar w:left="240" w:top="455" w:right="3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MANDATORILY REDEEMABLE PREFERRED STOCK OF CONSOLIDATED SUBSIDIARY</w:t>
      </w:r>
    </w:p>
    <w:p>
      <w:pPr>
        <w:spacing w:after="0" w:line="92"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In October 2011, our subsidiary, MVW US Holdings, Inc. (“MVW US Holdings”) issued $40 million of its mandatorily redeemable Series A (non-voting) preferred stock to Marriott International as part of Marriott International’s internal reorganization prior to the Spin-Off. Subsequently, Marriott International sold all of this preferred stock to third-party investors. For the first five years after issuance, the Series A preferred stock will pay an annual cash dividend equal to the five-year U.S. Treasury Rate as of October 19, 2011, plus a spread of 10.958 percent, for a total annual cash dividend rate of 12 percent. On the fifth anniversary of issuance,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The Series A preferred stock has an aggregate liquidation preference of $40 million plus any accrued and unpaid dividends and an additional premium if liquidation occurs during the first five years after the issuance of the preferred stock. As of June 14, 2013,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9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A total of 6 million shares are authorized for issuance under the Marriott Vacations Worldwide Corporation Stock and Cash Incentive Plan (the “Marriott Vacations Worldwide Stock Plan”). As of June 14, 2013, approximately 2 million shares were available for grants under the Marriott Vacations Worldwide Stock Plan.</w:t>
      </w:r>
    </w:p>
    <w:p>
      <w:pPr>
        <w:spacing w:after="0" w:line="13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For share-based awards with service-only vesting conditions, we measure compensation expense related to share-based payment transactions with our employees and non-employee directors at fair value on the grant date and recognize this expense in the Statement of Operations over the vesting period during which the employees provide service in exchange for the award. For share-based arrangements with performance vesting conditions, we recognize compensation expense once it is probable that the corresponding performance condition will be achieved.</w:t>
      </w:r>
    </w:p>
    <w:p>
      <w:pPr>
        <w:spacing w:after="0" w:line="13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recorded share-based compensation expense related to award grants to our officers, directors and employees of $4 million and $3 million for the twelve weeks ended June 14, 2013 and June 15, 2012, respectively, and $6 million for each of the twenty-four weeks ended June 14, 2013 and June 15, 2012. Our deferred compensation liability related to unvested awards held by our employees totaled $19 million and $14 million at June 14, 2013 and December 28, 2012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92"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We granted 199,895 RSUs to our employees and non-employee directors during the twenty-four weeks ended June 14, 2013. The RSUs granted to employees generally vest over four year periods in annual installments commencing one year after the date of the grant. The RSUs granted to non-employee directors were vested at the date of the grant. RSUs granted in the twenty-four weeks ended June 14, 2013 had a weighted average grant-date fair value of $40.43.</w:t>
      </w:r>
    </w:p>
    <w:p>
      <w:pPr>
        <w:spacing w:after="0" w:line="97"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During the twenty-four weeks ended June 14, 2013, we granted RSUs with performance vesting conditions to members of management. The number of RSUs earned, if any, will be determined following the end of a three-year performance period based upon our cumulative achievement over that period of specific quantitative operating financial measures. For the RSUs with performance-based vesting criteria issued during the twenty-four weeks ended June 14, 2013, the maximum amount of RSUs that may vest under the performance-based RSUs is approximately 72,000.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 (“SARs”)</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granted 66,422 SARs to our employees during the twenty-four weeks ended June 14, 2013. These SARs had a weighted average grant-date fair value of $21.68 and a weighted average exercise price of $39.93. SARs generally expire ten years after the date of grant and both vest and may be exercised in cumulative installments of one quarter of the number of SARs granted at the end of each of the first four years following the date of grant.</w:t>
      </w:r>
    </w:p>
    <w:p>
      <w:pPr>
        <w:spacing w:after="0" w:line="13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use the Black-Scholes model to estimate the fair value of the stock options or SARs granted. For SARs granted under the Marriott Vacations Worldwide Stock Plan in the twenty-four weeks ended June 14, 2013, the expected stock price volatility was calculated based on the historical volatility from the stock prices of a group of identified peer companies. The average expected life was calculated using the simplified method. The risk-free interest rate was calculated based on U.S. Treasury zero-coupon issues with a remaining term equal to the expected life assumed at the date of grant. The expected annual dividend per share was $0 based on our expected dividend rate.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outlines the assumptions used to estimate the fair value of grants during the twenty-four weeks ended June 14, 2013:</w:t>
      </w:r>
    </w:p>
    <w:p>
      <w:pPr>
        <w:spacing w:after="0" w:line="22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8"/>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6.25</w:t>
            </w:r>
          </w:p>
        </w:tc>
      </w:tr>
      <w:tr>
        <w:trPr>
          <w:trHeight w:val="350"/>
        </w:trPr>
        <w:tc>
          <w:tcPr>
            <w:tcW w:w="2760" w:type="dxa"/>
            <w:vAlign w:val="bottom"/>
          </w:tcPr>
          <w:p>
            <w:pPr>
              <w:spacing w:after="0"/>
              <w:rPr>
                <w:sz w:val="24"/>
                <w:szCs w:val="24"/>
                <w:color w:val="auto"/>
              </w:rPr>
            </w:pPr>
          </w:p>
        </w:tc>
        <w:tc>
          <w:tcPr>
            <w:tcW w:w="5000" w:type="dxa"/>
            <w:vAlign w:val="bottom"/>
          </w:tcPr>
          <w:p>
            <w:pPr>
              <w:jc w:val="right"/>
              <w:ind w:right="3712"/>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VARIABLE INTEREST ENTITIES</w:t>
      </w:r>
    </w:p>
    <w:p>
      <w:pPr>
        <w:spacing w:after="0" w:line="17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Entities Related to Our Vacation Ownership Notes Receivable Securitizations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loans to third parties. In a vacation ownership notes receivable securitization, various classes of debt securities that the special purpose entities issue are generally collateralized by a single tranche of transferred assets, which consist of vacation ownership notes receivable. We service the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14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136"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consolidated assets, which are collateral for the obligations of these variable interest entities, and consolidated liabilities included in our Balance Sheet at June 14, 2013:</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Vacation</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Ownership</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6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1"/>
              </w:rPr>
              <w:t>Warehouse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Receivable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Credit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Securitizations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7"/>
              </w:rPr>
              <w:t>Facility</w:t>
            </w:r>
          </w:p>
        </w:tc>
        <w:tc>
          <w:tcPr>
            <w:tcW w:w="66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Assets:</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Vacation ownership notes receivable, net of reserves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noncontrolling interest balance was zero. The creditors of these entities do not have general recourse to us.</w:t>
      </w:r>
    </w:p>
    <w:p>
      <w:pPr>
        <w:spacing w:after="0" w:line="171"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the interest income and expense recognized as a result of our involvement with these variable interest entities during the twelve weeks ended June 14, 2013:</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3"/>
              </w:rPr>
              <w:t>Vacation</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34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Ownership</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4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1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Warehouse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4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Receivable</w:t>
            </w:r>
          </w:p>
        </w:tc>
        <w:tc>
          <w:tcPr>
            <w:tcW w:w="100" w:type="dxa"/>
            <w:vAlign w:val="bottom"/>
          </w:tcPr>
          <w:p>
            <w:pPr>
              <w:spacing w:after="0"/>
              <w:rPr>
                <w:sz w:val="12"/>
                <w:szCs w:val="12"/>
                <w:color w:val="auto"/>
              </w:rPr>
            </w:pPr>
          </w:p>
        </w:tc>
        <w:tc>
          <w:tcPr>
            <w:tcW w:w="120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Credit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Securitizations</w:t>
            </w:r>
          </w:p>
        </w:tc>
        <w:tc>
          <w:tcPr>
            <w:tcW w:w="100" w:type="dxa"/>
            <w:vAlign w:val="bottom"/>
          </w:tcPr>
          <w:p>
            <w:pPr>
              <w:spacing w:after="0"/>
              <w:rPr>
                <w:sz w:val="14"/>
                <w:szCs w:val="14"/>
                <w:color w:val="auto"/>
              </w:rPr>
            </w:pPr>
          </w:p>
        </w:tc>
        <w:tc>
          <w:tcPr>
            <w:tcW w:w="12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7"/>
              </w:rPr>
              <w:t>Facility</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74"/>
              </w:rPr>
              <w:t>4</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to investors</w:t>
            </w:r>
          </w:p>
        </w:tc>
        <w:tc>
          <w:tcPr>
            <w:tcW w:w="298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 amortization</w:t>
            </w:r>
          </w:p>
        </w:tc>
        <w:tc>
          <w:tcPr>
            <w:tcW w:w="298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r>
      <w:tr>
        <w:trPr>
          <w:trHeight w:val="511"/>
        </w:trPr>
        <w:tc>
          <w:tcPr>
            <w:tcW w:w="3480" w:type="dxa"/>
            <w:vAlign w:val="bottom"/>
          </w:tcPr>
          <w:p>
            <w:pPr>
              <w:spacing w:after="0"/>
              <w:rPr>
                <w:sz w:val="24"/>
                <w:szCs w:val="24"/>
                <w:color w:val="auto"/>
              </w:rPr>
            </w:pPr>
          </w:p>
        </w:tc>
        <w:tc>
          <w:tcPr>
            <w:tcW w:w="2880" w:type="dxa"/>
            <w:vAlign w:val="bottom"/>
          </w:tcPr>
          <w:p>
            <w:pPr>
              <w:jc w:val="right"/>
              <w:ind w:right="139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5" w:right="3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the interest income and expense recognized as a result of our involvement with these variable interest entities during the twenty-four weeks ended June 14, 2013:</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3"/>
              </w:rPr>
              <w:t>Vacation</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w w:val="96"/>
              </w:rPr>
              <w:t>Ownership</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3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Warehouse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Receivable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Credit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70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Securitizations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3"/>
              </w:rPr>
              <w:t>Facility</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to investors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 amortization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cash flows between us and the vacation ownership notes receivable securitization variable interest entities during the twenty-four weeks ended June 14, 2013 and June 15, 2012:</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r>
      <w:tr>
        <w:trPr>
          <w:trHeight w:val="125"/>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76"/>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20" w:type="dxa"/>
            <w:vAlign w:val="bottom"/>
          </w:tcPr>
          <w:p>
            <w:pPr>
              <w:spacing w:after="0"/>
              <w:rPr>
                <w:sz w:val="10"/>
                <w:szCs w:val="10"/>
                <w:color w:val="auto"/>
              </w:rPr>
            </w:pPr>
          </w:p>
        </w:tc>
      </w:tr>
      <w:tr>
        <w:trPr>
          <w:trHeight w:val="165"/>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inflows:</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Principal receipts</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receipts</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outflows: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Principal to investors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Voluntary repurchases of defaulted vacation ownership notes receivable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Voluntary clean-up call</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to investors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20" w:type="dxa"/>
            <w:vAlign w:val="bottom"/>
          </w:tcPr>
          <w:p>
            <w:pPr>
              <w:spacing w:after="0"/>
              <w:rPr>
                <w:sz w:val="20"/>
                <w:szCs w:val="20"/>
                <w:color w:val="auto"/>
              </w:rPr>
            </w:pPr>
          </w:p>
        </w:tc>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cash flows between us and the Warehouse Credit Facility variable interest entity during the twenty-four weeks ended June 14, 2013 and June 15, 2012:</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56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76"/>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inflows:</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vacation ownership notes receivable securitization</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receipts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receipts</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outflows: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to investors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Voluntary repurchases of defaulted vacation ownership notes receivable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to investors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Our maximum exposure to loss relating to the entities that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Variable Interest Entities</w:t>
      </w:r>
    </w:p>
    <w:p>
      <w:pPr>
        <w:spacing w:after="0" w:line="9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have an equity investment in, and notes receivable due from a variable interest entity that previously developed and marketed vacation ownership and residential products in Hawaii pursuant to a joint venture arrangement. We concluded that the entity is a variable interest entity because the equity investment at risk is not sufficient to permit the entity to finance its activities without additional support from other venture parties. We determined that we are not the primary beneficiary of this entity, as power to direct the activities that most significantly impact the entity’s economic performance is shared among the variable interest holders and, therefore, we do not consolidate the entity. We provided a completion guarantee in favor of the project lenders for which the joint venture has delivered a completed operational project. Although we have not received a release of the guarantee, we do not believe we have any exposure for funding under the guarantee. In 2009, we fully impaired our equity investment in the entity and in certain notes receivable due from the entity. In 2010, the continued application of equity losses to our investment in the remaining outstanding notes receivable balance reduced its carrying value to zero. In addition, the venture was unable to pay promissory notes that matured on December 31, 2010 and August 1, 2011. Subsequently, the lenders issued a notice of default to the venture. The lenders initiated foreclosure proceedings with respect to unsold interests in the project. A foreclosure auction was held and, on January 31, 2013, a bid was accepted and confirmed. The sale has been completed, and on June 13, 2013, we received $7 million of cash as a partial repayment of our previously fully reserved receivables due from the entity.</w:t>
      </w:r>
    </w:p>
    <w:p>
      <w:pPr>
        <w:spacing w:after="0" w:line="14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gave notice of breach or termination of various agreements, including management agreements with the owners’ associations at the project, marketing and sales agreements with the venture, and other agreements pursuant to which we provided services to the venture and, as we were unable to reach agreement with the owners’ associations with respect to our continued provision of services, termination of these agreements was effective on December 31, 2012. During the twelve weeks ended June 14, 2013, we recorded $7 million of expense to increase our accrual for remaining costs expected to be incurred relating to our interests in this joint venture exclusive of any outstanding litigation matters discussed in Footnote No. 7, “Contingencies and Commitments.” Including reserves for outstanding receivables, at June 14, 2013, we have an accrual of $16 million for potential future funding, representing our remaining expected exposure to loss related to our involvement with this entity. In addition, several owners at the project have filed suit against several parties involved in the project, including us and certain of our subsidiaries, which could result in additional exposures which are not estimable at this time.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SHAREHOLDERS’ EQUITY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details changes in shareholders’ equity during the twenty-four weeks ended June 14, 2013:</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Paid-In</w:t>
            </w:r>
          </w:p>
        </w:tc>
        <w:tc>
          <w:tcPr>
            <w:tcW w:w="30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2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32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65"/>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year-end 2012</w:t>
            </w:r>
          </w:p>
        </w:tc>
        <w:tc>
          <w:tcPr>
            <w:tcW w:w="1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Amounts related to share-based compensation</w:t>
            </w:r>
          </w:p>
        </w:tc>
        <w:tc>
          <w:tcPr>
            <w:tcW w:w="1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14, 2013</w:t>
            </w:r>
          </w:p>
        </w:tc>
        <w:tc>
          <w:tcPr>
            <w:tcW w:w="146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1,119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1,190</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BUSINESS SEGMENTS</w:t>
      </w:r>
    </w:p>
    <w:p>
      <w:pPr>
        <w:spacing w:after="0" w:line="92" w:lineRule="exact"/>
        <w:rPr>
          <w:sz w:val="20"/>
          <w:szCs w:val="20"/>
          <w:color w:val="auto"/>
        </w:rPr>
      </w:pPr>
    </w:p>
    <w:p>
      <w:pPr>
        <w:ind w:right="560" w:firstLine="456"/>
        <w:spacing w:after="0" w:line="334" w:lineRule="auto"/>
        <w:rPr>
          <w:sz w:val="20"/>
          <w:szCs w:val="20"/>
          <w:color w:val="auto"/>
        </w:rPr>
      </w:pPr>
      <w:r>
        <w:rPr>
          <w:rFonts w:ascii="Times New Roman" w:cs="Times New Roman" w:eastAsia="Times New Roman" w:hAnsi="Times New Roman"/>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1" w:lineRule="exact"/>
        <w:rPr>
          <w:sz w:val="20"/>
          <w:szCs w:val="20"/>
          <w:color w:val="auto"/>
        </w:rPr>
      </w:pPr>
    </w:p>
    <w:p>
      <w:pPr>
        <w:jc w:val="both"/>
        <w:ind w:left="900" w:right="120" w:hanging="325"/>
        <w:spacing w:after="0" w:line="26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North America segment, we develop, market, sell and manage vacation ownership and related products under the Marriott Vacation Club and Grand Residences by Marriott brands. We also develop, market and sell vacation ownership and related products under the Ritz-Carlton Destination Club brand, as well as whole ownership residential products under the Ritz-Carlton Residences brand.</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Europe segment, we develop, market, sell and manage vacation ownership products in several locations in Europe.</w:t>
      </w:r>
    </w:p>
    <w:p>
      <w:pPr>
        <w:spacing w:after="0" w:line="90" w:lineRule="exact"/>
        <w:rPr>
          <w:rFonts w:ascii="Times New Roman" w:cs="Times New Roman" w:eastAsia="Times New Roman" w:hAnsi="Times New Roman"/>
          <w:sz w:val="18"/>
          <w:szCs w:val="18"/>
          <w:color w:val="auto"/>
        </w:rPr>
      </w:pPr>
    </w:p>
    <w:p>
      <w:pPr>
        <w:ind w:left="900" w:hanging="325"/>
        <w:spacing w:after="0" w:line="339" w:lineRule="auto"/>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our Asia Pacific segment, we develop, market, sell and manage the Marriott Vacation Club, Asia Pacific, a right-to-use points program we introduced in 2006 that we specifically designed to appeal to vacation preferences of the Asian market, as well as a weeks-based right-to-use product.</w:t>
      </w:r>
    </w:p>
    <w:p>
      <w:pPr>
        <w:spacing w:after="0" w:line="7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Effective December 29, 2012, we combined the reporting of the financial results of the former Luxury segment with the North America segment based upon our decision to scale back separate development activity for the Luxury market and to aggregate future marketing and sales of both upscale tier and luxury tier inventory. Existing service standards and on-site management remain unaffected by our reporting changes. Prior year amounts have been recast for consistency with the current year’s presentation.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evaluate the performance of our segments based primarily on the results of the segment without allocating corporate expenses or income taxes. We do not allocate corporate interest expense or other financing expenses to our segments. During the twelve weeks ended March 22, 2013, we reviewed the allocation of general and administrative expenses to our reportable segments as a result of the realignment of our management structure. Based on this review, we determined to no longer allocate certain general and administrative expenses to our reportable segments. This change, which was effective December 29, 2012, had no impact on our Financial Statements for any prior period. Prior period reportable segment information has been adjusted to reflect the change in reportable segment reporting.</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and other gains or losses that are not allocable to our segments.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9"/>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25"/>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center"/>
              <w:ind w:right="3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ind w:right="1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4"/>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ind w:right="1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5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segment revenues</w:t>
            </w:r>
          </w:p>
        </w:tc>
        <w:tc>
          <w:tcPr>
            <w:tcW w:w="1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440" w:type="dxa"/>
            <w:vAlign w:val="bottom"/>
            <w:gridSpan w:val="3"/>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9"/>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25"/>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center"/>
              <w:ind w:right="3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37"/>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160" w:type="dxa"/>
            <w:vAlign w:val="bottom"/>
            <w:gridSpan w:val="2"/>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37"/>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5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segment financial results</w:t>
            </w:r>
          </w:p>
        </w:tc>
        <w:tc>
          <w:tcPr>
            <w:tcW w:w="1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440" w:type="dxa"/>
            <w:vAlign w:val="bottom"/>
            <w:gridSpan w:val="3"/>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3"/>
              </w:rPr>
              <w:t>At Period-End</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right="172"/>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4"/>
          </w:tcPr>
          <w:p>
            <w:pPr>
              <w:ind w:left="120"/>
              <w:spacing w:after="0" w:line="12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398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5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4"/>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segment assets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2,430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2,613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ORGANIZATIONAL AND SEPARATION RELATED CHARGES</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Since the Spin-Off, Marriott International has continued to provide us with certain information technology and other administrative services pursuant to transition services agreements. In connection with our continued organizational and separation related activities, we have incurred certain expenses to complete our separation from Marriott International. These costs primarily relate to establishing our own information technology systems and services, independent payroll functions and reorganizing certain existing administrative organizations to support our stand-alone public company needs. We expect these efforts to continue through 2014. Organizational and separation related charges as reflected in our Statements of Operations, were $2 million and $4 million for the twelve weeks ended June 14, 2013 and June 15, 2012, respectively, and $3 million and $6 million for the twenty-four weeks ended June 14, 2013 and June 15, 2012, respectively. In addition, $2 million of additional separation related charges was capitalized to Property and equipment on our Balance Sheets during the twenty-four weeks ended June 14, 2013.</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 and can be identified by the use of forward-looking terminology such as the words “believe,” “expect,” “plan,” “intend,” “anticipate,” “estimate,” “predict,” “potential,” “continue,” “may,” “might,” “should,” “could” or the negative of these terms or similar expressions.</w:t>
      </w:r>
    </w:p>
    <w:p>
      <w:pPr>
        <w:spacing w:after="0" w:line="11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except as required by law.</w:t>
      </w:r>
    </w:p>
    <w:p>
      <w:pPr>
        <w:spacing w:after="0" w:line="13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risk factors discussed in “Risk Factors” in our most recent Annual Report on Form 10-K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36" w:lineRule="exact"/>
        <w:rPr>
          <w:sz w:val="20"/>
          <w:szCs w:val="20"/>
          <w:color w:val="auto"/>
        </w:rPr>
      </w:pPr>
    </w:p>
    <w:p>
      <w:pPr>
        <w:ind w:right="180" w:firstLine="456"/>
        <w:spacing w:after="0" w:line="301" w:lineRule="auto"/>
        <w:rPr>
          <w:sz w:val="20"/>
          <w:szCs w:val="20"/>
          <w:color w:val="auto"/>
        </w:rPr>
      </w:pPr>
      <w:r>
        <w:rPr>
          <w:rFonts w:ascii="Times New Roman" w:cs="Times New Roman" w:eastAsia="Times New Roman" w:hAnsi="Times New Roman"/>
          <w:sz w:val="16"/>
          <w:szCs w:val="16"/>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and cash flows may be in the future. We refer to (i) our Interim Consolidated Financial Statements as our “Financial Statements,” (ii) our Interim Consolidated Statements of Operations as our “Statements of Operations,” and (iii) our Interim Consolidated Statements of Cash Flows as our “Cash Flows.”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Spin-Off</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On November 21, 2011, the spin-off of our company (the “Spin-Off”) from Marriott International, Inc. (“Marriott International”) was completed. In the Spin-Off, Marriott International’s vacation ownership operations and related residential business were separated from Marriott International through a special tax-free dividend to Marriott International’s shareholders of all of the issued and outstanding common stock of our company. As a result of the Spin-Off, we are an independent company, and our common stock is listed on the New York Stock Exchange under the symbol “VAC.” Following the Spin-Off, we and Marriott International have operated independently, and neither company has any ownership interest in the other.</w:t>
      </w:r>
    </w:p>
    <w:p>
      <w:pPr>
        <w:spacing w:after="0" w:line="139"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In connection with the Spin-Off, we entered into several material agreements with Marriott International pertaining to the rights and obligations of each company following the Spin-Off. The agreements include a License, Services, and Development Agreement with Marriott International and its subsidiary Marriott Worldwide Corporation (the “Marriott License Agreement”) and a License, Services, and Development Agreement with The Ritz-Carlton Hotel Company, L.L.C. (the “Ritz-Carlton License Agreement” and, together with the Marriott License Agreement, the “License Agreements”). Under the License Agreements, we are granted the exclusive right, for the terms of the License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and Separation Related Efforts</w:t>
      </w:r>
    </w:p>
    <w:p>
      <w:pPr>
        <w:spacing w:after="0" w:line="92"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Since the Spin-Off, Marriott International has continued to provide us with certain information technology and other administrative services pursuant to transition services agreements. In connection with our continued organizational and separation related activities, we have incurred expenses to complete our separation from Marriott International. These costs primarily relate to establishing our own information technology systems and services, independent payroll and accounts payable functions and reorganizing existing human resources, information technology, and related finance and accounting organizations to support our stand-alone public company needs. Organizational and separation related charges were $3 million for the twenty-four weeks ended June 14, 2013, as reflected in our Statements of Operations. In addition, during the twenty-four weeks ended June 14, 2013, $2 million of additional separation related charges was capitalized to Property and equipment on our Balance Sheets. We expect to incur an additional $16 million to $21 million in connection with these organizational and separation related efforts through 2014. Once completed, we expect these efforts will generate approximately $15 million to $20 million of annualized savings. Approximately $2 million of these incremental savings are reflected in our twenty-four weeks ended June 14, 2013 financial results.</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92"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generally provides on-site management for Ritz-Carlton branded properties.</w:t>
      </w:r>
    </w:p>
    <w:p>
      <w:pPr>
        <w:spacing w:after="0" w:line="103"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business is grouped into three reportable segments: North America, Europe and Asia Pacific. Effective December 29, 2012, we combined the reporting of the financial results of the former Luxury segment with the North America segment based upon our decision to scale back separate development activity for the Luxury market and to aggregate future marketing and sales of both upscale tier and luxury tier inventory. Existing service standards and on-site management remain unaffected by our reporting changes. Prior year amounts have been recast for consistency with the current year’s presentation.</w:t>
      </w:r>
    </w:p>
    <w:p>
      <w:pPr>
        <w:spacing w:after="0" w:line="136"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We operate 63 properties in the United States and nine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summary of significant accounting policies used in our business that will be used in describing our results of operations.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 of Vacation Ownership Products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recognize revenues from the sale of vacation ownership products when all of the following conditions exist:</w:t>
      </w:r>
    </w:p>
    <w:p>
      <w:pPr>
        <w:spacing w:after="0" w:line="90"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binding sales contract has been executed;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rescission period has expired;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receivable is deemed collectible;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criteria for percentage of completion accounting are met;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our obligations are substantially completed.</w:t>
      </w:r>
    </w:p>
    <w:p>
      <w:pPr>
        <w:spacing w:after="0" w:line="171" w:lineRule="exact"/>
        <w:rPr>
          <w:sz w:val="20"/>
          <w:szCs w:val="20"/>
          <w:color w:val="auto"/>
        </w:rPr>
      </w:pPr>
    </w:p>
    <w:p>
      <w:pPr>
        <w:ind w:right="300" w:firstLine="456"/>
        <w:spacing w:after="0" w:line="301" w:lineRule="auto"/>
        <w:rPr>
          <w:sz w:val="20"/>
          <w:szCs w:val="20"/>
          <w:color w:val="auto"/>
        </w:rPr>
      </w:pPr>
      <w:r>
        <w:rPr>
          <w:rFonts w:ascii="Times New Roman" w:cs="Times New Roman" w:eastAsia="Times New Roman" w:hAnsi="Times New Roman"/>
          <w:sz w:val="16"/>
          <w:szCs w:val="16"/>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Plus points are redeemable for stays at our resorts, generally within one to two years from the date of issuance. Sales incentives are only awarded if the sale is closed.</w:t>
      </w:r>
    </w:p>
    <w:p>
      <w:pPr>
        <w:spacing w:after="0" w:line="103"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As a result of the down 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132"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from vacation ownership purchases as a reduction of revenues from the sale of vacation ownership products at the time we recognize revenues from a sale.</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report, on a supplemental basis, contract sales for each of our three segments. Contract sales represent the total amount of vacation ownership product sales from purchase agreements signed during the period where we have received a down payment of at least ten percent of the contract price, reduced by actual rescissions during the period. Contract sales differ from revenues from the sale of vacation ownership products that we report in our Statements of Operations due to the requirements for revenue recognition described above. We consider contract sales to be an important operating measure because it reflects the pace of sales in our business.</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in our Statements of Operations to true-up revenues and costs in that period to those that would have been recorded historically if the revised estimates had been used. These true-ups, which we refer to as product cost true-ups, will have a positive or negative impact on our Statements of Operations.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firstLine="456"/>
        <w:spacing w:after="0" w:line="339" w:lineRule="auto"/>
        <w:rPr>
          <w:sz w:val="20"/>
          <w:szCs w:val="20"/>
          <w:color w:val="auto"/>
        </w:rPr>
      </w:pPr>
      <w:r>
        <w:rPr>
          <w:rFonts w:ascii="Times New Roman" w:cs="Times New Roman" w:eastAsia="Times New Roman" w:hAnsi="Times New Roman"/>
          <w:sz w:val="16"/>
          <w:szCs w:val="16"/>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Resort Management and Other Services</w:t>
      </w:r>
    </w:p>
    <w:p>
      <w:pPr>
        <w:spacing w:after="0" w:line="92"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Our resort management and other services revenues includes revenues we earn for managing our resorts, for providing ancillary offerings including food and beverage, retail, and golf and spa offerings, from annual club dues and certain transaction-based fees charged to owners and other third parties for services, and for providing other services to our guests.</w:t>
      </w:r>
    </w:p>
    <w:p>
      <w:pPr>
        <w:spacing w:after="0" w:line="13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provide day-to-day management services, including housekeeping services, operation of reservation systems, maintenance, and certain accounting and administrative services for property owners’ associations. We receive compensation for these management services; this compensation is generally based on either a percentage of total costs to operate the resorts or a fixed fee arrangement. We earn these fees regardless of usage or occupancy.</w:t>
      </w:r>
    </w:p>
    <w:p>
      <w:pPr>
        <w:spacing w:after="0" w:line="13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Resort management and other services expenses include costs to operate the food and beverage and other ancillary operations and overall customer support services, including reservations.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9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6680" w:type="dxa"/>
            <w:vAlign w:val="bottom"/>
          </w:tcPr>
          <w:p>
            <w:pPr>
              <w:spacing w:after="0"/>
              <w:rPr>
                <w:sz w:val="14"/>
                <w:szCs w:val="14"/>
                <w:color w:val="auto"/>
              </w:rPr>
            </w:pPr>
          </w:p>
        </w:tc>
        <w:tc>
          <w:tcPr>
            <w:tcW w:w="20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r>
      <w:tr>
        <w:trPr>
          <w:trHeight w:val="125"/>
        </w:trPr>
        <w:tc>
          <w:tcPr>
            <w:tcW w:w="6680" w:type="dxa"/>
            <w:vAlign w:val="bottom"/>
          </w:tcPr>
          <w:p>
            <w:pPr>
              <w:spacing w:after="0"/>
              <w:rPr>
                <w:sz w:val="10"/>
                <w:szCs w:val="10"/>
                <w:color w:val="auto"/>
              </w:rPr>
            </w:pPr>
          </w:p>
        </w:tc>
        <w:tc>
          <w:tcPr>
            <w:tcW w:w="1300" w:type="dxa"/>
            <w:vAlign w:val="bottom"/>
            <w:gridSpan w:val="2"/>
          </w:tcPr>
          <w:p>
            <w:pPr>
              <w:ind w:left="10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7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r>
      <w:tr>
        <w:trPr>
          <w:trHeight w:val="165"/>
        </w:trPr>
        <w:tc>
          <w:tcPr>
            <w:tcW w:w="66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FICO score</w:t>
            </w:r>
          </w:p>
        </w:tc>
        <w:tc>
          <w:tcPr>
            <w:tcW w:w="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733</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733</w:t>
            </w:r>
          </w:p>
        </w:tc>
      </w:tr>
    </w:tbl>
    <w:p>
      <w:pPr>
        <w:spacing w:after="0" w:line="14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typical financing agreement provides for monthly payments of principal and interest with the principal balance of the loan fully amortizing over the term of the vacation ownership notes receivable, which is generally ten years. The interest income earned from the financing arrangements is earned on an accrual basis on the principal balance outstanding over the life of the arrangement and is recorded as financing revenues on our Statements of Operations.</w:t>
      </w:r>
    </w:p>
    <w:p>
      <w:pPr>
        <w:spacing w:after="0" w:line="13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Due to weakened economic conditions and our elimination of financing incentive programs, the percentage of customers choosing to finance their vacation ownership purchase with us (which we refer to as “financing propensity”) declined significantly through 2009 and has leveled out since then. As a result, we expect that interest income will continue to decline over the next few years until new originations outpace the decline in principal amount of the existing vacation ownership notes receivable portfolio.</w:t>
      </w:r>
    </w:p>
    <w:p>
      <w:pPr>
        <w:spacing w:after="0" w:line="14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the event of a default, we generally have the right to foreclose on or revoke the mortgaged vacation ownership interest. We typically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in our Statements of Operations. Historical default rates, which represent defaults as a percentage of each year’s beginning gross vacation ownership notes receivable balance, were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6740" w:type="dxa"/>
            <w:vAlign w:val="bottom"/>
          </w:tcPr>
          <w:p>
            <w:pPr>
              <w:spacing w:after="0"/>
              <w:rPr>
                <w:sz w:val="14"/>
                <w:szCs w:val="14"/>
                <w:color w:val="auto"/>
              </w:rPr>
            </w:pPr>
          </w:p>
        </w:tc>
        <w:tc>
          <w:tcPr>
            <w:tcW w:w="19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r>
      <w:tr>
        <w:trPr>
          <w:trHeight w:val="125"/>
        </w:trPr>
        <w:tc>
          <w:tcPr>
            <w:tcW w:w="6740" w:type="dxa"/>
            <w:vAlign w:val="bottom"/>
          </w:tcPr>
          <w:p>
            <w:pPr>
              <w:spacing w:after="0"/>
              <w:rPr>
                <w:sz w:val="10"/>
                <w:szCs w:val="10"/>
                <w:color w:val="auto"/>
              </w:rPr>
            </w:pPr>
          </w:p>
        </w:tc>
        <w:tc>
          <w:tcPr>
            <w:tcW w:w="1240" w:type="dxa"/>
            <w:vAlign w:val="bottom"/>
            <w:gridSpan w:val="2"/>
          </w:tcPr>
          <w:p>
            <w:pPr>
              <w:ind w:left="10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700" w:type="dxa"/>
            <w:vAlign w:val="bottom"/>
          </w:tcPr>
          <w:p>
            <w:pPr>
              <w:ind w:left="100"/>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r>
      <w:tr>
        <w:trPr>
          <w:trHeight w:val="165"/>
        </w:trPr>
        <w:tc>
          <w:tcPr>
            <w:tcW w:w="67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default rates</w:t>
            </w:r>
          </w:p>
        </w:tc>
        <w:tc>
          <w:tcPr>
            <w:tcW w:w="7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8"/>
                <w:szCs w:val="18"/>
                <w:color w:val="auto"/>
              </w:rPr>
              <w:t>2.6%</w:t>
            </w:r>
          </w:p>
        </w:tc>
      </w:tr>
    </w:tbl>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Rental</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operate a rental business to provide owner flexibility and to help mitigate carrying costs associated with our inventory.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obtain rental inventory from:</w:t>
      </w:r>
    </w:p>
    <w:p>
      <w:pPr>
        <w:spacing w:after="0" w:line="90"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Unsold inventory;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we control because owners have elected various usage options.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 xml:space="preserve">Rental revenues are primarily the revenues we earn from renting this inventory. We also recognize rental revenue from the utilization of plus points under the Marriott Vacation Club Destinations </w:t>
      </w:r>
      <w:r>
        <w:rPr>
          <w:rFonts w:ascii="Times New Roman" w:cs="Times New Roman" w:eastAsia="Times New Roman" w:hAnsi="Times New Roman"/>
          <w:sz w:val="11"/>
          <w:szCs w:val="11"/>
          <w:color w:val="auto"/>
        </w:rPr>
        <w:t>TM</w:t>
      </w:r>
      <w:r>
        <w:rPr>
          <w:rFonts w:ascii="Times New Roman" w:cs="Times New Roman" w:eastAsia="Times New Roman" w:hAnsi="Times New Roman"/>
          <w:sz w:val="18"/>
          <w:szCs w:val="18"/>
          <w:color w:val="auto"/>
        </w:rPr>
        <w:t xml:space="preserve"> (“MVCD”) program when those points are redeemed for rental stays at one of our resorts or upon expiration of the points.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Rental expenses include:</w:t>
      </w:r>
    </w:p>
    <w:p>
      <w:pPr>
        <w:spacing w:after="0" w:line="90"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fees on unsold inventory;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provide alternate usage options, including Marriott Rewards Points, for owners who elect to exchange their inventory;</w:t>
      </w:r>
    </w:p>
    <w:p>
      <w:pPr>
        <w:spacing w:after="0" w:line="90"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Subsidy payments to property owners’ associations at resorts that are in the early phases of construction where maintenance fees collected from the owners are not sufficient to support operating costs of the resort;</w:t>
      </w:r>
    </w:p>
    <w:p>
      <w:pPr>
        <w:spacing w:after="0" w:line="38"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costs and direct operating and related expenses in connection with the rental business (such as housekeeping, credit card expenses and reservation services);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banking and borrowing usage option that is available under our MVCD program.</w:t>
      </w:r>
    </w:p>
    <w:p>
      <w:pPr>
        <w:spacing w:after="0" w:line="17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inventory at our Ritz-Carlton branded properties and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We also record other revenues and expenses which are primarily comprised of fees received from our external exchange company and settlement fees and expenses from the sale of vacation ownership products.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Reimbursements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Cost reimbursements revenues include direct and indirect costs that property owners’ associations and joint ventures in which we participate reimburse to us. In accordance with the accounting guidance for “gross versus net” presentation, we record these revenues on a gross basis. We recognize cost reimbursements revenue when we incur the related reimbursable costs. These costs primarily consist of payroll and payroll related expenses for management of the property owners’ associations and other services we provide where we are the employer, and for development and marketing and sales services that joint ventures contract with us to perform. Cost reimbursements are based upon actual expenses with no added margin.</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refer to interest expense associated with the debt from our non-recourse warehouse credit facility (the “Warehouse Credit Facility”) and from the securitization of our vacation ownership notes receivable in the asset-backed securities (“ABS”) market as consumer financing interest expense. We distinguish consumer financing interest expense from all other interest expense (referred to as non-consumer financing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Items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measure operating performance using the following key metrics:</w:t>
      </w:r>
    </w:p>
    <w:p>
      <w:pPr>
        <w:spacing w:after="0" w:line="90"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sales from the sale of vacation ownership products;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margin percentage; and</w:t>
      </w:r>
    </w:p>
    <w:p>
      <w:pPr>
        <w:spacing w:after="0" w:line="90" w:lineRule="exact"/>
        <w:rPr>
          <w:rFonts w:ascii="Times New Roman" w:cs="Times New Roman" w:eastAsia="Times New Roman" w:hAnsi="Times New Roman"/>
          <w:sz w:val="18"/>
          <w:szCs w:val="18"/>
          <w:color w:val="auto"/>
        </w:rPr>
      </w:pPr>
    </w:p>
    <w:p>
      <w:pPr>
        <w:ind w:left="900" w:right="80" w:hanging="325"/>
        <w:spacing w:after="0" w:line="26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per guest (“VPG”), which we calculate by dividing contract sales, excluding telesales and other sales that are not attributed to a tour at a sales location, by the number of sales tours in a given period. We believe this operating metric is valuable in evaluating the effectiveness of the sales process as it combines the impact of average contract price with the number of touring guests who make a purchase.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Rounding</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Percentage changes presented in our public filings are calculated using whole dollars.</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Restatement of Prior Financial Statements</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During the course of an internal review of certain sales documentation processes related to the sale of certain vacation ownership interests in properties associated with our Europe segment, we determined that the documentation we provided for certain sales of vacation ownership products was not strictly compliant. As a result, in accordance with applicable European regulation, the period of time during which purchasers of such interests may rescind their purchases was extended. We record revenues from the sale of vacation ownership products once the rescission period has ended. Originally, we recorded revenues from these sales of vacation ownership products based on the rescission periods in effect assuming compliant documentation had been provided to the purchasers rather than the extended periods. As a result, we recognized revenue in incorrect periods between fiscal years 2010 and 2013 and misstated revenues in our previously filed consolidated financial statements.</w:t>
      </w:r>
    </w:p>
    <w:p>
      <w:pPr>
        <w:spacing w:after="0" w:line="141" w:lineRule="exact"/>
        <w:rPr>
          <w:sz w:val="20"/>
          <w:szCs w:val="20"/>
          <w:color w:val="auto"/>
        </w:rPr>
      </w:pPr>
    </w:p>
    <w:p>
      <w:pPr>
        <w:ind w:right="40" w:firstLine="456"/>
        <w:spacing w:after="0" w:line="290" w:lineRule="auto"/>
        <w:rPr>
          <w:sz w:val="20"/>
          <w:szCs w:val="20"/>
          <w:color w:val="auto"/>
        </w:rPr>
      </w:pPr>
      <w:r>
        <w:rPr>
          <w:rFonts w:ascii="Times New Roman" w:cs="Times New Roman" w:eastAsia="Times New Roman" w:hAnsi="Times New Roman"/>
          <w:sz w:val="16"/>
          <w:szCs w:val="16"/>
          <w:color w:val="auto"/>
        </w:rPr>
        <w:t>The documentation issue described above was limited to sales documentation provided to purchasers of certain interests in properties associated with our Europe segment. We have taken corrective measures and compliant documentation is now being provided to purchasers. In addition, we have provided compliant documentation to purchasers for whom the extended rescission period had not yet expired. The cumulative impact of these items through December 28, 2012 was a reduction in reported income before income taxes of $12 million. The cumulative impact of these items through March 22, 2013 was a reduction in reported income before income taxes of $11 million. However, as compliant documentation has since been provided, the extended rescission period for most of the purchases at issue ended during the second quarter of 2013, with sales having a net pre-tax impact of $1 million actually having been rescinded. As a result, approximately $9 million and $10 million of this cumulative impact is reflected as an increase in pre-tax income for the twelve and twenty-four weeks ended June 14, 2013, respectively, with approximately $1 million expected to be reflected in our results for the third quarter of 2013.</w:t>
      </w:r>
    </w:p>
    <w:p>
      <w:pPr>
        <w:spacing w:after="0" w:line="11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consolidated restated financial statements will include certain other corrections related to the timing of recording adjustments to previously reported deferred tax balances. Certain deferred tax assets were determined to not be realizable in future years and thus were eliminated, albeit in the incorrect fiscal year for the years ended December 28, 2012, December 30, 2011 and December 31, 2010. These corrections were identified while we were developing internal processes relating to deferred taxes after we became a standalone public company. In addition to the adjustments required as a result of the errors described above, the restated consolidated financial statements will include certain previously unrecorded immaterial adjustments to our financial statements for fiscal years 2010 and 2011 relating to cost reimbursements, which previously were recorded on a net basis.</w:t>
      </w:r>
    </w:p>
    <w:p>
      <w:pPr>
        <w:spacing w:after="0" w:line="139"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The adjustments necessary to correct all of the errors have no impact on previously reported cash flows from operations and do not have a material impact on our balance sheet as of any date. In accordance with applicable accounting guidance, an adjustment to the financial statements for each individual period presented is required to reflect the correction of the period-specific effects of the errors described above, if material. Based on our evaluation of relevant quantitative and qualitative factors, we determined the identified misstatements are not material to our individual prior period consolidated financial statements; however, the cumulative correction of the prior period errors would be material to our current year consolidated financial statements. Consequently, we will restate the consolidated Statements of Operations for the years ended December 28, 2012 and December 30, 2011, and the Statements of Operations for the periods ended March 22, 2013 and March 23, 2012. We have restated the consolidated Balance Sheet as of December 28, 2012 and the Statement of Operations for the twelve and twenty-four weeks ended June 15, 2012.</w:t>
      </w:r>
    </w:p>
    <w:p>
      <w:pPr>
        <w:spacing w:after="0" w:line="13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cumulative impact of these misstatements on our 2012 annual and interim consolidated statements of cash flows is inconsequential as the impact on individual line items within operating activities is not material and had no impact on net cash provided by (used in) operating, investing or financing activities. However, we will restate the 2012 statement of cash flows when disclosed in our Annual Report on Form 10-K for the fiscal year ended January 3, 2014 to reflect changes to individual line items within operating activities.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92"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The following discussion presents an analysis of our results of operations for the twelve and twenty-four weeks ended June 14, 2013, compared to the twelve and twenty-four weeks ended June 15, 2012.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7"/>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w w:val="95"/>
              </w:rPr>
              <w:t>Twelve Weeks Ended</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Twenty-Four Weeks Ended</w:t>
            </w:r>
          </w:p>
        </w:tc>
        <w:tc>
          <w:tcPr>
            <w:tcW w:w="0" w:type="dxa"/>
            <w:vAlign w:val="bottom"/>
          </w:tcPr>
          <w:p>
            <w:pPr>
              <w:spacing w:after="0"/>
              <w:rPr>
                <w:sz w:val="1"/>
                <w:szCs w:val="1"/>
                <w:color w:val="auto"/>
              </w:rPr>
            </w:pPr>
          </w:p>
        </w:tc>
      </w:tr>
      <w:tr>
        <w:trPr>
          <w:trHeight w:val="125"/>
        </w:trPr>
        <w:tc>
          <w:tcPr>
            <w:tcW w:w="46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4"/>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jc w:val="right"/>
              <w:ind w:right="160"/>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right"/>
              <w:ind w:right="38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60"/>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3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141</w:t>
            </w:r>
          </w:p>
        </w:tc>
        <w:tc>
          <w:tcPr>
            <w:tcW w:w="120" w:type="dxa"/>
            <w:vAlign w:val="bottom"/>
          </w:tcPr>
          <w:p>
            <w:pPr>
              <w:spacing w:after="0"/>
              <w:rPr>
                <w:sz w:val="18"/>
                <w:szCs w:val="18"/>
                <w:color w:val="auto"/>
              </w:rPr>
            </w:pPr>
          </w:p>
        </w:tc>
        <w:tc>
          <w:tcPr>
            <w:tcW w:w="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Financing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Rental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reimbursements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9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383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Marketing and sales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Financing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Rental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Litigation settlement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Organizational and separation related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Royalty fee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Impairment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reimbursements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376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Gains and other income</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7"/>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Impairment reversals on equity investment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77"/>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9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9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Sales</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63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5"/>
              </w:rPr>
              <w:t>Twelve Weeks Ended</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6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200" w:type="dxa"/>
            <w:vAlign w:val="bottom"/>
            <w:gridSpan w:val="6"/>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120" w:type="dxa"/>
            <w:vAlign w:val="bottom"/>
          </w:tcPr>
          <w:p>
            <w:pPr>
              <w:spacing w:after="0"/>
              <w:rPr>
                <w:sz w:val="10"/>
                <w:szCs w:val="10"/>
                <w:color w:val="auto"/>
              </w:rPr>
            </w:pPr>
          </w:p>
        </w:tc>
        <w:tc>
          <w:tcPr>
            <w:tcW w:w="620" w:type="dxa"/>
            <w:vAlign w:val="bottom"/>
            <w:gridSpan w:val="2"/>
          </w:tcPr>
          <w:p>
            <w:pPr>
              <w:jc w:val="right"/>
              <w:ind w:right="39"/>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3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800" w:type="dxa"/>
            <w:vAlign w:val="bottom"/>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Vacation ownership</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Residential products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contract sales</w:t>
            </w: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color w:val="auto"/>
                <w:w w:val="88"/>
              </w:rPr>
              <w:t>168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 not meaningful</w:t>
      </w:r>
    </w:p>
    <w:p>
      <w:pPr>
        <w:spacing w:after="0" w:line="17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$11 million decrease in total contract sales was driven by $7 million of lower contract sales in our Asia Pacific segment due to the closure of our off-site sales locations in Hong Kong and Japan in the fourth quarter of 2012, $3 million of lower contract sales in our Europe segment as we continued to sell through existing inventory and as a result of higher rescission activity associated with extended rescission periods in our Europe segment during the second quarter of 2013, and $1 million of lower contract sales in our North America segment.</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240" w:top="455" w:right="4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decrease in contract sales in our North America segment reflected a 6 percent decline in tours in the twelve weeks ended June 14, 2013, partially offset by an 8 percent increase in VPG to $3,211 in the twelve weeks ended June 14, 2013 from $2,968 in the prior year comparable period. The decline in tours was driven by an increase in weeks-based owner utilization of the MVCD program, with owners taking advantage of the program’s flexibility through shorter stays and alternative usage options. This has reduced our existing owner tour-flow, which we intend to replace through new programs in the future as well as increased new buyer tours. The increase in VPG was due to a nearly 4 percent price increase and a 1 percentage point increase in closing efficiency resulting from improved marketing and sales execution.</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59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65"/>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4"/>
                <w:szCs w:val="14"/>
                <w:color w:val="auto"/>
              </w:rPr>
            </w:pP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6"/>
        </w:trPr>
        <w:tc>
          <w:tcPr>
            <w:tcW w:w="5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59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Vacation ownership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9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Residential products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contract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322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$9 million decrease in total contract sales was driven by $11 million of lower contract sales in our Asia Pacific segment due to the closure of our off-site sales locations in Hong Kong and Japan in the fourth quarter of 2012 and $6 million of lower contract sales in our Europe segment as we continued to sell through existing inventory and as a result of higher rescission activity associated with extended rescission periods in our Europe segment during the second quarter of 2013. These decreases were partially offset by $8 million, or 3 percent, of higher contract sales in our key North America segment.</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increase in contract sales in our North America segment reflected a 10 percent increase in VPG to $3,238 in the twenty-four weeks ended June 14, 2013 from $2,955 in the prior year comparable period. The increase in VPG was due to a 3 percent price increase and a slightly more than 1 percentage point increase in closing efficiency resulting from improved marketing and sales execution. These increases were partially offset by a 5 percent decline in tours. The decline in tours was driven by an increase in weeks-based owner utilization of the MVCD program, with owners taking advantage of the program’s flexibility through shorter stays and alternative usage options. This has reduced our existing owner tour-flow, which we intend to replace through new programs in the future as well as increased new buyer tours.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59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58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78"/>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65"/>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CEEFF"/>
            </w:tcBorders>
          </w:tcPr>
          <w:p>
            <w:pPr>
              <w:spacing w:after="0"/>
              <w:rPr>
                <w:sz w:val="14"/>
                <w:szCs w:val="14"/>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1"/>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 pts</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increase in revenues from the sale of vacation ownership products was due to $34 million of higher revenue reportability compared to the prior year comparable period and $5 million of lower vacation ownership notes receivable reserve activity due to lower estimated default and delinquency activity in our North America segment in the twelve weeks ended June 14, 2013, partially offset by the $11 million decrease in contract sales. The $34 million of higher revenue reportability resulted from $25 million of higher revenue reportability in the twelve weeks ended June 14, 2013 compared to $9 million of lower revenue reportability in the prior year comparable period. Revenue reportability was higher in the current year quarter, as the rescission period related to certain sales had expired, of which $17 million related to the impact of the extended rescission periods in our Europe segment. The lower reportability in the prior year quarter reflected the impact of certain sales not meeting the down payment requirement for revenue recognition purposes prior to the end of the period. Revenue reportability can affect quarter-to-quarter earnings but typically has no material impact on year-over-year earnings; however, given the impact of the extended rescission periods in our Europe segment, we expect that revenue reportability will have a material impact on year-over-year earnings.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increase in development margin reflects $20 million from higher revenue reportability year-over-year (of which $12 million is related to the impact of the extended rescission periods in our Europe segment), a $5 million increase from lower contract sales volume net of lower direct variable expenses (i.e., cost of vacation ownership products and marketing and sales) due to a favorable mix of lower cost real estate inventory being sold and more efficient marketing and sales spending, and a $2 million benefit from the lower estimated default and delinquency activity. These increases are partially offset by $3 million of favorable product cost true-ups in the prior year period compared to less than $1 million in the twelve weeks ended June 14, 2013.</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14 percentage point improvement in the development margin percentage reflects a 9 percentage point increase due to higher revenue reportability year-over-year, a 2 percentage point increase from the lower cost of vacation ownership products due to a favorable mix of lower cost real estate inventory being sold offset by the favorable product cost true-up activity in the prior year comparable period, a 2 percentage point increase from efficiencies in marketing and sales spending and a 1 percentage point increase from the lower estimated default and delinquency activity.</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59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58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78"/>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65"/>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CEEFF"/>
            </w:tcBorders>
          </w:tcPr>
          <w:p>
            <w:pPr>
              <w:spacing w:after="0"/>
              <w:rPr>
                <w:sz w:val="14"/>
                <w:szCs w:val="14"/>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1"/>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 pts</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increase in revenues from the sale of vacation ownership products was due to $43 million of higher revenue reportability compared to the prior year comparable period and $5 million of lower vacation ownership notes receivable reserve activity due to lower estimated default and delinquency activity in our North America segment in the twenty-four weeks ended June 14, 2013, partially offset by the $9 million decrease in contract sales. The $43 million of higher revenue reportability resulted from $23 million of higher revenue reportability in the twenty-four weeks ended June 14, 2013 compared to $20 million of lower revenue reportability in the prior year comparable period. Revenue reportability was higher in the current year period, as the rescission period related to certain sales had expired, of which $18 million related to impact of the extended rescission periods in our Europe segment. The lower reportability in the prior year period reflected the impact of certain sales remaining in the statutory rescission period or not meeting the down payment requirement for revenue recognition purposes prior to the end of the period. Revenue reportability can affect quarter-to-quarter earnings, but typically has no material impact on year-over-year earnings; however, given the impact of the extended rescission periods in our Europe segment, we expect that revenue reportability will have a material impact on year-over-year earnings.</w:t>
      </w:r>
    </w:p>
    <w:p>
      <w:pPr>
        <w:spacing w:after="0" w:line="141"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The increase in development margin reflects $25 million from higher revenue reportability year-over-year (of which $14 million is related to the impact of the extended rescission periods in our Europe segment), a $9 million increase from lower contract sales volume net of lower direct variable expenses (i.e., cost of vacation ownership products and marketing and sales) due to a favorable mix of lower cost real estate inventory being sold and more efficient marketing and sales spending, nearly $2 million of favorable product cost true-ups (nearly $7 million in the twelve weeks ended June 14, 2013 compared to more than $5 million in the prior year comparable period), a $2 million benefit from the lower estimated default and delinquency activity and $1 million of other charges in the prior year period. These increases were partially offset by $2 million of severance charges related to the restructuring of sales locations in Europe in early 2013.</w:t>
      </w:r>
    </w:p>
    <w:p>
      <w:pPr>
        <w:spacing w:after="0" w:line="11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favorable product cost true-ups recorded in the twenty-four weeks ended June 14, 2013 were the result of $3 million from lower estimated common construction costs, $2 million from changes in sequencing of inventory into the MVCD program due to the continued reacquisition of previously sold inventory, and more than $1 million from an increase in estimated future revenues associated with our Asia Pacific product.</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11 percentage point improvement in the development margin percentage reflects a 6 percentage point increase due to higher revenue reportability year-over-year, a 3 percentage point increase from the lower cost of vacation ownership products due to a favorable mix of lower cost real estate inventory being sold and, to a lesser extent, favorable product cost true-up activity, and a 2 percentage point increase from efficiencies in marketing and sales spending. These increases were partially offset by a less than 1 percentage point decline due to severance charges in our Europe segment as discussed above.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Resort Management and Other Services Revenues, Expenses and Margin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44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77"/>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revenues</w:t>
            </w:r>
          </w:p>
        </w:tc>
        <w:tc>
          <w:tcPr>
            <w:tcW w:w="9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center"/>
              <w:ind w:left="496"/>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 revenues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jc w:val="center"/>
              <w:ind w:left="476"/>
              <w:spacing w:after="0"/>
              <w:rPr>
                <w:sz w:val="20"/>
                <w:szCs w:val="20"/>
                <w:color w:val="auto"/>
              </w:rPr>
            </w:pPr>
            <w:r>
              <w:rPr>
                <w:rFonts w:ascii="Times New Roman" w:cs="Times New Roman" w:eastAsia="Times New Roman" w:hAnsi="Times New Roman"/>
                <w:sz w:val="18"/>
                <w:szCs w:val="18"/>
                <w:color w:val="auto"/>
                <w:w w:val="94"/>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4"/>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Resort management and other services expenses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020" w:type="dxa"/>
            <w:vAlign w:val="bottom"/>
            <w:gridSpan w:val="2"/>
          </w:tcPr>
          <w:p>
            <w:pPr>
              <w:jc w:val="center"/>
              <w:ind w:left="496"/>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 percentage</w:t>
            </w: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pts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decrease in resort management and other services revenues is driven by $2 million of lower ancillary revenues, which reflects a $3 million decline due to the disposition of a golf course and related assets at one of our Ritz-Carlton branded projects late in 2012, partially offset by a $1 million increase in ancillary revenues from food and beverage and golf offerings at our existing resorts. This decrease is partially offset by $1 million of additional annual club dues earned in connection with the MVCD program due to the cumulative increase in owners enrolled in the program.</w:t>
      </w:r>
    </w:p>
    <w:p>
      <w:pPr>
        <w:spacing w:after="0" w:line="136"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improvement in the resort management and other services margin reflects $2 million of additional annual club dues earned in connection with the MVCD program net of expenses and $1 million of higher ancillary revenues net of expenses primarily due to the disposition of a golf course and related assets at one of our Ritz-Carlton branded projects late in 2012, which experienced an operating loss in the prior year comparable period.</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77"/>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4"/>
                <w:szCs w:val="14"/>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revenues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 revenues</w:t>
            </w: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Resort management and other services expenses</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 percentage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pts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increase in resort management and other services revenues reflects $3 million of additional annual club dues earned in connection with the MVCD program due to the cumulative increase in owners enrolled in the program and $1 million of higher management fees resulting from the cumulative increase in the number of vacation ownership products sold and higher operating costs across the system. These increases were partially offset by $3 million of lower ancillary revenues, which reflects a $6 million decline due to the disposition of a golf course and related assets at one of our Ritz-Carlton branded projects late in 2012, partially offset by a $3 million increase in ancillary revenues from food and beverage and golf offerings at our existing resorts.</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improvement in the resort management and other services margin reflects $4 million of additional annual club dues earned in connection with the MVCD program net of expenses, $2 million of higher ancillary revenues net of expenses primarily due to the disposition of a golf course and related assets at one of our Ritz-Carlton branded projects late in 2012, which experienced an operating loss in the prior year comparable period, and a $1 million increase in management fees net of expenses.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Revenues, Expenses and Margin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44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77"/>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vMerge w:val="continue"/>
            <w:shd w:val="clear" w:color="auto" w:fill="CCEEFF"/>
          </w:tcPr>
          <w:p>
            <w:pPr>
              <w:spacing w:after="0"/>
              <w:rPr>
                <w:sz w:val="18"/>
                <w:szCs w:val="18"/>
                <w:color w:val="auto"/>
              </w:rPr>
            </w:pPr>
          </w:p>
        </w:tc>
        <w:tc>
          <w:tcPr>
            <w:tcW w:w="2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revenues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revenues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margin</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Financing propensity</w:t>
            </w: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gridSpan w:val="2"/>
            <w:vMerge w:val="continue"/>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decrease in financing revenues is due to a $113 million decline in the average gross vacation ownership notes receivable balance. This decline reflects our continued collection of existing vacation ownership notes receivable at a faster pace than our origination of new vacation ownership notes receivable. The $2 million decrease in financing margin from the prior year comparable period reflects the lower interest income, partially offset by lower expenses due to lower foreclosure activity and lower expenses associated with our Revolving Corporate Credit Facility.</w:t>
      </w:r>
    </w:p>
    <w:p>
      <w:pPr>
        <w:spacing w:after="0" w:line="136"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Financing margin net of consumer financing interest expense increased $1 million to $19 million in the twelve weeks ended June 14, 2013 from $18 million in the prior year comparable period. See “Interest Expense” below for a discussion of consumer financing interest expense.</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44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77"/>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vMerge w:val="continue"/>
            <w:shd w:val="clear" w:color="auto" w:fill="CCEEFF"/>
          </w:tcPr>
          <w:p>
            <w:pPr>
              <w:spacing w:after="0"/>
              <w:rPr>
                <w:sz w:val="18"/>
                <w:szCs w:val="18"/>
                <w:color w:val="auto"/>
              </w:rPr>
            </w:pPr>
          </w:p>
        </w:tc>
        <w:tc>
          <w:tcPr>
            <w:tcW w:w="2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revenues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revenues</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margin</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Financing propensity</w:t>
            </w: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gridSpan w:val="2"/>
            <w:vMerge w:val="continue"/>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decrease in financing revenues is due to a $114 million decline in the average gross vacation ownership notes receivable balance. This decline reflects our continued collection of existing vacation ownership notes receivable at a faster pace than our origination of new vacation ownership notes receivable. The $4 million decrease in financing margin from the prior year comparable period reflects the lower interest income, partially offset by lower expenses due to lower foreclosure activity and lower expenses associated with our Revolving Corporate Credit Facility.</w:t>
      </w:r>
    </w:p>
    <w:p>
      <w:pPr>
        <w:spacing w:after="0" w:line="136"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Financing margin net of consumer financing interest expense increased $1 million to $39 million in the twenty-four weeks ended June 14, 2013 from $38 million in the prior year comparable period. See “Interest Expense” below for a discussion of consumer financing interest expense.</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20"/>
          </w:cols>
          <w:pgMar w:left="240" w:top="455"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ind w:right="8360"/>
        <w:spacing w:after="0"/>
        <w:rPr>
          <w:sz w:val="20"/>
          <w:szCs w:val="20"/>
          <w:color w:val="auto"/>
        </w:rPr>
      </w:pPr>
      <w:r>
        <w:rPr>
          <w:rFonts w:ascii="Times New Roman" w:cs="Times New Roman" w:eastAsia="Times New Roman" w:hAnsi="Times New Roman"/>
          <w:sz w:val="16"/>
          <w:szCs w:val="16"/>
          <w:b w:val="1"/>
          <w:bCs w:val="1"/>
          <w:color w:val="auto"/>
        </w:rPr>
        <w:t>Rental Revenues, Expenses and Margin</w:t>
      </w:r>
    </w:p>
    <w:p>
      <w:pPr>
        <w:spacing w:after="0" w:line="113" w:lineRule="exact"/>
        <w:rPr>
          <w:sz w:val="20"/>
          <w:szCs w:val="20"/>
          <w:color w:val="auto"/>
        </w:rPr>
      </w:pPr>
    </w:p>
    <w:p>
      <w:pPr>
        <w:jc w:val="right"/>
        <w:ind w:right="838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9"/>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5"/>
              </w:rPr>
              <w:t>Twelve Weeks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6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Borders>
              <w:top w:val="single" w:sz="8" w:color="auto"/>
            </w:tcBorders>
            <w:gridSpan w:val="4"/>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Borders>
              <w:bottom w:val="single" w:sz="8" w:color="CCEEFF"/>
            </w:tcBorders>
            <w:gridSpan w:val="2"/>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Unsold maintenance fees—upscale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Unsold maintenance fees—luxury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Unsold maintenance fees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line="20" w:lineRule="exact"/>
              <w:rPr>
                <w:sz w:val="1"/>
                <w:szCs w:val="1"/>
                <w:color w:val="auto"/>
              </w:rPr>
            </w:pPr>
          </w:p>
        </w:tc>
      </w:tr>
      <w:tr>
        <w:trPr>
          <w:trHeight w:val="222"/>
        </w:trPr>
        <w:tc>
          <w:tcPr>
            <w:tcW w:w="64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9"/>
                <w:szCs w:val="19"/>
                <w:color w:val="auto"/>
              </w:rPr>
            </w:pPr>
          </w:p>
        </w:tc>
        <w:tc>
          <w:tcPr>
            <w:tcW w:w="8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Rental margin</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margin percentage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9.8 pts</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6460" w:type="dxa"/>
            <w:vAlign w:val="bottom"/>
          </w:tcPr>
          <w:p>
            <w:pPr>
              <w:spacing w:after="0"/>
              <w:rPr>
                <w:sz w:val="24"/>
                <w:szCs w:val="24"/>
                <w:color w:val="auto"/>
              </w:rPr>
            </w:pPr>
          </w:p>
        </w:tc>
        <w:tc>
          <w:tcPr>
            <w:tcW w:w="2080" w:type="dxa"/>
            <w:vAlign w:val="bottom"/>
            <w:gridSpan w:val="11"/>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6460" w:type="dxa"/>
            <w:vAlign w:val="bottom"/>
          </w:tcPr>
          <w:p>
            <w:pPr>
              <w:spacing w:after="0"/>
              <w:rPr>
                <w:sz w:val="10"/>
                <w:szCs w:val="10"/>
                <w:color w:val="auto"/>
              </w:rPr>
            </w:pPr>
          </w:p>
        </w:tc>
        <w:tc>
          <w:tcPr>
            <w:tcW w:w="1040" w:type="dxa"/>
            <w:vAlign w:val="bottom"/>
            <w:tcBorders>
              <w:top w:val="single" w:sz="8" w:color="auto"/>
            </w:tcBorders>
            <w:gridSpan w:val="5"/>
          </w:tcPr>
          <w:p>
            <w:pPr>
              <w:jc w:val="right"/>
              <w:ind w:right="46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4"/>
          </w:tcPr>
          <w:p>
            <w:pPr>
              <w:jc w:val="right"/>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4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Transient keys rented </w:t>
            </w:r>
            <w:r>
              <w:rPr>
                <w:rFonts w:ascii="Times New Roman" w:cs="Times New Roman" w:eastAsia="Times New Roman" w:hAnsi="Times New Roman"/>
                <w:sz w:val="11"/>
                <w:szCs w:val="11"/>
                <w:color w:val="auto"/>
              </w:rPr>
              <w:t>(1)</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255,353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229,591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Average transient key rate</w:t>
            </w: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$ 204.44</w:t>
            </w:r>
          </w:p>
        </w:tc>
        <w:tc>
          <w:tcPr>
            <w:tcW w:w="220" w:type="dxa"/>
            <w:vAlign w:val="bottom"/>
          </w:tcPr>
          <w:p>
            <w:pPr>
              <w:spacing w:after="0"/>
              <w:rPr>
                <w:sz w:val="18"/>
                <w:szCs w:val="18"/>
                <w:color w:val="auto"/>
              </w:rPr>
            </w:pPr>
          </w:p>
        </w:tc>
        <w:tc>
          <w:tcPr>
            <w:tcW w:w="104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$ 190.72</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3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occupancy</w:t>
            </w:r>
          </w:p>
        </w:tc>
        <w:tc>
          <w:tcPr>
            <w:tcW w:w="10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(0.5 pts)</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Transient keys rented exclude those obtained through the use of plus points.</w:t>
      </w:r>
    </w:p>
    <w:p>
      <w:pPr>
        <w:spacing w:after="0" w:line="15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increase in rental revenues is due to a company-wide 11 percent increase in transient keys rented ($5 million), which were primarily sourced from a 9 percent increase in available keys (36,000 additional available keys) resulting from an increase in the number of owners choosing to exchange their vacation ownership interests for alternative usage options and additional inventory from a new phase completed at one of our projects in Hawaii subsequent to the second quarter of 2012, as well as a company-wide 7 percent increase in average transient rate ($5 million) driven by stronger consumer demand and favorable mix of available inventory. In addition, plus points revenue (which is recognized upon utilization of plus points for stays at our resorts or upon expiration of the points) increased by $1 million.</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increase in rental margin reflects $6 million of higher rental revenues net of direct variable expenses (such as housekeeping), expenses incurred due to owners choosing alternative usage options, and higher unsold maintenance fees, as well as the $1 million increase in plus points revenue. The increase in unsold maintenance fees reflects the addition of new inventory upon completion of a phase at one of our projects in Hawaii in 2012, as well as increased expenses associated with our inventory repurchase program.</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9"/>
              </w:rPr>
              <w:t>Twenty-Four Weeks Ended</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4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center"/>
              <w:ind w:right="4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58"/>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320" w:type="dxa"/>
            <w:vAlign w:val="bottom"/>
            <w:tcBorders>
              <w:bottom w:val="single" w:sz="8" w:color="CCEEFF"/>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revenues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Unsold maintenance fees—upscale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Unsold maintenance fees—luxury</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Unsold maintenance fees</w:t>
            </w:r>
          </w:p>
        </w:tc>
        <w:tc>
          <w:tcPr>
            <w:tcW w:w="1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Rental margin</w:t>
            </w:r>
          </w:p>
        </w:tc>
        <w:tc>
          <w:tcPr>
            <w:tcW w:w="1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margin percentage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 pts</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4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center"/>
              <w:ind w:right="4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ind w:right="160"/>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2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Transient keys rented </w:t>
            </w:r>
            <w:r>
              <w:rPr>
                <w:rFonts w:ascii="Times New Roman" w:cs="Times New Roman" w:eastAsia="Times New Roman" w:hAnsi="Times New Roman"/>
                <w:sz w:val="11"/>
                <w:szCs w:val="11"/>
                <w:color w:val="auto"/>
              </w:rPr>
              <w:t>(1)</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519,245</w:t>
            </w:r>
          </w:p>
        </w:tc>
        <w:tc>
          <w:tcPr>
            <w:tcW w:w="2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450,115</w:t>
            </w:r>
          </w:p>
        </w:tc>
        <w:tc>
          <w:tcPr>
            <w:tcW w:w="3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Average transient key rate</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207.35</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193.64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80" w:type="dxa"/>
            <w:vAlign w:val="bottom"/>
          </w:tcPr>
          <w:p>
            <w:pPr>
              <w:spacing w:after="0"/>
              <w:rPr>
                <w:sz w:val="18"/>
                <w:szCs w:val="18"/>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occupancy</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88.9%</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89.0%</w:t>
            </w:r>
          </w:p>
        </w:tc>
        <w:tc>
          <w:tcPr>
            <w:tcW w:w="16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 pts)</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ind w:left="5620" w:right="5540" w:hanging="5612"/>
        <w:spacing w:after="0" w:line="431" w:lineRule="auto"/>
        <w:tabs>
          <w:tab w:leader="none" w:pos="44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Transient keys rented exclude those obtained through the use of plus points.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40"/>
          </w:cols>
          <w:pgMar w:left="240" w:top="455" w:right="3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increase in rental revenues is due to a company-wide 15 percent increase in transient keys rented ($13 million), which were primarily sourced from a 9 percent increase in available keys (78,000 additional available keys) resulting from an increase in the number of owners choosing to exchange their vacation ownership interests for alternative usage options, additional inventory from a new phase completed at one of our projects in Hawaii subsequent to the second quarter of 2012 and a lower utilization of plus points for stays at our resorts, as well as a company-wide 7 percent increase in average transient rate (nearly $9 million) driven by stronger consumer demand and favorable mix of available inventory. These increases were partially offset by a $4 million decrease in plus points revenue (which is recognized upon utilization of plus points for stays at our resorts or upon expiration of the points) resulting from our reduced use of plus points as incentives for enrollment in the MVCD program.</w:t>
      </w:r>
    </w:p>
    <w:p>
      <w:pPr>
        <w:spacing w:after="0" w:line="14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increase in rental margin reflects $10 million of higher rental revenues net of direct variable expenses (such as housekeeping), expenses incurred due to owners choosing alternative usage options, and higher unsold maintenance fees, partially offset by the $4 million decline in plus points revenue. The increase in unsold maintenance fees reflects the addition of new inventory upon completion of a phase at one of our projects in Hawaii in 2012 as well as increased expenses associated with our inventory repurchase program.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265"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tcBorders>
              <w:bottom w:val="single" w:sz="8" w:color="auto"/>
            </w:tcBorders>
            <w:gridSpan w:val="5"/>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0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5"/>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85"/>
              </w:rPr>
              <w:t>(3)</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 net of expenses</w:t>
            </w:r>
          </w:p>
        </w:tc>
        <w:tc>
          <w:tcPr>
            <w:tcW w:w="268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Other revenues net of expenses increased mainly as a result of higher settlement and other miscellaneous revenues in the twelve weeks ended June 14, 2013 compared to the prior year comparable period.</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265"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58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80"/>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 net of expenses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Other revenues net of expenses decreased mainly as a result of higher expenses associated with an external exchange company and other miscellaneous expenses in the twenty-four weeks ended June14, 2013 compared to the prior year comparable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Reimbursements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9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Cost reimbursements increased $2 million, or 3 percent, over the prior year comparable period, reflecting an increase of $3 million in cost reimbursements due to growth across the system, partially offset by $1 million of lower costs associated with the termination of the management contract for a joint venture project in early 2013.</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9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Cost reimbursements increased $3 million, or 2 percent, over the prior year comparable period, reflecting an increase of $5 million in cost reimbursements due to growth across the system, partially offset by $2 million of lower costs associated with the termination of the management contract for a joint venture project in early 2013.</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92"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General and administrative expense increased $2 million (from $20 million to $22 million) over the prior year comparable period due to $2 million of higher personnel related costs, $2 million of higher legal and audit related expenses, and $1 million of higher standalone public company costs. These increases were offset by $1 million of savings related to organizational and separation related efforts in the human resources, information technology and finance and accounting areas, $1 million from lower depreciation expense, and $1 million from timing of expenses as compared to the prior year comparable period.</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92"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General and administrative expense increased $4 million (from $39 million to $43 million) over the prior year comparable period due to $3 million of higher personnel related costs, $3 million of higher legal and audit related expenses, and $2 million of higher standalone public company costs. These increases were offset by $2 million of savings related to organizational and separation related efforts in the human resources, information technology and finance and accounting areas, $1 million from the favorable resolution of an international tax (non-income tax) matter, and $1 million from lower depreciation expense.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265"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4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80"/>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financing interest expense</w:t>
            </w:r>
          </w:p>
        </w:tc>
        <w:tc>
          <w:tcPr>
            <w:tcW w:w="17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Non-consumer financing interest expense</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decline in consumer financing interest expense was due to the lower outstanding debt balances of securitized vacation ownership notes receivable and associated interest costs as well as a lower average interest rate. The lower average interest rate reflects the continued pay-down of older securitization transactions that carried higher overall interest rates and the benefit of lower interest rates applicable to our most recently completed securitization of vacation ownership notes receivables.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Non-consumer financing interest expense of $4 million remained unchanged from the prior year comparable period.</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211"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Twenty-Four Weeks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6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900" w:type="dxa"/>
            <w:vAlign w:val="bottom"/>
            <w:tcBorders>
              <w:top w:val="single" w:sz="8" w:color="auto"/>
            </w:tcBorders>
            <w:gridSpan w:val="3"/>
          </w:tcPr>
          <w:p>
            <w:pPr>
              <w:ind w:left="420"/>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15,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financing interest expense</w:t>
            </w:r>
          </w:p>
        </w:tc>
        <w:tc>
          <w:tcPr>
            <w:tcW w:w="1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Non-consumer financing interest expense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decline in consumer financing interest expense was due to the lower outstanding debt balances of securitized vacation ownership notes receivable and associated interest costs as well as a lower average interest rate. The lower average interest rate reflects the continued pay-down of older securitization transactions that carried higher overall interest rates and the benefit of lower interest rates applicable to our most recently completed securitization of vacation ownership notes receivables.</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20"/>
          </w:cols>
          <w:pgMar w:left="240" w:top="455"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Non-consumer financing interest expense of $7 million remained unchanged from the prior year comparable period. A $1 million decline in expense associated with our liability for Marriott Rewards Points under the Marriott Rewards Affiliation Agreement between us and Marriott International was offset by a reduction of nearly $1 million in capitalized interest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Fee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Royalty fee expense increased $1 million to $15 million in the twelve weeks ended June 14, 2013 compared to $14 million in the prior year comparable period due to a lower portion of sales of pre-owned inventory, which carries a lower royalty fee as compared to initial sales of our real estate inventory (1 percent versus 2 percent).</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92" w:lineRule="exact"/>
        <w:rPr>
          <w:sz w:val="20"/>
          <w:szCs w:val="20"/>
          <w:color w:val="auto"/>
        </w:rPr>
      </w:pPr>
    </w:p>
    <w:p>
      <w:pPr>
        <w:ind w:right="660" w:firstLine="456"/>
        <w:spacing w:after="0" w:line="262" w:lineRule="auto"/>
        <w:rPr>
          <w:sz w:val="20"/>
          <w:szCs w:val="20"/>
          <w:color w:val="auto"/>
        </w:rPr>
      </w:pPr>
      <w:r>
        <w:rPr>
          <w:rFonts w:ascii="Times New Roman" w:cs="Times New Roman" w:eastAsia="Times New Roman" w:hAnsi="Times New Roman"/>
          <w:sz w:val="18"/>
          <w:szCs w:val="18"/>
          <w:color w:val="auto"/>
        </w:rPr>
        <w:t>Royalty fee expense increased $1 million to $28 million in the twenty-four weeks ended June 14, 2013 compared to $27 million in the prior year comparable period due to a lower portion of sales of pre-owned inventory, which carries a lower royalty fee as compared to initial sales of our real estate inventory (1 percent versus 2 percent).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92"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Income tax expense increased by $10 million to $14 million, compared to $4 million in the prior year comparable period. The increase in income tax expense is primarily related to an increase in the 2013 pretax income attributable to the United States as noted in the discussion of our North America segment results below offset by a rate reduction in a foreign jurisdiction that contributed approximately $2 million of income tax benefit.</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92"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Income tax expense increased by $13 million to $25 million, compared to $12 million in the prior year comparable period. The increase in income tax expense is primarily related to an increase in the 2013 pretax income attributable to the United States as noted in the discussion of our North America segment results below offset by a rate reduction in a foreign jurisdiction that contributed approximately $2 million of income tax benefit.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Before Interest Expense, Taxes, Depreciation and Amortization (“EBITDA”) and Adjusted EBITDA</w:t>
      </w:r>
    </w:p>
    <w:p>
      <w:pPr>
        <w:spacing w:after="0" w:line="92"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EBITDA, a financial measure which is not prescribed or authorized by GAAP, reflects earnings excluding the impact of interest expense, provision for income taxes, depreciation and amortization. We consider EBITDA to be an indicator of operating performance, and we use it to measure our ability to service debt, fund capital expenditures and expand our business. We also use EBITDA,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11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also evaluate Adjusted EBITDA, another non-GAAP financial measure, as an indicator of performance. Adjusted EBITDA excludes the impact of non-cash impairment charges or reversals and restructuring charges and includes the impact of interest expense associated with the debt from the Warehouse Credit Facility and from the securitization of our vacation ownership notes receivable in the ABS market, which together we refer to as consumer financing interest expense. We deduct consumer financing interest expense in determining Adjusted EBITDA since the debt is secured by vacation ownership notes receivable that have been sold to bankruptcy remote special purpose entities and is generally non-recourse to us. We evaluate Adjusted EBITDA, which adjusts for these items, to allow for period-over-period comparisons of our ongoing core operations before material charges. Adjusted EBITDA is also useful in measuring our ability to service our non-securitized debt. Together, EBITDA and Adjusted EBITDA facilitate our comparison of results from our ongoing operations with results from other vacation ownership companies.</w:t>
      </w:r>
    </w:p>
    <w:p>
      <w:pPr>
        <w:spacing w:after="0" w:line="13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EBITDA and Adjusted EBITDA have limitations and should not be considered in isolation or as a substitute for performance measures calculated in accordance with GAAP. In addition, other companies in our industry may calculate Adjusted EBITDA differently than we do or may not calculate it at all, limiting Adjusted EBITDA’s usefulness as a comparative measure. The table below shows our EBITDA and Adjusted EBITDA calculations and reconciles those measures with Net income.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6"/>
              </w:rPr>
              <w:t>Twelve Weeks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Twenty-Four Weeks Ended</w:t>
            </w:r>
          </w:p>
        </w:tc>
      </w:tr>
      <w:tr>
        <w:trPr>
          <w:trHeight w:val="125"/>
        </w:trPr>
        <w:tc>
          <w:tcPr>
            <w:tcW w:w="6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2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380"/>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14,</w:t>
            </w: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36"/>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100" w:type="dxa"/>
            <w:vAlign w:val="bottom"/>
          </w:tcPr>
          <w:p>
            <w:pPr>
              <w:spacing w:after="0"/>
              <w:rPr>
                <w:sz w:val="10"/>
                <w:szCs w:val="10"/>
                <w:color w:val="auto"/>
              </w:rPr>
            </w:pPr>
          </w:p>
        </w:tc>
      </w:tr>
      <w:tr>
        <w:trPr>
          <w:trHeight w:val="165"/>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EBITDA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22"/>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6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Impairment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Impairment reversals on equity investment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financing 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65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business is grouped into three reportable business segments: North America, Europe and Asia Pacific. Prior to 2013, our business was grouped into four reportable segments: North America, Luxury, Europe and Asia Pacific. Effective December 29, 2012, we combined the reporting of the financial results of the former Luxury segment with the North America segment based upon our decision to scale back separate development activity for the Luxury market and to aggregate future marketing and sales of both upscale tier and luxury tier inventory. Existing service standards and on-site management remain unaffected by our reporting changes. Prior year amounts have been recast for consistency with the current year’s presentation. See Footnote No. 13, “Business Segments,” of the Notes to our Financial Statements for further information on our segments.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June 14, 2013, we operated the following 63 properties by segment:</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7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0"/>
              </w:rPr>
              <w:t>U.S.</w:t>
            </w:r>
            <w:r>
              <w:rPr>
                <w:rFonts w:ascii="Times New Roman" w:cs="Times New Roman" w:eastAsia="Times New Roman" w:hAnsi="Times New Roman"/>
                <w:sz w:val="22"/>
                <w:szCs w:val="22"/>
                <w:b w:val="1"/>
                <w:bCs w:val="1"/>
                <w:color w:val="auto"/>
                <w:w w:val="80"/>
                <w:vertAlign w:val="superscript"/>
              </w:rPr>
              <w:t>(1)</w:t>
            </w:r>
          </w:p>
        </w:tc>
        <w:tc>
          <w:tcPr>
            <w:tcW w:w="5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Non-U.S.</w:t>
            </w:r>
          </w:p>
        </w:tc>
        <w:tc>
          <w:tcPr>
            <w:tcW w:w="520" w:type="dxa"/>
            <w:vAlign w:val="bottom"/>
          </w:tcPr>
          <w:p>
            <w:pPr>
              <w:spacing w:after="0"/>
              <w:rPr>
                <w:sz w:val="22"/>
                <w:szCs w:val="22"/>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r>
      <w:tr>
        <w:trPr>
          <w:trHeight w:val="223"/>
        </w:trPr>
        <w:tc>
          <w:tcPr>
            <w:tcW w:w="7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0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93"/>
              </w:rPr>
              <w:t>(1)</w:t>
            </w:r>
          </w:p>
        </w:tc>
        <w:tc>
          <w:tcPr>
            <w:tcW w:w="5500" w:type="dxa"/>
            <w:vAlign w:val="bottom"/>
            <w:vMerge w:val="restart"/>
          </w:tcPr>
          <w:p>
            <w:pPr>
              <w:jc w:val="right"/>
              <w:ind w:right="2612"/>
              <w:spacing w:after="0"/>
              <w:rPr>
                <w:sz w:val="20"/>
                <w:szCs w:val="20"/>
                <w:color w:val="auto"/>
              </w:rPr>
            </w:pPr>
            <w:r>
              <w:rPr>
                <w:rFonts w:ascii="Times New Roman" w:cs="Times New Roman" w:eastAsia="Times New Roman" w:hAnsi="Times New Roman"/>
                <w:sz w:val="18"/>
                <w:szCs w:val="18"/>
                <w:color w:val="auto"/>
              </w:rPr>
              <w:t>Includes incorporated U.S. territories.</w:t>
            </w:r>
          </w:p>
        </w:tc>
        <w:tc>
          <w:tcPr>
            <w:tcW w:w="0" w:type="dxa"/>
            <w:vAlign w:val="bottom"/>
          </w:tcPr>
          <w:p>
            <w:pPr>
              <w:spacing w:after="0"/>
              <w:rPr>
                <w:sz w:val="1"/>
                <w:szCs w:val="1"/>
                <w:color w:val="auto"/>
              </w:rPr>
            </w:pPr>
          </w:p>
        </w:tc>
      </w:tr>
      <w:tr>
        <w:trPr>
          <w:trHeight w:val="99"/>
        </w:trPr>
        <w:tc>
          <w:tcPr>
            <w:tcW w:w="300" w:type="dxa"/>
            <w:vAlign w:val="bottom"/>
          </w:tcPr>
          <w:p>
            <w:pPr>
              <w:spacing w:after="0"/>
              <w:rPr>
                <w:sz w:val="8"/>
                <w:szCs w:val="8"/>
                <w:color w:val="auto"/>
              </w:rPr>
            </w:pP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5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ectPr>
          <w:pgSz w:w="11900" w:h="16838" w:orient="portrait"/>
          <w:cols w:equalWidth="0" w:num="1">
            <w:col w:w="11260"/>
          </w:cols>
          <w:pgMar w:left="240" w:top="455" w:right="3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America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11"/>
          </w:tcPr>
          <w:p>
            <w:pPr>
              <w:ind w:left="12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2020" w:type="dxa"/>
            <w:vAlign w:val="bottom"/>
            <w:gridSpan w:val="10"/>
          </w:tcPr>
          <w:p>
            <w:pPr>
              <w:ind w:left="18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0" w:type="dxa"/>
            <w:vAlign w:val="bottom"/>
          </w:tcPr>
          <w:p>
            <w:pPr>
              <w:spacing w:after="0"/>
              <w:rPr>
                <w:sz w:val="1"/>
                <w:szCs w:val="1"/>
                <w:color w:val="auto"/>
              </w:rPr>
            </w:pPr>
          </w:p>
        </w:tc>
      </w:tr>
      <w:tr>
        <w:trPr>
          <w:trHeight w:val="125"/>
        </w:trPr>
        <w:tc>
          <w:tcPr>
            <w:tcW w:w="46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100" w:type="dxa"/>
            <w:vAlign w:val="bottom"/>
            <w:tcBorders>
              <w:top w:val="single" w:sz="8" w:color="auto"/>
            </w:tcBorders>
            <w:gridSpan w:val="7"/>
          </w:tcPr>
          <w:p>
            <w:pPr>
              <w:ind w:left="8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620" w:type="dxa"/>
            <w:vAlign w:val="bottom"/>
            <w:tcBorders>
              <w:top w:val="single" w:sz="8" w:color="auto"/>
            </w:tcBorders>
            <w:gridSpan w:val="3"/>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Borders>
              <w:top w:val="single" w:sz="8" w:color="auto"/>
            </w:tcBorders>
            <w:gridSpan w:val="5"/>
          </w:tcPr>
          <w:p>
            <w:pPr>
              <w:jc w:val="right"/>
              <w:ind w:right="56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1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7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4"/>
                <w:szCs w:val="14"/>
                <w:color w:val="auto"/>
              </w:rPr>
            </w:pPr>
          </w:p>
        </w:tc>
        <w:tc>
          <w:tcPr>
            <w:tcW w:w="480" w:type="dxa"/>
            <w:vAlign w:val="bottom"/>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8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52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Financing</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Rental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reimbursements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338</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46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Marketing and sales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38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Rental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48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Litigation settlement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Royalty fee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reimbursements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Gains and other income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Impairment reversals on equity investment</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Segment financial results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84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Sales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7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6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Borders>
              <w:top w:val="single" w:sz="8" w:color="auto"/>
            </w:tcBorders>
            <w:gridSpan w:val="5"/>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3"/>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7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Vacation ownership</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143</w:t>
            </w:r>
          </w:p>
        </w:tc>
        <w:tc>
          <w:tcPr>
            <w:tcW w:w="32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Residential products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contract sales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6"/>
              </w:rPr>
              <w:t>143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decrease in contract sales in our North America segment reflected a 6 percent decline in tours in the twelve weeks ended June 14, 2013, partially offset by an 8 percent increase in VPG to $3,211 in the twelve weeks ended June 14, 2013 from $2,968 in the prior year comparable period. The decline in tours was driven by an increase in weeks-based owner utilization of the MVCD program, with owners taking advantage of the program’s flexibility through shorter stays and alternative usage options. This has reduced our existing owner tour-flow, which we intend to replace through new programs in the future as well as increased new buyer tours. The increase in VPG was due to a nearly 4 percent price increase and a 1 percentage point increase in closing efficiency resulting from improved marketing and sales execution.</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7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7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Pr>
          <w:p>
            <w:pPr>
              <w:spacing w:after="0"/>
              <w:rPr>
                <w:sz w:val="14"/>
                <w:szCs w:val="14"/>
                <w:color w:val="auto"/>
              </w:rPr>
            </w:pPr>
          </w:p>
        </w:tc>
        <w:tc>
          <w:tcPr>
            <w:tcW w:w="9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2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Vacation ownership</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Residential products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2"/>
        </w:trPr>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contract sales</w:t>
            </w:r>
          </w:p>
        </w:tc>
        <w:tc>
          <w:tcPr>
            <w:tcW w:w="2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88"/>
              </w:rPr>
              <w:t>277</w:t>
            </w: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620" w:type="dxa"/>
            <w:vAlign w:val="bottom"/>
            <w:vMerge w:val="restart"/>
          </w:tcPr>
          <w:p>
            <w:pPr>
              <w:jc w:val="right"/>
              <w:ind w:right="93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4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increase in contract sales in our North America segment reflected a 10 percent increase in VPG to $3,238 in the twenty-four weeks ended June 14, 2013 from $2,955 in the prior year comparable period. This increase in VPG was due to a 3 percent price increase and a slightly more than 1 percentage point increase in closing efficiency resulting from improved marketing and sales execution. These increases were partially offset by a 5 percent decline in tours. The decline in tours was driven by an increase in weeks-based owner utilization of the MVCD program, with owners taking advantage of the program’s flexibility through shorter stays and alternative usage options. This has reduced our existing owner tour-flow, which we intend to replace through new programs in the future as well as increased new buyer tours.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5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6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38"/>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65"/>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260" w:type="dxa"/>
            <w:vAlign w:val="bottom"/>
            <w:tcBorders>
              <w:bottom w:val="single" w:sz="8" w:color="CCEEFF"/>
            </w:tcBorders>
          </w:tcPr>
          <w:p>
            <w:pPr>
              <w:spacing w:after="0"/>
              <w:rPr>
                <w:sz w:val="14"/>
                <w:szCs w:val="14"/>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6.2 pts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180" w:firstLine="456"/>
        <w:spacing w:after="0" w:line="293" w:lineRule="auto"/>
        <w:rPr>
          <w:sz w:val="20"/>
          <w:szCs w:val="20"/>
          <w:color w:val="auto"/>
        </w:rPr>
      </w:pPr>
      <w:r>
        <w:rPr>
          <w:rFonts w:ascii="Times New Roman" w:cs="Times New Roman" w:eastAsia="Times New Roman" w:hAnsi="Times New Roman"/>
          <w:sz w:val="16"/>
          <w:szCs w:val="16"/>
          <w:color w:val="auto"/>
        </w:rPr>
        <w:t>The increase in revenues from the sale of vacation ownership products was due to $11 million of higher revenue reportability compared to the prior year comparable period and $3 million of lower vacation ownership notes receivable reserve activity due to lower estimated default and delinquency activity in the twelve weeks ended June 14, 2013, partially offset by the $1 million decrease in contract sales. The $11 million of higher revenue reportability resulted from $5 million of higher revenue reportability in the twelve weeks ended June 14, 2013 compared to $6 million of lower revenue reportability in the prior year comparable period. The impact of revenue reportability was higher in the current year quarter because the statutory rescission period had expired for more sales and more sales met the down payment requirement for revenue recognition purposes than in the prior year comparable period.</w:t>
      </w:r>
    </w:p>
    <w:p>
      <w:pPr>
        <w:spacing w:after="0" w:line="111" w:lineRule="exact"/>
        <w:rPr>
          <w:sz w:val="20"/>
          <w:szCs w:val="20"/>
          <w:color w:val="auto"/>
        </w:rPr>
      </w:pPr>
    </w:p>
    <w:p>
      <w:pPr>
        <w:jc w:val="both"/>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increase in development margin reflects $6 million from higher revenue reportability year-over-year, a $6 million increase from lower contract sales volume net of lower direct variable expenses (i.e., cost of vacation ownership products and marketing and sales) due to a favorable mix of lower cost real estate inventory being sold and more efficient marketing and sales spending, and a $1 million benefit from the lower estimated default and delinquency activity. These increases are partially offset by nearly $3 million of favorable product cost true-ups in the prior year period.</w:t>
      </w:r>
    </w:p>
    <w:p>
      <w:pPr>
        <w:spacing w:after="0" w:line="13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6 percentage point improvement in the development margin percentage reflects a 3 percentage point increase due to higher revenue reportability year-over-year, a 2 percentage point increase from the lower cost of vacation ownership products due to a favorable mix of lower cost real estate inventory being sold (4 percentage points) offset by the favorable product cost true-up activity in the prior year comparable period (2 percentage points), and a 2 percentage point increase from efficiencies in marketing and sales spending.</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6040" w:type="dxa"/>
            <w:vAlign w:val="bottom"/>
          </w:tcPr>
          <w:p>
            <w:pPr>
              <w:spacing w:after="0"/>
              <w:rPr>
                <w:sz w:val="10"/>
                <w:szCs w:val="10"/>
                <w:color w:val="auto"/>
              </w:rPr>
            </w:pPr>
          </w:p>
        </w:tc>
        <w:tc>
          <w:tcPr>
            <w:tcW w:w="1280" w:type="dxa"/>
            <w:vAlign w:val="bottom"/>
            <w:tcBorders>
              <w:top w:val="single" w:sz="8" w:color="auto"/>
            </w:tcBorders>
            <w:gridSpan w:val="3"/>
          </w:tcPr>
          <w:p>
            <w:pPr>
              <w:jc w:val="right"/>
              <w:ind w:right="74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64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65"/>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6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60" w:type="dxa"/>
            <w:vAlign w:val="bottom"/>
            <w:tcBorders>
              <w:bottom w:val="single" w:sz="8" w:color="CCEEFF"/>
            </w:tcBorders>
          </w:tcPr>
          <w:p>
            <w:pPr>
              <w:spacing w:after="0"/>
              <w:rPr>
                <w:sz w:val="14"/>
                <w:szCs w:val="14"/>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1"/>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5"/>
              </w:rPr>
              <w:t>5.9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increase in revenues from the sale of vacation ownership products was due to $16 million of higher revenue reportability in the twenty-four weeks ended June 14, 2013 compared to the prior year comparable period, the $8 million increase in contract sales and $3 million of lower vacation ownership notes receivable reserve activity due to lower estimated default and delinquency activity in the twenty-four weeks ended June 14, 2013. These increases were partially offset by $2 million of higher sales incentives issued in the current year period for plus points that will ultimately be recognized as rental revenues upon usage or expiration of the plus points rather than revenues from the sale of vacation ownership products. The $16 million of higher revenue reportability resulted from $16 million of</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lower revenue reportability in the prior year comparable period, compared to no impact from revenue reportability in the twenty-four weeks ended June 14, 2013. There was no impact from revenue reportability in the current year period because the increase in sales that met the down payment requirement for revenue recognition purposes was offset by the increase in sales that did not meet the rescission requirement for revenue recognition purposes. In the prior year comparable period, revenue reportability was lower because of an increase in sales that did not meet the down payment requirement for revenue recognition purposes and an increase in sales that did not meet the rescission requirement for revenue recognition purposes.</w:t>
      </w:r>
    </w:p>
    <w:p>
      <w:pPr>
        <w:spacing w:after="0" w:line="13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increase in development margin reflects $9 million from higher revenue reportability year-over-year, a $9 million increase from higher contract sales volume net of direct variable expenses (i.e., cost of vacation ownership products and marketing and sales) due to a favorable mix lower cost of real estate inventory being sold and more efficient marketing and sales spending and a $1 million benefit from the lower estimated default and delinquency activity. There was no impact from product cost true-ups in the twenty-four weeks ended June 14, 2013 compared to the prior year comparable period because there were $5 million of favorable product cost true-ups in each period.</w:t>
      </w:r>
    </w:p>
    <w:p>
      <w:pPr>
        <w:spacing w:after="0" w:line="139"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favorable product cost true-ups recorded in the twenty-four weeks ended June 14, 2013 were the result of $3 million from lower estimated common construction costs and $2 million from changes in sequencing of inventory into the MVCD program due to the continued reacquisition of previously sold inventory.</w:t>
      </w:r>
    </w:p>
    <w:p>
      <w:pPr>
        <w:spacing w:after="0" w:line="132"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The 6 percentage point improvement in the development margin percentage reflects a 3 percentage point increase due to higher revenue reportability year-over-year, a more than 2 percentage point increase from the lower cost of vacation ownership products due to a favorable mix of lower cost real estate inventory being sold, and a 1 percentage point increase from efficiencies in marketing and sales spending.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Resort Management and Other Services Revenues, Expenses and Margin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5"/>
              </w:rPr>
              <w:t>Twelve Weeks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80" w:type="dxa"/>
            <w:vAlign w:val="bottom"/>
            <w:tcBorders>
              <w:top w:val="single" w:sz="8" w:color="auto"/>
            </w:tcBorders>
            <w:gridSpan w:val="3"/>
          </w:tcPr>
          <w:p>
            <w:pPr>
              <w:jc w:val="right"/>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14,</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15,</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46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revenues</w:t>
            </w:r>
          </w:p>
        </w:tc>
        <w:tc>
          <w:tcPr>
            <w:tcW w:w="1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 revenues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Resort management and other services expenses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 percentage</w:t>
            </w: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6.2 pts</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decrease in resort management and other services revenues is driven by $2 million of lower ancillary revenues, which reflects a $3 million decline due to the disposition of a golf course and related assets at one of our Ritz-Carlton branded projects late in 2012, partially offset by a $1 million increase in ancillary revenues from food and beverage and golf offerings at our existing resorts. This decrease is partially offset by $1 million of additional annual club dues earned in connection with the MVCD program due to the cumulative increase in owners enrolled in the program.</w:t>
      </w:r>
    </w:p>
    <w:p>
      <w:pPr>
        <w:spacing w:after="0" w:line="13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improvement in the resort management and other services margin reflects $2 million of additional annual club dues earned in connection with the MVCD program net of expenses and $1 million of higher ancillary revenues net of expenses primarily due to the disposition of a golf course and related assets at one of our Ritz-Carlton branded projects late in 2012, which experienced an operating loss in the prior year comparable period.</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4"/>
              </w:rPr>
              <w:t>Twenty-Four Weeks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40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15"/>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revenues</w:t>
            </w:r>
          </w:p>
        </w:tc>
        <w:tc>
          <w:tcPr>
            <w:tcW w:w="19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vMerge w:val="continue"/>
            <w:shd w:val="clear" w:color="auto" w:fill="CCEEFF"/>
          </w:tcPr>
          <w:p>
            <w:pPr>
              <w:spacing w:after="0"/>
              <w:rPr>
                <w:sz w:val="18"/>
                <w:szCs w:val="18"/>
                <w:color w:val="auto"/>
              </w:rPr>
            </w:pPr>
          </w:p>
        </w:tc>
        <w:tc>
          <w:tcPr>
            <w:tcW w:w="1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 revenues</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19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Resort management and other services expenses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 percentage</w:t>
            </w: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6.9 pts</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92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Resort management and other services revenues of $102 million in the twenty-four weeks ended June 14, 2013 were unchanged from the prior year comparable period. Results include $3 million of additional annual club dues earned in connection with the MVCD program due to the cumulative increase in owners enrolled in the program and $1 million of higher management fees resulting from the cumulative increase in the number of vacation ownership products sold and higher operating costs across the system. These increases were partially offset by $3 million of lower ancillary revenues, which reflects a $6 million decline due to the disposition of a golf course and related assets at one of our Ritz-Carlton branded projects late in 2012 partially offset by a $3 million increase in ancillary revenues from food and beverage and golf offerings at our existing resorts, and a $1 million decrease in other miscellaneous revenues.</w:t>
      </w:r>
    </w:p>
    <w:p>
      <w:pPr>
        <w:spacing w:after="0" w:line="11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improvement in the resort management and other services margin reflects $4 million of additional annual club dues earned in connection with the MVCD program net of expenses, $2 million of higher ancillary revenues net of expenses primarily due to the disposition of a golf course and related assets at one of our Ritz-Carlton branded projects late in 2012, which experienced an operating loss in the prior year comparable period, and a $1 million increase in management fees net of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Revenues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5"/>
              </w:rPr>
              <w:t>Twelve Weeks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960" w:type="dxa"/>
            <w:vAlign w:val="bottom"/>
            <w:tcBorders>
              <w:top w:val="single" w:sz="8" w:color="auto"/>
            </w:tcBorders>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5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Pr>
          <w:p>
            <w:pPr>
              <w:spacing w:after="0"/>
              <w:rPr>
                <w:sz w:val="14"/>
                <w:szCs w:val="14"/>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revenues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revenues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Financing propensity</w:t>
            </w: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40" w:firstLine="456"/>
        <w:spacing w:after="0" w:line="339" w:lineRule="auto"/>
        <w:rPr>
          <w:sz w:val="20"/>
          <w:szCs w:val="20"/>
          <w:color w:val="auto"/>
        </w:rPr>
      </w:pPr>
      <w:r>
        <w:rPr>
          <w:rFonts w:ascii="Times New Roman" w:cs="Times New Roman" w:eastAsia="Times New Roman" w:hAnsi="Times New Roman"/>
          <w:sz w:val="16"/>
          <w:szCs w:val="16"/>
          <w:color w:val="auto"/>
        </w:rPr>
        <w:t>The decrease in financing revenues is due to lower interest income from a lower outstanding vacation ownership notes receivable balance. This decline reflects our continued collection of existing vacation ownership notes receivable at a faster pace than our origination of new vacation ownership notes receivable.</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4"/>
              </w:rPr>
              <w:t>Twenty-Four Weeks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8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660" w:type="dxa"/>
            <w:vAlign w:val="bottom"/>
            <w:tcBorders>
              <w:top w:val="single" w:sz="8" w:color="auto"/>
            </w:tcBorders>
            <w:gridSpan w:val="2"/>
          </w:tcPr>
          <w:p>
            <w:pPr>
              <w:jc w:val="right"/>
              <w:ind w:right="16"/>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80" w:type="dxa"/>
            <w:vAlign w:val="bottom"/>
          </w:tcPr>
          <w:p>
            <w:pPr>
              <w:spacing w:after="0"/>
              <w:rPr>
                <w:sz w:val="14"/>
                <w:szCs w:val="14"/>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revenues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Financing propensity</w:t>
            </w:r>
          </w:p>
        </w:tc>
        <w:tc>
          <w:tcPr>
            <w:tcW w:w="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40" w:firstLine="456"/>
        <w:spacing w:after="0" w:line="339" w:lineRule="auto"/>
        <w:rPr>
          <w:sz w:val="20"/>
          <w:szCs w:val="20"/>
          <w:color w:val="auto"/>
        </w:rPr>
      </w:pPr>
      <w:r>
        <w:rPr>
          <w:rFonts w:ascii="Times New Roman" w:cs="Times New Roman" w:eastAsia="Times New Roman" w:hAnsi="Times New Roman"/>
          <w:sz w:val="16"/>
          <w:szCs w:val="16"/>
          <w:color w:val="auto"/>
        </w:rPr>
        <w:t>The decrease in financing revenues is due to lower interest income from a lower outstanding vacation ownership notes receivable balance. This decline reflects our continued collection of existing vacation ownership notes receivable at a faster pace than our origination of new vacation ownership notes receivable.</w:t>
      </w:r>
    </w:p>
    <w:p>
      <w:pPr>
        <w:spacing w:after="0" w:line="154" w:lineRule="exact"/>
        <w:rPr>
          <w:sz w:val="20"/>
          <w:szCs w:val="20"/>
          <w:color w:val="auto"/>
        </w:rPr>
      </w:pPr>
    </w:p>
    <w:p>
      <w:pPr>
        <w:jc w:val="right"/>
        <w:ind w:right="8420"/>
        <w:spacing w:after="0"/>
        <w:rPr>
          <w:sz w:val="20"/>
          <w:szCs w:val="20"/>
          <w:color w:val="auto"/>
        </w:rPr>
      </w:pPr>
      <w:r>
        <w:rPr>
          <w:rFonts w:ascii="Times New Roman" w:cs="Times New Roman" w:eastAsia="Times New Roman" w:hAnsi="Times New Roman"/>
          <w:sz w:val="16"/>
          <w:szCs w:val="16"/>
          <w:b w:val="1"/>
          <w:bCs w:val="1"/>
          <w:color w:val="auto"/>
        </w:rPr>
        <w:t>Rental Revenues, Expenses and Margin</w:t>
      </w:r>
    </w:p>
    <w:p>
      <w:pPr>
        <w:spacing w:after="0" w:line="113" w:lineRule="exact"/>
        <w:rPr>
          <w:sz w:val="20"/>
          <w:szCs w:val="20"/>
          <w:color w:val="auto"/>
        </w:rPr>
      </w:pPr>
    </w:p>
    <w:p>
      <w:pPr>
        <w:jc w:val="right"/>
        <w:ind w:right="844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0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3"/>
              </w:rPr>
              <w:t>Twelve Weeks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78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revenues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Unsold maintenance fees — upscale</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Unsold maintenance fees — luxury</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Unsold maintenance fees</w:t>
            </w:r>
          </w:p>
        </w:tc>
        <w:tc>
          <w:tcPr>
            <w:tcW w:w="2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line="20" w:lineRule="exact"/>
              <w:rPr>
                <w:sz w:val="1"/>
                <w:szCs w:val="1"/>
                <w:color w:val="auto"/>
              </w:rPr>
            </w:pPr>
          </w:p>
        </w:tc>
      </w:tr>
      <w:tr>
        <w:trPr>
          <w:trHeight w:val="222"/>
        </w:trPr>
        <w:tc>
          <w:tcPr>
            <w:tcW w:w="4080" w:type="dxa"/>
            <w:vAlign w:val="bottom"/>
            <w:vMerge w:val="continue"/>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Rental margin</w:t>
            </w:r>
          </w:p>
        </w:tc>
        <w:tc>
          <w:tcPr>
            <w:tcW w:w="2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margin percentage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10.8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080" w:type="dxa"/>
            <w:vAlign w:val="bottom"/>
          </w:tcPr>
          <w:p>
            <w:pPr>
              <w:spacing w:after="0"/>
              <w:rPr>
                <w:sz w:val="24"/>
                <w:szCs w:val="24"/>
                <w:color w:val="auto"/>
              </w:rPr>
            </w:pPr>
          </w:p>
        </w:tc>
        <w:tc>
          <w:tcPr>
            <w:tcW w:w="2620" w:type="dxa"/>
            <w:vAlign w:val="bottom"/>
          </w:tcPr>
          <w:p>
            <w:pPr>
              <w:jc w:val="right"/>
              <w:ind w:right="127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9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2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Twelve Weeks Ended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25"/>
        </w:trPr>
        <w:tc>
          <w:tcPr>
            <w:tcW w:w="39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260" w:type="dxa"/>
            <w:vAlign w:val="bottom"/>
            <w:tcBorders>
              <w:top w:val="single" w:sz="8" w:color="auto"/>
            </w:tcBorders>
            <w:gridSpan w:val="2"/>
          </w:tcPr>
          <w:p>
            <w:pPr>
              <w:jc w:val="right"/>
              <w:ind w:right="68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680" w:type="dxa"/>
            <w:vAlign w:val="bottom"/>
            <w:tcBorders>
              <w:top w:val="single" w:sz="8" w:color="auto"/>
            </w:tcBorders>
          </w:tcPr>
          <w:p>
            <w:pPr>
              <w:jc w:val="right"/>
              <w:ind w:right="20"/>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5"/>
        </w:trPr>
        <w:tc>
          <w:tcPr>
            <w:tcW w:w="392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4"/>
                <w:szCs w:val="14"/>
                <w:b w:val="1"/>
                <w:bCs w:val="1"/>
                <w:color w:val="auto"/>
              </w:rPr>
              <w:t>2013</w:t>
            </w:r>
          </w:p>
        </w:tc>
        <w:tc>
          <w:tcPr>
            <w:tcW w:w="5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00" w:type="dxa"/>
            <w:vAlign w:val="bottom"/>
            <w:tcBorders>
              <w:bottom w:val="single" w:sz="8" w:color="CCEEFF"/>
            </w:tcBorders>
          </w:tcPr>
          <w:p>
            <w:pPr>
              <w:spacing w:after="0"/>
              <w:rPr>
                <w:sz w:val="14"/>
                <w:szCs w:val="14"/>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Transient keys rented </w:t>
            </w:r>
            <w:r>
              <w:rPr>
                <w:rFonts w:ascii="Times New Roman" w:cs="Times New Roman" w:eastAsia="Times New Roman" w:hAnsi="Times New Roman"/>
                <w:sz w:val="11"/>
                <w:szCs w:val="11"/>
                <w:color w:val="auto"/>
              </w:rPr>
              <w:t>(1)</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230,898</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206,030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24,868</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Average transient key rate</w:t>
            </w:r>
          </w:p>
        </w:tc>
        <w:tc>
          <w:tcPr>
            <w:tcW w:w="33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$ 199.52</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$ 183.68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15.84</w:t>
            </w:r>
          </w:p>
        </w:tc>
        <w:tc>
          <w:tcPr>
            <w:tcW w:w="5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occupancy</w:t>
            </w:r>
          </w:p>
        </w:tc>
        <w:tc>
          <w:tcPr>
            <w:tcW w:w="33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90.8%</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(0.1 pts)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Transient keys rented exclude those obtained through the use of plus points.</w:t>
      </w:r>
    </w:p>
    <w:p>
      <w:pPr>
        <w:spacing w:after="0" w:line="150"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increase in rental revenues is due to a 12 percent increase in transient keys rented (more than $4 million), which were primarily sourced from an 8 percent increase in available keys (31,000 additional available keys) resulting from an increase in the number of owners choosing to exchange their vacation ownership interests for alternative usage options and additional inventory from a new phase completed at one of our projects in Hawaii subsequent to the second quarter of 2012, as well as a 9 percent increase in average transient rate ($4 million) driven by stronger consumer demand and favorable mix of available inventory. In addition, plus points revenue (which is recognized upon utilization of plus points for stays at our resorts or upon expiration of the points) increased by $1 million.</w:t>
      </w:r>
    </w:p>
    <w:p>
      <w:pPr>
        <w:spacing w:after="0" w:line="13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increase in rental margin reflects $6 million of higher rental revenues net of direct variable expenses (such as housekeeping), expenses incurred due to owners choosing alternative usage options and higher unsold maintenance fees, as well as the $1 million increase in plus points revenue. The increase in unsold maintenance fees reflects the addition of new inventory upon completion of a phase at one of our projects in Hawaii in 2012, as well as increased expenses associated with our inventory repurchase program.</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5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60" w:type="dxa"/>
            <w:vAlign w:val="bottom"/>
            <w:tcBorders>
              <w:top w:val="single" w:sz="8" w:color="auto"/>
            </w:tcBorders>
            <w:gridSpan w:val="4"/>
          </w:tcPr>
          <w:p>
            <w:pPr>
              <w:jc w:val="right"/>
              <w:ind w:right="72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64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500" w:type="dxa"/>
            <w:vAlign w:val="bottom"/>
            <w:tcBorders>
              <w:bottom w:val="single" w:sz="8" w:color="CCEEFF"/>
            </w:tcBorders>
            <w:gridSpan w:val="2"/>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revenues</w:t>
            </w:r>
          </w:p>
        </w:tc>
        <w:tc>
          <w:tcPr>
            <w:tcW w:w="1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Unsold maintenance fees — upscale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Unsold maintenance fees — luxury</w:t>
            </w:r>
          </w:p>
        </w:tc>
        <w:tc>
          <w:tcPr>
            <w:tcW w:w="1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Unsold maintenance fees</w:t>
            </w:r>
          </w:p>
        </w:tc>
        <w:tc>
          <w:tcPr>
            <w:tcW w:w="15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line="20" w:lineRule="exact"/>
              <w:rPr>
                <w:sz w:val="1"/>
                <w:szCs w:val="1"/>
                <w:color w:val="auto"/>
              </w:rPr>
            </w:pPr>
          </w:p>
        </w:tc>
      </w:tr>
      <w:tr>
        <w:trPr>
          <w:trHeight w:val="222"/>
        </w:trPr>
        <w:tc>
          <w:tcPr>
            <w:tcW w:w="452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Rental margin</w:t>
            </w:r>
          </w:p>
        </w:tc>
        <w:tc>
          <w:tcPr>
            <w:tcW w:w="1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margin percentage</w:t>
            </w:r>
          </w:p>
        </w:tc>
        <w:tc>
          <w:tcPr>
            <w:tcW w:w="1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2.9 pts</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Twenty-Four Weeks Ended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5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15,</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52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Transient keys rented </w:t>
            </w:r>
            <w:r>
              <w:rPr>
                <w:rFonts w:ascii="Times New Roman" w:cs="Times New Roman" w:eastAsia="Times New Roman" w:hAnsi="Times New Roman"/>
                <w:sz w:val="11"/>
                <w:szCs w:val="11"/>
                <w:color w:val="auto"/>
              </w:rPr>
              <w:t>(1)</w:t>
            </w:r>
          </w:p>
        </w:tc>
        <w:tc>
          <w:tcPr>
            <w:tcW w:w="1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477,281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410,914</w:t>
            </w: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66,367</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Average transient key rate</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189.06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44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occupancy</w:t>
            </w:r>
          </w:p>
        </w:tc>
        <w:tc>
          <w:tcPr>
            <w:tcW w:w="1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90.2%</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0.0 pts</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Transient keys rented exclude those obtained through the use of plus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increase in rental revenues is due to a 16 percent increase in transient keys rented (nearly $13 million), which were primarily sourced from a 10 percent increase in available keys (73,000 additional available keys) resulting from an increase in the number of owners choosing to exchange their vacation ownership interests for alternative usage options, additional inventory from a new phase completed at one of our projects in Hawaii subsequent to the second quarter of 2012 and a lower utilization of plus points for stays at our resorts, as well as an 8 percent increase in average transient rate ($7 million) driven by stronger consumer demand and favorable mix of available inventory. These increases were partially offset by a $4 million decrease in plus points revenue (which is recognized upon utilization of plus points for stays at our resorts or upon expiration of the points) resulting from our reduced use of plus points as incentives for enrollment in our MVCD program.</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increase in rental margin reflects $9 million of higher rental revenues net of direct variable expenses (such as housekeeping), expenses incurred due to owners choosing alternative usage options and higher unsold maintenance fees, partially offset by the $4 million decline in plus points revenue. The increase in unsold maintenance fees reflects the addition of new inventory upon completion of a phase at one of our projects in Hawaii in 2012, as well as increased expenses associated with our inventory repurchase program.</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w w:val="95"/>
              </w:rPr>
              <w:t>Twelve Weeks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Twenty-Four Weeks Ended</w:t>
            </w:r>
          </w:p>
        </w:tc>
      </w:tr>
      <w:tr>
        <w:trPr>
          <w:trHeight w:val="125"/>
        </w:trPr>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auto"/>
            </w:tcBorders>
            <w:gridSpan w:val="4"/>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54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35"/>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100" w:type="dxa"/>
            <w:vAlign w:val="bottom"/>
          </w:tcPr>
          <w:p>
            <w:pPr>
              <w:spacing w:after="0"/>
              <w:rPr>
                <w:sz w:val="10"/>
                <w:szCs w:val="10"/>
                <w:color w:val="auto"/>
              </w:rPr>
            </w:pPr>
          </w:p>
        </w:tc>
      </w:tr>
      <w:tr>
        <w:trPr>
          <w:trHeight w:val="165"/>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Financing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Rental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reimbursements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22"/>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Marketing and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Rental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Impairment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reimbursements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r>
      <w:tr>
        <w:trPr>
          <w:trHeight w:val="223"/>
        </w:trPr>
        <w:tc>
          <w:tcPr>
            <w:tcW w:w="6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Segment financial results</w:t>
            </w: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ind w:right="16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ind w:right="760" w:firstLine="456"/>
        <w:spacing w:after="0" w:line="275" w:lineRule="auto"/>
        <w:rPr>
          <w:sz w:val="20"/>
          <w:szCs w:val="20"/>
          <w:color w:val="auto"/>
        </w:rPr>
      </w:pPr>
      <w:r>
        <w:rPr>
          <w:rFonts w:ascii="Times New Roman" w:cs="Times New Roman" w:eastAsia="Times New Roman" w:hAnsi="Times New Roman"/>
          <w:sz w:val="18"/>
          <w:szCs w:val="18"/>
          <w:color w:val="auto"/>
        </w:rPr>
        <w:t>In our Europe segment, we are focusing on selling our existing projects and managing existing resorts. We do not have any current plans for new development in this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Sales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6"/>
              </w:rPr>
              <w:t>Twelve Weeks Ended</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6800" w:type="dxa"/>
            <w:vAlign w:val="bottom"/>
          </w:tcPr>
          <w:p>
            <w:pPr>
              <w:spacing w:after="0"/>
              <w:rPr>
                <w:sz w:val="10"/>
                <w:szCs w:val="10"/>
                <w:color w:val="auto"/>
              </w:rPr>
            </w:pPr>
          </w:p>
        </w:tc>
        <w:tc>
          <w:tcPr>
            <w:tcW w:w="94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5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65"/>
        </w:trPr>
        <w:tc>
          <w:tcPr>
            <w:tcW w:w="68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Pr>
          <w:p>
            <w:pPr>
              <w:spacing w:after="0"/>
              <w:rPr>
                <w:sz w:val="14"/>
                <w:szCs w:val="14"/>
                <w:color w:val="auto"/>
              </w:rPr>
            </w:pP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4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 Change</w:t>
            </w:r>
          </w:p>
        </w:tc>
      </w:tr>
      <w:tr>
        <w:trPr>
          <w:trHeight w:val="196"/>
        </w:trPr>
        <w:tc>
          <w:tcPr>
            <w:tcW w:w="6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6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Vacation ownership</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contract sales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500" w:firstLine="456"/>
        <w:spacing w:after="0" w:line="275" w:lineRule="auto"/>
        <w:rPr>
          <w:sz w:val="20"/>
          <w:szCs w:val="20"/>
          <w:color w:val="auto"/>
        </w:rPr>
      </w:pPr>
      <w:r>
        <w:rPr>
          <w:rFonts w:ascii="Times New Roman" w:cs="Times New Roman" w:eastAsia="Times New Roman" w:hAnsi="Times New Roman"/>
          <w:sz w:val="18"/>
          <w:szCs w:val="18"/>
          <w:color w:val="auto"/>
        </w:rPr>
        <w:t>The decline in contract sales reflects our strategy to sell through existing inventory and higher rescission activity associated with extended rescission periods in this segment during the second quarter of 2013.</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5"/>
              </w:rPr>
              <w:t>Twenty-Four Weeks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43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100" w:type="dxa"/>
            <w:vAlign w:val="bottom"/>
          </w:tcPr>
          <w:p>
            <w:pPr>
              <w:spacing w:after="0"/>
              <w:rPr>
                <w:sz w:val="10"/>
                <w:szCs w:val="10"/>
                <w:color w:val="auto"/>
              </w:rPr>
            </w:pPr>
          </w:p>
        </w:tc>
        <w:tc>
          <w:tcPr>
            <w:tcW w:w="600" w:type="dxa"/>
            <w:vAlign w:val="bottom"/>
          </w:tcPr>
          <w:p>
            <w:pPr>
              <w:jc w:val="right"/>
              <w:ind w:right="22"/>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65"/>
        </w:trPr>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 Change</w:t>
            </w: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2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4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Vacation ownership</w:t>
            </w:r>
          </w:p>
        </w:tc>
        <w:tc>
          <w:tcPr>
            <w:tcW w:w="2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43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contract sales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4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500" w:firstLine="456"/>
        <w:spacing w:after="0" w:line="275" w:lineRule="auto"/>
        <w:rPr>
          <w:sz w:val="20"/>
          <w:szCs w:val="20"/>
          <w:color w:val="auto"/>
        </w:rPr>
      </w:pPr>
      <w:r>
        <w:rPr>
          <w:rFonts w:ascii="Times New Roman" w:cs="Times New Roman" w:eastAsia="Times New Roman" w:hAnsi="Times New Roman"/>
          <w:sz w:val="18"/>
          <w:szCs w:val="18"/>
          <w:color w:val="auto"/>
        </w:rPr>
        <w:t>The decline in contract sales reflects our strategy to sell through existing inventory and higher rescission activity associated with extended rescission periods in this segment during the second quarter of 2013.</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w w:val="98"/>
              </w:rPr>
              <w:t>Twelve Weeks Ended</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688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50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15,</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5"/>
        </w:trPr>
        <w:tc>
          <w:tcPr>
            <w:tcW w:w="68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Pr>
          <w:p>
            <w:pPr>
              <w:spacing w:after="0"/>
              <w:rPr>
                <w:sz w:val="14"/>
                <w:szCs w:val="14"/>
                <w:color w:val="auto"/>
              </w:rPr>
            </w:pPr>
          </w:p>
        </w:tc>
        <w:tc>
          <w:tcPr>
            <w:tcW w:w="38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4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4"/>
              </w:rPr>
              <w:t>% Change</w:t>
            </w: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0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86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6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NM</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higher revenue from the sale of vacation ownership products reflects $23 million of higher revenue reportability and $1 million of lower vacation ownership notes receivable reserve activity, partially offset by a $3 million decline in contract sales. The $23 million of higher revenue reportability resulted from $19 million of higher revenue reportability in the twelve weeks ended June 14, 2013 compared to $4 million of lower revenue reportability in the prior year comparable period. Revenue reportability was higher in the current year quarter, as the rescission period related to certain sales had expired, of which $17 million related to the impact of the extended rescission periods in this segment. The lower reportability in the prior year quarter reflected the impact of certain sales remaining in the statutory rescission period at the end of the period. Revenue reportability can affect quarter-to-quarter earnings but typically has no material impact on year-over-year earnings; however, given the impact of the extended rescission periods in this segment, we expect that revenue reportability will have a material impact on year-over-year earnings.</w:t>
      </w:r>
    </w:p>
    <w:p>
      <w:pPr>
        <w:spacing w:after="0" w:line="13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increase in development margin reflects $13 million from higher revenue reportability year-over-year (of which $12 million is related to the impact of the extended rescission periods in this segment), a $1 million increase from lower contract sales volume net of lower direct variable expenses (i.e., cost of vacation ownership products and marketing and sales) due to a favorable mix of lower cost real estate inventory being sold and more efficient marketing and sales spending, and a $1 million benefit from the lower estimated default and delinquency activity. These increases were partially offset by $1 million of severance charges related to the restructuring of sales locations in early 2013.</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Twenty-Four Weeks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6580" w:type="dxa"/>
            <w:vAlign w:val="bottom"/>
          </w:tcPr>
          <w:p>
            <w:pPr>
              <w:spacing w:after="0"/>
              <w:rPr>
                <w:sz w:val="10"/>
                <w:szCs w:val="10"/>
                <w:color w:val="auto"/>
              </w:rPr>
            </w:pPr>
          </w:p>
        </w:tc>
        <w:tc>
          <w:tcPr>
            <w:tcW w:w="1220" w:type="dxa"/>
            <w:vAlign w:val="bottom"/>
            <w:tcBorders>
              <w:top w:val="single" w:sz="8" w:color="auto"/>
            </w:tcBorders>
            <w:gridSpan w:val="3"/>
          </w:tcPr>
          <w:p>
            <w:pPr>
              <w:jc w:val="right"/>
              <w:ind w:right="66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64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5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4"/>
                <w:szCs w:val="14"/>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line="20" w:lineRule="exact"/>
              <w:rPr>
                <w:sz w:val="1"/>
                <w:szCs w:val="1"/>
                <w:color w:val="auto"/>
              </w:rPr>
            </w:pPr>
          </w:p>
        </w:tc>
      </w:tr>
      <w:tr>
        <w:trPr>
          <w:trHeight w:val="223"/>
        </w:trPr>
        <w:tc>
          <w:tcPr>
            <w:tcW w:w="65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NM</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higher revenue from the sale of vacation ownership products reflects $27 million of higher revenue reportability and $1 million of lower vacation ownership notes receivable reserve activity, partially offset by a $6 million decline in contract sales. The $27 million of higher revenue reportability resulted from $23 million of higher revenue reportability in the twenty-four weeks ended June 14, 2013 compared to $4 million of lower revenue reportability in the prior year comparable period. Revenue reportability was higher in the current year quarter as the rescission period related to certain sales had expired, of which $18 million related to the impact of the extended rescission periods in this segment. The lower reportability in the prior year quarter reflected the impact of certain sales remaining in the statutory rescission period at the end of the period. Revenue reportability can affect quarter-to-quarter earnings but typically has no material impact on year-over-year earnings; however, given the impact of the extended rescission periods in this segment, we expect that revenue reportability will have a material impact on year-over-year earnings.</w:t>
      </w:r>
    </w:p>
    <w:p>
      <w:pPr>
        <w:spacing w:after="0" w:line="138"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The increase in development margin reflects $14 million from higher revenue reportability year-over-year (all of which related to the impact of the extended rescission periods in this segment), a $2 million increase from lower contract sales volume net of lower direct variable expenses (i.e., cost of vacation ownership products and marketing and sales) due to a favorable mix of lower cost real estate inventory being sold and more efficient marketing and sales spending, a $1 million benefit from a favorable product cost true-up and a favorable resolution of a tax (non-income tax) matter in the current year period and a $1 million benefit from the lower estimated default and delinquency activity. These increases were partially offset by $2 million of severance charges related to the restructuring of sales locations in early 2013.</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Asia Pacific</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6"/>
              </w:rPr>
              <w:t>Twelve Weeks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r>
      <w:tr>
        <w:trPr>
          <w:trHeight w:val="125"/>
        </w:trPr>
        <w:tc>
          <w:tcPr>
            <w:tcW w:w="6660" w:type="dxa"/>
            <w:vAlign w:val="bottom"/>
          </w:tcPr>
          <w:p>
            <w:pPr>
              <w:spacing w:after="0"/>
              <w:rPr>
                <w:sz w:val="10"/>
                <w:szCs w:val="10"/>
                <w:color w:val="auto"/>
              </w:rPr>
            </w:pPr>
          </w:p>
        </w:tc>
        <w:tc>
          <w:tcPr>
            <w:tcW w:w="940" w:type="dxa"/>
            <w:vAlign w:val="bottom"/>
            <w:tcBorders>
              <w:top w:val="single" w:sz="8" w:color="auto"/>
            </w:tcBorders>
            <w:gridSpan w:val="4"/>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56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540"/>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14,</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5"/>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100" w:type="dxa"/>
            <w:vAlign w:val="bottom"/>
          </w:tcPr>
          <w:p>
            <w:pPr>
              <w:spacing w:after="0"/>
              <w:rPr>
                <w:sz w:val="10"/>
                <w:szCs w:val="10"/>
                <w:color w:val="auto"/>
              </w:rPr>
            </w:pPr>
          </w:p>
        </w:tc>
      </w:tr>
      <w:tr>
        <w:trPr>
          <w:trHeight w:val="165"/>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6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Financing</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Rental</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reimbursements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7"/>
        </w:trPr>
        <w:tc>
          <w:tcPr>
            <w:tcW w:w="6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r>
      <w:tr>
        <w:trPr>
          <w:trHeight w:val="222"/>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6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Marketing and sales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Rental</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Royalty fee</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reimbursements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7"/>
        </w:trPr>
        <w:tc>
          <w:tcPr>
            <w:tcW w:w="6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r>
      <w:tr>
        <w:trPr>
          <w:trHeight w:val="223"/>
        </w:trPr>
        <w:tc>
          <w:tcPr>
            <w:tcW w:w="6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Segment financial results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our Asia Pacific segment, we continue to identify opportunities for development margin improvement and, as a result, we closed our off-site sales locations in Hong Kong and Japan in the fourth quarter of 2012. Our on-site sales locations are more efficient sales channels than our off-site sales locations and we plan to focus on future inventory acquisitions with strong on-site sales distribution potential.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Sales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6"/>
              </w:rPr>
              <w:t>Twelve Weeks Ended</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6800" w:type="dxa"/>
            <w:vAlign w:val="bottom"/>
          </w:tcPr>
          <w:p>
            <w:pPr>
              <w:spacing w:after="0"/>
              <w:rPr>
                <w:sz w:val="10"/>
                <w:szCs w:val="10"/>
                <w:color w:val="auto"/>
              </w:rPr>
            </w:pPr>
          </w:p>
        </w:tc>
        <w:tc>
          <w:tcPr>
            <w:tcW w:w="94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5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65"/>
        </w:trPr>
        <w:tc>
          <w:tcPr>
            <w:tcW w:w="68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Pr>
          <w:p>
            <w:pPr>
              <w:spacing w:after="0"/>
              <w:rPr>
                <w:sz w:val="14"/>
                <w:szCs w:val="14"/>
                <w:color w:val="auto"/>
              </w:rPr>
            </w:pP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4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 Change</w:t>
            </w:r>
          </w:p>
        </w:tc>
      </w:tr>
      <w:tr>
        <w:trPr>
          <w:trHeight w:val="196"/>
        </w:trPr>
        <w:tc>
          <w:tcPr>
            <w:tcW w:w="6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68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Vacation ownership</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contract sales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decline in contract sales reflects the closure of off-site sales locations in 2012, partially offset by improvements at existing sales locations. These changes resulted in a 56 percent decrease in sales tours and a $488 increase in VPG.</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5"/>
              </w:rPr>
              <w:t>Twenty-Four Weeks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43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100" w:type="dxa"/>
            <w:vAlign w:val="bottom"/>
          </w:tcPr>
          <w:p>
            <w:pPr>
              <w:spacing w:after="0"/>
              <w:rPr>
                <w:sz w:val="10"/>
                <w:szCs w:val="10"/>
                <w:color w:val="auto"/>
              </w:rPr>
            </w:pPr>
          </w:p>
        </w:tc>
        <w:tc>
          <w:tcPr>
            <w:tcW w:w="600" w:type="dxa"/>
            <w:vAlign w:val="bottom"/>
          </w:tcPr>
          <w:p>
            <w:pPr>
              <w:jc w:val="right"/>
              <w:ind w:right="22"/>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65"/>
        </w:trPr>
        <w:tc>
          <w:tcPr>
            <w:tcW w:w="43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 Change</w:t>
            </w: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2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4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Vacation ownership</w:t>
            </w:r>
          </w:p>
        </w:tc>
        <w:tc>
          <w:tcPr>
            <w:tcW w:w="2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43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contract sales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4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decline in contract sales reflects the closure of off-site sales locations in 2012, partially offset by improvements at existing sales locations. These changes resulted in a 58 percent decrease in sales tours and a $914 increase in VPG.</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80"/>
          </w:cols>
          <w:pgMar w:left="240" w:top="455" w:right="3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5"/>
              </w:rPr>
              <w:t>Twelve Weeks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6780" w:type="dxa"/>
            <w:vAlign w:val="bottom"/>
          </w:tcPr>
          <w:p>
            <w:pPr>
              <w:spacing w:after="0"/>
              <w:rPr>
                <w:sz w:val="10"/>
                <w:szCs w:val="10"/>
                <w:color w:val="auto"/>
              </w:rPr>
            </w:pPr>
          </w:p>
        </w:tc>
        <w:tc>
          <w:tcPr>
            <w:tcW w:w="80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65"/>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60" w:type="dxa"/>
            <w:vAlign w:val="bottom"/>
            <w:tcBorders>
              <w:bottom w:val="single" w:sz="8" w:color="CCEEFF"/>
            </w:tcBorders>
          </w:tcPr>
          <w:p>
            <w:pPr>
              <w:spacing w:after="0"/>
              <w:rPr>
                <w:sz w:val="14"/>
                <w:szCs w:val="14"/>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1"/>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5"/>
              </w:rPr>
              <w:t>7.6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jc w:val="both"/>
        <w:ind w:right="520" w:firstLine="456"/>
        <w:spacing w:after="0" w:line="339" w:lineRule="auto"/>
        <w:rPr>
          <w:sz w:val="20"/>
          <w:szCs w:val="20"/>
          <w:color w:val="auto"/>
        </w:rPr>
      </w:pPr>
      <w:r>
        <w:rPr>
          <w:rFonts w:ascii="Times New Roman" w:cs="Times New Roman" w:eastAsia="Times New Roman" w:hAnsi="Times New Roman"/>
          <w:sz w:val="16"/>
          <w:szCs w:val="16"/>
          <w:color w:val="auto"/>
        </w:rPr>
        <w:t>The increase in development margin was due to the lower sales volume net of direct variable expenses (i.e., cost of vacation ownership products and marketing and sales) as a result of more efficient marketing and sales spending at our existing sales locations in the twelve weeks ended June 14, 2013.</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4"/>
              </w:rPr>
              <w:t>Twenty-Four Weeks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640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80"/>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64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June 15,</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65"/>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60" w:type="dxa"/>
            <w:vAlign w:val="bottom"/>
            <w:tcBorders>
              <w:bottom w:val="single" w:sz="8" w:color="CCEEFF"/>
            </w:tcBorders>
          </w:tcPr>
          <w:p>
            <w:pPr>
              <w:spacing w:after="0"/>
              <w:rPr>
                <w:sz w:val="14"/>
                <w:szCs w:val="14"/>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6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1"/>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15.5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jc w:val="both"/>
        <w:ind w:right="440" w:firstLine="456"/>
        <w:spacing w:after="0" w:line="339" w:lineRule="auto"/>
        <w:rPr>
          <w:sz w:val="20"/>
          <w:szCs w:val="20"/>
          <w:color w:val="auto"/>
        </w:rPr>
      </w:pPr>
      <w:r>
        <w:rPr>
          <w:rFonts w:ascii="Times New Roman" w:cs="Times New Roman" w:eastAsia="Times New Roman" w:hAnsi="Times New Roman"/>
          <w:sz w:val="16"/>
          <w:szCs w:val="16"/>
          <w:color w:val="auto"/>
        </w:rPr>
        <w:t>The increase in development margin was due to the lower sales volume net of direct variable expenses (i.e., cost of vacation ownership products and marketing and sales) as a result of more efficient marketing and sales spending at our existing sales locations in the twenty-four weeks ended June 14, 2013.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6"/>
              </w:rPr>
              <w:t>Twelve Weeks Ended</w:t>
            </w:r>
          </w:p>
        </w:tc>
        <w:tc>
          <w:tcPr>
            <w:tcW w:w="100" w:type="dxa"/>
            <w:vAlign w:val="bottom"/>
          </w:tcPr>
          <w:p>
            <w:pPr>
              <w:spacing w:after="0"/>
              <w:rPr>
                <w:sz w:val="14"/>
                <w:szCs w:val="14"/>
                <w:color w:val="auto"/>
              </w:rPr>
            </w:pPr>
          </w:p>
        </w:tc>
        <w:tc>
          <w:tcPr>
            <w:tcW w:w="18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r>
      <w:tr>
        <w:trPr>
          <w:trHeight w:val="125"/>
        </w:trPr>
        <w:tc>
          <w:tcPr>
            <w:tcW w:w="46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960" w:type="dxa"/>
            <w:vAlign w:val="bottom"/>
            <w:tcBorders>
              <w:top w:val="single" w:sz="8" w:color="auto"/>
            </w:tcBorders>
            <w:gridSpan w:val="3"/>
          </w:tcPr>
          <w:p>
            <w:pPr>
              <w:jc w:val="right"/>
              <w:ind w:right="4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14,</w:t>
            </w:r>
          </w:p>
        </w:tc>
        <w:tc>
          <w:tcPr>
            <w:tcW w:w="54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7"/>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100" w:type="dxa"/>
            <w:vAlign w:val="bottom"/>
          </w:tcPr>
          <w:p>
            <w:pPr>
              <w:spacing w:after="0"/>
              <w:rPr>
                <w:sz w:val="10"/>
                <w:szCs w:val="10"/>
                <w:color w:val="auto"/>
              </w:rPr>
            </w:pPr>
          </w:p>
        </w:tc>
      </w:tr>
      <w:tr>
        <w:trPr>
          <w:trHeight w:val="165"/>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Organizational and separation related</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Royalty fee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r>
      <w:tr>
        <w:trPr>
          <w:trHeight w:val="27"/>
        </w:trPr>
        <w:tc>
          <w:tcPr>
            <w:tcW w:w="4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Corporate and Other captures information not specifically attributable to an individual segment, including expenses in support of our financing operations, non-capitalizable development expenses supporting overall company development, company-wide general and administrative costs, the fixed royalty fee payable under our License Agreements and interest expense.</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Twelve Weeks Ended June 14, 2013</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Total expenses decreased $4 million over the prior year comparable period. The $4 million decrease was the result of $3 million of lower interest expense, $2 million of lower organizational and separation related expenses and $1 million of lower financing expenses due to lower foreclosure activity and lower expenses associated with our Revolving Corporate Credit Facility, partially offset by $2 million of higher general and administrative expenses.</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$3 million decline in interest expense was due to $3 million of lower consumer financing interest expense. The decline in consumer financing interest expense was due to the lower outstanding debt balances of securitized vacation ownership notes receivable and associated interest costs as well as a lower average interest rate. The lower average interest rate reflects the continued pay-down of older securitization transactions that carried higher overall interest rates and the benefit of lower interest rates applicable to our most recently completed securitization of vacation ownership notes receivables. Non-consumer financing interest expense remained unchanged from the prior year comparable period.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firstLine="456"/>
        <w:spacing w:after="0" w:line="301" w:lineRule="auto"/>
        <w:rPr>
          <w:sz w:val="20"/>
          <w:szCs w:val="20"/>
          <w:color w:val="auto"/>
        </w:rPr>
      </w:pPr>
      <w:r>
        <w:rPr>
          <w:rFonts w:ascii="Times New Roman" w:cs="Times New Roman" w:eastAsia="Times New Roman" w:hAnsi="Times New Roman"/>
          <w:sz w:val="16"/>
          <w:szCs w:val="16"/>
          <w:color w:val="auto"/>
        </w:rPr>
        <w:t>General and administrative expense increased $2 million (from $20 million to $22 million) over the prior year comparable period due to $2 million of higher personnel related costs, $2 million of higher legal and audit related expenses, and $1 million of higher standalone public company costs. These increases were offset by $1 million of savings related to organizational and separation related efforts in the human resources, information technology and finance and accounting areas, $1 million from lower depreciation expense, and $1 million from timing of expenses as compared to the prior year comparable period.</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Twenty-Four Weeks Ended June 14, 2013</w:t>
      </w:r>
    </w:p>
    <w:p>
      <w:pPr>
        <w:spacing w:after="0" w:line="9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Total expenses decreased $6 million over the prior year comparable period. The $6 million decrease was the result of $5 million of lower interest expense, $3 million of lower organizational and separation related expenses and $2 million of lower financing expenses due to lower foreclosure activity and lower expenses associated with our Revolving Corporate Credit Facility, partially offset by $4 million of higher general and administrative expenses.</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$5 million decline in interest expense was due to $5 million of lower consumer financing interest expense. The decline in consumer financing interest expense was due to the lower outstanding debt balances of securitized vacation ownership notes receivable and associated interest costs as well as a lower average interest rate. The lower average interest rate reflects the continued pay-down of older securitization transactions that carried higher overall interest rates and the benefit of lower interest rates applicable to our most recently completed securitization of vacation ownership notes receivables. Non-consumer financing interest expense of $7 million remained unchanged from the prior year comparable period. A $1 million decline in expense associated with our liability for Marriott Rewards Points under the Marriott Rewards Affiliation Agreement between us and Marriott International was offset by a reduction of nearly $1 million in capitalized interest costs.</w:t>
      </w:r>
    </w:p>
    <w:p>
      <w:pPr>
        <w:spacing w:after="0" w:line="141" w:lineRule="exact"/>
        <w:rPr>
          <w:sz w:val="20"/>
          <w:szCs w:val="20"/>
          <w:color w:val="auto"/>
        </w:rPr>
      </w:pPr>
    </w:p>
    <w:p>
      <w:pPr>
        <w:ind w:right="200" w:firstLine="456"/>
        <w:spacing w:after="0" w:line="301" w:lineRule="auto"/>
        <w:rPr>
          <w:sz w:val="20"/>
          <w:szCs w:val="20"/>
          <w:color w:val="auto"/>
        </w:rPr>
      </w:pPr>
      <w:r>
        <w:rPr>
          <w:rFonts w:ascii="Times New Roman" w:cs="Times New Roman" w:eastAsia="Times New Roman" w:hAnsi="Times New Roman"/>
          <w:sz w:val="16"/>
          <w:szCs w:val="16"/>
          <w:color w:val="auto"/>
        </w:rPr>
        <w:t>General and administrative expense increased $4 million (from $39 million to $43 million) over the prior year comparable period due to $3 million of higher personnel related costs, $3 million of higher legal and audit related expenses, and $2 million of higher standalone public company costs. These increases were offset by $2 million of savings related to organizational and separation related efforts in the human resources, information technology and finance and accounting areas, $1 million from the favorable resolution of an international tax (non-income tax) matter, and $1 million from lower depreciation expense.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See Footnote No. 1 to our Financial Statements, “Summary of Significant Accounting Policies,” for information related to our adoption of new accounting standards in the twenty-four weeks ended June 14, 2013.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capital needs are supported by cash on hand ($104 million at the end of the second quarter of 2013), cash generated from operations, our ability to raise capital through securitizations in the ABS market, and to the extent necessary, funds available under the Warehouse Credit Facility and the Revolving Corporate Credit Facility. We believe these sources will be adequate to meet our short-term and long-term liquidity requirements, finance our long-term growth plans, satisfy debt service requirements, and fulfill other cash requirements. At the end of the second quarter of 2013, $643 million of the $647 million of total debt outstanding was non-recourse debt associated with securitized vacation ownership notes receivable, including $104 million outstanding under the Warehouse Credit Facility. In addition, we have $40 million of mandatorily redeemable preferred stock of a consolidated subsidiary that we are not required to redeem until October 2021; however we may redeem the preferred stock after October 2016 at our option.</w:t>
      </w:r>
    </w:p>
    <w:p>
      <w:pPr>
        <w:spacing w:after="0" w:line="141"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We have sufficient real estate inventory to meet expected demand for our vacation ownership products for the next several years. At the end of the second quarter of 2013, we had $862 million of real estate inventory on hand, comprised of $425 million of finished goods, $168 million of work-in-process, and $269 million of land and infrastructure. As a result, we expect our real estate inventory spending (discussed below) will be less than or in line with cost of sales for the near term. We also expect to sell excess Ritz-Carlton branded inventory and dispose of undeveloped land over the next few years, and plan to sell most of our remaining Ritz-Carlton branded inventory through the MVCD program, in order to generate incremental cash and reduce related carrying costs.</w:t>
      </w:r>
    </w:p>
    <w:p>
      <w:pPr>
        <w:spacing w:after="0" w:line="10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vacation ownership product offerings also allow us to utilize our real estate inventory more efficiently. The majority of our sales are of a points-based product, which permits us to sell vacation ownership products at most of our sales locations, including those where little or no weeks-based inventory remains available for sale. Because we no longer need specific resort-based inventory at each sales location, we expect to have fewer resorts under construction at any given time and expect to better leverage successful sales locations at completed resorts. We expect that this will allow us to maintain long-term sales locations and minimize the need to develop and staff on-site sales locations at smaller projects in the future. We believe these points-based programs better position us to align our construction of real estate inventory with the pace of sales of vacation ownership products by slowing down or accelerating construction as demand across our portfolio and market conditions dictate.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During the twenty-four weeks ended June 14, 2013 we had a net increase in cash and cash equivalents of $1 million compared to a $27 million net decrease in cash and cash equivalents during the twenty-four weeks ended June 15, 2012. The following table summarizes these changes: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Twenty-Four Weeks Ended</w:t>
            </w:r>
          </w:p>
        </w:tc>
      </w:tr>
      <w:tr>
        <w:trPr>
          <w:trHeight w:val="125"/>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420"/>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14,</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8"/>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120" w:type="dxa"/>
            <w:vAlign w:val="bottom"/>
          </w:tcPr>
          <w:p>
            <w:pPr>
              <w:spacing w:after="0"/>
              <w:rPr>
                <w:sz w:val="10"/>
                <w:szCs w:val="10"/>
                <w:color w:val="auto"/>
              </w:rPr>
            </w:pPr>
          </w:p>
        </w:tc>
      </w:tr>
      <w:tr>
        <w:trPr>
          <w:trHeight w:val="165"/>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provided by (used 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r>
      <w:tr>
        <w:trPr>
          <w:trHeight w:val="216"/>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Financing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 of changes in exchange rates on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6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from Operating Activities</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the twenty-four weeks ended June 14, 2013, we generated $34 million of cash flows from operating activities, compared to $106 million in the twenty-four weeks ended June 15, 2012. 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or turnkey purchases of new inventory as well as funding our working capital needs.</w:t>
      </w:r>
    </w:p>
    <w:p>
      <w:pPr>
        <w:spacing w:after="0" w:line="13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minimize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 related outflows. In addition, our cash from operations varies due to the timing of our owners’ repayment of vacation ownership notes receivable, the closing of sales contracts for vacation ownership products, the rate at which owners finance their vacation ownership purchase with us, and cash outlays for real estate inventory development.</w:t>
      </w:r>
    </w:p>
    <w:p>
      <w:pPr>
        <w:spacing w:after="0" w:line="13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During the twenty-four weeks ended June 14, 2013, cash from operating activities was impacted by the timing of unsold maintenance fee payments to property owners’ associations as compared to the prior year comparable period, higher bonus payouts associated with 2012 financial performance and payment of previously accrued legal settlements.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 addition to net income and adjustments for non-cash items, the following operating activities are key drivers of our cash flow from operating activities: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Real estate inventory spending less than cost of sales</w:t>
      </w:r>
    </w:p>
    <w:p>
      <w:pPr>
        <w:spacing w:after="0" w:line="211"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5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r>
      <w:tr>
        <w:trPr>
          <w:trHeight w:val="125"/>
        </w:trPr>
        <w:tc>
          <w:tcPr>
            <w:tcW w:w="5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120" w:type="dxa"/>
            <w:vAlign w:val="bottom"/>
          </w:tcPr>
          <w:p>
            <w:pPr>
              <w:spacing w:after="0"/>
              <w:rPr>
                <w:sz w:val="10"/>
                <w:szCs w:val="10"/>
                <w:color w:val="auto"/>
              </w:rPr>
            </w:pPr>
          </w:p>
        </w:tc>
      </w:tr>
      <w:tr>
        <w:trPr>
          <w:trHeight w:val="165"/>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inventory spending</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Real estate inventory costs</w:t>
            </w:r>
          </w:p>
        </w:tc>
        <w:tc>
          <w:tcPr>
            <w:tcW w:w="1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Real estate inventory spending less than cost of sales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measure our real estate inventory capital efficiency by comparing the cash outflow for real estate inventory spending (a cash item) to the amount of real estate inventory costs charged to expense in our Statements of Operations related to sale of vacation ownership products (a non-cash item).</w:t>
      </w:r>
    </w:p>
    <w:p>
      <w:pPr>
        <w:spacing w:after="0" w:line="120"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Given the significant level of completed real estate inventory on hand, as well as the capital efficiency resulting from our MVCD program, our spending for real estate inventory remained below the amount of real estate inventory costs in each of the twenty-four week periods ended June 14, 2013 and June 15, 2012. We expect our real estate inventory spending to remain in line with or below real estate inventory costs in the near term.</w:t>
      </w:r>
    </w:p>
    <w:p>
      <w:pPr>
        <w:spacing w:after="0" w:line="132"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Through our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 for the next several years.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Notes receivable collections in excess of new mortgages</w:t>
      </w:r>
    </w:p>
    <w:p>
      <w:pPr>
        <w:spacing w:after="0" w:line="90"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r>
      <w:tr>
        <w:trPr>
          <w:trHeight w:val="125"/>
        </w:trPr>
        <w:tc>
          <w:tcPr>
            <w:tcW w:w="6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9"/>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120" w:type="dxa"/>
            <w:vAlign w:val="bottom"/>
          </w:tcPr>
          <w:p>
            <w:pPr>
              <w:spacing w:after="0"/>
              <w:rPr>
                <w:sz w:val="10"/>
                <w:szCs w:val="10"/>
                <w:color w:val="auto"/>
              </w:rPr>
            </w:pPr>
          </w:p>
        </w:tc>
      </w:tr>
      <w:tr>
        <w:trPr>
          <w:trHeight w:val="165"/>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ownership notes receivable collections – non-securitized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Vacation ownership notes receivable collections – securitized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vacation ownership notes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Vacation ownership notes receivable collections in excess of new mortgages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Vacation ownership notes receivable collections include principal from non-securitized and securitized vacation ownership notes receivable for all periods reported. Collections in the twenty-four weeks ended June 14, 2013 remained in line with the prior year comparable period. New vacation ownership notes receivable increased slightly in the twenty-four weeks ended June 14, 2013 compared to the twenty-four weeks ended June 15, 2012 due to an increase in the number of contract closings that occurred in the twenty-four weeks ended June 14, 2013 compared to the twenty-four weeks ended June 15, 2012, mainly in our North America segment, partially offset by a two percentage point decline in the financing propensity of purchasers in our North America segment to 37 percent in the twenty-four weeks ended June 14, 2013 from 39 percent in the prior year comparable period. During the twenty four weeks ended June 14, 2013, and as of June 14, 2013, no pools were out of compliance with performance triggers.</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from Investing Activities</w:t>
      </w:r>
    </w:p>
    <w:p>
      <w:pPr>
        <w:spacing w:after="0" w:line="90"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Twenty-Four Weeks Ended</w:t>
            </w:r>
          </w:p>
        </w:tc>
      </w:tr>
      <w:tr>
        <w:trPr>
          <w:trHeight w:val="125"/>
        </w:trPr>
        <w:tc>
          <w:tcPr>
            <w:tcW w:w="6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June 14,</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9"/>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120" w:type="dxa"/>
            <w:vAlign w:val="bottom"/>
          </w:tcPr>
          <w:p>
            <w:pPr>
              <w:spacing w:after="0"/>
              <w:rPr>
                <w:sz w:val="10"/>
                <w:szCs w:val="10"/>
                <w:color w:val="auto"/>
              </w:rPr>
            </w:pPr>
          </w:p>
        </w:tc>
      </w:tr>
      <w:tr>
        <w:trPr>
          <w:trHeight w:val="165"/>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for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r>
      <w:tr>
        <w:trPr>
          <w:trHeight w:val="223"/>
        </w:trPr>
        <w:tc>
          <w:tcPr>
            <w:tcW w:w="6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Capital expenditures for property and equipment</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Capital expenditures for property and equipment relates to spending for technology development, buildings and equipment used at sales locations, and for ancillary offerings, such as food and beverage offerings at locations where these are provided.</w:t>
      </w:r>
    </w:p>
    <w:p>
      <w:pPr>
        <w:spacing w:after="0" w:line="12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In the twenty-four weeks ended June 14, 2013, capital expenditures for property and equipment of $7 million included $5 million of spending to support normal business operations (such as sales locations and ancillary assets) and $2 million for technology spending.</w:t>
      </w:r>
    </w:p>
    <w:p>
      <w:pPr>
        <w:spacing w:after="0" w:line="12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In the twenty-four weeks ended June 15, 2012, capital expenditures for property and equipment of $7 million included $5 million of spending to support normal business operations (such as sales locations and ancillary assets) and $2 million for technology spending.</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Decrease in Restricted Cash</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Restricted cash primarily consists of cash held in a reserve account related to vacation ownership notes receivable securitizations, cash collected for maintenance fees to be remitted to property owners’ associations, and deposits received, primarily associated with vacation ownership products that are held in escrow until the associated contract has closed or the period in which it can be rescinded has expired, depending on legal requirements. The decrease in restricted cash in the twenty-four weeks ended June 14, 2013 compared to the prior year period reflects payments to property owners’ associations for maintenance fees collected on their behalf prior to the end of 2012, offset partially by an increase in cash received related to securitized notes receivable that was distributed to investors subsequent to the end of the quarter. We expect the fluctuation in restricted cash for maintenance fee activity to be relatively stable, with cash inflows occurring in the fourth quarter upon receipt of maintenance fees and cash out flows occurring in the first quarter upon remittance to property owners’ associations.</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Dispositions in the twenty-four weeks ended June 14, 2013 related to the sale of a multi-family parcel and several lots in St. Thomas, USVI.</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40"/>
          </w:cols>
          <w:pgMar w:left="240" w:top="455" w:right="31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from Financing Activities</w:t>
      </w:r>
    </w:p>
    <w:p>
      <w:pPr>
        <w:spacing w:after="0" w:line="90"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w w:val="99"/>
              </w:rPr>
              <w:t>Twenty-Four Weeks Ended</w:t>
            </w:r>
          </w:p>
        </w:tc>
      </w:tr>
      <w:tr>
        <w:trPr>
          <w:trHeight w:val="125"/>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420"/>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June 14,</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6"/>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15,</w:t>
            </w:r>
          </w:p>
        </w:tc>
        <w:tc>
          <w:tcPr>
            <w:tcW w:w="120" w:type="dxa"/>
            <w:vAlign w:val="bottom"/>
          </w:tcPr>
          <w:p>
            <w:pPr>
              <w:spacing w:after="0"/>
              <w:rPr>
                <w:sz w:val="10"/>
                <w:szCs w:val="10"/>
                <w:color w:val="auto"/>
              </w:rPr>
            </w:pPr>
          </w:p>
        </w:tc>
      </w:tr>
      <w:tr>
        <w:trPr>
          <w:trHeight w:val="165"/>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Borrowings from securitization transactions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Warehouse Credit Facility</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Subtotal</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debt related to securitization transactions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Bonds payable on securitized vacation ownership notes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Warehouse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Subtotal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Borrowings on Revolving Corporate Credit Facility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r>
      <w:tr>
        <w:trPr>
          <w:trHeight w:val="217"/>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Revolving Corporate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withholding taxes on vesting of restricted stock units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6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Borrowings / Repayments of debt related to securitizations</w:t>
      </w:r>
    </w:p>
    <w:p>
      <w:pPr>
        <w:spacing w:after="0" w:line="9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reflect proceeds from securitizations of vacation ownership notes receivable, including draw downs on the Warehouse Credit Facility, as “Borrowings from securitization transactions,” and we reflect payments of bonds associated with vacation ownership notes receivable securitizations and on the Warehouse Credit Facility, including vacation ownership notes receivable repurchases, as “Repayment of debt related to securitization transactions,” within “Cash from Financing Activities.”</w:t>
      </w:r>
    </w:p>
    <w:p>
      <w:pPr>
        <w:spacing w:after="0" w:line="136"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Repayments on the non-recourse debt associated with our securitized vacation ownership notes receivable totaled $142 million (including $51 million for voluntary retirement clean-up calls) and $136 million (including $30 million for voluntary clean-up calls) in each of the twenty-four weeks ended June 14, 2013 and June 15, 2012, respectively.</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Contractual Obligations and Off-Balance Sheet Arrangements</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and Off-Balance Sheet Arrangements” as reported in “Management’s Discussion and Analysis of Financial Condition and Results of Operations,” in our Annual Report on Form 10-K for the year ended December 28, 2012, other than those resulting from changes in the amount of debt outstanding. As of the end of the second quarter of 2013, debt decreased by $31 million to $647 million compared to $678 million at year-end 2012, all of which related to a decrease in non-recourse debt associated with previously securitized vacation ownership notes receivable, including draw downs on the Warehouse Credit Facility. At the end of the second quarter of 2013, future debt payments to be paid out of collections from our vacation ownership notes receivable, including principal and interest, totaled $723 million and are due as follows: $67 million in 2013; $116 million in 2014; $188 million in 2015; $104 million in 2016; $75 million in 2017; and $173 million thereafter.</w:t>
      </w:r>
    </w:p>
    <w:p>
      <w:pPr>
        <w:spacing w:after="0" w:line="141" w:lineRule="exact"/>
        <w:rPr>
          <w:sz w:val="20"/>
          <w:szCs w:val="20"/>
          <w:color w:val="auto"/>
        </w:rPr>
      </w:pPr>
    </w:p>
    <w:p>
      <w:pPr>
        <w:ind w:right="300" w:firstLine="456"/>
        <w:spacing w:after="0" w:line="255" w:lineRule="auto"/>
        <w:rPr>
          <w:sz w:val="20"/>
          <w:szCs w:val="20"/>
          <w:color w:val="auto"/>
        </w:rPr>
      </w:pPr>
      <w:r>
        <w:rPr>
          <w:rFonts w:ascii="Times New Roman" w:cs="Times New Roman" w:eastAsia="Times New Roman" w:hAnsi="Times New Roman"/>
          <w:sz w:val="18"/>
          <w:szCs w:val="18"/>
          <w:color w:val="auto"/>
        </w:rPr>
        <w:t>We provided guarantees to certain lenders in connection with the provision of third-party financing for our vacation ownership product sales, which guarantees generally have a stated maximum amount of funding and a term of five to ten years. The terms of the guarantees require us to fund if the purchaser fails to pay under the terms of the note payable. We are then entitled to repossess the property securing the debt and retain the proceeds from its resale. Our commitments under these guarantees diminish as principal payments are made by the purchaser to the third-party lender. Our current exposure under such guarantees as of the end of the second quarter of 2013 in the Asia Pacific and North America segments is $15 million and $3 million, respectively, and the underlying debt to third-party lenders will mature between 2013 and 2022.</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Additionally, in connection with an equity method investment, we provided a completion guarantee in favor of the project lenders. The joint venture has since delivered a completed operational project. Although we have not received a release of our guarantee, we do not believe we have any funding exposure under this guarantee.</w:t>
      </w:r>
    </w:p>
    <w:p>
      <w:pPr>
        <w:spacing w:after="0" w:line="132"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For additional information on these guarantees and the circumstances under which they were entered into, see the “Guarantees” caption within Footnote No. 7, “Contingencies and Commitments,” of the Notes to our Financial Statements.</w:t>
      </w:r>
    </w:p>
    <w:p>
      <w:pPr>
        <w:spacing w:after="0" w:line="120"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2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exposure to market risk has not changed materially from that disclosed in the Annual Report on Form 10-K for the year ended December 28, 2012.</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9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92"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We continue to use Marriott International’s financial systems to process and record various transactions and we expect to implement additional new controls as we continue to replace services provided by Marriott International.</w:t>
      </w:r>
    </w:p>
    <w:p>
      <w:pPr>
        <w:spacing w:after="0" w:line="120"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second quarter of 2013 that have materially affected, or are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Currently, and from time to time, we are subject to claims in legal proceedings arising in the normal course of business, including, among others, the legal actions discussed in Footnote No. 7, “Contingencies and Commitments,” to our Consolidated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I, Item 1A of our Annual Report on Form 10-K for the fiscal year ended December 28, 2012.</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Exhibits filed or furnished as a part of this Quarterly Report on Form 10-Q are listed on the Index to Exhibits on page E-1, which is incorporated by reference herein.</w:t>
      </w:r>
    </w:p>
    <w:p>
      <w:pPr>
        <w:spacing w:after="0" w:line="10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860"/>
          </w:cols>
          <w:pgMar w:left="240" w:top="455" w:right="7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00" w:type="dxa"/>
            <w:vAlign w:val="bottom"/>
          </w:tcPr>
          <w:p>
            <w:pPr>
              <w:spacing w:after="0"/>
              <w:rPr>
                <w:sz w:val="19"/>
                <w:szCs w:val="19"/>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MARRIOTT VACATIONS WORLDWIDE CORPORATION</w:t>
            </w:r>
          </w:p>
        </w:tc>
      </w:tr>
      <w:tr>
        <w:trPr>
          <w:trHeight w:val="43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July 18, 2013</w:t>
            </w:r>
          </w:p>
        </w:tc>
        <w:tc>
          <w:tcPr>
            <w:tcW w:w="6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Stephen P. Weisz</w:t>
            </w:r>
          </w:p>
        </w:tc>
      </w:tr>
      <w:tr>
        <w:trPr>
          <w:trHeight w:val="196"/>
        </w:trPr>
        <w:tc>
          <w:tcPr>
            <w:tcW w:w="4900" w:type="dxa"/>
            <w:vAlign w:val="bottom"/>
          </w:tcPr>
          <w:p>
            <w:pPr>
              <w:spacing w:after="0"/>
              <w:rPr>
                <w:sz w:val="17"/>
                <w:szCs w:val="17"/>
                <w:color w:val="auto"/>
              </w:rPr>
            </w:pPr>
          </w:p>
        </w:tc>
        <w:tc>
          <w:tcPr>
            <w:tcW w:w="6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Stephen P. Weisz</w:t>
            </w:r>
          </w:p>
        </w:tc>
      </w:tr>
      <w:tr>
        <w:trPr>
          <w:trHeight w:val="228"/>
        </w:trPr>
        <w:tc>
          <w:tcPr>
            <w:tcW w:w="4900" w:type="dxa"/>
            <w:vAlign w:val="bottom"/>
          </w:tcPr>
          <w:p>
            <w:pPr>
              <w:spacing w:after="0"/>
              <w:rPr>
                <w:sz w:val="19"/>
                <w:szCs w:val="19"/>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3"/>
        </w:trPr>
        <w:tc>
          <w:tcPr>
            <w:tcW w:w="4900" w:type="dxa"/>
            <w:vAlign w:val="bottom"/>
          </w:tcPr>
          <w:p>
            <w:pPr>
              <w:spacing w:after="0"/>
              <w:rPr>
                <w:sz w:val="24"/>
                <w:szCs w:val="24"/>
                <w:color w:val="auto"/>
              </w:rPr>
            </w:pPr>
          </w:p>
        </w:tc>
        <w:tc>
          <w:tcPr>
            <w:tcW w:w="6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John E. Geller, Jr.</w:t>
            </w:r>
          </w:p>
        </w:tc>
      </w:tr>
      <w:tr>
        <w:trPr>
          <w:trHeight w:val="196"/>
        </w:trPr>
        <w:tc>
          <w:tcPr>
            <w:tcW w:w="4900" w:type="dxa"/>
            <w:vAlign w:val="bottom"/>
          </w:tcPr>
          <w:p>
            <w:pPr>
              <w:spacing w:after="0"/>
              <w:rPr>
                <w:sz w:val="17"/>
                <w:szCs w:val="17"/>
                <w:color w:val="auto"/>
              </w:rPr>
            </w:pPr>
          </w:p>
        </w:tc>
        <w:tc>
          <w:tcPr>
            <w:tcW w:w="6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John E. Geller, Jr.</w:t>
            </w:r>
          </w:p>
        </w:tc>
      </w:tr>
      <w:tr>
        <w:trPr>
          <w:trHeight w:val="228"/>
        </w:trPr>
        <w:tc>
          <w:tcPr>
            <w:tcW w:w="4900" w:type="dxa"/>
            <w:vAlign w:val="bottom"/>
          </w:tcPr>
          <w:p>
            <w:pPr>
              <w:spacing w:after="0"/>
              <w:rPr>
                <w:sz w:val="19"/>
                <w:szCs w:val="19"/>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365"/>
        </w:trPr>
        <w:tc>
          <w:tcPr>
            <w:tcW w:w="4900" w:type="dxa"/>
            <w:vAlign w:val="bottom"/>
          </w:tcPr>
          <w:p>
            <w:pPr>
              <w:spacing w:after="0"/>
              <w:rPr>
                <w:sz w:val="24"/>
                <w:szCs w:val="24"/>
                <w:color w:val="auto"/>
              </w:rPr>
            </w:pPr>
          </w:p>
        </w:tc>
        <w:tc>
          <w:tcPr>
            <w:tcW w:w="6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56</w:t>
            </w:r>
          </w:p>
        </w:tc>
      </w:tr>
    </w:tbl>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36"/>
        </w:trPr>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10600" w:type="dxa"/>
            <w:vAlign w:val="bottom"/>
          </w:tcPr>
          <w:p>
            <w:pPr>
              <w:spacing w:after="0"/>
              <w:rPr>
                <w:sz w:val="24"/>
                <w:szCs w:val="24"/>
                <w:color w:val="auto"/>
              </w:rPr>
            </w:pPr>
          </w:p>
        </w:tc>
      </w:tr>
      <w:tr>
        <w:trPr>
          <w:trHeight w:val="179"/>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600" w:type="dxa"/>
            <w:vAlign w:val="bottom"/>
          </w:tcPr>
          <w:p>
            <w:pPr>
              <w:ind w:left="4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0"/>
        </w:trPr>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0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Restated Certificate of Incorporation of Marriott Vacations Worldwide Corporation, incorporated by reference to Exhibit 3.1 of the Company’s</w:t>
            </w:r>
          </w:p>
        </w:tc>
      </w:tr>
      <w:tr>
        <w:trPr>
          <w:trHeight w:val="228"/>
        </w:trPr>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on November 22, 2011.</w:t>
            </w:r>
          </w:p>
        </w:tc>
      </w:tr>
      <w:tr>
        <w:trPr>
          <w:trHeight w:val="312"/>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w w:val="97"/>
              </w:rPr>
              <w:t>Restated Bylaws of Marriott Vacations Worldwide Corporation, incorporated by reference to Exhibit 3.2 of the Company’s Current Report on Form 8-</w:t>
            </w:r>
          </w:p>
        </w:tc>
      </w:tr>
      <w:tr>
        <w:trPr>
          <w:trHeight w:val="228"/>
        </w:trPr>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K filed on November 22, 2011.</w:t>
            </w:r>
          </w:p>
        </w:tc>
      </w:tr>
      <w:tr>
        <w:trPr>
          <w:trHeight w:val="312"/>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w w:val="99"/>
              </w:rPr>
              <w:t>First Amendment, dated June 12, 2013, among Marriott Vacations Worldwide Corporation, Marriott Ownership Resorts, Inc., the several banks and</w:t>
            </w:r>
          </w:p>
        </w:tc>
      </w:tr>
      <w:tr>
        <w:trPr>
          <w:trHeight w:val="216"/>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w w:val="98"/>
              </w:rPr>
              <w:t>other financial institutions or entities from time to time party thereto, Bank of America, N.A. and Deutsche Bank Securities Inc., as co-documentation</w:t>
            </w:r>
          </w:p>
        </w:tc>
      </w:tr>
      <w:tr>
        <w:trPr>
          <w:trHeight w:val="216"/>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w w:val="98"/>
              </w:rPr>
              <w:t>agents, Merrill Lynch, Pierce, Fenner &amp; Smith Incorporated and Deutsche Bank Securities Inc., as co-syndication agents, and JPMorgan Chase Bank,</w:t>
            </w:r>
          </w:p>
        </w:tc>
      </w:tr>
      <w:tr>
        <w:trPr>
          <w:trHeight w:val="216"/>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w w:val="98"/>
              </w:rPr>
              <w:t>N.A., as administrative agent, to the Amended and Restated Credit Agreement filed as Exhibit 10.29 to the Company’s Annual Report on Form 10-K</w:t>
            </w:r>
          </w:p>
        </w:tc>
      </w:tr>
      <w:tr>
        <w:trPr>
          <w:trHeight w:val="228"/>
        </w:trPr>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filed on February 22, 2013, incorporated by reference to Exhibit 10.1 of the Company’s Current Report on Form 8-K filed on June 13, 2013.</w:t>
            </w:r>
          </w:p>
        </w:tc>
      </w:tr>
      <w:tr>
        <w:trPr>
          <w:trHeight w:val="312"/>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dated June 12, 2013, made by Marriott Vacations Worldwide Corporation, Marriott Ownership Resorts, Inc., and certain</w:t>
            </w:r>
          </w:p>
        </w:tc>
      </w:tr>
      <w:tr>
        <w:trPr>
          <w:trHeight w:val="216"/>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Marriott Vacations Worldwide Corporation in favor of JPMorgan Chase Bank, N.A., as administrative agent, to the Amended and</w:t>
            </w:r>
          </w:p>
        </w:tc>
      </w:tr>
      <w:tr>
        <w:trPr>
          <w:trHeight w:val="216"/>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Restated Guarantee and Collateral Agreement filed as Exhibit 10.30 to the Company’s Annual Report on Form 10-K filed on February 22, 2013,</w:t>
            </w:r>
          </w:p>
        </w:tc>
      </w:tr>
      <w:tr>
        <w:trPr>
          <w:trHeight w:val="228"/>
        </w:trPr>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10.2 of the Company’s Current Report on Form 8-K filed on June 13, 2013.</w:t>
            </w:r>
          </w:p>
        </w:tc>
      </w:tr>
      <w:tr>
        <w:trPr>
          <w:trHeight w:val="312"/>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w w:val="98"/>
              </w:rPr>
              <w:t>Marriott Vacations Worldwide Corporation Deferred Compensation Plan, incorporated by reference to Exhibit 10.3 of the Company’s Current Report</w:t>
            </w:r>
          </w:p>
        </w:tc>
      </w:tr>
      <w:tr>
        <w:trPr>
          <w:trHeight w:val="228"/>
        </w:trPr>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on Form 8-K filed on June 13, 2013.</w:t>
            </w:r>
          </w:p>
        </w:tc>
      </w:tr>
      <w:tr>
        <w:trPr>
          <w:trHeight w:val="324"/>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of the Securities Exchange Act of 1934.</w:t>
            </w:r>
          </w:p>
        </w:tc>
      </w:tr>
      <w:tr>
        <w:trPr>
          <w:trHeight w:val="324"/>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of the Securities Exchange Act of 1934.</w:t>
            </w:r>
          </w:p>
        </w:tc>
      </w:tr>
      <w:tr>
        <w:trPr>
          <w:trHeight w:val="324"/>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13a-14(b) and Section 906 of the Sarbanes-Oxley Act of 2002.</w:t>
            </w:r>
          </w:p>
        </w:tc>
      </w:tr>
      <w:tr>
        <w:trPr>
          <w:trHeight w:val="324"/>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13a-14(b) and Section 906 of the Sarbanes-Oxley Act of 2002.</w:t>
            </w:r>
          </w:p>
        </w:tc>
      </w:tr>
      <w:tr>
        <w:trPr>
          <w:trHeight w:val="324"/>
        </w:trPr>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101.INS</w:t>
            </w: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101.SCH</w:t>
            </w: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101.CAL</w:t>
            </w: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324"/>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101.DEF</w:t>
            </w: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101.LAB</w:t>
            </w: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324"/>
        </w:trPr>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101.PRE</w:t>
            </w: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bl>
    <w:p>
      <w:pPr>
        <w:spacing w:after="0" w:line="150"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We have attached the following documents formatted in XBRL (Extensible Business Reporting Language) as Exhibit 101 to this report: (i) the Interim Consolidated Statements of Operations for the twelve and twenty-four weeks ended June 14, 2013 and June 15, 2012, respectively; (ii) the Interim Consolidated Statements of Comprehensive Income (Loss) for the twelve and twenty-four weeks ended June 14, 2013 and June 15, 2012, respectively; (iii) the Interim Consolidated Balance Sheets at June 14, 2013 and December 28, 2012; and (iv) the Interim Consolidated Statements of Cash Flows for the twenty-four weeks ended June 14, 2013 and June 15, 2012, respectively. Pursuant to Rule 406T of Regulation S-T, the interactive data files in Exhibit 101 hereto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420"/>
          </w:cols>
          <w:pgMar w:left="240" w:top="455"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Weisz,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Marriott Vacations Worldwide Corporation;</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18, 2013</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Stephen P. Weisz</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 Geller, Jr., certify that:</w:t>
      </w:r>
    </w:p>
    <w:p>
      <w:pPr>
        <w:spacing w:after="0" w:line="90"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Marriott Vacations Worldwide Corporation;</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460" w:hanging="452"/>
        <w:spacing w:after="0" w:line="275"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18, 2013</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John E. Geller, Jr.</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23"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Sections 1350(a) and (b))</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Stephen P. Weisz, President and Chief Executive Officer of Marriott Vacations Worldwide Corporation (the “Company”) certify that:</w:t>
      </w:r>
    </w:p>
    <w:p>
      <w:pPr>
        <w:spacing w:after="0" w:line="90" w:lineRule="exact"/>
        <w:rPr>
          <w:sz w:val="20"/>
          <w:szCs w:val="20"/>
          <w:color w:val="auto"/>
        </w:rPr>
      </w:pPr>
    </w:p>
    <w:p>
      <w:pPr>
        <w:ind w:left="460" w:right="180" w:hanging="452"/>
        <w:spacing w:after="0" w:line="275"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June 14, 2013 (the “Quarterly Report”), fully complies with the requirements of section 13(a) or 15(d) of the Securities Exchange Act of 1934 (15 U.S.C. 78m or 78o(d)); and</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Quarterly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18, 2013</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Stephen P. Weisz</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Sections 1350(a) and (b))</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John E. Geller, Jr., Executive Vice President and Chief Financial Officer of Marriott Vacations Worldwide Corporation (the “Company”) certify that:</w:t>
      </w:r>
    </w:p>
    <w:p>
      <w:pPr>
        <w:spacing w:after="0" w:line="90" w:lineRule="exact"/>
        <w:rPr>
          <w:sz w:val="20"/>
          <w:szCs w:val="20"/>
          <w:color w:val="auto"/>
        </w:rPr>
      </w:pPr>
    </w:p>
    <w:p>
      <w:pPr>
        <w:ind w:left="460" w:right="180" w:hanging="452"/>
        <w:spacing w:after="0" w:line="275"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June 14, 2013 (the “Quarterly Report”), fully complies with the requirements of section 13(a) or 15(d) of the Securities Exchange Act of 1934 (15 U.S.C. 78m or 78o(d)); and</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Quarterly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18, 2013</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John E. Geller, Jr.</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7"/>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2019-12-08T01:10:28Z</dcterms:created>
  <dcterms:modified xsi:type="dcterms:W3CDTF">2019-12-08T01:10:28Z</dcterms:modified>
</cp:coreProperties>
</file>