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741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169545</wp:posOffset>
            </wp:positionV>
            <wp:extent cx="1741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11, 2015</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172085</wp:posOffset>
            </wp:positionV>
            <wp:extent cx="1741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163195</wp:posOffset>
            </wp:positionV>
            <wp:extent cx="1741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81"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40" w:type="dxa"/>
            <w:vAlign w:val="bottom"/>
          </w:tcPr>
          <w:p>
            <w:pPr>
              <w:jc w:val="right"/>
              <w:ind w:right="60"/>
              <w:spacing w:after="0"/>
              <w:rPr>
                <w:sz w:val="20"/>
                <w:szCs w:val="20"/>
                <w:color w:val="auto"/>
              </w:rPr>
            </w:pPr>
            <w:r>
              <w:rPr>
                <w:rFonts w:ascii="Arial" w:cs="Arial" w:eastAsia="Arial" w:hAnsi="Arial"/>
                <w:sz w:val="18"/>
                <w:szCs w:val="18"/>
                <w:b w:val="1"/>
                <w:bCs w:val="1"/>
                <w:color w:val="auto"/>
              </w:rPr>
              <w:t>45-2598330</w:t>
            </w:r>
          </w:p>
        </w:tc>
      </w:tr>
      <w:tr>
        <w:trPr>
          <w:trHeight w:val="149"/>
        </w:trPr>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0"/>
              </w:rPr>
              <w:t>6649 Westwood Blvd.</w:t>
            </w:r>
          </w:p>
        </w:tc>
        <w:tc>
          <w:tcPr>
            <w:tcW w:w="5140" w:type="dxa"/>
            <w:vAlign w:val="bottom"/>
          </w:tcPr>
          <w:p>
            <w:pPr>
              <w:spacing w:after="0"/>
              <w:rPr>
                <w:sz w:val="24"/>
                <w:szCs w:val="24"/>
                <w:color w:val="auto"/>
              </w:rPr>
            </w:pPr>
          </w:p>
        </w:tc>
      </w:tr>
      <w:tr>
        <w:trPr>
          <w:trHeight w:val="225"/>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6"/>
              </w:rPr>
              <w:t>Orlando, FL</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32821</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2380" w:type="dxa"/>
            <w:vAlign w:val="bottom"/>
          </w:tcPr>
          <w:p>
            <w:pPr>
              <w:spacing w:after="0"/>
              <w:rPr>
                <w:sz w:val="24"/>
                <w:szCs w:val="24"/>
                <w:color w:val="auto"/>
              </w:rPr>
            </w:pPr>
          </w:p>
        </w:tc>
        <w:tc>
          <w:tcPr>
            <w:tcW w:w="5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90"/>
              </w:rPr>
              <w:t>(407) 206-6000</w:t>
            </w:r>
          </w:p>
        </w:tc>
      </w:tr>
      <w:tr>
        <w:trPr>
          <w:trHeight w:val="186"/>
        </w:trPr>
        <w:tc>
          <w:tcPr>
            <w:tcW w:w="2380" w:type="dxa"/>
            <w:vAlign w:val="bottom"/>
          </w:tcPr>
          <w:p>
            <w:pPr>
              <w:spacing w:after="0"/>
              <w:rPr>
                <w:sz w:val="16"/>
                <w:szCs w:val="16"/>
                <w:color w:val="auto"/>
              </w:rPr>
            </w:pPr>
          </w:p>
        </w:tc>
        <w:tc>
          <w:tcPr>
            <w:tcW w:w="5140" w:type="dxa"/>
            <w:vAlign w:val="bottom"/>
          </w:tcPr>
          <w:p>
            <w:pPr>
              <w:jc w:val="center"/>
              <w:ind w:right="18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270"/>
        </w:trPr>
        <w:tc>
          <w:tcPr>
            <w:tcW w:w="7520" w:type="dxa"/>
            <w:vAlign w:val="bottom"/>
            <w:gridSpan w:val="2"/>
          </w:tcPr>
          <w:p>
            <w:pPr>
              <w:jc w:val="center"/>
              <w:ind w:left="420"/>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144780</wp:posOffset>
            </wp:positionV>
            <wp:extent cx="1741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15"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60" w:firstLine="456"/>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smaller reporting company. See definition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7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1540" w:space="380"/>
            <w:col w:w="160" w:space="60"/>
            <w:col w:w="6000" w:space="720"/>
            <w:col w:w="1980" w:space="420"/>
            <w:col w:w="160"/>
          </w:cols>
          <w:pgMar w:left="240" w:top="230" w:right="239" w:bottom="1440" w:gutter="0" w:footer="0" w:header="0"/>
          <w:type w:val="continuous"/>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49" w:lineRule="exact"/>
        <w:rPr>
          <w:sz w:val="24"/>
          <w:szCs w:val="24"/>
          <w:color w:val="auto"/>
        </w:rPr>
      </w:pPr>
    </w:p>
    <w:p>
      <w:pPr>
        <w:sectPr>
          <w:pgSz w:w="11900" w:h="16838" w:orient="portrait"/>
          <w:cols w:equalWidth="0" w:num="4">
            <w:col w:w="8640" w:space="160"/>
            <w:col w:w="260" w:space="100"/>
            <w:col w:w="160" w:space="180"/>
            <w:col w:w="1920"/>
          </w:cols>
          <w:pgMar w:left="240" w:top="230"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The number of shares outstanding of the issuer’s common stock, par value $0.01 per share, as of October 9, 2015 was 31,065,226.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0" w:type="dxa"/>
            <w:vAlign w:val="bottom"/>
            <w:gridSpan w:val="4"/>
          </w:tcPr>
          <w:p>
            <w:pPr>
              <w:spacing w:after="0"/>
              <w:rPr>
                <w:sz w:val="20"/>
                <w:szCs w:val="20"/>
                <w:color w:val="auto"/>
              </w:rPr>
            </w:pPr>
            <w:r>
              <w:rPr>
                <w:rFonts w:ascii="Arial" w:cs="Arial" w:eastAsia="Arial" w:hAnsi="Arial"/>
                <w:sz w:val="18"/>
                <w:szCs w:val="18"/>
                <w:b w:val="1"/>
                <w:bCs w:val="1"/>
                <w:color w:val="auto"/>
              </w:rPr>
              <w:t>INDEX</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720" w:type="dxa"/>
            <w:vAlign w:val="bottom"/>
            <w:gridSpan w:val="2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 (UNAUDITED)</w:t>
              </w:r>
            </w:hyperlink>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00" w:type="dxa"/>
            <w:vAlign w:val="bottom"/>
            <w:vMerge w:val="continue"/>
          </w:tcPr>
          <w:p>
            <w:pPr>
              <w:spacing w:after="0"/>
              <w:rPr>
                <w:sz w:val="14"/>
                <w:szCs w:val="14"/>
                <w:color w:val="auto"/>
              </w:rPr>
            </w:pPr>
          </w:p>
        </w:tc>
        <w:tc>
          <w:tcPr>
            <w:tcW w:w="9720" w:type="dxa"/>
            <w:vAlign w:val="bottom"/>
            <w:gridSpan w:val="20"/>
            <w:vMerge w:val="continue"/>
          </w:tcPr>
          <w:p>
            <w:pPr>
              <w:spacing w:after="0"/>
              <w:rPr>
                <w:sz w:val="14"/>
                <w:szCs w:val="14"/>
                <w:color w:val="auto"/>
              </w:rPr>
            </w:pPr>
          </w:p>
        </w:tc>
        <w:tc>
          <w:tcPr>
            <w:tcW w:w="600" w:type="dxa"/>
            <w:vAlign w:val="bottom"/>
          </w:tcPr>
          <w:p>
            <w:pPr>
              <w:jc w:val="center"/>
              <w:spacing w:after="0" w:line="170"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36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080" w:type="dxa"/>
            <w:vAlign w:val="bottom"/>
            <w:gridSpan w:val="6"/>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72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Interim Consolidated Statements of Income</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3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Interim Consolidated Statements of Comprehensive Income</w:t>
              </w:r>
            </w:hyperlink>
          </w:p>
        </w:tc>
        <w:tc>
          <w:tcPr>
            <w:tcW w:w="5400" w:type="dxa"/>
            <w:vAlign w:val="bottom"/>
            <w:gridSpan w:val="4"/>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72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Interim Consolidated Balance Sheets</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72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Interim Consolidated Statements of Cash Flows</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72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Interim Consolidated Financial Statements</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72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26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Controls and Procedures</w:t>
              </w:r>
            </w:hyperlink>
          </w:p>
        </w:tc>
        <w:tc>
          <w:tcPr>
            <w:tcW w:w="7920" w:type="dxa"/>
            <w:vAlign w:val="bottom"/>
            <w:gridSpan w:val="12"/>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b w:val="1"/>
                <w:bCs w:val="1"/>
                <w:color w:val="auto"/>
              </w:rPr>
              <w:t>Part II.</w:t>
            </w:r>
          </w:p>
        </w:tc>
        <w:tc>
          <w:tcPr>
            <w:tcW w:w="9720" w:type="dxa"/>
            <w:vAlign w:val="bottom"/>
            <w:gridSpan w:val="20"/>
          </w:tcPr>
          <w:p>
            <w:pPr>
              <w:spacing w:after="0" w:line="19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OTHER INFORMATION</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4"/>
          </w:tcPr>
          <w:p>
            <w:pPr>
              <w:spacing w:after="0"/>
              <w:rPr>
                <w:sz w:val="17"/>
                <w:szCs w:val="17"/>
                <w:color w:val="auto"/>
              </w:rPr>
            </w:pPr>
          </w:p>
        </w:tc>
        <w:tc>
          <w:tcPr>
            <w:tcW w:w="7700" w:type="dxa"/>
            <w:vAlign w:val="bottom"/>
            <w:gridSpan w:val="11"/>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720" w:type="dxa"/>
            <w:vAlign w:val="bottom"/>
            <w:gridSpan w:val="20"/>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Risk Factors</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Unregistered Sales of Equity Securities and Use of Proceeds</w:t>
              </w:r>
            </w:hyperlink>
          </w:p>
        </w:tc>
        <w:tc>
          <w:tcPr>
            <w:tcW w:w="5360" w:type="dxa"/>
            <w:vAlign w:val="bottom"/>
            <w:gridSpan w:val="3"/>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720" w:type="dxa"/>
            <w:vAlign w:val="bottom"/>
            <w:gridSpan w:val="2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Defaults Upon Senior Securities</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3"/>
          </w:tcPr>
          <w:p>
            <w:pPr>
              <w:spacing w:after="0"/>
              <w:rPr>
                <w:sz w:val="17"/>
                <w:szCs w:val="17"/>
                <w:color w:val="auto"/>
              </w:rPr>
            </w:pPr>
          </w:p>
        </w:tc>
        <w:tc>
          <w:tcPr>
            <w:tcW w:w="7400" w:type="dxa"/>
            <w:vAlign w:val="bottom"/>
            <w:gridSpan w:val="10"/>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Other Information</w:t>
              </w:r>
            </w:hyperlink>
          </w:p>
        </w:tc>
        <w:tc>
          <w:tcPr>
            <w:tcW w:w="8400" w:type="dxa"/>
            <w:vAlign w:val="bottom"/>
            <w:gridSpan w:val="16"/>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720" w:type="dxa"/>
            <w:vAlign w:val="bottom"/>
            <w:gridSpan w:val="2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Exhibits</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620" w:type="dxa"/>
            <w:vAlign w:val="bottom"/>
            <w:gridSpan w:val="1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720" w:type="dxa"/>
            <w:vAlign w:val="bottom"/>
            <w:gridSpan w:val="20"/>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SIGNATURES</w:t>
              </w:r>
            </w:hyperlink>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40" w:type="dxa"/>
            <w:vAlign w:val="bottom"/>
            <w:gridSpan w:val="4"/>
          </w:tcPr>
          <w:p>
            <w:pPr>
              <w:jc w:val="right"/>
              <w:ind w:right="710"/>
              <w:spacing w:after="0"/>
              <w:rPr>
                <w:sz w:val="20"/>
                <w:szCs w:val="20"/>
                <w:color w:val="auto"/>
              </w:rPr>
            </w:pPr>
            <w:r>
              <w:rPr>
                <w:rFonts w:ascii="Arial" w:cs="Arial" w:eastAsia="Arial" w:hAnsi="Arial"/>
                <w:sz w:val="14"/>
                <w:szCs w:val="14"/>
                <w:b w:val="1"/>
                <w:bCs w:val="1"/>
                <w:color w:val="auto"/>
              </w:rPr>
              <w:t>Twelve Weeks Ended</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gridSpan w:val="5"/>
          </w:tcPr>
          <w:p>
            <w:pPr>
              <w:ind w:left="40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Borders>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4"/>
              </w:rPr>
              <w:t>September 11, 2015</w:t>
            </w:r>
          </w:p>
        </w:tc>
        <w:tc>
          <w:tcPr>
            <w:tcW w:w="20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6"/>
              </w:rPr>
              <w:t>September 12, 2014</w:t>
            </w:r>
          </w:p>
        </w:tc>
        <w:tc>
          <w:tcPr>
            <w:tcW w:w="200" w:type="dxa"/>
            <w:vAlign w:val="bottom"/>
            <w:tcBorders>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6"/>
              </w:rPr>
              <w:t>September 11, 2015</w:t>
            </w:r>
          </w:p>
        </w:tc>
        <w:tc>
          <w:tcPr>
            <w:tcW w:w="200" w:type="dxa"/>
            <w:vAlign w:val="bottom"/>
            <w:tcBorders>
              <w:top w:val="single" w:sz="8" w:color="auto"/>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6"/>
              </w:rPr>
              <w:t>September 12,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Sale of vacation ownership products</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136,802</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155,384</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476,078</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452,796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management and other services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73,828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70,981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212,308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209,348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Financing</w:t>
            </w:r>
          </w:p>
        </w:tc>
        <w:tc>
          <w:tcPr>
            <w:tcW w:w="3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28,294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29,545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85,640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90,002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76,039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65,620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224,880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190,972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Cost reimbursements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92,173</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91,508</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285,937</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281,769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REVENUES</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407,136</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413,038</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1,284,843</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1,224,887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vacation ownership products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40,776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48,640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150,857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138,925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Marketing and sales</w:t>
            </w:r>
          </w:p>
        </w:tc>
        <w:tc>
          <w:tcPr>
            <w:tcW w:w="3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71,628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73,380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228,760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216,827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management and other services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47,409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47,857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135,298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Financing</w:t>
            </w:r>
          </w:p>
        </w:tc>
        <w:tc>
          <w:tcPr>
            <w:tcW w:w="3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5,488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5,434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16,478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15,976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62,567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54,605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184,560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166,386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23,214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21,932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68,883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66,913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Litigation settlement</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3,225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Organizational and separation related</w:t>
            </w:r>
          </w:p>
        </w:tc>
        <w:tc>
          <w:tcPr>
            <w:tcW w:w="3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439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732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financing interest</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5,289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5,605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16,558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Royalty fee</w:t>
            </w:r>
          </w:p>
        </w:tc>
        <w:tc>
          <w:tcPr>
            <w:tcW w:w="3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14,000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14,339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40,431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41,420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Cost reimbursements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92,173</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91,508</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285,937</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281,769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EXPENSES</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362,983</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366,883</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1,128,258</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1,086,026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(Losses) gains and other (expense) income</w:t>
            </w:r>
          </w:p>
        </w:tc>
        <w:tc>
          <w:tcPr>
            <w:tcW w:w="3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9,492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(2,839)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(2,890)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(8,822)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Equity in earnings</w:t>
            </w:r>
          </w:p>
        </w:tc>
        <w:tc>
          <w:tcPr>
            <w:tcW w:w="3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(5,181)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(6,453)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36,163</w:t>
            </w: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43,510</w:t>
            </w: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150,950</w:t>
            </w: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133,228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(14,608)</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(17,862)</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(61,300)</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(52,969)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21,555</w:t>
            </w:r>
          </w:p>
        </w:tc>
        <w:tc>
          <w:tcPr>
            <w:tcW w:w="200" w:type="dxa"/>
            <w:vAlign w:val="bottom"/>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25,648</w:t>
            </w:r>
          </w:p>
        </w:tc>
        <w:tc>
          <w:tcPr>
            <w:tcW w:w="200" w:type="dxa"/>
            <w:vAlign w:val="bottom"/>
          </w:tcPr>
          <w:p>
            <w:pPr>
              <w:spacing w:after="0"/>
              <w:rPr>
                <w:sz w:val="19"/>
                <w:szCs w:val="19"/>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89,650</w:t>
            </w:r>
          </w:p>
        </w:tc>
        <w:tc>
          <w:tcPr>
            <w:tcW w:w="200" w:type="dxa"/>
            <w:vAlign w:val="bottom"/>
          </w:tcPr>
          <w:p>
            <w:pPr>
              <w:spacing w:after="0"/>
              <w:rPr>
                <w:sz w:val="19"/>
                <w:szCs w:val="19"/>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80,259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0.69</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0.77</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2.81</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Shares used in computing basic earnings per share</w:t>
            </w:r>
          </w:p>
        </w:tc>
        <w:tc>
          <w:tcPr>
            <w:tcW w:w="360" w:type="dxa"/>
            <w:vAlign w:val="bottom"/>
          </w:tcPr>
          <w:p>
            <w:pPr>
              <w:spacing w:after="0"/>
              <w:rPr>
                <w:sz w:val="20"/>
                <w:szCs w:val="20"/>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31,455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33,374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31,870</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34,180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0.67</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0.75</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2.75</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Shares used in computing diluted earnings per share</w:t>
            </w:r>
          </w:p>
        </w:tc>
        <w:tc>
          <w:tcPr>
            <w:tcW w:w="360" w:type="dxa"/>
            <w:vAlign w:val="bottom"/>
          </w:tcPr>
          <w:p>
            <w:pPr>
              <w:spacing w:after="0"/>
              <w:rPr>
                <w:sz w:val="20"/>
                <w:szCs w:val="20"/>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32,128</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34,366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32,550</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35,161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 of common stock</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0.25</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0.75</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gridSpan w:val="3"/>
          </w:tcPr>
          <w:p>
            <w:pPr>
              <w:ind w:left="400"/>
              <w:spacing w:after="0"/>
              <w:rPr>
                <w:sz w:val="20"/>
                <w:szCs w:val="20"/>
                <w:color w:val="auto"/>
              </w:rPr>
            </w:pPr>
            <w:r>
              <w:rPr>
                <w:rFonts w:ascii="Arial" w:cs="Arial" w:eastAsia="Arial" w:hAnsi="Arial"/>
                <w:sz w:val="14"/>
                <w:szCs w:val="14"/>
                <w:b w:val="1"/>
                <w:bCs w:val="1"/>
                <w:color w:val="auto"/>
                <w:w w:val="93"/>
              </w:rPr>
              <w:t>Twelve Weeks Ended</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Thirty-Six Weeks Ended</w:t>
            </w:r>
          </w:p>
        </w:tc>
      </w:tr>
      <w:tr>
        <w:trPr>
          <w:trHeight w:val="142"/>
        </w:trPr>
        <w:tc>
          <w:tcPr>
            <w:tcW w:w="20" w:type="dxa"/>
            <w:vAlign w:val="bottom"/>
          </w:tcPr>
          <w:p>
            <w:pPr>
              <w:spacing w:after="0"/>
              <w:rPr>
                <w:sz w:val="12"/>
                <w:szCs w:val="12"/>
                <w:color w:val="auto"/>
              </w:rPr>
            </w:pPr>
          </w:p>
        </w:tc>
        <w:tc>
          <w:tcPr>
            <w:tcW w:w="5320" w:type="dxa"/>
            <w:vAlign w:val="bottom"/>
            <w:tcBorders>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4"/>
              </w:rPr>
              <w:t>September 11, 2015</w:t>
            </w:r>
          </w:p>
        </w:tc>
        <w:tc>
          <w:tcPr>
            <w:tcW w:w="20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6"/>
              </w:rPr>
              <w:t>September 12, 2014</w:t>
            </w:r>
          </w:p>
        </w:tc>
        <w:tc>
          <w:tcPr>
            <w:tcW w:w="200" w:type="dxa"/>
            <w:vAlign w:val="bottom"/>
            <w:tcBorders>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6"/>
              </w:rPr>
              <w:t>September 11, 2015</w:t>
            </w:r>
          </w:p>
        </w:tc>
        <w:tc>
          <w:tcPr>
            <w:tcW w:w="200" w:type="dxa"/>
            <w:vAlign w:val="bottom"/>
            <w:tcBorders>
              <w:top w:val="single" w:sz="8" w:color="auto"/>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6"/>
              </w:rPr>
              <w:t>September 12, 2014</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21,555</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0"/>
              </w:rPr>
              <w:t>25,648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89,650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80,259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(1,392)</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8"/>
              </w:rPr>
              <w:t>(3,047)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(3,749)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Derivative instrument adjustments</w:t>
            </w:r>
          </w:p>
        </w:tc>
        <w:tc>
          <w:tcPr>
            <w:tcW w:w="400" w:type="dxa"/>
            <w:vAlign w:val="bottom"/>
          </w:tcPr>
          <w:p>
            <w:pPr>
              <w:spacing w:after="0"/>
              <w:rPr>
                <w:sz w:val="19"/>
                <w:szCs w:val="19"/>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loss, net of tax</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(1,451)</w:t>
            </w: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(3,047)</w:t>
            </w: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(3,749)</w:t>
            </w: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CEEFF"/>
          </w:tcPr>
          <w:p>
            <w:pPr>
              <w:spacing w:after="0"/>
              <w:rPr>
                <w:sz w:val="18"/>
                <w:szCs w:val="18"/>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20,104</w:t>
            </w:r>
          </w:p>
        </w:tc>
        <w:tc>
          <w:tcPr>
            <w:tcW w:w="200" w:type="dxa"/>
            <w:vAlign w:val="bottom"/>
          </w:tcPr>
          <w:p>
            <w:pPr>
              <w:spacing w:after="0"/>
              <w:rPr>
                <w:sz w:val="19"/>
                <w:szCs w:val="19"/>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0"/>
              </w:rPr>
              <w:t>22,601</w:t>
            </w:r>
          </w:p>
        </w:tc>
        <w:tc>
          <w:tcPr>
            <w:tcW w:w="200" w:type="dxa"/>
            <w:vAlign w:val="bottom"/>
          </w:tcPr>
          <w:p>
            <w:pPr>
              <w:spacing w:after="0"/>
              <w:rPr>
                <w:sz w:val="19"/>
                <w:szCs w:val="19"/>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85,901</w:t>
            </w:r>
          </w:p>
        </w:tc>
        <w:tc>
          <w:tcPr>
            <w:tcW w:w="200" w:type="dxa"/>
            <w:vAlign w:val="bottom"/>
          </w:tcPr>
          <w:p>
            <w:pPr>
              <w:spacing w:after="0"/>
              <w:rPr>
                <w:sz w:val="19"/>
                <w:szCs w:val="19"/>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77,132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the Interim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ind w:right="431"/>
              <w:spacing w:after="0"/>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January 2, 2015</w:t>
            </w:r>
          </w:p>
        </w:tc>
        <w:tc>
          <w:tcPr>
            <w:tcW w:w="0" w:type="dxa"/>
            <w:vAlign w:val="bottom"/>
          </w:tcPr>
          <w:p>
            <w:pPr>
              <w:spacing w:after="0"/>
              <w:rPr>
                <w:sz w:val="1"/>
                <w:szCs w:val="1"/>
                <w:color w:val="auto"/>
              </w:rPr>
            </w:pPr>
          </w:p>
        </w:tc>
      </w:tr>
      <w:tr>
        <w:trPr>
          <w:trHeight w:val="171"/>
        </w:trPr>
        <w:tc>
          <w:tcPr>
            <w:tcW w:w="72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4"/>
              </w:rPr>
              <w:t>September 11, 2015</w:t>
            </w:r>
          </w:p>
        </w:tc>
        <w:tc>
          <w:tcPr>
            <w:tcW w:w="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321,690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346,515</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Restricted cash (including $93,803 and $34,986 from VIEs, respectively)</w:t>
            </w:r>
          </w:p>
        </w:tc>
        <w:tc>
          <w:tcPr>
            <w:tcW w:w="240" w:type="dxa"/>
            <w:vAlign w:val="bottom"/>
          </w:tcPr>
          <w:p>
            <w:pPr>
              <w:spacing w:after="0"/>
              <w:rPr>
                <w:sz w:val="18"/>
                <w:szCs w:val="18"/>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121,752</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109,907</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Accounts and contracts receivable, net (including $4,211 and $4,992 from VIEs,</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8"/>
                <w:szCs w:val="18"/>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128,321</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109,700</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Vacation ownership notes receivable, net (including $704,349 and $750,680 from VIEs,</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8"/>
                <w:szCs w:val="18"/>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887,456</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917,228</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721,664</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772,784</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8"/>
                <w:szCs w:val="18"/>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247,317</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147,379</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98,827</w:t>
            </w:r>
          </w:p>
        </w:tc>
        <w:tc>
          <w:tcPr>
            <w:tcW w:w="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127,066</w:t>
            </w:r>
          </w:p>
        </w:tc>
        <w:tc>
          <w:tcPr>
            <w:tcW w:w="0" w:type="dxa"/>
            <w:vAlign w:val="bottom"/>
          </w:tcPr>
          <w:p>
            <w:pPr>
              <w:spacing w:after="0"/>
              <w:rPr>
                <w:sz w:val="1"/>
                <w:szCs w:val="1"/>
                <w:color w:val="auto"/>
              </w:rPr>
            </w:pPr>
          </w:p>
        </w:tc>
      </w:tr>
      <w:tr>
        <w:trPr>
          <w:trHeight w:val="291"/>
        </w:trPr>
        <w:tc>
          <w:tcPr>
            <w:tcW w:w="7220" w:type="dxa"/>
            <w:vAlign w:val="bottom"/>
          </w:tcPr>
          <w:p>
            <w:pPr>
              <w:ind w:left="54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2,527,027</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2,530,579</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22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77,516</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114,079</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Advance deposits</w:t>
            </w:r>
          </w:p>
        </w:tc>
        <w:tc>
          <w:tcPr>
            <w:tcW w:w="240" w:type="dxa"/>
            <w:vAlign w:val="bottom"/>
          </w:tcPr>
          <w:p>
            <w:pPr>
              <w:spacing w:after="0"/>
              <w:rPr>
                <w:sz w:val="18"/>
                <w:szCs w:val="18"/>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66,436</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60,192</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Accrued liabilities (including $1,635 and $1,088 from VIEs, respectively)</w:t>
            </w:r>
          </w:p>
        </w:tc>
        <w:tc>
          <w:tcPr>
            <w:tcW w:w="240" w:type="dxa"/>
            <w:vAlign w:val="bottom"/>
          </w:tcPr>
          <w:p>
            <w:pPr>
              <w:spacing w:after="0"/>
              <w:rPr>
                <w:sz w:val="18"/>
                <w:szCs w:val="18"/>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150,928</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165,969</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44,499</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38,818</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Payroll and benefits liability</w:t>
            </w:r>
          </w:p>
        </w:tc>
        <w:tc>
          <w:tcPr>
            <w:tcW w:w="240" w:type="dxa"/>
            <w:vAlign w:val="bottom"/>
          </w:tcPr>
          <w:p>
            <w:pPr>
              <w:spacing w:after="0"/>
              <w:rPr>
                <w:sz w:val="18"/>
                <w:szCs w:val="18"/>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87,871</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93,073</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Liability for Marriott Rewards customer loyalty program</w:t>
            </w:r>
          </w:p>
        </w:tc>
        <w:tc>
          <w:tcPr>
            <w:tcW w:w="240" w:type="dxa"/>
            <w:vAlign w:val="bottom"/>
          </w:tcPr>
          <w:p>
            <w:pPr>
              <w:spacing w:after="0"/>
              <w:rPr>
                <w:sz w:val="18"/>
                <w:szCs w:val="18"/>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73,904</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89,285</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Deferred compensation liability</w:t>
            </w:r>
          </w:p>
        </w:tc>
        <w:tc>
          <w:tcPr>
            <w:tcW w:w="240" w:type="dxa"/>
            <w:vAlign w:val="bottom"/>
          </w:tcPr>
          <w:p>
            <w:pPr>
              <w:spacing w:after="0"/>
              <w:rPr>
                <w:sz w:val="18"/>
                <w:szCs w:val="18"/>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48,468</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41,677</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Mandatorily redeemable preferred stock of consolidated subsidiary, net</w:t>
            </w:r>
          </w:p>
        </w:tc>
        <w:tc>
          <w:tcPr>
            <w:tcW w:w="240" w:type="dxa"/>
            <w:vAlign w:val="bottom"/>
          </w:tcPr>
          <w:p>
            <w:pPr>
              <w:spacing w:after="0"/>
              <w:rPr>
                <w:sz w:val="18"/>
                <w:szCs w:val="18"/>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38,935</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38,816</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Debt, net (including $776,648 and $708,031 from VIEs, respectively)</w:t>
            </w:r>
          </w:p>
        </w:tc>
        <w:tc>
          <w:tcPr>
            <w:tcW w:w="240" w:type="dxa"/>
            <w:vAlign w:val="bottom"/>
          </w:tcPr>
          <w:p>
            <w:pPr>
              <w:spacing w:after="0"/>
              <w:rPr>
                <w:sz w:val="18"/>
                <w:szCs w:val="18"/>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769,716</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703,013</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38,239</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27,071</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Deferred taxes</w:t>
            </w: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94,544</w:t>
            </w:r>
          </w:p>
        </w:tc>
        <w:tc>
          <w:tcPr>
            <w:tcW w:w="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78,883</w:t>
            </w:r>
          </w:p>
        </w:tc>
        <w:tc>
          <w:tcPr>
            <w:tcW w:w="0" w:type="dxa"/>
            <w:vAlign w:val="bottom"/>
          </w:tcPr>
          <w:p>
            <w:pPr>
              <w:spacing w:after="0"/>
              <w:rPr>
                <w:sz w:val="1"/>
                <w:szCs w:val="1"/>
                <w:color w:val="auto"/>
              </w:rPr>
            </w:pPr>
          </w:p>
        </w:tc>
      </w:tr>
      <w:tr>
        <w:trPr>
          <w:trHeight w:val="291"/>
        </w:trPr>
        <w:tc>
          <w:tcPr>
            <w:tcW w:w="7220" w:type="dxa"/>
            <w:vAlign w:val="bottom"/>
          </w:tcPr>
          <w:p>
            <w:pPr>
              <w:ind w:left="5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1,491,056</w:t>
            </w:r>
          </w:p>
        </w:tc>
        <w:tc>
          <w:tcPr>
            <w:tcW w:w="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1,450,876</w:t>
            </w:r>
          </w:p>
        </w:tc>
        <w:tc>
          <w:tcPr>
            <w:tcW w:w="0" w:type="dxa"/>
            <w:vAlign w:val="bottom"/>
          </w:tcPr>
          <w:p>
            <w:pPr>
              <w:spacing w:after="0"/>
              <w:rPr>
                <w:sz w:val="1"/>
                <w:szCs w:val="1"/>
                <w:color w:val="auto"/>
              </w:rPr>
            </w:pPr>
          </w:p>
        </w:tc>
      </w:tr>
      <w:tr>
        <w:trPr>
          <w:trHeight w:val="291"/>
        </w:trPr>
        <w:tc>
          <w:tcPr>
            <w:tcW w:w="7220" w:type="dxa"/>
            <w:vAlign w:val="bottom"/>
          </w:tcPr>
          <w:p>
            <w:pPr>
              <w:spacing w:after="0"/>
              <w:rPr>
                <w:sz w:val="20"/>
                <w:szCs w:val="20"/>
                <w:color w:val="auto"/>
              </w:rPr>
            </w:pPr>
            <w:r>
              <w:rPr>
                <w:rFonts w:ascii="Arial" w:cs="Arial" w:eastAsia="Arial" w:hAnsi="Arial"/>
                <w:sz w:val="18"/>
                <w:szCs w:val="18"/>
                <w:color w:val="auto"/>
              </w:rPr>
              <w:t>Contingencies and Commitments (Note 8)</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220" w:type="dxa"/>
            <w:vAlign w:val="bottom"/>
          </w:tcPr>
          <w:p>
            <w:pPr>
              <w:spacing w:after="0"/>
              <w:rPr>
                <w:sz w:val="20"/>
                <w:szCs w:val="20"/>
                <w:color w:val="auto"/>
              </w:rPr>
            </w:pPr>
            <w:r>
              <w:rPr>
                <w:rFonts w:ascii="Arial" w:cs="Arial" w:eastAsia="Arial" w:hAnsi="Arial"/>
                <w:sz w:val="18"/>
                <w:szCs w:val="18"/>
                <w:color w:val="auto"/>
                <w:w w:val="97"/>
              </w:rPr>
              <w:t>Preferred stock — $0.01 par value; 2,000,000 shares authorized; none issued or outstanding</w:t>
            </w:r>
          </w:p>
        </w:tc>
        <w:tc>
          <w:tcPr>
            <w:tcW w:w="240" w:type="dxa"/>
            <w:vAlign w:val="bottom"/>
          </w:tcPr>
          <w:p>
            <w:pPr>
              <w:spacing w:after="0"/>
              <w:rPr>
                <w:sz w:val="24"/>
                <w:szCs w:val="24"/>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Common stock — $0.01 par value; 100,000,000 shares authorized; 36,355,412 and</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36,089,513 shares issued, respectively</w:t>
            </w:r>
          </w:p>
        </w:tc>
        <w:tc>
          <w:tcPr>
            <w:tcW w:w="240" w:type="dxa"/>
            <w:vAlign w:val="bottom"/>
          </w:tcPr>
          <w:p>
            <w:pPr>
              <w:spacing w:after="0"/>
              <w:rPr>
                <w:sz w:val="18"/>
                <w:szCs w:val="18"/>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363</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Treasury stock — at cost; 5,294,063 and 3,996,725 shares, respectively</w:t>
            </w:r>
          </w:p>
        </w:tc>
        <w:tc>
          <w:tcPr>
            <w:tcW w:w="240" w:type="dxa"/>
            <w:vAlign w:val="bottom"/>
          </w:tcPr>
          <w:p>
            <w:pPr>
              <w:spacing w:after="0"/>
              <w:rPr>
                <w:sz w:val="18"/>
                <w:szCs w:val="18"/>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(335,339)</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91"/>
              <w:spacing w:after="0"/>
              <w:rPr>
                <w:sz w:val="20"/>
                <w:szCs w:val="20"/>
                <w:color w:val="auto"/>
              </w:rPr>
            </w:pPr>
            <w:r>
              <w:rPr>
                <w:rFonts w:ascii="Arial" w:cs="Arial" w:eastAsia="Arial" w:hAnsi="Arial"/>
                <w:sz w:val="18"/>
                <w:szCs w:val="18"/>
                <w:color w:val="auto"/>
              </w:rPr>
              <w:t>(229,229)</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1,138,049</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1,137,785</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8"/>
                <w:szCs w:val="18"/>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13,305</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17,054</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219,593</w:t>
            </w:r>
          </w:p>
        </w:tc>
        <w:tc>
          <w:tcPr>
            <w:tcW w:w="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153,732</w:t>
            </w:r>
          </w:p>
        </w:tc>
        <w:tc>
          <w:tcPr>
            <w:tcW w:w="0" w:type="dxa"/>
            <w:vAlign w:val="bottom"/>
          </w:tcPr>
          <w:p>
            <w:pPr>
              <w:spacing w:after="0"/>
              <w:rPr>
                <w:sz w:val="1"/>
                <w:szCs w:val="1"/>
                <w:color w:val="auto"/>
              </w:rPr>
            </w:pPr>
          </w:p>
        </w:tc>
      </w:tr>
      <w:tr>
        <w:trPr>
          <w:trHeight w:val="291"/>
        </w:trPr>
        <w:tc>
          <w:tcPr>
            <w:tcW w:w="7220" w:type="dxa"/>
            <w:vAlign w:val="bottom"/>
          </w:tcPr>
          <w:p>
            <w:pPr>
              <w:ind w:left="54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1,035,971</w:t>
            </w:r>
          </w:p>
        </w:tc>
        <w:tc>
          <w:tcPr>
            <w:tcW w:w="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1,079,703</w:t>
            </w:r>
          </w:p>
        </w:tc>
        <w:tc>
          <w:tcPr>
            <w:tcW w:w="0" w:type="dxa"/>
            <w:vAlign w:val="bottom"/>
          </w:tcPr>
          <w:p>
            <w:pPr>
              <w:spacing w:after="0"/>
              <w:rPr>
                <w:sz w:val="1"/>
                <w:szCs w:val="1"/>
                <w:color w:val="auto"/>
              </w:rPr>
            </w:pPr>
          </w:p>
        </w:tc>
      </w:tr>
      <w:tr>
        <w:trPr>
          <w:trHeight w:val="291"/>
        </w:trPr>
        <w:tc>
          <w:tcPr>
            <w:tcW w:w="7220" w:type="dxa"/>
            <w:vAlign w:val="bottom"/>
          </w:tcPr>
          <w:p>
            <w:pPr>
              <w:ind w:left="540"/>
              <w:spacing w:after="0"/>
              <w:rPr>
                <w:sz w:val="20"/>
                <w:szCs w:val="20"/>
                <w:color w:val="auto"/>
              </w:rPr>
            </w:pPr>
            <w:r>
              <w:rPr>
                <w:rFonts w:ascii="Arial" w:cs="Arial" w:eastAsia="Arial" w:hAnsi="Arial"/>
                <w:sz w:val="18"/>
                <w:szCs w:val="18"/>
                <w:color w:val="auto"/>
              </w:rPr>
              <w:t>Total Liabilities and Equity</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2,527,027</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2,530,579</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abbreviation VIEs above means Variable Interest Entities.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CASH FLOWS</w:t>
      </w:r>
    </w:p>
    <w:p>
      <w:pPr>
        <w:jc w:val="center"/>
        <w:spacing w:after="0" w:line="225" w:lineRule="auto"/>
        <w:rPr>
          <w:sz w:val="20"/>
          <w:szCs w:val="20"/>
          <w:color w:val="auto"/>
        </w:rPr>
      </w:pPr>
      <w:r>
        <w:rPr>
          <w:rFonts w:ascii="Arial" w:cs="Arial" w:eastAsia="Arial" w:hAnsi="Arial"/>
          <w:sz w:val="14"/>
          <w:szCs w:val="14"/>
          <w:color w:val="auto"/>
        </w:rPr>
        <w:t>(In thousands)</w:t>
      </w:r>
    </w:p>
    <w:p>
      <w:pPr>
        <w:jc w:val="center"/>
        <w:spacing w:after="0"/>
        <w:rPr>
          <w:sz w:val="20"/>
          <w:szCs w:val="20"/>
          <w:color w:val="auto"/>
        </w:rPr>
      </w:pPr>
      <w:r>
        <w:rPr>
          <w:rFonts w:ascii="Arial" w:cs="Arial" w:eastAsia="Arial" w:hAnsi="Arial"/>
          <w:sz w:val="14"/>
          <w:szCs w:val="14"/>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88"/>
              </w:rPr>
              <w:t>September 11, 2015</w:t>
            </w:r>
          </w:p>
        </w:tc>
        <w:tc>
          <w:tcPr>
            <w:tcW w:w="140" w:type="dxa"/>
            <w:vAlign w:val="bottom"/>
            <w:tcBorders>
              <w:top w:val="single" w:sz="8" w:color="auto"/>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0"/>
              </w:rPr>
              <w:t>September 12, 2014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8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OPERATING ACTIVITIES</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340" w:type="dxa"/>
            <w:vAlign w:val="bottom"/>
          </w:tcPr>
          <w:p>
            <w:pPr>
              <w:ind w:left="80"/>
              <w:spacing w:after="0" w:line="162"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89,650</w:t>
            </w:r>
          </w:p>
        </w:tc>
        <w:tc>
          <w:tcPr>
            <w:tcW w:w="48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80,259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income to net cash provided by operating activities:</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ind w:left="300"/>
              <w:spacing w:after="0" w:line="162" w:lineRule="exact"/>
              <w:rPr>
                <w:sz w:val="20"/>
                <w:szCs w:val="20"/>
                <w:color w:val="auto"/>
              </w:rPr>
            </w:pPr>
            <w:r>
              <w:rPr>
                <w:rFonts w:ascii="Arial" w:cs="Arial" w:eastAsia="Arial" w:hAnsi="Arial"/>
                <w:sz w:val="15"/>
                <w:szCs w:val="15"/>
                <w:color w:val="auto"/>
              </w:rPr>
              <w:t>Depreciation</w:t>
            </w:r>
          </w:p>
        </w:tc>
        <w:tc>
          <w:tcPr>
            <w:tcW w:w="340" w:type="dxa"/>
            <w:vAlign w:val="bottom"/>
          </w:tcPr>
          <w:p>
            <w:pPr>
              <w:spacing w:after="0"/>
              <w:rPr>
                <w:sz w:val="14"/>
                <w:szCs w:val="14"/>
                <w:color w:val="auto"/>
              </w:rPr>
            </w:pPr>
          </w:p>
        </w:tc>
        <w:tc>
          <w:tcPr>
            <w:tcW w:w="92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13,850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13,183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Amortization of debt issuance costs</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rPr>
              <w:t>3,739</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3,762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ind w:left="300"/>
              <w:spacing w:after="0" w:line="162" w:lineRule="exact"/>
              <w:rPr>
                <w:sz w:val="20"/>
                <w:szCs w:val="20"/>
                <w:color w:val="auto"/>
              </w:rPr>
            </w:pPr>
            <w:r>
              <w:rPr>
                <w:rFonts w:ascii="Arial" w:cs="Arial" w:eastAsia="Arial" w:hAnsi="Arial"/>
                <w:sz w:val="15"/>
                <w:szCs w:val="15"/>
                <w:color w:val="auto"/>
              </w:rPr>
              <w:t>Provision for loan losses</w:t>
            </w:r>
          </w:p>
        </w:tc>
        <w:tc>
          <w:tcPr>
            <w:tcW w:w="340" w:type="dxa"/>
            <w:vAlign w:val="bottom"/>
          </w:tcPr>
          <w:p>
            <w:pPr>
              <w:spacing w:after="0"/>
              <w:rPr>
                <w:sz w:val="14"/>
                <w:szCs w:val="14"/>
                <w:color w:val="auto"/>
              </w:rPr>
            </w:pPr>
          </w:p>
        </w:tc>
        <w:tc>
          <w:tcPr>
            <w:tcW w:w="92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22,753</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22,725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Share-based compensation</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rPr>
              <w:t>9,633</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9,354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ind w:left="300"/>
              <w:spacing w:after="0" w:line="162" w:lineRule="exact"/>
              <w:rPr>
                <w:sz w:val="20"/>
                <w:szCs w:val="20"/>
                <w:color w:val="auto"/>
              </w:rPr>
            </w:pPr>
            <w:r>
              <w:rPr>
                <w:rFonts w:ascii="Arial" w:cs="Arial" w:eastAsia="Arial" w:hAnsi="Arial"/>
                <w:sz w:val="15"/>
                <w:szCs w:val="15"/>
                <w:color w:val="auto"/>
              </w:rPr>
              <w:t>Deferred income taxes</w:t>
            </w:r>
          </w:p>
        </w:tc>
        <w:tc>
          <w:tcPr>
            <w:tcW w:w="340" w:type="dxa"/>
            <w:vAlign w:val="bottom"/>
          </w:tcPr>
          <w:p>
            <w:pPr>
              <w:spacing w:after="0"/>
              <w:rPr>
                <w:sz w:val="14"/>
                <w:szCs w:val="14"/>
                <w:color w:val="auto"/>
              </w:rPr>
            </w:pPr>
          </w:p>
        </w:tc>
        <w:tc>
          <w:tcPr>
            <w:tcW w:w="92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17,261</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29,523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Equity method income</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(148)</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(156)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ind w:left="300"/>
              <w:spacing w:after="0" w:line="162" w:lineRule="exact"/>
              <w:rPr>
                <w:sz w:val="20"/>
                <w:szCs w:val="20"/>
                <w:color w:val="auto"/>
              </w:rPr>
            </w:pPr>
            <w:r>
              <w:rPr>
                <w:rFonts w:ascii="Arial" w:cs="Arial" w:eastAsia="Arial" w:hAnsi="Arial"/>
                <w:sz w:val="15"/>
                <w:szCs w:val="15"/>
                <w:color w:val="auto"/>
              </w:rPr>
              <w:t>Gain on disposal of property and equipment, net</w:t>
            </w:r>
          </w:p>
        </w:tc>
        <w:tc>
          <w:tcPr>
            <w:tcW w:w="340" w:type="dxa"/>
            <w:vAlign w:val="bottom"/>
          </w:tcPr>
          <w:p>
            <w:pPr>
              <w:spacing w:after="0"/>
              <w:rPr>
                <w:sz w:val="14"/>
                <w:szCs w:val="14"/>
                <w:color w:val="auto"/>
              </w:rPr>
            </w:pPr>
          </w:p>
        </w:tc>
        <w:tc>
          <w:tcPr>
            <w:tcW w:w="920" w:type="dxa"/>
            <w:vAlign w:val="bottom"/>
          </w:tcPr>
          <w:p>
            <w:pPr>
              <w:jc w:val="right"/>
              <w:ind w:right="84"/>
              <w:spacing w:after="0" w:line="162" w:lineRule="exact"/>
              <w:rPr>
                <w:sz w:val="20"/>
                <w:szCs w:val="20"/>
                <w:color w:val="auto"/>
              </w:rPr>
            </w:pPr>
            <w:r>
              <w:rPr>
                <w:rFonts w:ascii="Arial" w:cs="Arial" w:eastAsia="Arial" w:hAnsi="Arial"/>
                <w:sz w:val="15"/>
                <w:szCs w:val="15"/>
                <w:color w:val="auto"/>
              </w:rPr>
              <w:t>(9,492)</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83"/>
              <w:spacing w:after="0" w:line="162" w:lineRule="exact"/>
              <w:rPr>
                <w:sz w:val="20"/>
                <w:szCs w:val="20"/>
                <w:color w:val="auto"/>
              </w:rPr>
            </w:pPr>
            <w:r>
              <w:rPr>
                <w:rFonts w:ascii="Arial" w:cs="Arial" w:eastAsia="Arial" w:hAnsi="Arial"/>
                <w:sz w:val="15"/>
                <w:szCs w:val="15"/>
                <w:color w:val="auto"/>
              </w:rPr>
              <w:t>(1,849)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Non-cash litigation settlement</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(262)</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ind w:left="300"/>
              <w:spacing w:after="0" w:line="162" w:lineRule="exact"/>
              <w:rPr>
                <w:sz w:val="20"/>
                <w:szCs w:val="20"/>
                <w:color w:val="auto"/>
              </w:rPr>
            </w:pPr>
            <w:r>
              <w:rPr>
                <w:rFonts w:ascii="Arial" w:cs="Arial" w:eastAsia="Arial" w:hAnsi="Arial"/>
                <w:sz w:val="15"/>
                <w:szCs w:val="15"/>
                <w:color w:val="auto"/>
              </w:rPr>
              <w:t>Impairment charges</w:t>
            </w:r>
          </w:p>
        </w:tc>
        <w:tc>
          <w:tcPr>
            <w:tcW w:w="340" w:type="dxa"/>
            <w:vAlign w:val="bottom"/>
          </w:tcPr>
          <w:p>
            <w:pPr>
              <w:spacing w:after="0"/>
              <w:rPr>
                <w:sz w:val="14"/>
                <w:szCs w:val="14"/>
                <w:color w:val="auto"/>
              </w:rPr>
            </w:pPr>
          </w:p>
        </w:tc>
        <w:tc>
          <w:tcPr>
            <w:tcW w:w="92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860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Net change in assets and liabilities:</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ind w:left="600"/>
              <w:spacing w:after="0" w:line="162" w:lineRule="exact"/>
              <w:rPr>
                <w:sz w:val="20"/>
                <w:szCs w:val="20"/>
                <w:color w:val="auto"/>
              </w:rPr>
            </w:pPr>
            <w:r>
              <w:rPr>
                <w:rFonts w:ascii="Arial" w:cs="Arial" w:eastAsia="Arial" w:hAnsi="Arial"/>
                <w:sz w:val="15"/>
                <w:szCs w:val="15"/>
                <w:color w:val="auto"/>
              </w:rPr>
              <w:t>Accounts and contracts receivable</w:t>
            </w:r>
          </w:p>
        </w:tc>
        <w:tc>
          <w:tcPr>
            <w:tcW w:w="340" w:type="dxa"/>
            <w:vAlign w:val="bottom"/>
          </w:tcPr>
          <w:p>
            <w:pPr>
              <w:spacing w:after="0"/>
              <w:rPr>
                <w:sz w:val="14"/>
                <w:szCs w:val="14"/>
                <w:color w:val="auto"/>
              </w:rPr>
            </w:pPr>
          </w:p>
        </w:tc>
        <w:tc>
          <w:tcPr>
            <w:tcW w:w="920" w:type="dxa"/>
            <w:vAlign w:val="bottom"/>
          </w:tcPr>
          <w:p>
            <w:pPr>
              <w:jc w:val="right"/>
              <w:ind w:right="84"/>
              <w:spacing w:after="0" w:line="162" w:lineRule="exact"/>
              <w:rPr>
                <w:sz w:val="20"/>
                <w:szCs w:val="20"/>
                <w:color w:val="auto"/>
              </w:rPr>
            </w:pPr>
            <w:r>
              <w:rPr>
                <w:rFonts w:ascii="Arial" w:cs="Arial" w:eastAsia="Arial" w:hAnsi="Arial"/>
                <w:sz w:val="15"/>
                <w:szCs w:val="15"/>
                <w:color w:val="auto"/>
              </w:rPr>
              <w:t>(17,799)</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83"/>
              <w:spacing w:after="0" w:line="162" w:lineRule="exact"/>
              <w:rPr>
                <w:sz w:val="20"/>
                <w:szCs w:val="20"/>
                <w:color w:val="auto"/>
              </w:rPr>
            </w:pPr>
            <w:r>
              <w:rPr>
                <w:rFonts w:ascii="Arial" w:cs="Arial" w:eastAsia="Arial" w:hAnsi="Arial"/>
                <w:sz w:val="15"/>
                <w:szCs w:val="15"/>
                <w:color w:val="auto"/>
              </w:rPr>
              <w:t>(8,609)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Notes receivable originations</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(189,029)</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(169,784)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ind w:left="600"/>
              <w:spacing w:after="0" w:line="162" w:lineRule="exact"/>
              <w:rPr>
                <w:sz w:val="20"/>
                <w:szCs w:val="20"/>
                <w:color w:val="auto"/>
              </w:rPr>
            </w:pPr>
            <w:r>
              <w:rPr>
                <w:rFonts w:ascii="Arial" w:cs="Arial" w:eastAsia="Arial" w:hAnsi="Arial"/>
                <w:sz w:val="15"/>
                <w:szCs w:val="15"/>
                <w:color w:val="auto"/>
              </w:rPr>
              <w:t>Notes receivable collections</w:t>
            </w:r>
          </w:p>
        </w:tc>
        <w:tc>
          <w:tcPr>
            <w:tcW w:w="340" w:type="dxa"/>
            <w:vAlign w:val="bottom"/>
          </w:tcPr>
          <w:p>
            <w:pPr>
              <w:spacing w:after="0"/>
              <w:rPr>
                <w:sz w:val="14"/>
                <w:szCs w:val="14"/>
                <w:color w:val="auto"/>
              </w:rPr>
            </w:pPr>
          </w:p>
        </w:tc>
        <w:tc>
          <w:tcPr>
            <w:tcW w:w="92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192,852</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203,728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Inventory</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rPr>
              <w:t>51,467</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61,740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ind w:left="600"/>
              <w:spacing w:after="0" w:line="162" w:lineRule="exact"/>
              <w:rPr>
                <w:sz w:val="20"/>
                <w:szCs w:val="20"/>
                <w:color w:val="auto"/>
              </w:rPr>
            </w:pPr>
            <w:r>
              <w:rPr>
                <w:rFonts w:ascii="Arial" w:cs="Arial" w:eastAsia="Arial" w:hAnsi="Arial"/>
                <w:sz w:val="15"/>
                <w:szCs w:val="15"/>
                <w:color w:val="auto"/>
              </w:rPr>
              <w:t>Purchase of operating hotels for future conversion to inventory</w:t>
            </w:r>
          </w:p>
        </w:tc>
        <w:tc>
          <w:tcPr>
            <w:tcW w:w="340" w:type="dxa"/>
            <w:vAlign w:val="bottom"/>
          </w:tcPr>
          <w:p>
            <w:pPr>
              <w:spacing w:after="0"/>
              <w:rPr>
                <w:sz w:val="14"/>
                <w:szCs w:val="14"/>
                <w:color w:val="auto"/>
              </w:rPr>
            </w:pPr>
          </w:p>
        </w:tc>
        <w:tc>
          <w:tcPr>
            <w:tcW w:w="920" w:type="dxa"/>
            <w:vAlign w:val="bottom"/>
          </w:tcPr>
          <w:p>
            <w:pPr>
              <w:jc w:val="right"/>
              <w:ind w:right="84"/>
              <w:spacing w:after="0" w:line="162" w:lineRule="exact"/>
              <w:rPr>
                <w:sz w:val="20"/>
                <w:szCs w:val="20"/>
                <w:color w:val="auto"/>
              </w:rPr>
            </w:pPr>
            <w:r>
              <w:rPr>
                <w:rFonts w:ascii="Arial" w:cs="Arial" w:eastAsia="Arial" w:hAnsi="Arial"/>
                <w:sz w:val="15"/>
                <w:szCs w:val="15"/>
                <w:color w:val="auto"/>
              </w:rPr>
              <w:t>(61,554)</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Other assets</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rPr>
              <w:t>26,524</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45,650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ind w:left="600"/>
              <w:spacing w:after="0" w:line="162" w:lineRule="exact"/>
              <w:rPr>
                <w:sz w:val="20"/>
                <w:szCs w:val="20"/>
                <w:color w:val="auto"/>
              </w:rPr>
            </w:pPr>
            <w:r>
              <w:rPr>
                <w:rFonts w:ascii="Arial" w:cs="Arial" w:eastAsia="Arial" w:hAnsi="Arial"/>
                <w:sz w:val="15"/>
                <w:szCs w:val="15"/>
                <w:color w:val="auto"/>
              </w:rPr>
              <w:t>Accounts payable, advance deposits and accrued liabilities</w:t>
            </w:r>
          </w:p>
        </w:tc>
        <w:tc>
          <w:tcPr>
            <w:tcW w:w="340" w:type="dxa"/>
            <w:vAlign w:val="bottom"/>
          </w:tcPr>
          <w:p>
            <w:pPr>
              <w:spacing w:after="0"/>
              <w:rPr>
                <w:sz w:val="14"/>
                <w:szCs w:val="14"/>
                <w:color w:val="auto"/>
              </w:rPr>
            </w:pPr>
          </w:p>
        </w:tc>
        <w:tc>
          <w:tcPr>
            <w:tcW w:w="920" w:type="dxa"/>
            <w:vAlign w:val="bottom"/>
          </w:tcPr>
          <w:p>
            <w:pPr>
              <w:jc w:val="right"/>
              <w:ind w:right="84"/>
              <w:spacing w:after="0" w:line="162" w:lineRule="exact"/>
              <w:rPr>
                <w:sz w:val="20"/>
                <w:szCs w:val="20"/>
                <w:color w:val="auto"/>
              </w:rPr>
            </w:pPr>
            <w:r>
              <w:rPr>
                <w:rFonts w:ascii="Arial" w:cs="Arial" w:eastAsia="Arial" w:hAnsi="Arial"/>
                <w:sz w:val="15"/>
                <w:szCs w:val="15"/>
                <w:color w:val="auto"/>
              </w:rPr>
              <w:t>(52,380)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83"/>
              <w:spacing w:after="0" w:line="162" w:lineRule="exact"/>
              <w:rPr>
                <w:sz w:val="20"/>
                <w:szCs w:val="20"/>
                <w:color w:val="auto"/>
              </w:rPr>
            </w:pPr>
            <w:r>
              <w:rPr>
                <w:rFonts w:ascii="Arial" w:cs="Arial" w:eastAsia="Arial" w:hAnsi="Arial"/>
                <w:sz w:val="15"/>
                <w:szCs w:val="15"/>
                <w:color w:val="auto"/>
              </w:rPr>
              <w:t>(67,160)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Deferred revenue</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rPr>
              <w:t>5,742</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4,228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ind w:left="600"/>
              <w:spacing w:after="0" w:line="162" w:lineRule="exact"/>
              <w:rPr>
                <w:sz w:val="20"/>
                <w:szCs w:val="20"/>
                <w:color w:val="auto"/>
              </w:rPr>
            </w:pPr>
            <w:r>
              <w:rPr>
                <w:rFonts w:ascii="Arial" w:cs="Arial" w:eastAsia="Arial" w:hAnsi="Arial"/>
                <w:sz w:val="15"/>
                <w:szCs w:val="15"/>
                <w:color w:val="auto"/>
              </w:rPr>
              <w:t>Payroll and benefit liabilities</w:t>
            </w:r>
          </w:p>
        </w:tc>
        <w:tc>
          <w:tcPr>
            <w:tcW w:w="340" w:type="dxa"/>
            <w:vAlign w:val="bottom"/>
          </w:tcPr>
          <w:p>
            <w:pPr>
              <w:spacing w:after="0"/>
              <w:rPr>
                <w:sz w:val="14"/>
                <w:szCs w:val="14"/>
                <w:color w:val="auto"/>
              </w:rPr>
            </w:pPr>
          </w:p>
        </w:tc>
        <w:tc>
          <w:tcPr>
            <w:tcW w:w="920" w:type="dxa"/>
            <w:vAlign w:val="bottom"/>
          </w:tcPr>
          <w:p>
            <w:pPr>
              <w:jc w:val="right"/>
              <w:ind w:right="84"/>
              <w:spacing w:after="0" w:line="162" w:lineRule="exact"/>
              <w:rPr>
                <w:sz w:val="20"/>
                <w:szCs w:val="20"/>
                <w:color w:val="auto"/>
              </w:rPr>
            </w:pPr>
            <w:r>
              <w:rPr>
                <w:rFonts w:ascii="Arial" w:cs="Arial" w:eastAsia="Arial" w:hAnsi="Arial"/>
                <w:sz w:val="15"/>
                <w:szCs w:val="15"/>
                <w:color w:val="auto"/>
              </w:rPr>
              <w:t>(4,959)</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83"/>
              <w:spacing w:after="0" w:line="162" w:lineRule="exact"/>
              <w:rPr>
                <w:sz w:val="20"/>
                <w:szCs w:val="20"/>
                <w:color w:val="auto"/>
              </w:rPr>
            </w:pPr>
            <w:r>
              <w:rPr>
                <w:rFonts w:ascii="Arial" w:cs="Arial" w:eastAsia="Arial" w:hAnsi="Arial"/>
                <w:sz w:val="15"/>
                <w:szCs w:val="15"/>
                <w:color w:val="auto"/>
              </w:rPr>
              <w:t>(4,855)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Liability for Marriott Rewards customer loyalty program</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rPr>
              <w:t>(15,384)</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(22,737)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ind w:left="600"/>
              <w:spacing w:after="0" w:line="162" w:lineRule="exact"/>
              <w:rPr>
                <w:sz w:val="20"/>
                <w:szCs w:val="20"/>
                <w:color w:val="auto"/>
              </w:rPr>
            </w:pPr>
            <w:r>
              <w:rPr>
                <w:rFonts w:ascii="Arial" w:cs="Arial" w:eastAsia="Arial" w:hAnsi="Arial"/>
                <w:sz w:val="15"/>
                <w:szCs w:val="15"/>
                <w:color w:val="auto"/>
              </w:rPr>
              <w:t>Deferred compensation liability</w:t>
            </w:r>
          </w:p>
        </w:tc>
        <w:tc>
          <w:tcPr>
            <w:tcW w:w="340" w:type="dxa"/>
            <w:vAlign w:val="bottom"/>
          </w:tcPr>
          <w:p>
            <w:pPr>
              <w:spacing w:after="0"/>
              <w:rPr>
                <w:sz w:val="14"/>
                <w:szCs w:val="14"/>
                <w:color w:val="auto"/>
              </w:rPr>
            </w:pPr>
          </w:p>
        </w:tc>
        <w:tc>
          <w:tcPr>
            <w:tcW w:w="92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6,791</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123"/>
              <w:spacing w:after="0" w:line="162" w:lineRule="exact"/>
              <w:rPr>
                <w:sz w:val="20"/>
                <w:szCs w:val="20"/>
                <w:color w:val="auto"/>
              </w:rPr>
            </w:pPr>
            <w:r>
              <w:rPr>
                <w:rFonts w:ascii="Arial" w:cs="Arial" w:eastAsia="Arial" w:hAnsi="Arial"/>
                <w:sz w:val="15"/>
                <w:szCs w:val="15"/>
                <w:color w:val="auto"/>
              </w:rPr>
              <w:t>3,340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Other liabilities</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rPr>
              <w:t>6,236</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3,196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ind w:left="300"/>
              <w:spacing w:after="0" w:line="162" w:lineRule="exact"/>
              <w:rPr>
                <w:sz w:val="20"/>
                <w:szCs w:val="20"/>
                <w:color w:val="auto"/>
              </w:rPr>
            </w:pPr>
            <w:r>
              <w:rPr>
                <w:rFonts w:ascii="Arial" w:cs="Arial" w:eastAsia="Arial" w:hAnsi="Arial"/>
                <w:sz w:val="15"/>
                <w:szCs w:val="15"/>
                <w:color w:val="auto"/>
              </w:rPr>
              <w:t>Other, net</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04"/>
              <w:spacing w:after="0" w:line="162" w:lineRule="exact"/>
              <w:rPr>
                <w:sz w:val="20"/>
                <w:szCs w:val="20"/>
                <w:color w:val="auto"/>
              </w:rPr>
            </w:pPr>
            <w:r>
              <w:rPr>
                <w:rFonts w:ascii="Arial" w:cs="Arial" w:eastAsia="Arial" w:hAnsi="Arial"/>
                <w:sz w:val="15"/>
                <w:szCs w:val="15"/>
                <w:color w:val="auto"/>
              </w:rPr>
              <w:t>5,233</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23"/>
              <w:spacing w:after="0" w:line="162" w:lineRule="exact"/>
              <w:rPr>
                <w:sz w:val="20"/>
                <w:szCs w:val="20"/>
                <w:color w:val="auto"/>
              </w:rPr>
            </w:pPr>
            <w:r>
              <w:rPr>
                <w:rFonts w:ascii="Arial" w:cs="Arial" w:eastAsia="Arial" w:hAnsi="Arial"/>
                <w:sz w:val="15"/>
                <w:szCs w:val="15"/>
                <w:color w:val="auto"/>
              </w:rPr>
              <w:t>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900"/>
              <w:spacing w:after="0" w:line="162" w:lineRule="exact"/>
              <w:rPr>
                <w:sz w:val="20"/>
                <w:szCs w:val="20"/>
                <w:color w:val="auto"/>
              </w:rPr>
            </w:pPr>
            <w:r>
              <w:rPr>
                <w:rFonts w:ascii="Arial" w:cs="Arial" w:eastAsia="Arial" w:hAnsi="Arial"/>
                <w:sz w:val="15"/>
                <w:szCs w:val="15"/>
                <w:color w:val="auto"/>
              </w:rPr>
              <w:t>Net cash provided by operating activities</w:t>
            </w:r>
          </w:p>
        </w:tc>
        <w:tc>
          <w:tcPr>
            <w:tcW w:w="3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rPr>
              <w:t>100,724</w:t>
            </w:r>
          </w:p>
        </w:tc>
        <w:tc>
          <w:tcPr>
            <w:tcW w:w="1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206,478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8700" w:type="dxa"/>
            <w:vAlign w:val="bottom"/>
            <w:gridSpan w:val="2"/>
          </w:tcPr>
          <w:p>
            <w:pPr>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80" w:type="dxa"/>
            <w:vAlign w:val="bottom"/>
            <w:shd w:val="clear" w:color="auto" w:fill="CCEEFF"/>
          </w:tcPr>
          <w:p>
            <w:pPr>
              <w:ind w:left="300"/>
              <w:spacing w:after="0" w:line="165" w:lineRule="exact"/>
              <w:rPr>
                <w:sz w:val="20"/>
                <w:szCs w:val="20"/>
                <w:color w:val="auto"/>
              </w:rPr>
            </w:pPr>
            <w:r>
              <w:rPr>
                <w:rFonts w:ascii="Arial" w:cs="Arial" w:eastAsia="Arial" w:hAnsi="Arial"/>
                <w:sz w:val="15"/>
                <w:szCs w:val="15"/>
                <w:color w:val="auto"/>
              </w:rPr>
              <w:t>Capital expenditures for property and equipment (excluding inventory)</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4"/>
              <w:spacing w:after="0" w:line="165" w:lineRule="exact"/>
              <w:rPr>
                <w:sz w:val="20"/>
                <w:szCs w:val="20"/>
                <w:color w:val="auto"/>
              </w:rPr>
            </w:pPr>
            <w:r>
              <w:rPr>
                <w:rFonts w:ascii="Arial" w:cs="Arial" w:eastAsia="Arial" w:hAnsi="Arial"/>
                <w:sz w:val="15"/>
                <w:szCs w:val="15"/>
                <w:color w:val="auto"/>
              </w:rPr>
              <w:t>(20,873)</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line="165" w:lineRule="exact"/>
              <w:rPr>
                <w:sz w:val="20"/>
                <w:szCs w:val="20"/>
                <w:color w:val="auto"/>
              </w:rPr>
            </w:pPr>
            <w:r>
              <w:rPr>
                <w:rFonts w:ascii="Arial" w:cs="Arial" w:eastAsia="Arial" w:hAnsi="Arial"/>
                <w:sz w:val="15"/>
                <w:szCs w:val="15"/>
                <w:color w:val="auto"/>
              </w:rPr>
              <w:t>(7,753)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ind w:left="300"/>
              <w:spacing w:after="0" w:line="162" w:lineRule="exact"/>
              <w:rPr>
                <w:sz w:val="20"/>
                <w:szCs w:val="20"/>
                <w:color w:val="auto"/>
              </w:rPr>
            </w:pPr>
            <w:r>
              <w:rPr>
                <w:rFonts w:ascii="Arial" w:cs="Arial" w:eastAsia="Arial" w:hAnsi="Arial"/>
                <w:sz w:val="15"/>
                <w:szCs w:val="15"/>
                <w:color w:val="auto"/>
              </w:rPr>
              <w:t>Purchase of operating hotel to be sold</w:t>
            </w:r>
          </w:p>
        </w:tc>
        <w:tc>
          <w:tcPr>
            <w:tcW w:w="340" w:type="dxa"/>
            <w:vAlign w:val="bottom"/>
          </w:tcPr>
          <w:p>
            <w:pPr>
              <w:spacing w:after="0"/>
              <w:rPr>
                <w:sz w:val="14"/>
                <w:szCs w:val="14"/>
                <w:color w:val="auto"/>
              </w:rPr>
            </w:pPr>
          </w:p>
        </w:tc>
        <w:tc>
          <w:tcPr>
            <w:tcW w:w="920" w:type="dxa"/>
            <w:vAlign w:val="bottom"/>
          </w:tcPr>
          <w:p>
            <w:pPr>
              <w:jc w:val="right"/>
              <w:ind w:right="84"/>
              <w:spacing w:after="0" w:line="162" w:lineRule="exact"/>
              <w:rPr>
                <w:sz w:val="20"/>
                <w:szCs w:val="20"/>
                <w:color w:val="auto"/>
              </w:rPr>
            </w:pPr>
            <w:r>
              <w:rPr>
                <w:rFonts w:ascii="Arial" w:cs="Arial" w:eastAsia="Arial" w:hAnsi="Arial"/>
                <w:sz w:val="15"/>
                <w:szCs w:val="15"/>
                <w:color w:val="auto"/>
              </w:rPr>
              <w:t>(47,658)</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(Increase) decrease in restricted cash</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(12,616)</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20,656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ind w:left="300"/>
              <w:spacing w:after="0" w:line="162" w:lineRule="exact"/>
              <w:rPr>
                <w:sz w:val="20"/>
                <w:szCs w:val="20"/>
                <w:color w:val="auto"/>
              </w:rPr>
            </w:pPr>
            <w:r>
              <w:rPr>
                <w:rFonts w:ascii="Arial" w:cs="Arial" w:eastAsia="Arial" w:hAnsi="Arial"/>
                <w:sz w:val="15"/>
                <w:szCs w:val="15"/>
                <w:color w:val="auto"/>
              </w:rPr>
              <w:t>Dispositions, net</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04"/>
              <w:spacing w:after="0" w:line="162" w:lineRule="exact"/>
              <w:rPr>
                <w:sz w:val="20"/>
                <w:szCs w:val="20"/>
                <w:color w:val="auto"/>
              </w:rPr>
            </w:pPr>
            <w:r>
              <w:rPr>
                <w:rFonts w:ascii="Arial" w:cs="Arial" w:eastAsia="Arial" w:hAnsi="Arial"/>
                <w:sz w:val="15"/>
                <w:szCs w:val="15"/>
                <w:color w:val="auto"/>
              </w:rPr>
              <w:t>20,605</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23"/>
              <w:spacing w:after="0" w:line="162" w:lineRule="exact"/>
              <w:rPr>
                <w:sz w:val="20"/>
                <w:szCs w:val="20"/>
                <w:color w:val="auto"/>
              </w:rPr>
            </w:pPr>
            <w:r>
              <w:rPr>
                <w:rFonts w:ascii="Arial" w:cs="Arial" w:eastAsia="Arial" w:hAnsi="Arial"/>
                <w:sz w:val="15"/>
                <w:szCs w:val="15"/>
                <w:color w:val="auto"/>
              </w:rPr>
              <w:t>33,310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900"/>
              <w:spacing w:after="0" w:line="162" w:lineRule="exact"/>
              <w:rPr>
                <w:sz w:val="20"/>
                <w:szCs w:val="20"/>
                <w:color w:val="auto"/>
              </w:rPr>
            </w:pPr>
            <w:r>
              <w:rPr>
                <w:rFonts w:ascii="Arial" w:cs="Arial" w:eastAsia="Arial" w:hAnsi="Arial"/>
                <w:sz w:val="15"/>
                <w:szCs w:val="15"/>
                <w:color w:val="auto"/>
              </w:rPr>
              <w:t>Net cash (used in) provided by investing activities</w:t>
            </w:r>
          </w:p>
        </w:tc>
        <w:tc>
          <w:tcPr>
            <w:tcW w:w="3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(60,542)</w:t>
            </w:r>
          </w:p>
        </w:tc>
        <w:tc>
          <w:tcPr>
            <w:tcW w:w="1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46,213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8700" w:type="dxa"/>
            <w:vAlign w:val="bottom"/>
            <w:gridSpan w:val="2"/>
          </w:tcPr>
          <w:p>
            <w:pPr>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80" w:type="dxa"/>
            <w:vAlign w:val="bottom"/>
            <w:shd w:val="clear" w:color="auto" w:fill="CCEEFF"/>
          </w:tcPr>
          <w:p>
            <w:pPr>
              <w:ind w:left="300"/>
              <w:spacing w:after="0" w:line="165" w:lineRule="exact"/>
              <w:rPr>
                <w:sz w:val="20"/>
                <w:szCs w:val="20"/>
                <w:color w:val="auto"/>
              </w:rPr>
            </w:pPr>
            <w:r>
              <w:rPr>
                <w:rFonts w:ascii="Arial" w:cs="Arial" w:eastAsia="Arial" w:hAnsi="Arial"/>
                <w:sz w:val="15"/>
                <w:szCs w:val="15"/>
                <w:color w:val="auto"/>
              </w:rPr>
              <w:t>Borrowings from securitization transactions</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4"/>
              <w:spacing w:after="0" w:line="165" w:lineRule="exact"/>
              <w:rPr>
                <w:sz w:val="20"/>
                <w:szCs w:val="20"/>
                <w:color w:val="auto"/>
              </w:rPr>
            </w:pPr>
            <w:r>
              <w:rPr>
                <w:rFonts w:ascii="Arial" w:cs="Arial" w:eastAsia="Arial" w:hAnsi="Arial"/>
                <w:sz w:val="15"/>
                <w:szCs w:val="15"/>
                <w:color w:val="auto"/>
              </w:rPr>
              <w:t>255,000</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23"/>
              <w:spacing w:after="0" w:line="165" w:lineRule="exact"/>
              <w:rPr>
                <w:sz w:val="20"/>
                <w:szCs w:val="20"/>
                <w:color w:val="auto"/>
              </w:rPr>
            </w:pPr>
            <w:r>
              <w:rPr>
                <w:rFonts w:ascii="Arial" w:cs="Arial" w:eastAsia="Arial" w:hAnsi="Arial"/>
                <w:sz w:val="15"/>
                <w:szCs w:val="15"/>
                <w:color w:val="auto"/>
              </w:rPr>
              <w:t>22,638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ind w:left="300"/>
              <w:spacing w:after="0" w:line="162" w:lineRule="exact"/>
              <w:rPr>
                <w:sz w:val="20"/>
                <w:szCs w:val="20"/>
                <w:color w:val="auto"/>
              </w:rPr>
            </w:pPr>
            <w:r>
              <w:rPr>
                <w:rFonts w:ascii="Arial" w:cs="Arial" w:eastAsia="Arial" w:hAnsi="Arial"/>
                <w:sz w:val="15"/>
                <w:szCs w:val="15"/>
                <w:color w:val="auto"/>
              </w:rPr>
              <w:t>Repayment of debt related to securitization transactions</w:t>
            </w:r>
          </w:p>
        </w:tc>
        <w:tc>
          <w:tcPr>
            <w:tcW w:w="340" w:type="dxa"/>
            <w:vAlign w:val="bottom"/>
          </w:tcPr>
          <w:p>
            <w:pPr>
              <w:spacing w:after="0"/>
              <w:rPr>
                <w:sz w:val="14"/>
                <w:szCs w:val="14"/>
                <w:color w:val="auto"/>
              </w:rPr>
            </w:pPr>
          </w:p>
        </w:tc>
        <w:tc>
          <w:tcPr>
            <w:tcW w:w="920" w:type="dxa"/>
            <w:vAlign w:val="bottom"/>
          </w:tcPr>
          <w:p>
            <w:pPr>
              <w:jc w:val="right"/>
              <w:ind w:right="84"/>
              <w:spacing w:after="0" w:line="162" w:lineRule="exact"/>
              <w:rPr>
                <w:sz w:val="20"/>
                <w:szCs w:val="20"/>
                <w:color w:val="auto"/>
              </w:rPr>
            </w:pPr>
            <w:r>
              <w:rPr>
                <w:rFonts w:ascii="Arial" w:cs="Arial" w:eastAsia="Arial" w:hAnsi="Arial"/>
                <w:sz w:val="15"/>
                <w:szCs w:val="15"/>
                <w:color w:val="auto"/>
              </w:rPr>
              <w:t>(186,383)</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83"/>
              <w:spacing w:after="0" w:line="162" w:lineRule="exact"/>
              <w:rPr>
                <w:sz w:val="20"/>
                <w:szCs w:val="20"/>
                <w:color w:val="auto"/>
              </w:rPr>
            </w:pPr>
            <w:r>
              <w:rPr>
                <w:rFonts w:ascii="Arial" w:cs="Arial" w:eastAsia="Arial" w:hAnsi="Arial"/>
                <w:sz w:val="15"/>
                <w:szCs w:val="15"/>
                <w:color w:val="auto"/>
              </w:rPr>
              <w:t>(162,680)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Proceeds from vacation ownership inventory arrangement</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rPr>
              <w:t>5,375</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ind w:left="300"/>
              <w:spacing w:after="0" w:line="162" w:lineRule="exact"/>
              <w:rPr>
                <w:sz w:val="20"/>
                <w:szCs w:val="20"/>
                <w:color w:val="auto"/>
              </w:rPr>
            </w:pPr>
            <w:r>
              <w:rPr>
                <w:rFonts w:ascii="Arial" w:cs="Arial" w:eastAsia="Arial" w:hAnsi="Arial"/>
                <w:sz w:val="15"/>
                <w:szCs w:val="15"/>
                <w:color w:val="auto"/>
              </w:rPr>
              <w:t>Debt issuance costs</w:t>
            </w:r>
          </w:p>
        </w:tc>
        <w:tc>
          <w:tcPr>
            <w:tcW w:w="340" w:type="dxa"/>
            <w:vAlign w:val="bottom"/>
          </w:tcPr>
          <w:p>
            <w:pPr>
              <w:spacing w:after="0"/>
              <w:rPr>
                <w:sz w:val="14"/>
                <w:szCs w:val="14"/>
                <w:color w:val="auto"/>
              </w:rPr>
            </w:pPr>
          </w:p>
        </w:tc>
        <w:tc>
          <w:tcPr>
            <w:tcW w:w="920" w:type="dxa"/>
            <w:vAlign w:val="bottom"/>
          </w:tcPr>
          <w:p>
            <w:pPr>
              <w:jc w:val="right"/>
              <w:ind w:right="84"/>
              <w:spacing w:after="0" w:line="162" w:lineRule="exact"/>
              <w:rPr>
                <w:sz w:val="20"/>
                <w:szCs w:val="20"/>
                <w:color w:val="auto"/>
              </w:rPr>
            </w:pPr>
            <w:r>
              <w:rPr>
                <w:rFonts w:ascii="Arial" w:cs="Arial" w:eastAsia="Arial" w:hAnsi="Arial"/>
                <w:sz w:val="15"/>
                <w:szCs w:val="15"/>
                <w:color w:val="auto"/>
              </w:rPr>
              <w:t>(4,405)</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83"/>
              <w:spacing w:after="0" w:line="162" w:lineRule="exact"/>
              <w:rPr>
                <w:sz w:val="20"/>
                <w:szCs w:val="20"/>
                <w:color w:val="auto"/>
              </w:rPr>
            </w:pPr>
            <w:r>
              <w:rPr>
                <w:rFonts w:ascii="Arial" w:cs="Arial" w:eastAsia="Arial" w:hAnsi="Arial"/>
                <w:sz w:val="15"/>
                <w:szCs w:val="15"/>
                <w:color w:val="auto"/>
              </w:rPr>
              <w:t>(1,676)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Repurchase of common stock</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(106,110)</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(160,155)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ind w:left="300"/>
              <w:spacing w:after="0" w:line="162" w:lineRule="exact"/>
              <w:rPr>
                <w:sz w:val="20"/>
                <w:szCs w:val="20"/>
                <w:color w:val="auto"/>
              </w:rPr>
            </w:pPr>
            <w:r>
              <w:rPr>
                <w:rFonts w:ascii="Arial" w:cs="Arial" w:eastAsia="Arial" w:hAnsi="Arial"/>
                <w:sz w:val="15"/>
                <w:szCs w:val="15"/>
                <w:color w:val="auto"/>
              </w:rPr>
              <w:t>Payment of dividends</w:t>
            </w:r>
          </w:p>
        </w:tc>
        <w:tc>
          <w:tcPr>
            <w:tcW w:w="340" w:type="dxa"/>
            <w:vAlign w:val="bottom"/>
          </w:tcPr>
          <w:p>
            <w:pPr>
              <w:spacing w:after="0"/>
              <w:rPr>
                <w:sz w:val="14"/>
                <w:szCs w:val="14"/>
                <w:color w:val="auto"/>
              </w:rPr>
            </w:pPr>
          </w:p>
        </w:tc>
        <w:tc>
          <w:tcPr>
            <w:tcW w:w="920" w:type="dxa"/>
            <w:vAlign w:val="bottom"/>
          </w:tcPr>
          <w:p>
            <w:pPr>
              <w:jc w:val="right"/>
              <w:ind w:right="84"/>
              <w:spacing w:after="0" w:line="162" w:lineRule="exact"/>
              <w:rPr>
                <w:sz w:val="20"/>
                <w:szCs w:val="20"/>
                <w:color w:val="auto"/>
              </w:rPr>
            </w:pPr>
            <w:r>
              <w:rPr>
                <w:rFonts w:ascii="Arial" w:cs="Arial" w:eastAsia="Arial" w:hAnsi="Arial"/>
                <w:sz w:val="15"/>
                <w:szCs w:val="15"/>
                <w:color w:val="auto"/>
              </w:rPr>
              <w:t>(16,003)</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Proceeds from stock option exercises</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rPr>
              <w:t>96</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1,723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ind w:left="300"/>
              <w:spacing w:after="0" w:line="162" w:lineRule="exact"/>
              <w:rPr>
                <w:sz w:val="20"/>
                <w:szCs w:val="20"/>
                <w:color w:val="auto"/>
              </w:rPr>
            </w:pPr>
            <w:r>
              <w:rPr>
                <w:rFonts w:ascii="Arial" w:cs="Arial" w:eastAsia="Arial" w:hAnsi="Arial"/>
                <w:sz w:val="15"/>
                <w:szCs w:val="15"/>
                <w:color w:val="auto"/>
              </w:rPr>
              <w:t>Excess tax benefits from share-based compensation</w:t>
            </w:r>
          </w:p>
        </w:tc>
        <w:tc>
          <w:tcPr>
            <w:tcW w:w="340" w:type="dxa"/>
            <w:vAlign w:val="bottom"/>
          </w:tcPr>
          <w:p>
            <w:pPr>
              <w:spacing w:after="0"/>
              <w:rPr>
                <w:sz w:val="14"/>
                <w:szCs w:val="14"/>
                <w:color w:val="auto"/>
              </w:rPr>
            </w:pPr>
          </w:p>
        </w:tc>
        <w:tc>
          <w:tcPr>
            <w:tcW w:w="92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68</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Payment of withholding taxes on vesting of restricted stock units</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(9,615)</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(5,130)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ind w:left="300"/>
              <w:spacing w:after="0" w:line="162" w:lineRule="exact"/>
              <w:rPr>
                <w:sz w:val="20"/>
                <w:szCs w:val="20"/>
                <w:color w:val="auto"/>
              </w:rPr>
            </w:pPr>
            <w:r>
              <w:rPr>
                <w:rFonts w:ascii="Arial" w:cs="Arial" w:eastAsia="Arial" w:hAnsi="Arial"/>
                <w:sz w:val="15"/>
                <w:szCs w:val="15"/>
                <w:color w:val="auto"/>
              </w:rPr>
              <w:t>Other</w:t>
            </w:r>
          </w:p>
        </w:tc>
        <w:tc>
          <w:tcPr>
            <w:tcW w:w="340" w:type="dxa"/>
            <w:vAlign w:val="bottom"/>
          </w:tcPr>
          <w:p>
            <w:pPr>
              <w:spacing w:after="0"/>
              <w:rPr>
                <w:sz w:val="14"/>
                <w:szCs w:val="14"/>
                <w:color w:val="auto"/>
              </w:rPr>
            </w:pPr>
          </w:p>
        </w:tc>
        <w:tc>
          <w:tcPr>
            <w:tcW w:w="92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213</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68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900"/>
              <w:spacing w:after="0" w:line="162" w:lineRule="exact"/>
              <w:rPr>
                <w:sz w:val="20"/>
                <w:szCs w:val="20"/>
                <w:color w:val="auto"/>
              </w:rPr>
            </w:pPr>
            <w:r>
              <w:rPr>
                <w:rFonts w:ascii="Arial" w:cs="Arial" w:eastAsia="Arial" w:hAnsi="Arial"/>
                <w:sz w:val="15"/>
                <w:szCs w:val="15"/>
                <w:color w:val="auto"/>
              </w:rPr>
              <w:t>Net cash used in financing activities</w:t>
            </w:r>
          </w:p>
        </w:tc>
        <w:tc>
          <w:tcPr>
            <w:tcW w:w="3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(61,764)</w:t>
            </w:r>
          </w:p>
        </w:tc>
        <w:tc>
          <w:tcPr>
            <w:tcW w:w="1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(305,280)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ind w:left="300"/>
              <w:spacing w:after="0"/>
              <w:rPr>
                <w:sz w:val="20"/>
                <w:szCs w:val="20"/>
                <w:color w:val="auto"/>
              </w:rPr>
            </w:pPr>
            <w:r>
              <w:rPr>
                <w:rFonts w:ascii="Arial" w:cs="Arial" w:eastAsia="Arial" w:hAnsi="Arial"/>
                <w:sz w:val="15"/>
                <w:szCs w:val="15"/>
                <w:color w:val="auto"/>
              </w:rPr>
              <w:t>Effect of changes in exchange rates on cash and cash equivalents</w:t>
            </w:r>
          </w:p>
        </w:tc>
        <w:tc>
          <w:tcPr>
            <w:tcW w:w="340" w:type="dxa"/>
            <w:vAlign w:val="bottom"/>
          </w:tcPr>
          <w:p>
            <w:pPr>
              <w:spacing w:after="0"/>
              <w:rPr>
                <w:sz w:val="20"/>
                <w:szCs w:val="20"/>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(3,243)</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83"/>
              <w:spacing w:after="0"/>
              <w:rPr>
                <w:sz w:val="20"/>
                <w:szCs w:val="20"/>
                <w:color w:val="auto"/>
              </w:rPr>
            </w:pPr>
            <w:r>
              <w:rPr>
                <w:rFonts w:ascii="Arial" w:cs="Arial" w:eastAsia="Arial" w:hAnsi="Arial"/>
                <w:sz w:val="15"/>
                <w:szCs w:val="15"/>
                <w:color w:val="auto"/>
              </w:rPr>
              <w:t>(790)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DECREASE IN CASH AND CASH EQUIVALENTS</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(24,825)</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(53,379)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spacing w:after="0" w:line="162" w:lineRule="exact"/>
              <w:rPr>
                <w:sz w:val="20"/>
                <w:szCs w:val="20"/>
                <w:color w:val="auto"/>
              </w:rPr>
            </w:pPr>
            <w:r>
              <w:rPr>
                <w:rFonts w:ascii="Arial" w:cs="Arial" w:eastAsia="Arial" w:hAnsi="Arial"/>
                <w:sz w:val="15"/>
                <w:szCs w:val="15"/>
                <w:color w:val="auto"/>
              </w:rPr>
              <w:t>CASH AND CASH EQUIVALENTS, beginning of period</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04"/>
              <w:spacing w:after="0" w:line="162" w:lineRule="exact"/>
              <w:rPr>
                <w:sz w:val="20"/>
                <w:szCs w:val="20"/>
                <w:color w:val="auto"/>
              </w:rPr>
            </w:pPr>
            <w:r>
              <w:rPr>
                <w:rFonts w:ascii="Arial" w:cs="Arial" w:eastAsia="Arial" w:hAnsi="Arial"/>
                <w:sz w:val="15"/>
                <w:szCs w:val="15"/>
                <w:color w:val="auto"/>
              </w:rPr>
              <w:t>346,515</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23"/>
              <w:spacing w:after="0" w:line="162" w:lineRule="exact"/>
              <w:rPr>
                <w:sz w:val="20"/>
                <w:szCs w:val="20"/>
                <w:color w:val="auto"/>
              </w:rPr>
            </w:pPr>
            <w:r>
              <w:rPr>
                <w:rFonts w:ascii="Arial" w:cs="Arial" w:eastAsia="Arial" w:hAnsi="Arial"/>
                <w:sz w:val="15"/>
                <w:szCs w:val="15"/>
                <w:color w:val="auto"/>
              </w:rPr>
              <w:t>199,511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86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end of period</w:t>
            </w:r>
          </w:p>
        </w:tc>
        <w:tc>
          <w:tcPr>
            <w:tcW w:w="3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rPr>
              <w:t>321,690</w:t>
            </w:r>
          </w:p>
        </w:tc>
        <w:tc>
          <w:tcPr>
            <w:tcW w:w="48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123"/>
              <w:spacing w:after="0" w:line="162" w:lineRule="exact"/>
              <w:rPr>
                <w:sz w:val="20"/>
                <w:szCs w:val="20"/>
                <w:color w:val="auto"/>
              </w:rPr>
            </w:pPr>
            <w:r>
              <w:rPr>
                <w:rFonts w:ascii="Arial" w:cs="Arial" w:eastAsia="Arial" w:hAnsi="Arial"/>
                <w:sz w:val="15"/>
                <w:szCs w:val="15"/>
                <w:color w:val="auto"/>
              </w:rPr>
              <w:t>146,132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SUPPLEMENTAL DISCLOSURES OF NON-CASH FINANCING ACTIVITIES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8700" w:type="dxa"/>
            <w:vAlign w:val="bottom"/>
            <w:gridSpan w:val="2"/>
            <w:vMerge w:val="continue"/>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680" w:type="dxa"/>
            <w:vAlign w:val="bottom"/>
            <w:shd w:val="clear" w:color="auto" w:fill="CCEEFF"/>
          </w:tcPr>
          <w:p>
            <w:pPr>
              <w:ind w:left="300"/>
              <w:spacing w:after="0" w:line="152" w:lineRule="exact"/>
              <w:rPr>
                <w:sz w:val="20"/>
                <w:szCs w:val="20"/>
                <w:color w:val="auto"/>
              </w:rPr>
            </w:pPr>
            <w:r>
              <w:rPr>
                <w:rFonts w:ascii="Arial" w:cs="Arial" w:eastAsia="Arial" w:hAnsi="Arial"/>
                <w:sz w:val="15"/>
                <w:szCs w:val="15"/>
                <w:color w:val="auto"/>
                <w:w w:val="98"/>
              </w:rPr>
              <w:t>Non-cash impact on Additional paid-in capital for changes in Deferred tax liabilities distributed to Marriott Vacations Worldwide at</w:t>
            </w: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Spin-Off</w:t>
            </w:r>
          </w:p>
        </w:tc>
        <w:tc>
          <w:tcPr>
            <w:tcW w:w="34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(77)</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(2,097)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tcPr>
          <w:p>
            <w:pPr>
              <w:ind w:left="300"/>
              <w:spacing w:after="0" w:line="162" w:lineRule="exact"/>
              <w:rPr>
                <w:sz w:val="20"/>
                <w:szCs w:val="20"/>
                <w:color w:val="auto"/>
              </w:rPr>
            </w:pPr>
            <w:r>
              <w:rPr>
                <w:rFonts w:ascii="Arial" w:cs="Arial" w:eastAsia="Arial" w:hAnsi="Arial"/>
                <w:sz w:val="15"/>
                <w:szCs w:val="15"/>
                <w:color w:val="auto"/>
              </w:rPr>
              <w:t>Non-cash issuance of note receivable</w:t>
            </w:r>
          </w:p>
        </w:tc>
        <w:tc>
          <w:tcPr>
            <w:tcW w:w="340" w:type="dxa"/>
            <w:vAlign w:val="bottom"/>
          </w:tcPr>
          <w:p>
            <w:pPr>
              <w:spacing w:after="0"/>
              <w:rPr>
                <w:sz w:val="14"/>
                <w:szCs w:val="14"/>
                <w:color w:val="auto"/>
              </w:rPr>
            </w:pPr>
          </w:p>
        </w:tc>
        <w:tc>
          <w:tcPr>
            <w:tcW w:w="920" w:type="dxa"/>
            <w:vAlign w:val="bottom"/>
          </w:tcPr>
          <w:p>
            <w:pPr>
              <w:jc w:val="right"/>
              <w:ind w:right="84"/>
              <w:spacing w:after="0" w:line="162" w:lineRule="exact"/>
              <w:rPr>
                <w:sz w:val="20"/>
                <w:szCs w:val="20"/>
                <w:color w:val="auto"/>
              </w:rPr>
            </w:pPr>
            <w:r>
              <w:rPr>
                <w:rFonts w:ascii="Arial" w:cs="Arial" w:eastAsia="Arial" w:hAnsi="Arial"/>
                <w:sz w:val="15"/>
                <w:szCs w:val="15"/>
                <w:color w:val="auto"/>
              </w:rPr>
              <w:t>(500)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Dividends payable</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(7,786)</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See Notes to Interim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Marriott Vacations Worldwide Corporation (“Marriott Vacations Worldwide,” “we” or “us,”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(“The Ritz-Carlton Hotel Company”), a subsidiary of Marriott International, Inc. (“Marriott International”), generally provides on-site management for Ritz-Carlton branded properties.</w:t>
      </w:r>
    </w:p>
    <w:p>
      <w:pPr>
        <w:spacing w:after="0" w:line="57" w:lineRule="exact"/>
        <w:rPr>
          <w:sz w:val="20"/>
          <w:szCs w:val="20"/>
          <w:color w:val="auto"/>
        </w:rPr>
      </w:pPr>
    </w:p>
    <w:p>
      <w:pPr>
        <w:ind w:right="340" w:firstLine="913"/>
        <w:spacing w:after="0" w:line="312" w:lineRule="auto"/>
        <w:rPr>
          <w:sz w:val="20"/>
          <w:szCs w:val="20"/>
          <w:color w:val="auto"/>
        </w:rPr>
      </w:pPr>
      <w:r>
        <w:rPr>
          <w:rFonts w:ascii="Arial" w:cs="Arial" w:eastAsia="Arial" w:hAnsi="Arial"/>
          <w:sz w:val="16"/>
          <w:szCs w:val="16"/>
          <w:color w:val="auto"/>
        </w:rPr>
        <w:t>Our business is grouped into three reportable segments: North America, Europe and Asia Pacific. As of September 11, 2015, our portfolio consisted of 61 properties, including two hotels, in the United States and eight other countries and territories. We generate most of our revenues from four primary sources: selling vacation ownership products; managing our resorts; financing consumer purchases; and renting vacation ownership inventory.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Spin-Off from Marriott International, Inc.</w:t>
      </w:r>
    </w:p>
    <w:p>
      <w:pPr>
        <w:spacing w:after="0" w:line="117" w:lineRule="exact"/>
        <w:rPr>
          <w:sz w:val="20"/>
          <w:szCs w:val="20"/>
          <w:color w:val="auto"/>
        </w:rPr>
      </w:pPr>
    </w:p>
    <w:p>
      <w:pPr>
        <w:jc w:val="both"/>
        <w:ind w:right="40" w:firstLine="913"/>
        <w:spacing w:after="0" w:line="342" w:lineRule="auto"/>
        <w:rPr>
          <w:sz w:val="20"/>
          <w:szCs w:val="20"/>
          <w:color w:val="auto"/>
        </w:rPr>
      </w:pPr>
      <w:r>
        <w:rPr>
          <w:rFonts w:ascii="Arial" w:cs="Arial" w:eastAsia="Arial" w:hAnsi="Arial"/>
          <w:sz w:val="16"/>
          <w:szCs w:val="16"/>
          <w:color w:val="auto"/>
        </w:rPr>
        <w:t>On November 21, 2011, the spin-off of Marriott Vacations Worldwide from Marriott International (the “Spin-Off”) was completed. In connection with the Spin-Off, we entered into several agreements that govern the ongoing relationship between Marriott Vacations Worldwide and Marriott International.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117" w:lineRule="exact"/>
        <w:rPr>
          <w:sz w:val="20"/>
          <w:szCs w:val="20"/>
          <w:color w:val="auto"/>
        </w:rPr>
      </w:pPr>
    </w:p>
    <w:p>
      <w:pPr>
        <w:ind w:right="240" w:firstLine="913"/>
        <w:spacing w:after="0" w:line="255" w:lineRule="auto"/>
        <w:rPr>
          <w:sz w:val="20"/>
          <w:szCs w:val="20"/>
          <w:color w:val="auto"/>
        </w:rPr>
      </w:pPr>
      <w:r>
        <w:rPr>
          <w:rFonts w:ascii="Arial" w:cs="Arial" w:eastAsia="Arial" w:hAnsi="Arial"/>
          <w:sz w:val="18"/>
          <w:szCs w:val="18"/>
          <w:color w:val="auto"/>
        </w:rPr>
        <w:t>The interim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 Intercompany accounts and transactions between consolidated companies have been eliminated in consolidation. The interim consolidated financial statements reflect our financial position, results of operations and cash flows as prepared in conformity with United States Generally Accepted Accounting Principles (“GAAP”).</w:t>
      </w:r>
    </w:p>
    <w:p>
      <w:pPr>
        <w:spacing w:after="0" w:line="85" w:lineRule="exact"/>
        <w:rPr>
          <w:sz w:val="20"/>
          <w:szCs w:val="20"/>
          <w:color w:val="auto"/>
        </w:rPr>
      </w:pPr>
    </w:p>
    <w:p>
      <w:pPr>
        <w:ind w:right="680" w:firstLine="913"/>
        <w:spacing w:after="0" w:line="302" w:lineRule="auto"/>
        <w:rPr>
          <w:sz w:val="20"/>
          <w:szCs w:val="20"/>
          <w:color w:val="auto"/>
        </w:rPr>
      </w:pPr>
      <w:r>
        <w:rPr>
          <w:rFonts w:ascii="Arial" w:cs="Arial" w:eastAsia="Arial" w:hAnsi="Arial"/>
          <w:sz w:val="16"/>
          <w:szCs w:val="16"/>
          <w:color w:val="auto"/>
        </w:rPr>
        <w:t>In order to make this report easier to read, we refer throughout to (i) our Interim Consolidated Financial Statements as our “Financial Statements,” (ii) our Interim Consolidated Statements of Income as our “Statements of Income,” (iii) our Interim Consolidated Balance Sheets as our “Balance Sheets,” and (iv) our Interim Consolidated Statements of Cash Flows as our “Cash Flows.” In addition, references throughout to numbered “Footnotes” refer to the numbered Notes in these Notes to Interim Consolidated Financial Statements, unless otherwise noted.</w:t>
      </w:r>
    </w:p>
    <w:p>
      <w:pPr>
        <w:spacing w:after="0" w:line="46"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Unless otherwise specified, each reference to a particular quarter in these Financial Statements means the twelve weeks ended on the date shown in the following table, rather than the corresponding calendar quarter:</w:t>
      </w:r>
    </w:p>
    <w:p>
      <w:pPr>
        <w:spacing w:after="0" w:line="68"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4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6"/>
              </w:rPr>
              <w:t>Quarter-End Date</w:t>
            </w:r>
          </w:p>
        </w:tc>
      </w:tr>
      <w:tr>
        <w:trPr>
          <w:trHeight w:val="195"/>
        </w:trPr>
        <w:tc>
          <w:tcPr>
            <w:tcW w:w="4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2015 Third Quarter</w:t>
            </w:r>
          </w:p>
        </w:tc>
        <w:tc>
          <w:tcPr>
            <w:tcW w:w="260" w:type="dxa"/>
            <w:vAlign w:val="bottom"/>
          </w:tcPr>
          <w:p>
            <w:pPr>
              <w:spacing w:after="0"/>
              <w:rPr>
                <w:sz w:val="16"/>
                <w:szCs w:val="16"/>
                <w:color w:val="auto"/>
              </w:rPr>
            </w:pPr>
          </w:p>
        </w:tc>
        <w:tc>
          <w:tcPr>
            <w:tcW w:w="3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September 11, 2015</w:t>
            </w:r>
          </w:p>
        </w:tc>
      </w:tr>
      <w:tr>
        <w:trPr>
          <w:trHeight w:val="216"/>
        </w:trPr>
        <w:tc>
          <w:tcPr>
            <w:tcW w:w="47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2015 Second Quarter</w:t>
            </w:r>
          </w:p>
        </w:tc>
        <w:tc>
          <w:tcPr>
            <w:tcW w:w="3980" w:type="dxa"/>
            <w:vAlign w:val="bottom"/>
          </w:tcPr>
          <w:p>
            <w:pPr>
              <w:jc w:val="center"/>
              <w:spacing w:after="0"/>
              <w:rPr>
                <w:sz w:val="20"/>
                <w:szCs w:val="20"/>
                <w:color w:val="auto"/>
              </w:rPr>
            </w:pPr>
            <w:r>
              <w:rPr>
                <w:rFonts w:ascii="Arial" w:cs="Arial" w:eastAsia="Arial" w:hAnsi="Arial"/>
                <w:sz w:val="18"/>
                <w:szCs w:val="18"/>
                <w:color w:val="auto"/>
                <w:w w:val="87"/>
              </w:rPr>
              <w:t>June 19, 2015</w:t>
            </w:r>
          </w:p>
        </w:tc>
      </w:tr>
      <w:tr>
        <w:trPr>
          <w:trHeight w:val="216"/>
        </w:trPr>
        <w:tc>
          <w:tcPr>
            <w:tcW w:w="47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2015 First Quarter</w:t>
            </w:r>
          </w:p>
        </w:tc>
        <w:tc>
          <w:tcPr>
            <w:tcW w:w="3980" w:type="dxa"/>
            <w:vAlign w:val="bottom"/>
          </w:tcPr>
          <w:p>
            <w:pPr>
              <w:jc w:val="center"/>
              <w:spacing w:after="0"/>
              <w:rPr>
                <w:sz w:val="20"/>
                <w:szCs w:val="20"/>
                <w:color w:val="auto"/>
              </w:rPr>
            </w:pPr>
            <w:r>
              <w:rPr>
                <w:rFonts w:ascii="Arial" w:cs="Arial" w:eastAsia="Arial" w:hAnsi="Arial"/>
                <w:sz w:val="18"/>
                <w:szCs w:val="18"/>
                <w:color w:val="auto"/>
                <w:w w:val="91"/>
              </w:rPr>
              <w:t>March 27, 2015</w:t>
            </w:r>
          </w:p>
        </w:tc>
      </w:tr>
      <w:tr>
        <w:trPr>
          <w:trHeight w:val="216"/>
        </w:trPr>
        <w:tc>
          <w:tcPr>
            <w:tcW w:w="47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2014 Third Quarter</w:t>
            </w:r>
          </w:p>
        </w:tc>
        <w:tc>
          <w:tcPr>
            <w:tcW w:w="3980" w:type="dxa"/>
            <w:vAlign w:val="bottom"/>
          </w:tcPr>
          <w:p>
            <w:pPr>
              <w:jc w:val="center"/>
              <w:spacing w:after="0"/>
              <w:rPr>
                <w:sz w:val="20"/>
                <w:szCs w:val="20"/>
                <w:color w:val="auto"/>
              </w:rPr>
            </w:pPr>
            <w:r>
              <w:rPr>
                <w:rFonts w:ascii="Arial" w:cs="Arial" w:eastAsia="Arial" w:hAnsi="Arial"/>
                <w:sz w:val="18"/>
                <w:szCs w:val="18"/>
                <w:color w:val="auto"/>
                <w:w w:val="88"/>
              </w:rPr>
              <w:t>September 12, 2014</w:t>
            </w:r>
          </w:p>
        </w:tc>
      </w:tr>
      <w:tr>
        <w:trPr>
          <w:trHeight w:val="216"/>
        </w:trPr>
        <w:tc>
          <w:tcPr>
            <w:tcW w:w="47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2014 Second Quarter</w:t>
            </w:r>
          </w:p>
        </w:tc>
        <w:tc>
          <w:tcPr>
            <w:tcW w:w="3980" w:type="dxa"/>
            <w:vAlign w:val="bottom"/>
          </w:tcPr>
          <w:p>
            <w:pPr>
              <w:jc w:val="center"/>
              <w:spacing w:after="0"/>
              <w:rPr>
                <w:sz w:val="20"/>
                <w:szCs w:val="20"/>
                <w:color w:val="auto"/>
              </w:rPr>
            </w:pPr>
            <w:r>
              <w:rPr>
                <w:rFonts w:ascii="Arial" w:cs="Arial" w:eastAsia="Arial" w:hAnsi="Arial"/>
                <w:sz w:val="18"/>
                <w:szCs w:val="18"/>
                <w:color w:val="auto"/>
                <w:w w:val="87"/>
              </w:rPr>
              <w:t>June 20, 2014</w:t>
            </w:r>
          </w:p>
        </w:tc>
      </w:tr>
      <w:tr>
        <w:trPr>
          <w:trHeight w:val="230"/>
        </w:trPr>
        <w:tc>
          <w:tcPr>
            <w:tcW w:w="47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2014 First Quarter</w:t>
            </w:r>
          </w:p>
        </w:tc>
        <w:tc>
          <w:tcPr>
            <w:tcW w:w="3980" w:type="dxa"/>
            <w:vAlign w:val="bottom"/>
          </w:tcPr>
          <w:p>
            <w:pPr>
              <w:jc w:val="center"/>
              <w:spacing w:after="0"/>
              <w:rPr>
                <w:sz w:val="20"/>
                <w:szCs w:val="20"/>
                <w:color w:val="auto"/>
              </w:rPr>
            </w:pPr>
            <w:r>
              <w:rPr>
                <w:rFonts w:ascii="Arial" w:cs="Arial" w:eastAsia="Arial" w:hAnsi="Arial"/>
                <w:sz w:val="18"/>
                <w:szCs w:val="18"/>
                <w:color w:val="auto"/>
                <w:w w:val="91"/>
              </w:rPr>
              <w:t>March 28, 2014</w:t>
            </w:r>
          </w:p>
        </w:tc>
      </w:tr>
    </w:tbl>
    <w:p>
      <w:pPr>
        <w:spacing w:after="0" w:line="94"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In our opinion, our Financial Statements reflect all normal and recurring adjustments necessary to present fairly our financial position and the results of our operations and cash flows for the periods presented. Interim results may not be indicative of fiscal year performance because of, among other reasons, seasonal and short-term variations.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These Financial Statements have not been audited. Amounts as of January 2, 2015 included in these Financial Statements have been derived from the audited consolidated financial statements as of that date. We have condensed or omitted certain information and footnote disclosures normally included in financial statements presented in accordance with GAAP. Although we believe our footnote disclosures are adequate to make the information presented not misleading, you should read these Financial Statements in conjunction with the consolidated financial statements and notes to those consolidated financial statements included in our Annual Report on Form 10-K for the fiscal year ended January 2, 2015.</w:t>
      </w:r>
    </w:p>
    <w:p>
      <w:pPr>
        <w:spacing w:after="0" w:line="64"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loan loss reserves, Marriott Rewards customer loyalty program liability, self-insured medical plan reserves, equity-based compensation, income taxes and loss contingencies. Accordingly, actual amounts may differ from these estimated amounts.</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reclassified certain prior year amounts to conform to our current period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right="820" w:firstLine="913"/>
        <w:spacing w:after="0" w:line="277" w:lineRule="auto"/>
        <w:rPr>
          <w:sz w:val="20"/>
          <w:szCs w:val="20"/>
          <w:color w:val="auto"/>
        </w:rPr>
      </w:pPr>
      <w:r>
        <w:rPr>
          <w:rFonts w:ascii="Arial" w:cs="Arial" w:eastAsia="Arial" w:hAnsi="Arial"/>
          <w:sz w:val="18"/>
          <w:szCs w:val="18"/>
          <w:color w:val="auto"/>
        </w:rPr>
        <w:t>Accounting Standards Update No. 2015-16 – “</w:t>
      </w:r>
      <w:r>
        <w:rPr>
          <w:rFonts w:ascii="Arial" w:cs="Arial" w:eastAsia="Arial" w:hAnsi="Arial"/>
          <w:sz w:val="18"/>
          <w:szCs w:val="18"/>
          <w:i w:val="1"/>
          <w:iCs w:val="1"/>
          <w:color w:val="auto"/>
        </w:rPr>
        <w:t>Simplifying the Accounting for Measurement-Period Adjustments (Topic 805):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(“ASU 2015-16”)</w:t>
      </w:r>
    </w:p>
    <w:p>
      <w:pPr>
        <w:spacing w:after="0" w:line="62"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In September 2015, the Financial Accounting Standards Board (“FASB”) issued ASU 2015-16, which replaces the requirement that an acquirer in a business combination account for measurement period adjustments retrospectively with a requirement that an acquirer recognize adjustments to the provisional amounts that are identified during the measurement period in the reporting period in which the adjustment amounts are determined. ASU 2015-16 requires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For public business entities, ASU 2015-16 is effective for fiscal years beginning after December 15, 2015, including interim periods within those fiscal years. The guidance is to be applied prospectively to adjustments to provisional amounts that occur after the effective date of the guidance, with earlier application permitted for financial statements that have not been issued. Our early adoption of ASU 2015-16 in the third quarter of 2015 did not have a material impact on our Financial Statements.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Accounting Standards Update No. 2015-11 – “</w:t>
      </w:r>
      <w:r>
        <w:rPr>
          <w:rFonts w:ascii="Arial" w:cs="Arial" w:eastAsia="Arial" w:hAnsi="Arial"/>
          <w:sz w:val="18"/>
          <w:szCs w:val="18"/>
          <w:i w:val="1"/>
          <w:iCs w:val="1"/>
          <w:color w:val="auto"/>
        </w:rPr>
        <w:t>Simplifying the Measurement of Inventory (Topic 330): Inventory</w:t>
      </w:r>
      <w:r>
        <w:rPr>
          <w:rFonts w:ascii="Arial" w:cs="Arial" w:eastAsia="Arial" w:hAnsi="Arial"/>
          <w:sz w:val="18"/>
          <w:szCs w:val="18"/>
          <w:color w:val="auto"/>
        </w:rPr>
        <w:t>” (“ASU 2015-11”)</w:t>
      </w:r>
    </w:p>
    <w:p>
      <w:pPr>
        <w:spacing w:after="0" w:line="117"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color w:val="auto"/>
        </w:rPr>
        <w:t>In July 2015, the FASB issued ASU 2015-11, which requires an entity to measure inventory at the lower of cost or net realizable value, which consists of the estimated selling prices in the ordinary course of business, less reasonably predictable cost of completion, disposal, and transportation. For public entities, the updated guidance is effective for fiscal years beginning after December 15, 2016, including interim periods within those fiscal years. The guidance is to be applied prospectively with earlier application permitted as of the beginning of an interim or annual reporting period. Our early adoption of ASU 2015-11 in the third quarter of 2015 did not have a material impact on our Financial Statements as it applies solely to our operating inventories. This guidance is not applicable to our vacation ownership inventory.</w:t>
      </w:r>
    </w:p>
    <w:p>
      <w:pPr>
        <w:spacing w:after="0" w:line="178"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Accounting Standards Update No. 2015-03 – “</w:t>
      </w:r>
      <w:r>
        <w:rPr>
          <w:rFonts w:ascii="Arial" w:cs="Arial" w:eastAsia="Arial" w:hAnsi="Arial"/>
          <w:sz w:val="18"/>
          <w:szCs w:val="18"/>
          <w:i w:val="1"/>
          <w:iCs w:val="1"/>
          <w:color w:val="auto"/>
        </w:rPr>
        <w:t>Interest – Imputation of Interest (Subtopic 835-30): Simplifying the Presentation of Debt Issuance</w:t>
      </w:r>
      <w:r>
        <w:rPr>
          <w:rFonts w:ascii="Arial" w:cs="Arial" w:eastAsia="Arial" w:hAnsi="Arial"/>
          <w:sz w:val="18"/>
          <w:szCs w:val="18"/>
          <w:color w:val="auto"/>
        </w:rPr>
        <w:t xml:space="preserve"> </w:t>
      </w:r>
      <w:r>
        <w:rPr>
          <w:rFonts w:ascii="Arial" w:cs="Arial" w:eastAsia="Arial" w:hAnsi="Arial"/>
          <w:sz w:val="18"/>
          <w:szCs w:val="18"/>
          <w:i w:val="1"/>
          <w:iCs w:val="1"/>
          <w:color w:val="auto"/>
        </w:rPr>
        <w:t>Costs</w:t>
      </w:r>
      <w:r>
        <w:rPr>
          <w:rFonts w:ascii="Arial" w:cs="Arial" w:eastAsia="Arial" w:hAnsi="Arial"/>
          <w:sz w:val="18"/>
          <w:szCs w:val="18"/>
          <w:color w:val="auto"/>
        </w:rPr>
        <w:t>” (“ASU 2015-03”)</w:t>
      </w:r>
    </w:p>
    <w:p>
      <w:pPr>
        <w:spacing w:after="0" w:line="62"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In April 2015, the FASB issued ASU 2015-03, which requires debt issuance costs related to a debt liability to be presented in the balance sheet as a direct deduction from the carrying amount of the debt liability instead of being presented as an asset. The recognition and measurement guidance for debt issuance costs has not changed. ASU 2015-03 requires retrospective application and represents a change in accounting principle. ASU 2015-03 is effective for fiscal years beginning after December 15, 2015 and early adoption is permitted for financial statements that have not been previously issued. Our early adoption of ASU 2015-03 in the first quarter of 2015 did not have a material impact on our Financial Statements. In June 2015, the staff of the Securities and Exchange Commission (“SEC”) announced that it would not object to an entity always presenting debt issuance costs related to revolving debt arrangements as an asset, regardless of whether a balance was outstanding, while amortizing the costs ratably over the term of the revolving debt arrangement. As a result, we applied the SEC staff guidance beginning in the second quarter of 2015 and began presenting costs associated with our revolving debt arrangements as an asset. We have applied these changes retrospectively to all periods presented.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Accounting Standards Update No. 2015-02 – “</w:t>
      </w:r>
      <w:r>
        <w:rPr>
          <w:rFonts w:ascii="Arial" w:cs="Arial" w:eastAsia="Arial" w:hAnsi="Arial"/>
          <w:sz w:val="17"/>
          <w:szCs w:val="17"/>
          <w:i w:val="1"/>
          <w:iCs w:val="1"/>
          <w:color w:val="auto"/>
        </w:rPr>
        <w:t>Consolidation (Topic 810): Amendments to the Consolidation Analysis</w:t>
      </w:r>
      <w:r>
        <w:rPr>
          <w:rFonts w:ascii="Arial" w:cs="Arial" w:eastAsia="Arial" w:hAnsi="Arial"/>
          <w:sz w:val="17"/>
          <w:szCs w:val="17"/>
          <w:color w:val="auto"/>
        </w:rPr>
        <w:t>” (“ASU 2015-02”)</w:t>
      </w:r>
    </w:p>
    <w:p>
      <w:pPr>
        <w:spacing w:after="0" w:line="129"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color w:val="auto"/>
        </w:rPr>
        <w:t>In February 2015, the FASB issued ASU 2015-02, which amends the guidance for evaluating whether to consolidate certain legal entities. Specifically, ASU 2015-02 modifies the method for determining whether limited partnerships and similar legal entities are variable interest entities (“VIEs”) or voting interest entities. Further, it eliminates the presumption that a general partner should consolidate a limited partnership and impacts the consolidation analysis of reporting entities that are involved with VIEs, particularly those that have fee arrangements and related party relationships. The updated guidance is effective for fiscal years, and interim periods within those fiscal years, beginning after December 15, 2015, with early adoption permitted. Our early adoption of ASU 2015-02 in the first quarter of 2015 did not have a material impact on our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Accounting Standards Update No. 2014-09 –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2014-09”)</w:t>
      </w:r>
    </w:p>
    <w:p>
      <w:pPr>
        <w:spacing w:after="0" w:line="117" w:lineRule="exact"/>
        <w:rPr>
          <w:sz w:val="20"/>
          <w:szCs w:val="20"/>
          <w:color w:val="auto"/>
        </w:rPr>
      </w:pPr>
    </w:p>
    <w:p>
      <w:pPr>
        <w:ind w:right="80" w:firstLine="913"/>
        <w:spacing w:after="0" w:line="285" w:lineRule="auto"/>
        <w:rPr>
          <w:sz w:val="20"/>
          <w:szCs w:val="20"/>
          <w:color w:val="auto"/>
        </w:rPr>
      </w:pPr>
      <w:r>
        <w:rPr>
          <w:rFonts w:ascii="Arial" w:cs="Arial" w:eastAsia="Arial" w:hAnsi="Arial"/>
          <w:sz w:val="16"/>
          <w:szCs w:val="16"/>
          <w:color w:val="auto"/>
        </w:rPr>
        <w:t xml:space="preserve">In May 2014, the FASB issued ASU 2014-09. ASU 2014-09 supersedes the revenue recognition requirements in Topic 605,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w:t>
      </w:r>
      <w:r>
        <w:rPr>
          <w:rFonts w:ascii="Arial" w:cs="Arial" w:eastAsia="Arial" w:hAnsi="Arial"/>
          <w:sz w:val="16"/>
          <w:szCs w:val="16"/>
          <w:color w:val="auto"/>
        </w:rPr>
        <w:t>, as well as most industry-specific guidance, and significantly enhances comparability of revenue recognition practices across entities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industries by providing a principles-based, comprehensive framework for addressing revenue recognition issues. In order for a provider of promised goods or services to recognize as revenue the consideration that it expects to receive in exchange for the promised goods or services, the provider should apply the following five steps: (1) identify the contract with a customer; (2) identify the performance obligations in the contract; (3) determine the transaction price;</w:t>
      </w:r>
    </w:p>
    <w:p>
      <w:pPr>
        <w:spacing w:after="0" w:line="2" w:lineRule="exact"/>
        <w:rPr>
          <w:sz w:val="20"/>
          <w:szCs w:val="20"/>
          <w:color w:val="auto"/>
        </w:rPr>
      </w:pPr>
    </w:p>
    <w:p>
      <w:pPr>
        <w:ind w:right="140" w:firstLine="8"/>
        <w:spacing w:after="0" w:line="292"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allocate the transaction price to the performance obligations in the contract; and (5) recognize revenue when (or as) the entity satisfies a performance obligation. ASU 2014-09 will be effective for fiscal years, and interim periods within those years, beginning after December 15, 2017. Early application is permitted only as of annual reporting periods beginning after December 15, 2016. The new standard may be applied prospectively to each prior period presented or retrospectively with the cumulative effect recognized on the date of adoption. We continue to evaluate the impact that this guidance, including the method of implementation, will have on our financial statements and disclosures. We expect to adopt ASU 2014-09 commencing in our fiscal year 2018.</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121" w:lineRule="exact"/>
        <w:rPr>
          <w:sz w:val="20"/>
          <w:szCs w:val="20"/>
          <w:color w:val="auto"/>
        </w:rPr>
      </w:pPr>
    </w:p>
    <w:p>
      <w:pPr>
        <w:jc w:val="both"/>
        <w:ind w:right="560" w:firstLine="913"/>
        <w:spacing w:after="0" w:line="264" w:lineRule="auto"/>
        <w:rPr>
          <w:sz w:val="20"/>
          <w:szCs w:val="20"/>
          <w:color w:val="auto"/>
        </w:rPr>
      </w:pPr>
      <w:r>
        <w:rPr>
          <w:rFonts w:ascii="Arial" w:cs="Arial" w:eastAsia="Arial" w:hAnsi="Arial"/>
          <w:sz w:val="18"/>
          <w:szCs w:val="18"/>
          <w:color w:val="auto"/>
        </w:rPr>
        <w:t>We file U.S. consolidated federal and state tax returns, as well as consolidated and separate tax filings for non-U.S. jurisdictions. Our total unrecognized tax benefit balance that, if recognized, would impact our effective tax rate was $1.5 million and $1.3 million at September 11, 2015 and January 2, 2015, respectively.</w:t>
      </w:r>
    </w:p>
    <w:p>
      <w:pPr>
        <w:spacing w:after="0" w:line="73"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We have joined in the Marriott International U.S. federal tax consolidated filing for periods up to the date of the Spin-Off. The U.S. Internal Revenue Service (the “IRS”) has examined Marriott International’s federal income tax returns, and it has settled all issues related to the timeshare business for the tax years through the Spin-Off. Our tax years subsequent to the Spin-Off are subject to examination by relevant tax authorities; currently our 2011 and 2012 returns are being audited by the IRS and our 2012 and 2013 returns are being audited by tax authorities in foreign jurisdictions. Although we do not anticipate that a significant impact to our unrecognized tax benefit balance will occur during the next fiscal year, the amount of our liability for unrecognized tax benefits could change as a result of these audits. Pursuant to a Tax Sharing and Indemnification Agreement with Marriott International effective November 21, 2011, as subsequently amended, Marriott International is liable and shall pay the relevant tax authority for all taxes related to our taxable income prior to the Spin-Off.</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VACATION OWNERSHIP NOTES RECEIVABLE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September 11, 2015</w:t>
            </w:r>
          </w:p>
        </w:tc>
        <w:tc>
          <w:tcPr>
            <w:tcW w:w="200" w:type="dxa"/>
            <w:vAlign w:val="bottom"/>
          </w:tcPr>
          <w:p>
            <w:pPr>
              <w:spacing w:after="0"/>
              <w:rPr>
                <w:sz w:val="14"/>
                <w:szCs w:val="14"/>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January 2, 2015</w:t>
            </w: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ownership notes receivable — securitized</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704,349</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8"/>
              </w:rPr>
              <w:t>750,680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Vacation ownership notes receivable — non-securitized</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Eligible for securitization </w:t>
            </w:r>
            <w:r>
              <w:rPr>
                <w:rFonts w:ascii="Arial" w:cs="Arial" w:eastAsia="Arial" w:hAnsi="Arial"/>
                <w:sz w:val="15"/>
                <w:szCs w:val="15"/>
                <w:color w:val="auto"/>
              </w:rPr>
              <w:t>(1)(2)</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34,426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24,194</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720"/>
              <w:spacing w:after="0"/>
              <w:rPr>
                <w:sz w:val="20"/>
                <w:szCs w:val="20"/>
                <w:color w:val="auto"/>
              </w:rPr>
            </w:pPr>
            <w:r>
              <w:rPr>
                <w:rFonts w:ascii="Arial" w:cs="Arial" w:eastAsia="Arial" w:hAnsi="Arial"/>
                <w:sz w:val="18"/>
                <w:szCs w:val="18"/>
                <w:color w:val="auto"/>
              </w:rPr>
              <w:t xml:space="preserve">Not eligible for securitization </w:t>
            </w:r>
            <w:r>
              <w:rPr>
                <w:rFonts w:ascii="Arial" w:cs="Arial" w:eastAsia="Arial" w:hAnsi="Arial"/>
                <w:sz w:val="15"/>
                <w:szCs w:val="15"/>
                <w:color w:val="auto"/>
              </w:rPr>
              <w:t>(1)</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148,681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8"/>
              </w:rPr>
              <w:t>142,354</w:t>
            </w:r>
          </w:p>
        </w:tc>
        <w:tc>
          <w:tcPr>
            <w:tcW w:w="100" w:type="dxa"/>
            <w:vAlign w:val="bottom"/>
          </w:tcPr>
          <w:p>
            <w:pPr>
              <w:spacing w:after="0"/>
              <w:rPr>
                <w:sz w:val="18"/>
                <w:szCs w:val="18"/>
                <w:color w:val="auto"/>
              </w:rPr>
            </w:pPr>
          </w:p>
        </w:tc>
      </w:tr>
      <w:tr>
        <w:trPr>
          <w:trHeight w:val="75"/>
        </w:trPr>
        <w:tc>
          <w:tcPr>
            <w:tcW w:w="6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6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183,107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8"/>
              </w:rPr>
              <w:t>166,548</w:t>
            </w:r>
          </w:p>
        </w:tc>
        <w:tc>
          <w:tcPr>
            <w:tcW w:w="100" w:type="dxa"/>
            <w:vAlign w:val="bottom"/>
            <w:shd w:val="clear" w:color="auto" w:fill="CCEEFF"/>
          </w:tcPr>
          <w:p>
            <w:pPr>
              <w:spacing w:after="0"/>
              <w:rPr>
                <w:sz w:val="18"/>
                <w:szCs w:val="18"/>
                <w:color w:val="auto"/>
              </w:rPr>
            </w:pPr>
          </w:p>
        </w:tc>
      </w:tr>
      <w:tr>
        <w:trPr>
          <w:trHeight w:val="291"/>
        </w:trPr>
        <w:tc>
          <w:tcPr>
            <w:tcW w:w="6820" w:type="dxa"/>
            <w:vAlign w:val="bottom"/>
          </w:tcPr>
          <w:p>
            <w:pPr>
              <w:spacing w:after="0"/>
              <w:rPr>
                <w:sz w:val="20"/>
                <w:szCs w:val="20"/>
                <w:color w:val="auto"/>
              </w:rPr>
            </w:pPr>
            <w:r>
              <w:rPr>
                <w:rFonts w:ascii="Arial" w:cs="Arial" w:eastAsia="Arial" w:hAnsi="Arial"/>
                <w:sz w:val="18"/>
                <w:szCs w:val="18"/>
                <w:color w:val="auto"/>
              </w:rPr>
              <w:t>Total vacation ownership notes receivable</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887,456</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w w:val="98"/>
              </w:rPr>
              <w:t>917,228</w:t>
            </w:r>
          </w:p>
        </w:tc>
        <w:tc>
          <w:tcPr>
            <w:tcW w:w="100" w:type="dxa"/>
            <w:vAlign w:val="bottom"/>
          </w:tcPr>
          <w:p>
            <w:pPr>
              <w:spacing w:after="0"/>
              <w:rPr>
                <w:sz w:val="24"/>
                <w:szCs w:val="24"/>
                <w:color w:val="auto"/>
              </w:rPr>
            </w:pPr>
          </w:p>
        </w:tc>
      </w:tr>
      <w:tr>
        <w:trPr>
          <w:trHeight w:val="20"/>
        </w:trPr>
        <w:tc>
          <w:tcPr>
            <w:tcW w:w="6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137160</wp:posOffset>
            </wp:positionV>
            <wp:extent cx="11576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36" w:lineRule="exact"/>
        <w:rPr>
          <w:sz w:val="20"/>
          <w:szCs w:val="20"/>
          <w:color w:val="auto"/>
        </w:rPr>
      </w:pPr>
    </w:p>
    <w:p>
      <w:pPr>
        <w:ind w:left="1480" w:hanging="567"/>
        <w:spacing w:after="0"/>
        <w:tabs>
          <w:tab w:leader="none" w:pos="1480" w:val="left"/>
        </w:tabs>
        <w:numPr>
          <w:ilvl w:val="0"/>
          <w:numId w:val="4"/>
        </w:numPr>
        <w:rPr>
          <w:rFonts w:ascii="Arial" w:cs="Arial" w:eastAsia="Arial" w:hAnsi="Arial"/>
          <w:sz w:val="15"/>
          <w:szCs w:val="15"/>
          <w:color w:val="auto"/>
        </w:rPr>
      </w:pPr>
      <w:r>
        <w:rPr>
          <w:rFonts w:ascii="Arial" w:cs="Arial" w:eastAsia="Arial" w:hAnsi="Arial"/>
          <w:sz w:val="18"/>
          <w:szCs w:val="18"/>
          <w:color w:val="auto"/>
        </w:rPr>
        <w:t>Refer to Footnote No. 4, “Financial Instruments,” for discussion of eligibility of our vacation ownership notes receivable.</w:t>
      </w:r>
    </w:p>
    <w:p>
      <w:pPr>
        <w:spacing w:after="0" w:line="76" w:lineRule="exact"/>
        <w:rPr>
          <w:rFonts w:ascii="Arial" w:cs="Arial" w:eastAsia="Arial" w:hAnsi="Arial"/>
          <w:sz w:val="15"/>
          <w:szCs w:val="15"/>
          <w:color w:val="auto"/>
        </w:rPr>
      </w:pPr>
    </w:p>
    <w:p>
      <w:pPr>
        <w:ind w:left="1480" w:right="80" w:hanging="567"/>
        <w:spacing w:after="0" w:line="259" w:lineRule="auto"/>
        <w:tabs>
          <w:tab w:leader="none" w:pos="1480" w:val="left"/>
        </w:tabs>
        <w:numPr>
          <w:ilvl w:val="0"/>
          <w:numId w:val="4"/>
        </w:numPr>
        <w:rPr>
          <w:rFonts w:ascii="Arial" w:cs="Arial" w:eastAsia="Arial" w:hAnsi="Arial"/>
          <w:sz w:val="15"/>
          <w:szCs w:val="15"/>
          <w:color w:val="auto"/>
        </w:rPr>
      </w:pPr>
      <w:r>
        <w:rPr>
          <w:rFonts w:ascii="Arial" w:cs="Arial" w:eastAsia="Arial" w:hAnsi="Arial"/>
          <w:sz w:val="18"/>
          <w:szCs w:val="18"/>
          <w:color w:val="auto"/>
        </w:rPr>
        <w:t>We expect that these vacation ownership notes receivable will be purchased by the MVW Owner Trust 2015-1 (the “2015-1 Trust”) prior to December 31, 2015 in accordance with the terms of the securitization transaction completed in the third quarter of 2015. Refer to Footnote No. 9, “Debt,” for discussion of the terms of this securitization transaction and the purchase of additional vacation ownership notes receivable by the 2015-1 Trust.</w:t>
      </w:r>
    </w:p>
    <w:p>
      <w:pPr>
        <w:spacing w:after="0" w:line="79"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The following tables show future principal payments, net of reserves, as well as interest rates for our non-securitized and securitized vacation ownership notes receivable at September 11, 2015:</w:t>
      </w:r>
    </w:p>
    <w:p>
      <w:pPr>
        <w:spacing w:after="0" w:line="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133"/>
              <w:spacing w:after="0"/>
              <w:rPr>
                <w:sz w:val="20"/>
                <w:szCs w:val="20"/>
                <w:color w:val="auto"/>
              </w:rPr>
            </w:pPr>
            <w:r>
              <w:rPr>
                <w:rFonts w:ascii="Arial" w:cs="Arial" w:eastAsia="Arial" w:hAnsi="Arial"/>
                <w:sz w:val="14"/>
                <w:szCs w:val="14"/>
                <w:b w:val="1"/>
                <w:bCs w:val="1"/>
                <w:color w:val="auto"/>
                <w:w w:val="91"/>
              </w:rPr>
              <w:t>Non-Securitized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273"/>
              <w:spacing w:after="0"/>
              <w:rPr>
                <w:sz w:val="20"/>
                <w:szCs w:val="20"/>
                <w:color w:val="auto"/>
              </w:rPr>
            </w:pPr>
            <w:r>
              <w:rPr>
                <w:rFonts w:ascii="Arial" w:cs="Arial" w:eastAsia="Arial" w:hAnsi="Arial"/>
                <w:sz w:val="14"/>
                <w:szCs w:val="14"/>
                <w:b w:val="1"/>
                <w:bCs w:val="1"/>
                <w:color w:val="auto"/>
              </w:rPr>
              <w:t>Securitized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4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8"/>
              </w:rPr>
              <w:t>Vacation Ownership</w:t>
            </w:r>
          </w:p>
        </w:tc>
        <w:tc>
          <w:tcPr>
            <w:tcW w:w="180" w:type="dxa"/>
            <w:vAlign w:val="bottom"/>
          </w:tcPr>
          <w:p>
            <w:pPr>
              <w:spacing w:after="0"/>
              <w:rPr>
                <w:sz w:val="12"/>
                <w:szCs w:val="12"/>
                <w:color w:val="auto"/>
              </w:rPr>
            </w:pPr>
          </w:p>
        </w:tc>
        <w:tc>
          <w:tcPr>
            <w:tcW w:w="14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6"/>
              </w:rPr>
              <w:t>Vacation Ownership</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14"/>
                <w:szCs w:val="14"/>
                <w:color w:val="auto"/>
              </w:rPr>
            </w:pPr>
          </w:p>
        </w:tc>
        <w:tc>
          <w:tcPr>
            <w:tcW w:w="1220" w:type="dxa"/>
            <w:vAlign w:val="bottom"/>
          </w:tcPr>
          <w:p>
            <w:pPr>
              <w:jc w:val="right"/>
              <w:ind w:right="93"/>
              <w:spacing w:after="0"/>
              <w:rPr>
                <w:sz w:val="20"/>
                <w:szCs w:val="20"/>
                <w:color w:val="auto"/>
              </w:rPr>
            </w:pPr>
            <w:r>
              <w:rPr>
                <w:rFonts w:ascii="Arial" w:cs="Arial" w:eastAsia="Arial" w:hAnsi="Arial"/>
                <w:sz w:val="14"/>
                <w:szCs w:val="14"/>
                <w:b w:val="1"/>
                <w:bCs w:val="1"/>
                <w:color w:val="auto"/>
                <w:w w:val="87"/>
              </w:rPr>
              <w:t>Notes Receivable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93"/>
              <w:spacing w:after="0"/>
              <w:rPr>
                <w:sz w:val="20"/>
                <w:szCs w:val="20"/>
                <w:color w:val="auto"/>
              </w:rPr>
            </w:pPr>
            <w:r>
              <w:rPr>
                <w:rFonts w:ascii="Arial" w:cs="Arial" w:eastAsia="Arial" w:hAnsi="Arial"/>
                <w:sz w:val="14"/>
                <w:szCs w:val="14"/>
                <w:b w:val="1"/>
                <w:bCs w:val="1"/>
                <w:color w:val="auto"/>
                <w:w w:val="87"/>
              </w:rPr>
              <w:t>Notes Receivable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1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25,581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34,374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59,955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18"/>
                <w:szCs w:val="18"/>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34,509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102,199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136,708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25,737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97,524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123,261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8"/>
                <w:szCs w:val="18"/>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18,140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85,683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103,823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13,851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77,450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91,301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65,289</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307,119</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372,408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5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11, 2015</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183,107</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704,349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887,456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040" w:type="dxa"/>
            <w:vAlign w:val="bottom"/>
          </w:tcPr>
          <w:p>
            <w:pPr>
              <w:spacing w:after="0"/>
              <w:rPr>
                <w:sz w:val="20"/>
                <w:szCs w:val="20"/>
                <w:color w:val="auto"/>
              </w:rPr>
            </w:pPr>
            <w:r>
              <w:rPr>
                <w:rFonts w:ascii="Arial" w:cs="Arial" w:eastAsia="Arial" w:hAnsi="Arial"/>
                <w:sz w:val="18"/>
                <w:szCs w:val="18"/>
                <w:color w:val="auto"/>
              </w:rPr>
              <w:t>Weighted average stated interest rate</w:t>
            </w:r>
          </w:p>
        </w:tc>
        <w:tc>
          <w:tcPr>
            <w:tcW w:w="180" w:type="dxa"/>
            <w:vAlign w:val="bottom"/>
          </w:tcPr>
          <w:p>
            <w:pPr>
              <w:spacing w:after="0"/>
              <w:rPr>
                <w:sz w:val="24"/>
                <w:szCs w:val="24"/>
                <w:color w:val="auto"/>
              </w:rPr>
            </w:pPr>
          </w:p>
        </w:tc>
        <w:tc>
          <w:tcPr>
            <w:tcW w:w="1220" w:type="dxa"/>
            <w:vAlign w:val="bottom"/>
          </w:tcPr>
          <w:p>
            <w:pPr>
              <w:jc w:val="right"/>
              <w:ind w:right="293"/>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273"/>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Range of stated interest rates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0.0% to 19.5%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 to 19.5%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0.0% to 19.5%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reflect interest income associated with vacation ownership notes receivable on our Statements of Income in the Financing revenues caption.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interest income associated with vacation ownership notes receivable: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102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September 11,</w:t>
            </w: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September 12,</w:t>
            </w:r>
          </w:p>
        </w:tc>
        <w:tc>
          <w:tcPr>
            <w:tcW w:w="160" w:type="dxa"/>
            <w:vAlign w:val="bottom"/>
          </w:tcPr>
          <w:p>
            <w:pPr>
              <w:spacing w:after="0"/>
              <w:rPr>
                <w:sz w:val="10"/>
                <w:szCs w:val="10"/>
                <w:color w:val="auto"/>
              </w:rPr>
            </w:pPr>
          </w:p>
        </w:tc>
        <w:tc>
          <w:tcPr>
            <w:tcW w:w="102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September 11,</w:t>
            </w: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September 12,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Pr>
          <w:p>
            <w:pPr>
              <w:spacing w:after="0"/>
              <w:rPr>
                <w:sz w:val="14"/>
                <w:szCs w:val="14"/>
                <w:color w:val="auto"/>
              </w:rPr>
            </w:pPr>
          </w:p>
        </w:tc>
        <w:tc>
          <w:tcPr>
            <w:tcW w:w="780" w:type="dxa"/>
            <w:vAlign w:val="bottom"/>
          </w:tcPr>
          <w:p>
            <w:pPr>
              <w:jc w:val="right"/>
              <w:ind w:right="277"/>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7"/>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associated with vacation ownership notes receivable — securitized</w:t>
            </w:r>
          </w:p>
        </w:tc>
        <w:tc>
          <w:tcPr>
            <w:tcW w:w="2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w w:val="94"/>
              </w:rPr>
              <w:t>20,005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98"/>
              </w:rPr>
              <w:t>18,930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w w:val="98"/>
              </w:rPr>
              <w:t>59,992</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98"/>
              </w:rPr>
              <w:t>60,259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w w:val="97"/>
              </w:rPr>
              <w:t>Interest income associated with vacation ownership notes receivable — non-securitized</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6,921</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9,146</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w w:val="98"/>
              </w:rPr>
              <w:t>21,428</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98"/>
              </w:rPr>
              <w:t>25,282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 associated with vacation ownership notes receivable</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w w:val="94"/>
              </w:rPr>
              <w:t>26,926</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8"/>
              </w:rPr>
              <w:t>28,076</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w w:val="98"/>
              </w:rPr>
              <w:t>81,420</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8"/>
              </w:rPr>
              <w:t>85,541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jc w:val="right"/>
              <w:ind w:right="950"/>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We record an estimate of expected uncollectibility on all notes receivable from vacation ownership purchasers as a reduction of revenues from the sale of vacation ownership products at the time we recognize profit on a vacation ownership product sale. We fully reserve for all defaulted vacation ownership notes receivable in addition to recording a reserve on the estimated uncollectible portion of the remaining vacation ownership notes receivable. For those vacation ownership notes receivable that are not in default, we assess collectibility based on pools of vacation ownership notes receivable because we hold large numbers of homogeneous vacation ownership notes receivable. We use the same criteria to estimate uncollectibility for non-securitized vacation ownership notes receivable and securitized vacation ownership notes receivable because they perform similarly. We estimate uncollectibility for each pool based on historical activity for similar vacation ownership notes receivable.</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following table summarizes the activity related to our vacation ownership notes receivable reserve for the thirty-six weeks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2015:</w:t>
      </w:r>
    </w:p>
    <w:p>
      <w:pPr>
        <w:spacing w:after="0" w:line="9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Non-Securitized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134"/>
              <w:spacing w:after="0"/>
              <w:rPr>
                <w:sz w:val="20"/>
                <w:szCs w:val="20"/>
                <w:color w:val="auto"/>
              </w:rPr>
            </w:pPr>
            <w:r>
              <w:rPr>
                <w:rFonts w:ascii="Arial" w:cs="Arial" w:eastAsia="Arial" w:hAnsi="Arial"/>
                <w:sz w:val="14"/>
                <w:szCs w:val="14"/>
                <w:b w:val="1"/>
                <w:bCs w:val="1"/>
                <w:color w:val="auto"/>
                <w:w w:val="90"/>
              </w:rPr>
              <w:t>Securitized</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18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Notes Receivable</w:t>
            </w:r>
          </w:p>
        </w:tc>
        <w:tc>
          <w:tcPr>
            <w:tcW w:w="18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1"/>
              </w:rPr>
              <w:t>Reserve</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8"/>
              </w:rPr>
              <w:t>Reserve</w:t>
            </w: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2, 2015</w:t>
            </w:r>
          </w:p>
        </w:tc>
        <w:tc>
          <w:tcPr>
            <w:tcW w:w="3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64,752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53,666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118,418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300" w:type="dxa"/>
            <w:vAlign w:val="bottom"/>
          </w:tcPr>
          <w:p>
            <w:pPr>
              <w:spacing w:after="0"/>
              <w:rPr>
                <w:sz w:val="18"/>
                <w:szCs w:val="18"/>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15,068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134"/>
              <w:spacing w:after="0"/>
              <w:rPr>
                <w:sz w:val="20"/>
                <w:szCs w:val="20"/>
                <w:color w:val="auto"/>
              </w:rPr>
            </w:pPr>
            <w:r>
              <w:rPr>
                <w:rFonts w:ascii="Arial" w:cs="Arial" w:eastAsia="Arial" w:hAnsi="Arial"/>
                <w:sz w:val="18"/>
                <w:szCs w:val="18"/>
                <w:color w:val="auto"/>
              </w:rPr>
              <w:t>7,413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22,481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Securitizations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(12,622)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12,622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 xml:space="preserve">Clean-up calls </w:t>
            </w:r>
            <w:r>
              <w:rPr>
                <w:rFonts w:ascii="Arial" w:cs="Arial" w:eastAsia="Arial" w:hAnsi="Arial"/>
                <w:sz w:val="15"/>
                <w:szCs w:val="15"/>
                <w:color w:val="auto"/>
              </w:rPr>
              <w:t>(1)</w:t>
            </w:r>
          </w:p>
        </w:tc>
        <w:tc>
          <w:tcPr>
            <w:tcW w:w="300" w:type="dxa"/>
            <w:vAlign w:val="bottom"/>
          </w:tcPr>
          <w:p>
            <w:pPr>
              <w:spacing w:after="0"/>
              <w:rPr>
                <w:sz w:val="18"/>
                <w:szCs w:val="18"/>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5,725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(5,725)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(32,706)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(32,706)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w w:val="95"/>
              </w:rPr>
              <w:t xml:space="preserve">Defaulted vacation ownership notes receivable repurchase activity </w:t>
            </w:r>
            <w:r>
              <w:rPr>
                <w:rFonts w:ascii="Arial" w:cs="Arial" w:eastAsia="Arial" w:hAnsi="Arial"/>
                <w:sz w:val="15"/>
                <w:szCs w:val="15"/>
                <w:color w:val="auto"/>
                <w:w w:val="95"/>
              </w:rPr>
              <w:t>(2)</w:t>
            </w:r>
          </w:p>
        </w:tc>
        <w:tc>
          <w:tcPr>
            <w:tcW w:w="300" w:type="dxa"/>
            <w:vAlign w:val="bottom"/>
          </w:tcPr>
          <w:p>
            <w:pPr>
              <w:spacing w:after="0"/>
              <w:rPr>
                <w:sz w:val="18"/>
                <w:szCs w:val="18"/>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17,802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(17,802)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530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11, 2015</w:t>
            </w:r>
          </w:p>
        </w:tc>
        <w:tc>
          <w:tcPr>
            <w:tcW w:w="3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58,019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50,174</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108,193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137160</wp:posOffset>
            </wp:positionV>
            <wp:extent cx="11576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36" w:lineRule="exact"/>
        <w:rPr>
          <w:sz w:val="20"/>
          <w:szCs w:val="20"/>
          <w:color w:val="auto"/>
        </w:rPr>
      </w:pPr>
    </w:p>
    <w:p>
      <w:pPr>
        <w:ind w:left="1480" w:right="400" w:hanging="567"/>
        <w:spacing w:after="0" w:line="277" w:lineRule="auto"/>
        <w:tabs>
          <w:tab w:leader="none" w:pos="1480" w:val="left"/>
        </w:tabs>
        <w:numPr>
          <w:ilvl w:val="0"/>
          <w:numId w:val="5"/>
        </w:numPr>
        <w:rPr>
          <w:rFonts w:ascii="Arial" w:cs="Arial" w:eastAsia="Arial" w:hAnsi="Arial"/>
          <w:sz w:val="15"/>
          <w:szCs w:val="15"/>
          <w:color w:val="auto"/>
        </w:rPr>
      </w:pPr>
      <w:r>
        <w:rPr>
          <w:rFonts w:ascii="Arial" w:cs="Arial" w:eastAsia="Arial" w:hAnsi="Arial"/>
          <w:sz w:val="18"/>
          <w:szCs w:val="18"/>
          <w:color w:val="auto"/>
        </w:rPr>
        <w:t>Refers to our voluntary repurchase of previously securitized non-defaulted vacation ownership notes receivable to retire outstanding vacation ownership notes receivable securitizations.</w:t>
      </w:r>
    </w:p>
    <w:p>
      <w:pPr>
        <w:spacing w:after="0" w:line="21" w:lineRule="exact"/>
        <w:rPr>
          <w:rFonts w:ascii="Arial" w:cs="Arial" w:eastAsia="Arial" w:hAnsi="Arial"/>
          <w:sz w:val="15"/>
          <w:szCs w:val="15"/>
          <w:color w:val="auto"/>
        </w:rPr>
      </w:pPr>
    </w:p>
    <w:p>
      <w:pPr>
        <w:ind w:left="1480" w:right="80" w:hanging="567"/>
        <w:spacing w:after="0" w:line="264" w:lineRule="auto"/>
        <w:tabs>
          <w:tab w:leader="none" w:pos="1480" w:val="left"/>
        </w:tabs>
        <w:numPr>
          <w:ilvl w:val="0"/>
          <w:numId w:val="5"/>
        </w:numPr>
        <w:rPr>
          <w:rFonts w:ascii="Arial" w:cs="Arial" w:eastAsia="Arial" w:hAnsi="Arial"/>
          <w:sz w:val="15"/>
          <w:szCs w:val="15"/>
          <w:color w:val="auto"/>
        </w:rPr>
      </w:pPr>
      <w:r>
        <w:rPr>
          <w:rFonts w:ascii="Arial" w:cs="Arial" w:eastAsia="Arial" w:hAnsi="Arial"/>
          <w:sz w:val="18"/>
          <w:szCs w:val="18"/>
          <w:color w:val="auto"/>
        </w:rPr>
        <w:t>Decrease in securitized vacation ownership notes receivable reserve and increase in non-securitized vacation ownership notes receivable reserve was attributable to the transfer of the reserve when we voluntarily repurchased the securitized vacation ownership notes receivable.</w:t>
      </w:r>
    </w:p>
    <w:p>
      <w:pPr>
        <w:spacing w:after="0" w:line="73"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Although we consider loans to owners to be past due if we do not receive payment within 30 days of the due date, we suspend accrual of interest only on those loans that are over 90 days past due. We consider loans over 150 days past due to be in default.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uncollectible vacation ownership notes receivable against the reserve once we receive title to the vacation ownership products through the foreclosure or deed-in-lieu process or, in Europe or Asia Pacific, when revocation is complete. For both non-securitized and securitized vacation ownership notes receivable, we estimated average remaining default rates of 6.83 percent and 6.95 percent as of September 11, 2015 and January 2, 2015, respectively. A 0.5 percentage point increase in the estimated default rate would have resulted in an increase in our allowance for loan losses of $4.5 million as of September 11, 2015 and $4.7 million as of January 2, 2015.</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following table shows our recorded investment in non-accrual vacation ownership notes receivable, which are vacation ownership notes receivable that are 90 days or more past due:</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460" w:type="dxa"/>
            <w:vAlign w:val="bottom"/>
            <w:gridSpan w:val="3"/>
          </w:tcPr>
          <w:p>
            <w:pPr>
              <w:ind w:left="140"/>
              <w:spacing w:after="0"/>
              <w:rPr>
                <w:sz w:val="20"/>
                <w:szCs w:val="20"/>
                <w:color w:val="auto"/>
              </w:rPr>
            </w:pPr>
            <w:r>
              <w:rPr>
                <w:rFonts w:ascii="Arial" w:cs="Arial" w:eastAsia="Arial" w:hAnsi="Arial"/>
                <w:sz w:val="14"/>
                <w:szCs w:val="14"/>
                <w:b w:val="1"/>
                <w:bCs w:val="1"/>
                <w:color w:val="auto"/>
              </w:rPr>
              <w:t>Non-Securitized</w:t>
            </w:r>
          </w:p>
        </w:tc>
        <w:tc>
          <w:tcPr>
            <w:tcW w:w="22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Securitized</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4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Vacation Ownership</w:t>
            </w:r>
          </w:p>
        </w:tc>
        <w:tc>
          <w:tcPr>
            <w:tcW w:w="30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3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60" w:type="dxa"/>
            <w:vAlign w:val="bottom"/>
            <w:gridSpan w:val="3"/>
          </w:tcPr>
          <w:p>
            <w:pPr>
              <w:ind w:left="120"/>
              <w:spacing w:after="0"/>
              <w:rPr>
                <w:sz w:val="20"/>
                <w:szCs w:val="20"/>
                <w:color w:val="auto"/>
              </w:rPr>
            </w:pPr>
            <w:r>
              <w:rPr>
                <w:rFonts w:ascii="Arial" w:cs="Arial" w:eastAsia="Arial" w:hAnsi="Arial"/>
                <w:sz w:val="14"/>
                <w:szCs w:val="14"/>
                <w:b w:val="1"/>
                <w:bCs w:val="1"/>
                <w:color w:val="auto"/>
              </w:rPr>
              <w:t>Notes Receivable</w:t>
            </w:r>
          </w:p>
        </w:tc>
        <w:tc>
          <w:tcPr>
            <w:tcW w:w="1440" w:type="dxa"/>
            <w:vAlign w:val="bottom"/>
            <w:gridSpan w:val="3"/>
          </w:tcPr>
          <w:p>
            <w:pPr>
              <w:ind w:left="100"/>
              <w:spacing w:after="0"/>
              <w:rPr>
                <w:sz w:val="20"/>
                <w:szCs w:val="20"/>
                <w:color w:val="auto"/>
              </w:rPr>
            </w:pPr>
            <w:r>
              <w:rPr>
                <w:rFonts w:ascii="Arial" w:cs="Arial" w:eastAsia="Arial" w:hAnsi="Arial"/>
                <w:sz w:val="14"/>
                <w:szCs w:val="14"/>
                <w:b w:val="1"/>
                <w:bCs w:val="1"/>
                <w:color w:val="auto"/>
              </w:rPr>
              <w:t>Notes Receivable</w:t>
            </w:r>
          </w:p>
        </w:tc>
        <w:tc>
          <w:tcPr>
            <w:tcW w:w="3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3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Investment in vacation ownership notes receivable on non-accrual status at</w:t>
            </w:r>
          </w:p>
        </w:tc>
        <w:tc>
          <w:tcPr>
            <w:tcW w:w="3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11, 2015</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52,520</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5,967</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58,487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320" w:type="dxa"/>
            <w:vAlign w:val="bottom"/>
          </w:tcPr>
          <w:p>
            <w:pPr>
              <w:spacing w:after="0" w:line="201" w:lineRule="exact"/>
              <w:rPr>
                <w:sz w:val="20"/>
                <w:szCs w:val="20"/>
                <w:color w:val="auto"/>
              </w:rPr>
            </w:pPr>
            <w:r>
              <w:rPr>
                <w:rFonts w:ascii="Arial" w:cs="Arial" w:eastAsia="Arial" w:hAnsi="Arial"/>
                <w:sz w:val="18"/>
                <w:szCs w:val="18"/>
                <w:color w:val="auto"/>
                <w:w w:val="91"/>
              </w:rPr>
              <w:t>Investment in vacation ownership notes receivable on non-accrual status at January 2,</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80"/>
              <w:spacing w:after="0"/>
              <w:rPr>
                <w:sz w:val="20"/>
                <w:szCs w:val="20"/>
                <w:color w:val="auto"/>
              </w:rPr>
            </w:pPr>
            <w:r>
              <w:rPr>
                <w:rFonts w:ascii="Arial" w:cs="Arial" w:eastAsia="Arial" w:hAnsi="Arial"/>
                <w:sz w:val="18"/>
                <w:szCs w:val="18"/>
                <w:color w:val="auto"/>
              </w:rPr>
              <w:t>2015</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60,275</w:t>
            </w:r>
          </w:p>
        </w:tc>
        <w:tc>
          <w:tcPr>
            <w:tcW w:w="200" w:type="dxa"/>
            <w:vAlign w:val="bottom"/>
          </w:tcPr>
          <w:p>
            <w:pPr>
              <w:spacing w:after="0"/>
              <w:rPr>
                <w:sz w:val="20"/>
                <w:szCs w:val="20"/>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7,172</w:t>
            </w:r>
          </w:p>
        </w:tc>
        <w:tc>
          <w:tcPr>
            <w:tcW w:w="20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67,447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Average investment in vacation ownership notes receivable on non-accrual status</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during the twelve weeks ended September 11, 2015</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53,778</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6,879</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60,657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320" w:type="dxa"/>
            <w:vAlign w:val="bottom"/>
          </w:tcPr>
          <w:p>
            <w:pPr>
              <w:spacing w:after="0" w:line="201" w:lineRule="exact"/>
              <w:rPr>
                <w:sz w:val="20"/>
                <w:szCs w:val="20"/>
                <w:color w:val="auto"/>
              </w:rPr>
            </w:pPr>
            <w:r>
              <w:rPr>
                <w:rFonts w:ascii="Arial" w:cs="Arial" w:eastAsia="Arial" w:hAnsi="Arial"/>
                <w:sz w:val="18"/>
                <w:szCs w:val="18"/>
                <w:color w:val="auto"/>
                <w:w w:val="96"/>
              </w:rPr>
              <w:t>Average investment in vacation ownership notes receivable on non-accrual status</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80"/>
              <w:spacing w:after="0"/>
              <w:rPr>
                <w:sz w:val="20"/>
                <w:szCs w:val="20"/>
                <w:color w:val="auto"/>
              </w:rPr>
            </w:pPr>
            <w:r>
              <w:rPr>
                <w:rFonts w:ascii="Arial" w:cs="Arial" w:eastAsia="Arial" w:hAnsi="Arial"/>
                <w:sz w:val="18"/>
                <w:szCs w:val="18"/>
                <w:color w:val="auto"/>
              </w:rPr>
              <w:t>during the twelve weeks ended September 12, 2014</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64,576</w:t>
            </w:r>
          </w:p>
        </w:tc>
        <w:tc>
          <w:tcPr>
            <w:tcW w:w="200" w:type="dxa"/>
            <w:vAlign w:val="bottom"/>
          </w:tcPr>
          <w:p>
            <w:pPr>
              <w:spacing w:after="0"/>
              <w:rPr>
                <w:sz w:val="20"/>
                <w:szCs w:val="20"/>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7,027</w:t>
            </w:r>
          </w:p>
        </w:tc>
        <w:tc>
          <w:tcPr>
            <w:tcW w:w="20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71,603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Average investment in vacation ownership notes receivable on non-accrual status</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during the thirty-six weeks ended September 11, 2015</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56,397</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6,570</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62,967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320" w:type="dxa"/>
            <w:vAlign w:val="bottom"/>
          </w:tcPr>
          <w:p>
            <w:pPr>
              <w:spacing w:after="0" w:line="201" w:lineRule="exact"/>
              <w:rPr>
                <w:sz w:val="20"/>
                <w:szCs w:val="20"/>
                <w:color w:val="auto"/>
              </w:rPr>
            </w:pPr>
            <w:r>
              <w:rPr>
                <w:rFonts w:ascii="Arial" w:cs="Arial" w:eastAsia="Arial" w:hAnsi="Arial"/>
                <w:sz w:val="18"/>
                <w:szCs w:val="18"/>
                <w:color w:val="auto"/>
                <w:w w:val="96"/>
              </w:rPr>
              <w:t>Average investment in vacation ownership notes receivable on non-accrual status</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80"/>
              <w:spacing w:after="0"/>
              <w:rPr>
                <w:sz w:val="20"/>
                <w:szCs w:val="20"/>
                <w:color w:val="auto"/>
              </w:rPr>
            </w:pPr>
            <w:r>
              <w:rPr>
                <w:rFonts w:ascii="Arial" w:cs="Arial" w:eastAsia="Arial" w:hAnsi="Arial"/>
                <w:sz w:val="18"/>
                <w:szCs w:val="18"/>
                <w:color w:val="auto"/>
              </w:rPr>
              <w:t>during the thirty-six weeks ended September 12, 2014</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65,857</w:t>
            </w:r>
          </w:p>
        </w:tc>
        <w:tc>
          <w:tcPr>
            <w:tcW w:w="200" w:type="dxa"/>
            <w:vAlign w:val="bottom"/>
          </w:tcPr>
          <w:p>
            <w:pPr>
              <w:spacing w:after="0"/>
              <w:rPr>
                <w:sz w:val="20"/>
                <w:szCs w:val="20"/>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7,022</w:t>
            </w:r>
          </w:p>
        </w:tc>
        <w:tc>
          <w:tcPr>
            <w:tcW w:w="20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72,879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2015:</w:t>
      </w:r>
    </w:p>
    <w:p>
      <w:pPr>
        <w:spacing w:after="0" w:line="9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Non-Securitized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Securitized</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Vacation Ownership</w:t>
            </w:r>
          </w:p>
        </w:tc>
        <w:tc>
          <w:tcPr>
            <w:tcW w:w="20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Vacation Ownership</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w w:val="96"/>
              </w:rPr>
              <w:t>Notes Receivable</w:t>
            </w: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Notes Receivable</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31</w:t>
            </w:r>
          </w:p>
        </w:tc>
        <w:tc>
          <w:tcPr>
            <w:tcW w:w="5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90 days past due</w:t>
            </w:r>
          </w:p>
        </w:tc>
        <w:tc>
          <w:tcPr>
            <w:tcW w:w="3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7,444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15,482</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22,926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91</w:t>
            </w:r>
          </w:p>
        </w:tc>
        <w:tc>
          <w:tcPr>
            <w:tcW w:w="5200" w:type="dxa"/>
            <w:vAlign w:val="bottom"/>
          </w:tcPr>
          <w:p>
            <w:pPr>
              <w:ind w:left="40"/>
              <w:spacing w:after="0"/>
              <w:rPr>
                <w:sz w:val="20"/>
                <w:szCs w:val="20"/>
                <w:color w:val="auto"/>
              </w:rPr>
            </w:pPr>
            <w:r>
              <w:rPr>
                <w:rFonts w:ascii="Arial" w:cs="Arial" w:eastAsia="Arial" w:hAnsi="Arial"/>
                <w:sz w:val="18"/>
                <w:szCs w:val="18"/>
                <w:color w:val="auto"/>
              </w:rPr>
              <w:t>– 150 days past due</w:t>
            </w:r>
          </w:p>
        </w:tc>
        <w:tc>
          <w:tcPr>
            <w:tcW w:w="32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5,103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5,351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10,454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47,417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616</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48,033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400" w:type="dxa"/>
            <w:vAlign w:val="bottom"/>
            <w:gridSpan w:val="2"/>
          </w:tcPr>
          <w:p>
            <w:pPr>
              <w:spacing w:after="0"/>
              <w:rPr>
                <w:sz w:val="20"/>
                <w:szCs w:val="20"/>
                <w:color w:val="auto"/>
              </w:rPr>
            </w:pPr>
            <w:r>
              <w:rPr>
                <w:rFonts w:ascii="Arial" w:cs="Arial" w:eastAsia="Arial" w:hAnsi="Arial"/>
                <w:sz w:val="18"/>
                <w:szCs w:val="18"/>
                <w:color w:val="auto"/>
              </w:rPr>
              <w:t>Total past due</w:t>
            </w:r>
          </w:p>
        </w:tc>
        <w:tc>
          <w:tcPr>
            <w:tcW w:w="320" w:type="dxa"/>
            <w:vAlign w:val="bottom"/>
          </w:tcPr>
          <w:p>
            <w:pPr>
              <w:spacing w:after="0"/>
              <w:rPr>
                <w:sz w:val="24"/>
                <w:szCs w:val="24"/>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59,964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21,449</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81,413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181,162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733,074</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914,236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400" w:type="dxa"/>
            <w:vAlign w:val="bottom"/>
            <w:gridSpan w:val="2"/>
          </w:tcPr>
          <w:p>
            <w:pPr>
              <w:spacing w:after="0"/>
              <w:rPr>
                <w:sz w:val="20"/>
                <w:szCs w:val="20"/>
                <w:color w:val="auto"/>
              </w:rPr>
            </w:pPr>
            <w:r>
              <w:rPr>
                <w:rFonts w:ascii="Arial" w:cs="Arial" w:eastAsia="Arial" w:hAnsi="Arial"/>
                <w:sz w:val="18"/>
                <w:szCs w:val="18"/>
                <w:color w:val="auto"/>
              </w:rPr>
              <w:t>Total vacation ownership notes receivable</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241,126</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754,523</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995,649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2, 2015:</w:t>
      </w:r>
    </w:p>
    <w:p>
      <w:pPr>
        <w:spacing w:after="0" w:line="9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Non-Securitized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Securitized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Vacation Ownership</w:t>
            </w:r>
          </w:p>
        </w:tc>
        <w:tc>
          <w:tcPr>
            <w:tcW w:w="200" w:type="dxa"/>
            <w:vAlign w:val="bottom"/>
          </w:tcPr>
          <w:p>
            <w:pPr>
              <w:spacing w:after="0"/>
              <w:rPr>
                <w:sz w:val="12"/>
                <w:szCs w:val="12"/>
                <w:color w:val="auto"/>
              </w:rPr>
            </w:pP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Vacation Ownership</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54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w w:val="96"/>
              </w:rPr>
              <w:t>Notes Receivable</w:t>
            </w: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Notes Receivable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31 – 90 days past due</w:t>
            </w:r>
          </w:p>
        </w:tc>
        <w:tc>
          <w:tcPr>
            <w:tcW w:w="1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8,330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22,544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30,874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91 – 150 days past due</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6,101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7,003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13,104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15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54,174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54,343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860" w:type="dxa"/>
            <w:vAlign w:val="bottom"/>
          </w:tcPr>
          <w:p>
            <w:pPr>
              <w:spacing w:after="0"/>
              <w:rPr>
                <w:sz w:val="20"/>
                <w:szCs w:val="20"/>
                <w:color w:val="auto"/>
              </w:rPr>
            </w:pPr>
            <w:r>
              <w:rPr>
                <w:rFonts w:ascii="Arial" w:cs="Arial" w:eastAsia="Arial" w:hAnsi="Arial"/>
                <w:sz w:val="18"/>
                <w:szCs w:val="18"/>
                <w:color w:val="auto"/>
              </w:rPr>
              <w:t>Total past due</w:t>
            </w: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68,605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29,716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98,321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5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162,695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774,630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937,325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860" w:type="dxa"/>
            <w:vAlign w:val="bottom"/>
          </w:tcPr>
          <w:p>
            <w:pPr>
              <w:spacing w:after="0"/>
              <w:rPr>
                <w:sz w:val="20"/>
                <w:szCs w:val="20"/>
                <w:color w:val="auto"/>
              </w:rPr>
            </w:pPr>
            <w:r>
              <w:rPr>
                <w:rFonts w:ascii="Arial" w:cs="Arial" w:eastAsia="Arial" w:hAnsi="Arial"/>
                <w:sz w:val="18"/>
                <w:szCs w:val="18"/>
                <w:color w:val="auto"/>
              </w:rPr>
              <w:t>Total vacation ownership notes receivable</w:t>
            </w:r>
          </w:p>
        </w:tc>
        <w:tc>
          <w:tcPr>
            <w:tcW w:w="186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231,300</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804,346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w w:val="89"/>
              </w:rPr>
              <w:t>1,035,646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540" w:type="dxa"/>
            <w:vAlign w:val="bottom"/>
            <w:vMerge w:val="restart"/>
          </w:tcPr>
          <w:p>
            <w:pPr>
              <w:jc w:val="right"/>
              <w:ind w:right="430"/>
              <w:spacing w:after="0"/>
              <w:rPr>
                <w:sz w:val="20"/>
                <w:szCs w:val="20"/>
                <w:color w:val="auto"/>
              </w:rPr>
            </w:pPr>
            <w:r>
              <w:rPr>
                <w:rFonts w:ascii="Arial" w:cs="Arial" w:eastAsia="Arial" w:hAnsi="Arial"/>
                <w:sz w:val="18"/>
                <w:szCs w:val="18"/>
                <w:color w:val="auto"/>
              </w:rPr>
              <w:t>10</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w:t>
      </w:r>
    </w:p>
    <w:p>
      <w:pPr>
        <w:spacing w:after="0" w:line="12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Accounts payable, Advance deposits and Accrued liabilities, all of which had fair values approximating their carrying amounts due to the short maturities and liquidity of these instruments.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At September 11, 2015</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5"/>
          </w:tcPr>
          <w:p>
            <w:pPr>
              <w:ind w:left="440"/>
              <w:spacing w:after="0"/>
              <w:rPr>
                <w:sz w:val="20"/>
                <w:szCs w:val="20"/>
                <w:color w:val="auto"/>
              </w:rPr>
            </w:pPr>
            <w:r>
              <w:rPr>
                <w:rFonts w:ascii="Arial" w:cs="Arial" w:eastAsia="Arial" w:hAnsi="Arial"/>
                <w:sz w:val="14"/>
                <w:szCs w:val="14"/>
                <w:b w:val="1"/>
                <w:bCs w:val="1"/>
                <w:color w:val="auto"/>
              </w:rPr>
              <w:t>At January 2, 2015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95"/>
              <w:spacing w:after="0" w:line="119" w:lineRule="exact"/>
              <w:rPr>
                <w:sz w:val="20"/>
                <w:szCs w:val="20"/>
                <w:color w:val="auto"/>
              </w:rPr>
            </w:pPr>
            <w:r>
              <w:rPr>
                <w:rFonts w:ascii="Arial" w:cs="Arial" w:eastAsia="Arial" w:hAnsi="Arial"/>
                <w:sz w:val="13"/>
                <w:szCs w:val="13"/>
                <w:b w:val="1"/>
                <w:bCs w:val="1"/>
                <w:color w:val="auto"/>
              </w:rPr>
              <w:t>Carrying</w:t>
            </w: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353"/>
              <w:spacing w:after="0" w:line="119" w:lineRule="exact"/>
              <w:rPr>
                <w:sz w:val="20"/>
                <w:szCs w:val="20"/>
                <w:color w:val="auto"/>
              </w:rPr>
            </w:pPr>
            <w:r>
              <w:rPr>
                <w:rFonts w:ascii="Arial" w:cs="Arial" w:eastAsia="Arial" w:hAnsi="Arial"/>
                <w:sz w:val="13"/>
                <w:szCs w:val="13"/>
                <w:b w:val="1"/>
                <w:bCs w:val="1"/>
                <w:color w:val="auto"/>
              </w:rPr>
              <w:t>Fair</w:t>
            </w: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95"/>
              <w:spacing w:after="0" w:line="119" w:lineRule="exact"/>
              <w:rPr>
                <w:sz w:val="20"/>
                <w:szCs w:val="20"/>
                <w:color w:val="auto"/>
              </w:rPr>
            </w:pPr>
            <w:r>
              <w:rPr>
                <w:rFonts w:ascii="Arial" w:cs="Arial" w:eastAsia="Arial" w:hAnsi="Arial"/>
                <w:sz w:val="13"/>
                <w:szCs w:val="13"/>
                <w:b w:val="1"/>
                <w:bCs w:val="1"/>
                <w:color w:val="auto"/>
              </w:rPr>
              <w:t>Carrying</w:t>
            </w: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9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14"/>
                <w:szCs w:val="14"/>
                <w:color w:val="auto"/>
              </w:rPr>
            </w:pPr>
          </w:p>
        </w:tc>
        <w:tc>
          <w:tcPr>
            <w:tcW w:w="920" w:type="dxa"/>
            <w:vAlign w:val="bottom"/>
          </w:tcPr>
          <w:p>
            <w:pPr>
              <w:jc w:val="right"/>
              <w:ind w:right="23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33"/>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35"/>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Vacation ownership notes receivable</w:t>
            </w: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Securitized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5"/>
              <w:spacing w:after="0"/>
              <w:rPr>
                <w:sz w:val="20"/>
                <w:szCs w:val="20"/>
                <w:color w:val="auto"/>
              </w:rPr>
            </w:pPr>
            <w:r>
              <w:rPr>
                <w:rFonts w:ascii="Arial" w:cs="Arial" w:eastAsia="Arial" w:hAnsi="Arial"/>
                <w:sz w:val="18"/>
                <w:szCs w:val="18"/>
                <w:color w:val="auto"/>
              </w:rPr>
              <w:t>704,349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861,004</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5"/>
              <w:spacing w:after="0"/>
              <w:rPr>
                <w:sz w:val="20"/>
                <w:szCs w:val="20"/>
                <w:color w:val="auto"/>
              </w:rPr>
            </w:pPr>
            <w:r>
              <w:rPr>
                <w:rFonts w:ascii="Arial" w:cs="Arial" w:eastAsia="Arial" w:hAnsi="Arial"/>
                <w:sz w:val="18"/>
                <w:szCs w:val="18"/>
                <w:color w:val="auto"/>
              </w:rPr>
              <w:t>750,680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909,391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Non-securitized</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183,107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191,387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166,548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172,103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Derivative instruments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1,068</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1,068</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888,524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9"/>
              </w:rPr>
              <w:t>1,053,459</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917,228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7"/>
              </w:rPr>
              <w:t>1,081,494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Non-recourse debt associated with vacation ownership notes receivable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securitizations, gross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5"/>
              <w:spacing w:after="0"/>
              <w:rPr>
                <w:sz w:val="20"/>
                <w:szCs w:val="20"/>
                <w:color w:val="auto"/>
              </w:rPr>
            </w:pPr>
            <w:r>
              <w:rPr>
                <w:rFonts w:ascii="Arial" w:cs="Arial" w:eastAsia="Arial" w:hAnsi="Arial"/>
                <w:sz w:val="18"/>
                <w:szCs w:val="18"/>
                <w:color w:val="auto"/>
                <w:w w:val="93"/>
              </w:rPr>
              <w:t>(776,648)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w w:val="98"/>
              </w:rPr>
              <w:t>(780,427)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5"/>
              <w:spacing w:after="0"/>
              <w:rPr>
                <w:sz w:val="20"/>
                <w:szCs w:val="20"/>
                <w:color w:val="auto"/>
              </w:rPr>
            </w:pPr>
            <w:r>
              <w:rPr>
                <w:rFonts w:ascii="Arial" w:cs="Arial" w:eastAsia="Arial" w:hAnsi="Arial"/>
                <w:sz w:val="18"/>
                <w:szCs w:val="18"/>
                <w:color w:val="auto"/>
                <w:w w:val="93"/>
              </w:rPr>
              <w:t>(708,031)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w w:val="95"/>
              </w:rPr>
              <w:t>(712,977)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debt, gross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(3,519)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(3,519)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(3,306)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Mandatorily redeemable preferred stock of consolidated subsidiary, gross</w:t>
            </w:r>
          </w:p>
        </w:tc>
        <w:tc>
          <w:tcPr>
            <w:tcW w:w="220" w:type="dxa"/>
            <w:vAlign w:val="bottom"/>
          </w:tcPr>
          <w:p>
            <w:pPr>
              <w:spacing w:after="0"/>
              <w:rPr>
                <w:sz w:val="18"/>
                <w:szCs w:val="18"/>
                <w:color w:val="auto"/>
              </w:rPr>
            </w:pP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(42,562)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(40,000)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(43,837)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Liability for Marriott Rewards customer loyalty program</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(73,904)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(66,605)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(89,285)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(80,448)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(4,205)</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(4,205)</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(4,118)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liabilities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3"/>
              </w:rPr>
              <w:t>(898,276)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8"/>
              </w:rPr>
              <w:t>(897,318)</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3"/>
              </w:rPr>
              <w:t>(844,740)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5"/>
              </w:rPr>
              <w:t>(844,686)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576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68" w:lineRule="exact"/>
        <w:rPr>
          <w:sz w:val="20"/>
          <w:szCs w:val="20"/>
          <w:color w:val="auto"/>
        </w:rPr>
      </w:pPr>
    </w:p>
    <w:p>
      <w:pPr>
        <w:ind w:left="460" w:right="360" w:hanging="452"/>
        <w:spacing w:after="0" w:line="277"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Fair value of financial instruments, with the exception of derivative instruments, has been determined using Level 3 inputs. Fair value of derivative instruments has been determined using Level 2 inputs.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w:t>
      </w:r>
    </w:p>
    <w:p>
      <w:pPr>
        <w:spacing w:after="0" w:line="117" w:lineRule="exact"/>
        <w:rPr>
          <w:sz w:val="20"/>
          <w:szCs w:val="20"/>
          <w:color w:val="auto"/>
        </w:rPr>
      </w:pPr>
    </w:p>
    <w:p>
      <w:pPr>
        <w:ind w:right="220" w:firstLine="913"/>
        <w:spacing w:after="0" w:line="279" w:lineRule="auto"/>
        <w:rPr>
          <w:sz w:val="20"/>
          <w:szCs w:val="20"/>
          <w:color w:val="auto"/>
        </w:rPr>
      </w:pPr>
      <w:r>
        <w:rPr>
          <w:rFonts w:ascii="Arial" w:cs="Arial" w:eastAsia="Arial" w:hAnsi="Arial"/>
          <w:sz w:val="17"/>
          <w:szCs w:val="17"/>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 the fair value of the underlying vacation ownership notes receivable.</w:t>
      </w:r>
    </w:p>
    <w:p>
      <w:pPr>
        <w:spacing w:after="0" w:line="63"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Due to factors that impact the general marketability of our non-securitized vacation ownership notes receivable, as well as current market conditions, we bifurcate our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Europe or Asia.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The following table shows the bifurcation of our non-securitized vacation ownership notes receivable into those eligible and not eligible for securitization based upon the aforementioned eligibility criteria:</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638"/>
              <w:spacing w:after="0"/>
              <w:rPr>
                <w:sz w:val="20"/>
                <w:szCs w:val="20"/>
                <w:color w:val="auto"/>
              </w:rPr>
            </w:pPr>
            <w:r>
              <w:rPr>
                <w:rFonts w:ascii="Arial" w:cs="Arial" w:eastAsia="Arial" w:hAnsi="Arial"/>
                <w:sz w:val="14"/>
                <w:szCs w:val="14"/>
                <w:b w:val="1"/>
                <w:bCs w:val="1"/>
                <w:color w:val="auto"/>
              </w:rPr>
              <w:t>At September 11, 2015</w:t>
            </w: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At January 2, 2015</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5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right"/>
              <w:ind w:right="200"/>
              <w:spacing w:after="0" w:line="119" w:lineRule="exact"/>
              <w:rPr>
                <w:sz w:val="20"/>
                <w:szCs w:val="20"/>
                <w:color w:val="auto"/>
              </w:rPr>
            </w:pPr>
            <w:r>
              <w:rPr>
                <w:rFonts w:ascii="Arial" w:cs="Arial" w:eastAsia="Arial" w:hAnsi="Arial"/>
                <w:sz w:val="13"/>
                <w:szCs w:val="13"/>
                <w:b w:val="1"/>
                <w:bCs w:val="1"/>
                <w:color w:val="auto"/>
              </w:rPr>
              <w:t>Carrying</w:t>
            </w: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ind w:right="358"/>
              <w:spacing w:after="0" w:line="119" w:lineRule="exact"/>
              <w:rPr>
                <w:sz w:val="20"/>
                <w:szCs w:val="20"/>
                <w:color w:val="auto"/>
              </w:rPr>
            </w:pPr>
            <w:r>
              <w:rPr>
                <w:rFonts w:ascii="Arial" w:cs="Arial" w:eastAsia="Arial" w:hAnsi="Arial"/>
                <w:sz w:val="13"/>
                <w:szCs w:val="13"/>
                <w:b w:val="1"/>
                <w:bCs w:val="1"/>
                <w:color w:val="auto"/>
              </w:rPr>
              <w:t>Fair</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ind w:right="220"/>
              <w:spacing w:after="0" w:line="119" w:lineRule="exact"/>
              <w:rPr>
                <w:sz w:val="20"/>
                <w:szCs w:val="20"/>
                <w:color w:val="auto"/>
              </w:rPr>
            </w:pPr>
            <w:r>
              <w:rPr>
                <w:rFonts w:ascii="Arial" w:cs="Arial" w:eastAsia="Arial" w:hAnsi="Arial"/>
                <w:sz w:val="13"/>
                <w:szCs w:val="13"/>
                <w:b w:val="1"/>
                <w:bCs w:val="1"/>
                <w:color w:val="auto"/>
              </w:rPr>
              <w:t>Carrying</w:t>
            </w: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jc w:val="center"/>
              <w:ind w:right="238"/>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r>
      <w:tr>
        <w:trPr>
          <w:trHeight w:val="171"/>
        </w:trPr>
        <w:tc>
          <w:tcPr>
            <w:tcW w:w="526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Pr>
          <w:p>
            <w:pPr>
              <w:spacing w:after="0"/>
              <w:rPr>
                <w:sz w:val="14"/>
                <w:szCs w:val="14"/>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18"/>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Vacation ownership notes receivable</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 xml:space="preserve">Eligible for securitization </w:t>
            </w:r>
            <w:r>
              <w:rPr>
                <w:rFonts w:ascii="Arial" w:cs="Arial" w:eastAsia="Arial" w:hAnsi="Arial"/>
                <w:sz w:val="15"/>
                <w:szCs w:val="15"/>
                <w:color w:val="auto"/>
              </w:rPr>
              <w:t>(1)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0"/>
              <w:spacing w:after="0"/>
              <w:rPr>
                <w:sz w:val="20"/>
                <w:szCs w:val="20"/>
                <w:color w:val="auto"/>
              </w:rPr>
            </w:pPr>
            <w:r>
              <w:rPr>
                <w:rFonts w:ascii="Arial" w:cs="Arial" w:eastAsia="Arial" w:hAnsi="Arial"/>
                <w:sz w:val="18"/>
                <w:szCs w:val="18"/>
                <w:color w:val="auto"/>
              </w:rPr>
              <w:t>34,426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8"/>
              <w:spacing w:after="0"/>
              <w:rPr>
                <w:sz w:val="20"/>
                <w:szCs w:val="20"/>
                <w:color w:val="auto"/>
              </w:rPr>
            </w:pPr>
            <w:r>
              <w:rPr>
                <w:rFonts w:ascii="Arial" w:cs="Arial" w:eastAsia="Arial" w:hAnsi="Arial"/>
                <w:sz w:val="18"/>
                <w:szCs w:val="18"/>
                <w:color w:val="auto"/>
              </w:rPr>
              <w:t>42,706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40"/>
              <w:spacing w:after="0"/>
              <w:rPr>
                <w:sz w:val="20"/>
                <w:szCs w:val="20"/>
                <w:color w:val="auto"/>
              </w:rPr>
            </w:pPr>
            <w:r>
              <w:rPr>
                <w:rFonts w:ascii="Arial" w:cs="Arial" w:eastAsia="Arial" w:hAnsi="Arial"/>
                <w:sz w:val="18"/>
                <w:szCs w:val="18"/>
                <w:color w:val="auto"/>
              </w:rPr>
              <w:t>24,194</w:t>
            </w:r>
          </w:p>
        </w:tc>
        <w:tc>
          <w:tcPr>
            <w:tcW w:w="8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8"/>
              <w:spacing w:after="0"/>
              <w:rPr>
                <w:sz w:val="20"/>
                <w:szCs w:val="20"/>
                <w:color w:val="auto"/>
              </w:rPr>
            </w:pPr>
            <w:r>
              <w:rPr>
                <w:rFonts w:ascii="Arial" w:cs="Arial" w:eastAsia="Arial" w:hAnsi="Arial"/>
                <w:sz w:val="18"/>
                <w:szCs w:val="18"/>
                <w:color w:val="auto"/>
              </w:rPr>
              <w:t>29,749</w:t>
            </w:r>
          </w:p>
        </w:tc>
        <w:tc>
          <w:tcPr>
            <w:tcW w:w="60" w:type="dxa"/>
            <w:vAlign w:val="bottom"/>
          </w:tcPr>
          <w:p>
            <w:pPr>
              <w:spacing w:after="0"/>
              <w:rPr>
                <w:sz w:val="18"/>
                <w:szCs w:val="18"/>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 eligible for securitization</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8"/>
                <w:szCs w:val="18"/>
                <w:color w:val="auto"/>
              </w:rPr>
              <w:t>148,681</w:t>
            </w:r>
          </w:p>
        </w:tc>
        <w:tc>
          <w:tcPr>
            <w:tcW w:w="5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98"/>
              </w:rPr>
              <w:t>148,681</w:t>
            </w:r>
          </w:p>
        </w:tc>
        <w:tc>
          <w:tcPr>
            <w:tcW w:w="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8"/>
                <w:szCs w:val="18"/>
                <w:color w:val="auto"/>
              </w:rPr>
              <w:t>142,354</w:t>
            </w:r>
          </w:p>
        </w:tc>
        <w:tc>
          <w:tcPr>
            <w:tcW w:w="5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86"/>
              </w:rPr>
              <w:t>142,354</w:t>
            </w:r>
          </w:p>
        </w:tc>
        <w:tc>
          <w:tcPr>
            <w:tcW w:w="60" w:type="dxa"/>
            <w:vAlign w:val="bottom"/>
            <w:shd w:val="clear" w:color="auto" w:fill="CCEEFF"/>
          </w:tcPr>
          <w:p>
            <w:pPr>
              <w:spacing w:after="0"/>
              <w:rPr>
                <w:sz w:val="18"/>
                <w:szCs w:val="18"/>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Total non-securitized</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183,107</w:t>
            </w:r>
          </w:p>
        </w:tc>
        <w:tc>
          <w:tcPr>
            <w:tcW w:w="52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w w:val="98"/>
              </w:rPr>
              <w:t>191,387</w:t>
            </w:r>
          </w:p>
        </w:tc>
        <w:tc>
          <w:tcPr>
            <w:tcW w:w="52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166,548</w:t>
            </w:r>
          </w:p>
        </w:tc>
        <w:tc>
          <w:tcPr>
            <w:tcW w:w="520" w:type="dxa"/>
            <w:vAlign w:val="bottom"/>
          </w:tcPr>
          <w:p>
            <w:pPr>
              <w:spacing w:after="0"/>
              <w:rPr>
                <w:sz w:val="19"/>
                <w:szCs w:val="19"/>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w w:val="86"/>
              </w:rPr>
              <w:t>172,103</w:t>
            </w:r>
          </w:p>
        </w:tc>
        <w:tc>
          <w:tcPr>
            <w:tcW w:w="6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576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68" w:lineRule="exact"/>
        <w:rPr>
          <w:sz w:val="20"/>
          <w:szCs w:val="20"/>
          <w:color w:val="auto"/>
        </w:rPr>
      </w:pPr>
    </w:p>
    <w:p>
      <w:pPr>
        <w:ind w:left="460" w:right="340" w:hanging="452"/>
        <w:spacing w:after="0" w:line="286"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7"/>
          <w:szCs w:val="17"/>
          <w:color w:val="auto"/>
        </w:rPr>
        <w:t>We expect that these vacation ownership notes receivable will be purchased by the 2015-1 Trust prior to December 31, 2015 in accordance with the terms of the securitization transaction completed in the third quarter of 2015. Refer to Footnote No. 9, “Debt,” for discussion of the terms of this securitization transaction and the purchase of additional vacation ownership notes receivable by the 2015-1 Trust.</w:t>
      </w:r>
    </w:p>
    <w:p>
      <w:pPr>
        <w:spacing w:after="0" w:line="57"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We estimate the fair value of the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and loan terms.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117"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During 2015, we entered into a foreign exchange forward contract to hedge the risks associated with a forecasted transaction anticipated to be denominated in a foreign currency. We do not apply hedge accounting to this derivative instrument, and therefore it is marked to market. The fair value of the contract is determined using indicative foreign currency exchange rates from public market data, which are considered Level 2 fair value inputs.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Vacation Ownership Notes Receivable</w:t>
      </w:r>
    </w:p>
    <w:p>
      <w:pPr>
        <w:spacing w:after="0" w:line="117"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Mandatorily Redeemable Preferred Stock of Consolidated Subsidiary</w:t>
      </w:r>
    </w:p>
    <w:p>
      <w:pPr>
        <w:spacing w:after="0" w:line="117"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We estimate the fair value of the mandatorily redeemable preferred stock of our consolidated subsidiary using a discounted cash flow model. We believe this is comparable to the model that an independent third party would use in the current market. Our model includes an assessment of our subsidiary’s credit risk and the instrument’s contractual dividend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for Marriott Rewards Customer Loyalty Program</w:t>
      </w:r>
    </w:p>
    <w:p>
      <w:pPr>
        <w:spacing w:after="0" w:line="117"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We determine the carrying value of the future redemption obligation of our liability for the Marriott Rewards customer loyalty program based on statistical formulas that project the timing of future redemption of Marriott Rewards Points based on historical levels, including estimates of the number of Marriott Rewards Points that will eventually be redeemed and the “breakage” for points that will never be redeemed. We estimate the fair value of the future redemption obligation by adjusting the contractual discount rate to an estimate of that of a market participant with similar nonperformance risk.</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Liabilities</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We estimate the fair value of our other liabilities that are financial instruments using expected future payments discounted at risk-adjusted rates. These liabilities represent guarantee costs and other structured payments. The carrying values of our financial instruments within Other liabilities approximate their fair values.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 AND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Surfers Paradise, Australia</w:t>
      </w:r>
    </w:p>
    <w:p>
      <w:pPr>
        <w:spacing w:after="0" w:line="11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During the third quarter of 2015, we completed the acquisition of an operating hotel located in Surfers Paradise, Australia, for AUD $84.5 million ($62.3 million). The acquisition was treated as a business combination and accounted for using the acquisition method of accounting. As such, all transaction costs were expensed as incurred and have been included in the “Other” line of our Statements of Income. As consideration for the acquisition, we paid AUD $82.6 million ($61.0 million) in cash and assumed net liabilities of AUD $1.9 million ($1.3 million), which was allocated based on the fair value at the date of acquisition as follows: AUD $28.9 million ($21.3 million) to land, AUD $49.5 million ($36.5 million) to buildings and leasehold improvements and AUD $6.1 million ($4.5 million) to furniture and equipment. Fair value was determined using an independent appraisal, which was primarily based on a discounted cash flow model, a Level 3 fair value input. We intend to convert a portion of this hotel, which the related portion of the purchase price is classified as an operating activity on our Cash Flows, in the near term into vacation ownership interests for future use in our Asia Pacific segment, and to sell the remaining downsized hotel, which the related portion of the purchase price is classified as an investing activity on our Cash Flows, to a third party.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Washington, D.C.</w:t>
      </w:r>
    </w:p>
    <w:p>
      <w:pPr>
        <w:spacing w:after="0" w:line="117"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During the third quarter of 2015, we completed the acquisition of 71 rooms at The Mayflower Hotel, Autograph Collection, an operating hotel located in Washington, D.C., for $32.0 million. The asset acquisition was treated as a purchase of inventory and we intend to include these vacation ownership units, in their current form, in our North America points-based program, Marriott Vacation Club Destinations ™ (“MVCD”) program in the near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Diego, California</w:t>
      </w:r>
    </w:p>
    <w:p>
      <w:pPr>
        <w:spacing w:after="0" w:line="117"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During the first quarter of 2015, we completed the acquisition of an operating hotel located in San Diego, California, for $55.0 million. The acquisition was treated as a business combination and accounted for using the acquisition method of accounting. As consideration for the acquisition, we paid $55.0 million in cash, which was allocated based on the fair value at the date of acquisition as follows: $54.3 million to property and equipment and $0.7 million to other assets. Fair value was determined using an independent appraisal, which was primarily based on a discounted cash flow model, a Level 3 fair value input. We intend to convert this hotel in the near term into vacation ownership interests for future use in our MVCD program. In order to ensure consistency with the expected related future cash flow presentation, $46.6 million of the cash purchase price allocated to property and equipment was included as an operating activity in the Purchase of operating hotels for future conversion to inventory line on our Cash Flows for the thirty-six weeks ended September 11, 2015. The remaining $7.7 million was included as an investing activity in the Capital expenditures for property and equipment line on our Cash Flows for the thirty-six weeks ended September 11, 2015, as it was allocated to assets to be used prior to conversion of the hotel to vacation ownership interests, as well as ancillary and sales center assets to be retained after the conversion.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Kauai, Hawaii</w:t>
      </w:r>
    </w:p>
    <w:p>
      <w:pPr>
        <w:spacing w:after="0" w:line="117" w:lineRule="exact"/>
        <w:rPr>
          <w:sz w:val="20"/>
          <w:szCs w:val="20"/>
          <w:color w:val="auto"/>
        </w:rPr>
      </w:pPr>
    </w:p>
    <w:p>
      <w:pPr>
        <w:ind w:right="180" w:firstLine="913"/>
        <w:spacing w:after="0" w:line="293" w:lineRule="auto"/>
        <w:rPr>
          <w:sz w:val="20"/>
          <w:szCs w:val="20"/>
          <w:color w:val="auto"/>
        </w:rPr>
      </w:pPr>
      <w:r>
        <w:rPr>
          <w:rFonts w:ascii="Arial" w:cs="Arial" w:eastAsia="Arial" w:hAnsi="Arial"/>
          <w:sz w:val="16"/>
          <w:szCs w:val="16"/>
          <w:color w:val="auto"/>
        </w:rPr>
        <w:t>During the second quarter of 2015, we completed the sale of the remaining portion of our undeveloped land in Kauai, Hawaii for gross cash proceeds of $20.0 million. We accounted for the sale under the full accrual method in accordance with the authoritative guidance on accounting for sales of real estate and recorded a gain of $8.7 million, which is included in the (Losses) gains and other (expense) income line on our Statements of Income for the twelve and thirty-six weeks ended September 11, 2015. As a result of this sale, we have completed the transactions, a portion of which was completed in 2014, contemplated by the purchase and sale agreement that we entered into during the second quarter of 2014 providing for the sale of undeveloped and partially developed land, an operating golf course and related assets in Kauai, Hawaii for $60.0 million in gross cash proceeds.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Marco Island, Florida</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During the first quarter of 2015, we sold real property located in Marco Island, Florida, consisting of $3.1 million of vacation ownership inventory, to a third-party developer. We received consideration consisting of $5.4 million of cash and a note receivable of $0.5 million. We did not recognize any gain or loss on this transaction.</w:t>
      </w:r>
    </w:p>
    <w:p>
      <w:pPr>
        <w:spacing w:after="0" w:line="73"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In accordance with our agreement with the third-party developer, we are obligated to repurchase the completed property from the developer contingent upon the property meeting our brand standards, provided that the third-party developer has not sold the property to another party. In accordance with the authoritative guidance on accounting for sales of real estate, our conditional obligation to repurchase the property constitutes continuing involvement and thus we were unable to account for this transaction as a sale. The property was sold to a variable interest entity for which we are not the primary beneficiary as we do not control the variable interest entity’s development activities and cannot prevent the variable interest entity from selling the property to another party. Accordingly, we have not consolidated the variable interest entity.</w:t>
      </w:r>
    </w:p>
    <w:p>
      <w:pPr>
        <w:spacing w:after="0" w:line="70"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color w:val="auto"/>
        </w:rPr>
        <w:t>As of September 11, 2015, our Balance Sheet reflects $7.0 million of Other liabilities that relate to the deferral of gain recognition for this transaction, which will reduce our basis in the asset if we repurchase the property. In addition, the note receivable of $0.5 million and other receivables of $0.2 million are included in the Accounts and contracts receivable line on the Balance Sheet as of September 11, 2015. The cash consideration received for the sale of the real property is included in Proceeds from vacation ownership inventory arrangements on our Cash Flows for the thirty-six weeks ended September 11, 2015. We believe that our maximum exposure to loss as a result of our involvement with this variable interest entity is our interest in the note receivable and the other receivables discussed above as of September 11,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Orlando, Florida</w:t>
      </w:r>
    </w:p>
    <w:p>
      <w:pPr>
        <w:spacing w:after="0" w:line="117"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During the first quarter of 2014, we disposed of a golf course and adjacent undeveloped land in Orlando, Florida for $24.0 million in gross cash proceeds. As a condition of the sale, we continued to operate the golf course through the end of the first quarter of 2015 at our own risk. We utilized the performance of services method to record a gain of $3.1 million over the period during which we operated the golf course, of which $0 and $0.2 million is included in the (Losses) gains and other (expense) income line on our Statements of Income for the twelve weeks ended September 11, 2015 and September 12, 2014, respectively, and $0.9 million and $1.8 million is included in the (Losses) gains and other (expense) income line on our Statements of Income for the thirty-six weeks ended September 11, 2015 and September 12, 2014, respectively.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Basic earnings per common share is calculated by dividing net income attributable to common shareholders by the weighted average number of shares of common stock outstanding during the reporting period. Treasury stock is excluded from the weighted average number of shares of common stock outstanding.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 using average market prices during the period. The table below illustrates the reconciliation of the earnings and number of shares used in our calculation of basic and diluted earnings per share.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Thirty-Six Weeks Ended</w:t>
            </w:r>
          </w:p>
        </w:tc>
      </w:tr>
      <w:tr>
        <w:trPr>
          <w:trHeight w:val="119"/>
        </w:trPr>
        <w:tc>
          <w:tcPr>
            <w:tcW w:w="6200" w:type="dxa"/>
            <w:vAlign w:val="bottom"/>
          </w:tcPr>
          <w:p>
            <w:pPr>
              <w:spacing w:after="0"/>
              <w:rPr>
                <w:sz w:val="10"/>
                <w:szCs w:val="10"/>
                <w:color w:val="auto"/>
              </w:rPr>
            </w:pPr>
          </w:p>
        </w:tc>
        <w:tc>
          <w:tcPr>
            <w:tcW w:w="1160" w:type="dxa"/>
            <w:vAlign w:val="bottom"/>
            <w:tcBorders>
              <w:top w:val="single" w:sz="8" w:color="auto"/>
            </w:tcBorders>
            <w:gridSpan w:val="2"/>
          </w:tcPr>
          <w:p>
            <w:pPr>
              <w:jc w:val="right"/>
              <w:ind w:right="53"/>
              <w:spacing w:after="0" w:line="119" w:lineRule="exact"/>
              <w:rPr>
                <w:sz w:val="20"/>
                <w:szCs w:val="20"/>
                <w:color w:val="auto"/>
              </w:rPr>
            </w:pPr>
            <w:r>
              <w:rPr>
                <w:rFonts w:ascii="Arial" w:cs="Arial" w:eastAsia="Arial" w:hAnsi="Arial"/>
                <w:sz w:val="13"/>
                <w:szCs w:val="13"/>
                <w:b w:val="1"/>
                <w:bCs w:val="1"/>
                <w:color w:val="auto"/>
              </w:rPr>
              <w:t>September 11,</w:t>
            </w: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52"/>
              <w:spacing w:after="0" w:line="119" w:lineRule="exact"/>
              <w:rPr>
                <w:sz w:val="20"/>
                <w:szCs w:val="20"/>
                <w:color w:val="auto"/>
              </w:rPr>
            </w:pPr>
            <w:r>
              <w:rPr>
                <w:rFonts w:ascii="Arial" w:cs="Arial" w:eastAsia="Arial" w:hAnsi="Arial"/>
                <w:sz w:val="13"/>
                <w:szCs w:val="13"/>
                <w:b w:val="1"/>
                <w:bCs w:val="1"/>
                <w:color w:val="auto"/>
              </w:rPr>
              <w:t>September 12,</w:t>
            </w:r>
          </w:p>
        </w:tc>
        <w:tc>
          <w:tcPr>
            <w:tcW w:w="160" w:type="dxa"/>
            <w:vAlign w:val="bottom"/>
          </w:tcPr>
          <w:p>
            <w:pPr>
              <w:spacing w:after="0"/>
              <w:rPr>
                <w:sz w:val="10"/>
                <w:szCs w:val="10"/>
                <w:color w:val="auto"/>
              </w:rPr>
            </w:pPr>
          </w:p>
        </w:tc>
        <w:tc>
          <w:tcPr>
            <w:tcW w:w="1160" w:type="dxa"/>
            <w:vAlign w:val="bottom"/>
            <w:tcBorders>
              <w:top w:val="single" w:sz="8" w:color="auto"/>
            </w:tcBorders>
            <w:gridSpan w:val="2"/>
          </w:tcPr>
          <w:p>
            <w:pPr>
              <w:jc w:val="right"/>
              <w:ind w:right="53"/>
              <w:spacing w:after="0" w:line="119" w:lineRule="exact"/>
              <w:rPr>
                <w:sz w:val="20"/>
                <w:szCs w:val="20"/>
                <w:color w:val="auto"/>
              </w:rPr>
            </w:pPr>
            <w:r>
              <w:rPr>
                <w:rFonts w:ascii="Arial" w:cs="Arial" w:eastAsia="Arial" w:hAnsi="Arial"/>
                <w:sz w:val="13"/>
                <w:szCs w:val="13"/>
                <w:b w:val="1"/>
                <w:bCs w:val="1"/>
                <w:color w:val="auto"/>
              </w:rPr>
              <w:t>September 11,</w:t>
            </w: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52"/>
              <w:spacing w:after="0" w:line="119" w:lineRule="exact"/>
              <w:rPr>
                <w:sz w:val="20"/>
                <w:szCs w:val="20"/>
                <w:color w:val="auto"/>
              </w:rPr>
            </w:pPr>
            <w:r>
              <w:rPr>
                <w:rFonts w:ascii="Arial" w:cs="Arial" w:eastAsia="Arial" w:hAnsi="Arial"/>
                <w:sz w:val="13"/>
                <w:szCs w:val="13"/>
                <w:b w:val="1"/>
                <w:bCs w:val="1"/>
                <w:color w:val="auto"/>
              </w:rPr>
              <w:t>September 12,</w:t>
            </w:r>
          </w:p>
        </w:tc>
        <w:tc>
          <w:tcPr>
            <w:tcW w:w="60" w:type="dxa"/>
            <w:vAlign w:val="bottom"/>
          </w:tcPr>
          <w:p>
            <w:pPr>
              <w:spacing w:after="0"/>
              <w:rPr>
                <w:sz w:val="10"/>
                <w:szCs w:val="10"/>
                <w:color w:val="auto"/>
              </w:rPr>
            </w:pPr>
          </w:p>
        </w:tc>
      </w:tr>
      <w:tr>
        <w:trPr>
          <w:trHeight w:val="171"/>
        </w:trPr>
        <w:tc>
          <w:tcPr>
            <w:tcW w:w="62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12"/>
                <w:szCs w:val="12"/>
                <w:b w:val="1"/>
                <w:bCs w:val="1"/>
                <w:color w:val="auto"/>
              </w:rPr>
              <w:t>(1)</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2"/>
                <w:szCs w:val="12"/>
                <w:b w:val="1"/>
                <w:bCs w:val="1"/>
                <w:color w:val="auto"/>
              </w:rPr>
              <w:t>(2)</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12"/>
                <w:szCs w:val="12"/>
                <w:b w:val="1"/>
                <w:bCs w:val="1"/>
                <w:color w:val="auto"/>
              </w:rPr>
              <w:t>(1)</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2"/>
                <w:szCs w:val="12"/>
                <w:b w:val="1"/>
                <w:bCs w:val="1"/>
                <w:color w:val="auto"/>
              </w:rPr>
              <w:t>(2)</w:t>
            </w:r>
          </w:p>
        </w:tc>
        <w:tc>
          <w:tcPr>
            <w:tcW w:w="60" w:type="dxa"/>
            <w:vAlign w:val="bottom"/>
            <w:tcBorders>
              <w:bottom w:val="single" w:sz="8" w:color="CCEEFF"/>
            </w:tcBorders>
          </w:tcPr>
          <w:p>
            <w:pPr>
              <w:spacing w:after="0"/>
              <w:rPr>
                <w:sz w:val="14"/>
                <w:szCs w:val="14"/>
                <w:color w:val="auto"/>
              </w:rPr>
            </w:pPr>
          </w:p>
        </w:tc>
      </w:tr>
      <w:tr>
        <w:trPr>
          <w:trHeight w:val="196"/>
        </w:trPr>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Computation of Basic Earnings Per Share</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21,555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25,648</w:t>
            </w:r>
          </w:p>
        </w:tc>
        <w:tc>
          <w:tcPr>
            <w:tcW w:w="44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89,650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80,259</w:t>
            </w:r>
          </w:p>
        </w:tc>
        <w:tc>
          <w:tcPr>
            <w:tcW w:w="60" w:type="dxa"/>
            <w:vAlign w:val="bottom"/>
          </w:tcPr>
          <w:p>
            <w:pPr>
              <w:spacing w:after="0"/>
              <w:rPr>
                <w:sz w:val="18"/>
                <w:szCs w:val="18"/>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31,455</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33,374</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31,870</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34,180</w:t>
            </w:r>
          </w:p>
        </w:tc>
        <w:tc>
          <w:tcPr>
            <w:tcW w:w="60" w:type="dxa"/>
            <w:vAlign w:val="bottom"/>
            <w:shd w:val="clear" w:color="auto" w:fill="CCEEFF"/>
          </w:tcPr>
          <w:p>
            <w:pPr>
              <w:spacing w:after="0"/>
              <w:rPr>
                <w:sz w:val="18"/>
                <w:szCs w:val="18"/>
                <w:color w:val="auto"/>
              </w:rPr>
            </w:pP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0.69</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0.77</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Computation of Diluted Earnings Per Share</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21,555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25,648</w:t>
            </w:r>
          </w:p>
        </w:tc>
        <w:tc>
          <w:tcPr>
            <w:tcW w:w="44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89,650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80,259</w:t>
            </w:r>
          </w:p>
        </w:tc>
        <w:tc>
          <w:tcPr>
            <w:tcW w:w="6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31,455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33,374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31,870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34,180</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Effect of dilutive shares outstanding</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Employee stock options and SARs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443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458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559</w:t>
            </w:r>
          </w:p>
        </w:tc>
        <w:tc>
          <w:tcPr>
            <w:tcW w:w="60" w:type="dxa"/>
            <w:vAlign w:val="bottom"/>
            <w:shd w:val="clear" w:color="auto" w:fill="CCEEFF"/>
          </w:tcPr>
          <w:p>
            <w:pPr>
              <w:spacing w:after="0"/>
              <w:rPr>
                <w:sz w:val="18"/>
                <w:szCs w:val="18"/>
                <w:color w:val="auto"/>
              </w:rPr>
            </w:pPr>
          </w:p>
        </w:tc>
      </w:tr>
      <w:tr>
        <w:trPr>
          <w:trHeight w:val="223"/>
        </w:trPr>
        <w:tc>
          <w:tcPr>
            <w:tcW w:w="6200" w:type="dxa"/>
            <w:vAlign w:val="bottom"/>
          </w:tcPr>
          <w:p>
            <w:pPr>
              <w:ind w:left="720"/>
              <w:spacing w:after="0"/>
              <w:rPr>
                <w:sz w:val="20"/>
                <w:szCs w:val="20"/>
                <w:color w:val="auto"/>
              </w:rPr>
            </w:pPr>
            <w:r>
              <w:rPr>
                <w:rFonts w:ascii="Arial" w:cs="Arial" w:eastAsia="Arial" w:hAnsi="Arial"/>
                <w:sz w:val="18"/>
                <w:szCs w:val="18"/>
                <w:color w:val="auto"/>
              </w:rPr>
              <w:t>Restricted stock units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422</w:t>
            </w:r>
          </w:p>
        </w:tc>
        <w:tc>
          <w:tcPr>
            <w:tcW w:w="60" w:type="dxa"/>
            <w:vAlign w:val="bottom"/>
          </w:tcPr>
          <w:p>
            <w:pPr>
              <w:spacing w:after="0"/>
              <w:rPr>
                <w:sz w:val="19"/>
                <w:szCs w:val="19"/>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for diluted earnings per share</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32,128</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34,366</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32,550</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35,161</w:t>
            </w:r>
          </w:p>
        </w:tc>
        <w:tc>
          <w:tcPr>
            <w:tcW w:w="60" w:type="dxa"/>
            <w:vAlign w:val="bottom"/>
            <w:shd w:val="clear" w:color="auto" w:fill="CCEEFF"/>
          </w:tcPr>
          <w:p>
            <w:pPr>
              <w:spacing w:after="0"/>
              <w:rPr>
                <w:sz w:val="18"/>
                <w:szCs w:val="18"/>
                <w:color w:val="auto"/>
              </w:rPr>
            </w:pP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0.67</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0.75</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576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68" w:lineRule="exact"/>
        <w:rPr>
          <w:sz w:val="20"/>
          <w:szCs w:val="20"/>
          <w:color w:val="auto"/>
        </w:rPr>
      </w:pPr>
    </w:p>
    <w:p>
      <w:pPr>
        <w:jc w:val="both"/>
        <w:ind w:left="460" w:right="80" w:hanging="452"/>
        <w:spacing w:after="0" w:line="264"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computations of diluted earnings per share exclude approximately 167,000 shares of common stock, the maximum number of shares issuable as of September 11, 2015 upon the vesting of certain performance-based awards, because the performance conditions required for the shares subject to such awards to vest were not achieved by the end of the reporting period.</w:t>
      </w:r>
    </w:p>
    <w:p>
      <w:pPr>
        <w:spacing w:after="0" w:line="32" w:lineRule="exact"/>
        <w:rPr>
          <w:rFonts w:ascii="Arial" w:cs="Arial" w:eastAsia="Arial" w:hAnsi="Arial"/>
          <w:sz w:val="15"/>
          <w:szCs w:val="15"/>
          <w:color w:val="auto"/>
        </w:rPr>
      </w:pPr>
    </w:p>
    <w:p>
      <w:pPr>
        <w:jc w:val="both"/>
        <w:ind w:left="460" w:right="80" w:hanging="452"/>
        <w:spacing w:after="0" w:line="264"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computations of diluted earnings per share exclude approximately 179,000 shares of common stock, the maximum number of shares issuable as of September 12, 2014 upon the vesting of certain performance-based awards, because the performance conditions required for the shares subject to such awards to vest were not achieved by the end of the reporting period.</w:t>
      </w:r>
    </w:p>
    <w:p>
      <w:pPr>
        <w:spacing w:after="0" w:line="73"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In accordance with the applicable accounting guidance for calculating earnings per share, for the twelve and thirty-six week periods ended September 11, 2015 and September 12, 2014, we have not excluded any shares underlying stock options or stock appreciation rights (“SARs”) that may be settled in shares of common stock from our calculation of diluted earnings per share as no exercise prices were greater than the average market prices for the applicable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90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6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At September 11, 2015</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At January 2, 2015</w:t>
            </w: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r>
              <w:rPr>
                <w:rFonts w:ascii="Arial" w:cs="Arial" w:eastAsia="Arial" w:hAnsi="Arial"/>
                <w:sz w:val="15"/>
                <w:szCs w:val="15"/>
                <w:color w:val="auto"/>
              </w:rPr>
              <w:t>(1)</w:t>
            </w:r>
          </w:p>
        </w:tc>
        <w:tc>
          <w:tcPr>
            <w:tcW w:w="52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351,850</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413,066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Land and infrastructure</w:t>
            </w:r>
            <w:r>
              <w:rPr>
                <w:rFonts w:ascii="Arial" w:cs="Arial" w:eastAsia="Arial" w:hAnsi="Arial"/>
                <w:sz w:val="15"/>
                <w:szCs w:val="15"/>
                <w:color w:val="auto"/>
              </w:rPr>
              <w:t>(2)</w:t>
            </w: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364,128</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355,198</w:t>
            </w:r>
          </w:p>
        </w:tc>
        <w:tc>
          <w:tcPr>
            <w:tcW w:w="60" w:type="dxa"/>
            <w:vAlign w:val="bottom"/>
          </w:tcPr>
          <w:p>
            <w:pPr>
              <w:spacing w:after="0"/>
              <w:rPr>
                <w:sz w:val="18"/>
                <w:szCs w:val="18"/>
                <w:color w:val="auto"/>
              </w:rPr>
            </w:pPr>
          </w:p>
        </w:tc>
      </w:tr>
      <w:tr>
        <w:trPr>
          <w:trHeight w:val="75"/>
        </w:trPr>
        <w:tc>
          <w:tcPr>
            <w:tcW w:w="6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16"/>
        </w:trPr>
        <w:tc>
          <w:tcPr>
            <w:tcW w:w="6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Real estate inventory</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715,978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768,264</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Operating supplies and retail inventory</w:t>
            </w: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5,686</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4,520</w:t>
            </w:r>
          </w:p>
        </w:tc>
        <w:tc>
          <w:tcPr>
            <w:tcW w:w="60" w:type="dxa"/>
            <w:vAlign w:val="bottom"/>
          </w:tcPr>
          <w:p>
            <w:pPr>
              <w:spacing w:after="0"/>
              <w:rPr>
                <w:sz w:val="18"/>
                <w:szCs w:val="18"/>
                <w:color w:val="auto"/>
              </w:rPr>
            </w:pPr>
          </w:p>
        </w:tc>
      </w:tr>
      <w:tr>
        <w:trPr>
          <w:trHeight w:val="75"/>
        </w:trPr>
        <w:tc>
          <w:tcPr>
            <w:tcW w:w="6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16"/>
        </w:trPr>
        <w:tc>
          <w:tcPr>
            <w:tcW w:w="69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721,664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772,784</w:t>
            </w:r>
          </w:p>
        </w:tc>
        <w:tc>
          <w:tcPr>
            <w:tcW w:w="60" w:type="dxa"/>
            <w:vAlign w:val="bottom"/>
            <w:shd w:val="clear" w:color="auto" w:fill="CCEEFF"/>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11576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36" w:lineRule="exact"/>
        <w:rPr>
          <w:sz w:val="20"/>
          <w:szCs w:val="20"/>
          <w:color w:val="auto"/>
        </w:rPr>
      </w:pPr>
    </w:p>
    <w:p>
      <w:pPr>
        <w:ind w:left="900" w:right="480" w:hanging="446"/>
        <w:spacing w:after="0" w:line="277"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8"/>
          <w:szCs w:val="18"/>
          <w:color w:val="auto"/>
        </w:rPr>
        <w:t>Represents completed inventory that is either registered for sale as vacation ownership interests, or unregistered and available for sale in its current form.</w:t>
      </w:r>
    </w:p>
    <w:p>
      <w:pPr>
        <w:spacing w:after="0" w:line="21" w:lineRule="exact"/>
        <w:rPr>
          <w:rFonts w:ascii="Arial" w:cs="Arial" w:eastAsia="Arial" w:hAnsi="Arial"/>
          <w:sz w:val="15"/>
          <w:szCs w:val="15"/>
          <w:color w:val="auto"/>
        </w:rPr>
      </w:pPr>
    </w:p>
    <w:p>
      <w:pPr>
        <w:ind w:left="900" w:right="460" w:hanging="446"/>
        <w:spacing w:after="0" w:line="277"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8"/>
          <w:szCs w:val="18"/>
          <w:color w:val="auto"/>
        </w:rPr>
        <w:t>Includes $48.4 million of sales centers that are expected to be converted into vacation ownership products to be sold in the future and $80.7 million of inventory related to estimated future foreclosures at September 11, 2015.</w:t>
      </w:r>
    </w:p>
    <w:p>
      <w:pPr>
        <w:spacing w:after="0" w:line="62" w:lineRule="exact"/>
        <w:rPr>
          <w:sz w:val="20"/>
          <w:szCs w:val="20"/>
          <w:color w:val="auto"/>
        </w:rPr>
      </w:pPr>
    </w:p>
    <w:p>
      <w:pPr>
        <w:ind w:right="280" w:firstLine="913"/>
        <w:spacing w:after="0" w:line="308" w:lineRule="auto"/>
        <w:rPr>
          <w:sz w:val="20"/>
          <w:szCs w:val="20"/>
          <w:color w:val="auto"/>
        </w:rPr>
      </w:pPr>
      <w:r>
        <w:rPr>
          <w:rFonts w:ascii="Arial" w:cs="Arial" w:eastAsia="Arial" w:hAnsi="Arial"/>
          <w:sz w:val="17"/>
          <w:szCs w:val="17"/>
          <w:color w:val="auto"/>
        </w:rPr>
        <w:t>We value vacation ownership and residential products at the lower of cost or fair market value less costs to sell, in accordance with applicable accounting guidance, and we record operating supplies at the lower of cost (using the first-in, first-out method) or net realizable value.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CONTINGENCIES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We have historically issued guarantees to certain lenders in connection with the provision of third-party financing for our sale of vacation ownership products for the North America and Asia Pacific segments. The terms of these guarantees generally require us to fund if the purchaser fails to pay under the term of its note payable. Prior to the Spin-Off, Marriott International guaranteed our performance under these arrangements, and following the Spin-Off continues to hold a standby letter of credit related to the Asia Pacific segment guarantee. If Marriott International is required to fund any draws by lenders under this letter of credit it would seek recourse from us. Marriott International no longer guarantees our performance with respect to third-party financing for sales of products in the North America segment. We are entitled to recover any payments we make to third-party lenders under these guarantees through reacquisition and resale of the financed vacation ownership product. Our commitments under these guarantees expire as the underlying notes mature or are repaid. The terms of the underlying notes extend to 2022.</w:t>
      </w:r>
    </w:p>
    <w:p>
      <w:pPr>
        <w:spacing w:after="0" w:line="71"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The following table shows the maximum potential amount of future fundings for financing guarantees where we are the primary obligor and the carrying amount of the liability for expected future fundings, which is included on our Balance Sheet in the Other caption within Liabilities.</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jc w:val="center"/>
              <w:ind w:right="177"/>
              <w:spacing w:after="0"/>
              <w:rPr>
                <w:sz w:val="20"/>
                <w:szCs w:val="20"/>
                <w:color w:val="auto"/>
              </w:rPr>
            </w:pPr>
            <w:r>
              <w:rPr>
                <w:rFonts w:ascii="Arial" w:cs="Arial" w:eastAsia="Arial" w:hAnsi="Arial"/>
                <w:sz w:val="14"/>
                <w:szCs w:val="14"/>
                <w:b w:val="1"/>
                <w:bCs w:val="1"/>
                <w:color w:val="auto"/>
                <w:w w:val="95"/>
              </w:rPr>
              <w:t>Maximum Potential</w:t>
            </w:r>
          </w:p>
        </w:tc>
        <w:tc>
          <w:tcPr>
            <w:tcW w:w="140" w:type="dxa"/>
            <w:vAlign w:val="bottom"/>
          </w:tcPr>
          <w:p>
            <w:pPr>
              <w:spacing w:after="0"/>
              <w:rPr>
                <w:sz w:val="14"/>
                <w:szCs w:val="14"/>
                <w:color w:val="auto"/>
              </w:rPr>
            </w:pPr>
          </w:p>
        </w:tc>
        <w:tc>
          <w:tcPr>
            <w:tcW w:w="1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Liability for Expected</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Amount of Future Fundings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Future Fundings</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At September 11, 2015</w:t>
            </w:r>
          </w:p>
        </w:tc>
        <w:tc>
          <w:tcPr>
            <w:tcW w:w="140" w:type="dxa"/>
            <w:vAlign w:val="bottom"/>
          </w:tcPr>
          <w:p>
            <w:pPr>
              <w:spacing w:after="0"/>
              <w:rPr>
                <w:sz w:val="14"/>
                <w:szCs w:val="14"/>
                <w:color w:val="auto"/>
              </w:rPr>
            </w:pPr>
          </w:p>
        </w:tc>
        <w:tc>
          <w:tcPr>
            <w:tcW w:w="1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At September 11, 2015</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w:t>
            </w:r>
          </w:p>
        </w:tc>
        <w:tc>
          <w:tcPr>
            <w:tcW w:w="2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Asia Pacific</w:t>
            </w:r>
          </w:p>
        </w:tc>
        <w:tc>
          <w:tcPr>
            <w:tcW w:w="24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37"/>
              <w:spacing w:after="0"/>
              <w:rPr>
                <w:sz w:val="20"/>
                <w:szCs w:val="20"/>
                <w:color w:val="auto"/>
              </w:rPr>
            </w:pPr>
            <w:r>
              <w:rPr>
                <w:rFonts w:ascii="Arial" w:cs="Arial" w:eastAsia="Arial" w:hAnsi="Arial"/>
                <w:sz w:val="18"/>
                <w:szCs w:val="18"/>
                <w:color w:val="auto"/>
              </w:rPr>
              <w:t>5,822</w:t>
            </w:r>
          </w:p>
        </w:tc>
        <w:tc>
          <w:tcPr>
            <w:tcW w:w="4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2,846</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400" w:type="dxa"/>
            <w:vAlign w:val="bottom"/>
          </w:tcPr>
          <w:p>
            <w:pPr>
              <w:spacing w:after="0"/>
              <w:rPr>
                <w:sz w:val="20"/>
                <w:szCs w:val="20"/>
                <w:color w:val="auto"/>
              </w:rPr>
            </w:pPr>
            <w:r>
              <w:rPr>
                <w:rFonts w:ascii="Arial" w:cs="Arial" w:eastAsia="Arial" w:hAnsi="Arial"/>
                <w:sz w:val="18"/>
                <w:szCs w:val="18"/>
                <w:color w:val="auto"/>
              </w:rPr>
              <w:t>Total guarantees where we are the primary obligor</w:t>
            </w:r>
          </w:p>
        </w:tc>
        <w:tc>
          <w:tcPr>
            <w:tcW w:w="24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37"/>
              <w:spacing w:after="0"/>
              <w:rPr>
                <w:sz w:val="20"/>
                <w:szCs w:val="20"/>
                <w:color w:val="auto"/>
              </w:rPr>
            </w:pPr>
            <w:r>
              <w:rPr>
                <w:rFonts w:ascii="Arial" w:cs="Arial" w:eastAsia="Arial" w:hAnsi="Arial"/>
                <w:sz w:val="18"/>
                <w:szCs w:val="18"/>
                <w:color w:val="auto"/>
              </w:rPr>
              <w:t>8,668</w:t>
            </w:r>
          </w:p>
        </w:tc>
        <w:tc>
          <w:tcPr>
            <w:tcW w:w="4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4"/>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20" w:type="dxa"/>
            <w:vAlign w:val="bottom"/>
            <w:vMerge w:val="restart"/>
          </w:tcPr>
          <w:p>
            <w:pPr>
              <w:jc w:val="right"/>
              <w:ind w:right="1190"/>
              <w:spacing w:after="0"/>
              <w:rPr>
                <w:sz w:val="20"/>
                <w:szCs w:val="20"/>
                <w:color w:val="auto"/>
              </w:rPr>
            </w:pPr>
            <w:r>
              <w:rPr>
                <w:rFonts w:ascii="Arial" w:cs="Arial" w:eastAsia="Arial" w:hAnsi="Arial"/>
                <w:sz w:val="18"/>
                <w:szCs w:val="18"/>
                <w:color w:val="auto"/>
              </w:rPr>
              <w:t>16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addition to the guarantees we describe in the preceding paragraphs, as of September 11, 2015, we had the following commitments outstanding:</w:t>
      </w:r>
    </w:p>
    <w:p>
      <w:pPr>
        <w:spacing w:after="0" w:line="154" w:lineRule="exact"/>
        <w:rPr>
          <w:sz w:val="20"/>
          <w:szCs w:val="20"/>
          <w:color w:val="auto"/>
        </w:rPr>
      </w:pPr>
    </w:p>
    <w:p>
      <w:pPr>
        <w:ind w:left="1480" w:right="20" w:hanging="446"/>
        <w:spacing w:after="0" w:line="286" w:lineRule="auto"/>
        <w:tabs>
          <w:tab w:leader="none" w:pos="1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various contracts for the use of information technology hardware and software that we use in the normal course of business. Our aggregate commitments under these contracts were $27.6 million, of which we expect $5.3 million, $8.3 million, $5.8 million, $2.6 million, $1.5 million and $4.1 million will be paid in 2015, 2016, 2017, 2018, 2019 and thereafter, respectively.</w:t>
      </w:r>
    </w:p>
    <w:p>
      <w:pPr>
        <w:spacing w:after="0" w:line="70" w:lineRule="exact"/>
        <w:rPr>
          <w:rFonts w:ascii="Arial" w:cs="Arial" w:eastAsia="Arial" w:hAnsi="Arial"/>
          <w:sz w:val="17"/>
          <w:szCs w:val="17"/>
          <w:color w:val="auto"/>
        </w:rPr>
      </w:pPr>
    </w:p>
    <w:p>
      <w:pPr>
        <w:ind w:left="1480" w:right="420" w:hanging="446"/>
        <w:spacing w:after="0" w:line="277"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commitments of $2.5 million to subsidize vacation ownership associations, which we expect to pay in the fourth quarter of 2015.</w:t>
      </w:r>
    </w:p>
    <w:p>
      <w:pPr>
        <w:spacing w:after="0" w:line="75" w:lineRule="exact"/>
        <w:rPr>
          <w:rFonts w:ascii="Arial" w:cs="Arial" w:eastAsia="Arial" w:hAnsi="Arial"/>
          <w:sz w:val="18"/>
          <w:szCs w:val="18"/>
          <w:color w:val="auto"/>
        </w:rPr>
      </w:pPr>
    </w:p>
    <w:p>
      <w:pPr>
        <w:ind w:left="1480" w:hanging="446"/>
        <w:spacing w:after="0" w:line="271" w:lineRule="auto"/>
        <w:tabs>
          <w:tab w:leader="none" w:pos="1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a commitment of $75.5 million to purchase vacation ownership units located in Miami, Florida, contingent upon satisfactory completion of construction and receipt of a certificate of occupancy, for use in our MVCD program. We made an initial deposit of $3.8 million in connection with this commitment in 2014, and we are committed to make an additional deposit of $3.8 million upon the seller’s receipt of a temporary certificate of occupancy. The remaining payment of $67.9 million is due upon acquisition of the units, which we expect to occur within one year. In the event that the seller fails to obtain a permanent certificate of occupancy for the entire project on or about the end of October, we may terminate the contract and receive a return of the deposit. We also have the right to extend this deadline in 30 day increments up to a total of 90 days. We are currently evaluating the use of a capital efficient arrangement to delay the timing of this capital investment.</w:t>
      </w:r>
    </w:p>
    <w:p>
      <w:pPr>
        <w:spacing w:after="0" w:line="84" w:lineRule="exact"/>
        <w:rPr>
          <w:rFonts w:ascii="Arial" w:cs="Arial" w:eastAsia="Arial" w:hAnsi="Arial"/>
          <w:sz w:val="17"/>
          <w:szCs w:val="17"/>
          <w:color w:val="auto"/>
        </w:rPr>
      </w:pPr>
    </w:p>
    <w:p>
      <w:pPr>
        <w:ind w:left="1480" w:right="60" w:hanging="446"/>
        <w:spacing w:after="0" w:line="272" w:lineRule="auto"/>
        <w:tabs>
          <w:tab w:leader="none" w:pos="1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a commitment of $38.5 million to purchase vacation ownership units located on the Big Island of Hawaii, for use in our MVCD program, contingent upon the seller subjecting the units to a condominium regime prior to our purchase. We made a deposit of $1.5 million in connection with this commitment in 2014, and we are committed to make the remaining payment of $37.0 million upon satisfaction of the condition that the seller subject the units to a condominium regime, which we expect to occur within one year. Upon acquisition, we are committed to renovate the units pursuant to a property improvement plan to be agreed upon at a later date, for which an additional $45.0 million to $55.0 million will be required to be funded. We are currently evaluating the use of a capital efficient arrangement to delay the timing of this capital investment.</w:t>
      </w:r>
    </w:p>
    <w:p>
      <w:pPr>
        <w:spacing w:after="0" w:line="83" w:lineRule="exact"/>
        <w:rPr>
          <w:rFonts w:ascii="Arial" w:cs="Arial" w:eastAsia="Arial" w:hAnsi="Arial"/>
          <w:sz w:val="17"/>
          <w:szCs w:val="17"/>
          <w:color w:val="auto"/>
        </w:rPr>
      </w:pPr>
    </w:p>
    <w:p>
      <w:pPr>
        <w:ind w:left="1480" w:hanging="446"/>
        <w:spacing w:after="0"/>
        <w:tabs>
          <w:tab w:leader="none" w:pos="1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a commitment of $137.1 million to purchase vacation ownership units located in Marco Island, Florida, of which we expect</w:t>
      </w:r>
    </w:p>
    <w:p>
      <w:pPr>
        <w:spacing w:after="0" w:line="34" w:lineRule="exact"/>
        <w:rPr>
          <w:rFonts w:ascii="Arial" w:cs="Arial" w:eastAsia="Arial" w:hAnsi="Arial"/>
          <w:sz w:val="17"/>
          <w:szCs w:val="17"/>
          <w:color w:val="auto"/>
        </w:rPr>
      </w:pPr>
    </w:p>
    <w:p>
      <w:pPr>
        <w:ind w:left="1480" w:right="120"/>
        <w:spacing w:after="0" w:line="261" w:lineRule="auto"/>
        <w:rPr>
          <w:rFonts w:ascii="Arial" w:cs="Arial" w:eastAsia="Arial" w:hAnsi="Arial"/>
          <w:sz w:val="17"/>
          <w:szCs w:val="17"/>
          <w:color w:val="auto"/>
        </w:rPr>
      </w:pPr>
      <w:r>
        <w:rPr>
          <w:rFonts w:ascii="Arial" w:cs="Arial" w:eastAsia="Arial" w:hAnsi="Arial"/>
          <w:sz w:val="18"/>
          <w:szCs w:val="18"/>
          <w:color w:val="auto"/>
        </w:rPr>
        <w:t>$33.3 million, $50.0 million and $53.8 million will be paid in 2017, 2018 and 2019, respectively. See Footnote No. 5, “Acquisitions and Dispositions,” for additional information on this transaction.</w:t>
      </w:r>
    </w:p>
    <w:p>
      <w:pPr>
        <w:spacing w:after="0" w:line="76"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Surety bonds issued as of September 11, 2015 totaled $78.4 million, the majority of which were requested by federal, state or local governments related to our operations.</w:t>
      </w:r>
    </w:p>
    <w:p>
      <w:pPr>
        <w:spacing w:after="0" w:line="62"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Additionally, as of September 11, 2015, we had $3.3 million of letters of credit outstanding under our $200 million revolving credit facility (the “Revolving Corporate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In December 2012, Jon Benner, an owner of fractional interests at The Ritz-Carlton Club and Residences, San Francisco (the “RCC San Francisco”), filed suit in Superior Court for the State of California, County of San Francisco, against us and certain of our subsidiaries on behalf of a putative class consisting of all owners of fractional interests at the RCC San Francisco who allegedly did not receive proper notice of their payment obligations under California’s Mello-Roos Community Facilities Act of 1982 (the “Mello-Roos Act”). The plaintiff alleged that the disclosures made about bonds issued for the project under this Act and the payment obligations of fractional interest purchasers with respect to such bonds were inadequate, and this and other alleged statutory violations constituted intentional and negligent misrepresentation, fraud and fraudulent concealment. The relief sought included damages in an unspecified amount, rescission of the purchases, restitution and disgorgement of profits. In September 2014, we reached an agreement to settle the Benner action on the basis of a stipulated class, which was approved by the court on March 31, 2015. At September 11, 2015, we had an accrual of $0.9 million related to the settlement.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In April 2013, Krishna and Sherrie Narayan and other owners of 12 residential units at the resort formerly known as The Ritz-Carlton Residences, Kapalua Bay (“Kapalua Bay”) filed an amended complaint related to a suit originally filed in Circuit Court for Maui County, Hawaii in June 2012 against us, certain of our subsidiaries, Marriott International, certain of its subsidiaries, and the joint venture in which we have an equity investment that developed and marketed vacation ownership and residential products at Kapalua Bay (the “Joint Venture”). In the original complaint, the plaintiffs alleged that defendants mismanaged funds of the residential owners association (the “Kapalua Bay Association”), created a conflict of interest by permitting their employees to serve on the Kapalua Bay Association’s board, and failed to disclose documents to which the plaintiffs were allegedly entitled. The amended complaint alleges breach of fiduciary duty, violations of the Hawaii Unfair and Deceptive Trade Practices Act and the Hawaii condominium statute, intentional misrepresentation and concealment, unjust enrichment and civil conspiracy. The relief sought in the amended complaint includes injunctive relief, repayment of all sums paid to us and our subsidiaries and Marriott International and its subsidiaries, compensatory and punitive damages, and treble damages under the Hawaii Unfair and Deceptive Trade Practices Act. We dispute the material allegations in the amended complaint and continue to defend against this action vigorously. We filed a motion in the Circuit Court to compel arbitration of plaintiffs’ claims. That motion was denied, but on appeal the Hawaii Intermediate Court of Appeals reversed. The Hawaii Supreme Court, on June 3, 2015, reversed the decision of the Intermediate Court of Appeals and reinstated the action in Circuit Court, which has set the case for trial beginning September 16, 2016. We filed a petition with the United States Supreme Court on October 1, 2015, seeking review of the Hawaii Supreme Court’s decision. Additionally, in 2014, owners of two residential units agreed to release their claims in this action. Given the inherent uncertainties of litigation, we cannot estimate a range of the potential liability, if any, at this time.</w:t>
      </w:r>
    </w:p>
    <w:p>
      <w:pPr>
        <w:spacing w:after="0" w:line="61"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In June 2013, Earl C. and Patricia A. Charles, owners of a fractional interest at Kapalua Bay, together with owners of 38 other fractional interests at Kapalua Bay, filed an amended complaint in the Circuit Court of the Second Circuit for the State of Hawaii against us, certain of our subsidiaries, Marriott International, certain of its subsidiaries, the Joint Venture, and other entities that have equity investments in the Joint Venture. The plaintiffs allege that the defendants failed to disclose the financial condition of the Joint Venture and the commitment of the defendants to the Joint Venture, and that defendants’ actions constituted fraud and violated the Hawaii Unfair and Deceptive Trade Practices Act, the Hawaii Condominium Property Act and the Hawaii Time Sharing Plans statute. The relief sought includes compensatory and punitive damages, attorneys’ fees, pre-judgment interest, declaratory relief, rescission and treble damages under the Hawaii Unfair and Deceptive Trade Practices Act. The complaint was subsequently further amended to add owners of two additional fractional interests as plaintiffs. The Circuit Court granted our motion to compel arbitration of the claims asserted by the plaintiffs. Plaintiffs appealed that decision to the Hawaii Intermediate Court of Appeals and also initiated arbitration. On July 24, 2015, the Intermediate Court of Appeals reversed the decision of the Circuit Court and directed that the action be reinstated in the Circuit Court. We dispute the material allegations in the amended complaint and intend to defend against this action vigorously. Given the early stages of the action and the inherent uncertainties of litigation, we cannot estimate a range of the potential liability, if any, at this time. Additionally, owners of two fractional interests have since agreed to release their claims in this action, and the owners of another fractional interest, who are not parties to the Charles action, agreed to release similar claims, in each instance for nominal sums.</w:t>
      </w:r>
    </w:p>
    <w:p>
      <w:pPr>
        <w:spacing w:after="0" w:line="77"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In August 2014, Michael and Marla Flynn, owners of weeks-based Marriott Vacation Club vacation ownership products at two of our resorts in Hawaii, filed a claim with the American Arbitration Association on behalf of a putative class consisting of themselves and all others similarly situated. The claimants alleged that the introduction of the MVCD program caused an actionable decrease in the value of their vacation ownership interests. The relief sought included compensatory and exemplary damages, restitution, injunctive relief, interest and attorneys’ fees pursuant to applicable timeshare and unfair trade practices acts and common-law theories of breach of contract and breach of an implied covenant of good faith and fair dealing. On March 30, 2015, the arbitrator ruled that the Flynns’ claims are not subject to arbitration, and dismissed the Flynn proceeding. On October 2, 2015, Michael and Marla Flynn, joined by Patrick and Mary Flynn as Trustees of the Flynn Family Trust, filed a civil action in the United States District Court for the District of Hawaii, asserting similar claims and seeking similar relief on behalf of themselves and a putative class consisting of themselves and all others similarly situated. The complaint has not yet been served. We dispute the material allegations in the complaint and intend to defend against the action vigorously. Given the early stages of the action and the inherent uncertainties of litigation, we cannot estimate a range of potential liability, if any, at this time.</w:t>
      </w:r>
    </w:p>
    <w:p>
      <w:pPr>
        <w:spacing w:after="0" w:line="6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On January 29, 2015, Norman and Carreen Abramson, owners of weeks-based Marriott Vacation Club vacation ownership products at one of our resorts in California and of our points-based Marriott Vacation Club vacation ownership product, filed an action in the United States District Court for the Central District of California on behalf of a putative class consisting of themselves and all others similarly situated. Mr. and Mrs. Abramson alleged that the introduction of the MVCD program caused an actionable decrease in the value of their vacation ownership interests, and sought as relief compensatory and punitive damages, restitution, injunctive relief, interest and attorneys’ fees pursuant to applicable timeshare, consumer protection and unfair competition acts. On March 30, 2015, we filed a motion to dismiss. On June 30, 2015, Mr. and Mrs.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Abramson filed a motion for class certification, which the Court denied on September 28, 2015. Mr. and Mrs. Abramson also amended their complaint, and we filed a motion to dismiss the amended complaint on October 9, 2015. We dispute the material allegations in the amended complaint and intend to defend against the action vigorously. Given the early stages of the action and the inherent uncertainties of litigation, we cannot estimate a range of potential liability, if any, at this time.</w:t>
      </w:r>
    </w:p>
    <w:p>
      <w:pPr>
        <w:spacing w:after="0" w:line="79"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On May 26, 2015, we and certain of our subsidiaries were named as defendants in an action filed in the Superior Court of San Francisco County, California, by William and Sharon Petrick and certain other present and former owners of fractional interests at the RCC San Francisco. The case is not filed as a putative class action. The plaintiffs allege that the affiliation of the RCC San Francisco with MVCD, certain alleged sales practices, and other alleged acts of Marriott Vacations Worldwide and the other defendants caused an actionable decrease in the value of their fractional interests. The relief sought includes, among other things, compensatory and punitive damages, rescission, and pre- and post-judgment interest. Plaintiffs filed an amended complaint on October 9, 2015, and our response is due November 6, 2015. We dispute the material allegations in the amended complaint and intend to defend against the action vigorously. Given the early stages of the action and the inherent uncertainties of litigation, we cannot estimate a range of the potential liability, if any, at this time.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We estimate the cash outflow associated with completing the phases of our existing portfolio of vacation ownership projects currently under development will be approximately $13.1 million, of which $4.3 million is included within liabilities on our Balance Sheet at September 11, 2015. This estimate is based on our current development plans, which remain subject to change, and we expect the phases currently under development will be completed by 2017.</w:t>
      </w:r>
    </w:p>
    <w:p>
      <w:pPr>
        <w:spacing w:after="0" w:line="79"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During the second quarter of 2014, we agreed to settle a dispute with a service provider relating to services provided to us prior to 2011. In connection with the settlement, we received a one-time payment of $7.6 million from the service provider, which no longer provides services to us. We recorded a gain of $7.6 million as a result of the settlement, which is included in the Litigation settlement line on our Statement of Income for the thirty-six weeks ended September 12,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provides detail on our debt balances, net of unamortized debt issuance costs: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38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At September 11, 2015</w:t>
            </w:r>
          </w:p>
        </w:tc>
        <w:tc>
          <w:tcPr>
            <w:tcW w:w="20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At January 2, 2015</w:t>
            </w:r>
          </w:p>
        </w:tc>
      </w:tr>
      <w:tr>
        <w:trPr>
          <w:trHeight w:val="210"/>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ownership notes receivable securitizations, gross</w:t>
            </w:r>
            <w:r>
              <w:rPr>
                <w:rFonts w:ascii="Arial" w:cs="Arial" w:eastAsia="Arial" w:hAnsi="Arial"/>
                <w:sz w:val="15"/>
                <w:szCs w:val="15"/>
                <w:color w:val="auto"/>
              </w:rPr>
              <w:t>(1)</w:t>
            </w:r>
          </w:p>
        </w:tc>
        <w:tc>
          <w:tcPr>
            <w:tcW w:w="44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776,648</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708,031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(10,187)</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(8,090)</w:t>
            </w:r>
          </w:p>
        </w:tc>
        <w:tc>
          <w:tcPr>
            <w:tcW w:w="100" w:type="dxa"/>
            <w:vAlign w:val="bottom"/>
          </w:tcPr>
          <w:p>
            <w:pPr>
              <w:spacing w:after="0"/>
              <w:rPr>
                <w:sz w:val="18"/>
                <w:szCs w:val="18"/>
                <w:color w:val="auto"/>
              </w:rPr>
            </w:pPr>
          </w:p>
        </w:tc>
      </w:tr>
      <w:tr>
        <w:trPr>
          <w:trHeight w:val="75"/>
        </w:trPr>
        <w:tc>
          <w:tcPr>
            <w:tcW w:w="7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7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766,461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699,941</w:t>
            </w:r>
          </w:p>
        </w:tc>
        <w:tc>
          <w:tcPr>
            <w:tcW w:w="100" w:type="dxa"/>
            <w:vAlign w:val="bottom"/>
            <w:shd w:val="clear" w:color="auto" w:fill="CCEEFF"/>
          </w:tcPr>
          <w:p>
            <w:pPr>
              <w:spacing w:after="0"/>
              <w:rPr>
                <w:sz w:val="18"/>
                <w:szCs w:val="18"/>
                <w:color w:val="auto"/>
              </w:rPr>
            </w:pPr>
          </w:p>
        </w:tc>
      </w:tr>
      <w:tr>
        <w:trPr>
          <w:trHeight w:val="324"/>
        </w:trPr>
        <w:tc>
          <w:tcPr>
            <w:tcW w:w="7380" w:type="dxa"/>
            <w:vAlign w:val="bottom"/>
          </w:tcPr>
          <w:p>
            <w:pPr>
              <w:spacing w:after="0"/>
              <w:rPr>
                <w:sz w:val="20"/>
                <w:szCs w:val="20"/>
                <w:color w:val="auto"/>
              </w:rPr>
            </w:pPr>
            <w:r>
              <w:rPr>
                <w:rFonts w:ascii="Arial" w:cs="Arial" w:eastAsia="Arial" w:hAnsi="Arial"/>
                <w:sz w:val="18"/>
                <w:szCs w:val="18"/>
                <w:color w:val="auto"/>
              </w:rPr>
              <w:t>Other debt, gross</w:t>
            </w:r>
          </w:p>
        </w:tc>
        <w:tc>
          <w:tcPr>
            <w:tcW w:w="440" w:type="dxa"/>
            <w:vAlign w:val="bottom"/>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3,519</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24"/>
                <w:szCs w:val="24"/>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r>
      <w:tr>
        <w:trPr>
          <w:trHeight w:val="291"/>
        </w:trPr>
        <w:tc>
          <w:tcPr>
            <w:tcW w:w="7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3,255</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24"/>
                <w:szCs w:val="24"/>
                <w:color w:val="auto"/>
              </w:rPr>
            </w:pPr>
          </w:p>
        </w:tc>
      </w:tr>
      <w:tr>
        <w:trPr>
          <w:trHeight w:val="108"/>
        </w:trPr>
        <w:tc>
          <w:tcPr>
            <w:tcW w:w="7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3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769,716</w:t>
            </w:r>
          </w:p>
        </w:tc>
        <w:tc>
          <w:tcPr>
            <w:tcW w:w="54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703,013</w:t>
            </w:r>
          </w:p>
        </w:tc>
        <w:tc>
          <w:tcPr>
            <w:tcW w:w="100" w:type="dxa"/>
            <w:vAlign w:val="bottom"/>
            <w:shd w:val="clear" w:color="auto" w:fill="CCEEFF"/>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11576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3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8"/>
          <w:szCs w:val="18"/>
          <w:color w:val="auto"/>
        </w:rPr>
        <w:t>Interest rates as of September 11, 2015 range from 2.2% to 7.2% with a weighted average interest rate of 2.8%.</w:t>
      </w:r>
    </w:p>
    <w:p>
      <w:pPr>
        <w:spacing w:after="0" w:line="117"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See Footnote No. 13, “Variable Interest Entities,” for a discussion of the collateral for the non-recourse debt associated with the securitized vacation ownership notes receivable and our non-recourse warehouse credit facility (the “Warehouse Credit Facility”). All of our other debt was, and to the extent currently outstanding, is recourse to us but unsecured. The Warehouse Credit Facility currently terminates on September 15, 2016 and if not renewed,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As of September 11, 2015, there were no cash borrowings outstanding under our Warehouse Credit Facility. We generally expect to securitize our vacation ownership notes receivable, including any vacation ownership notes receivable held in the Warehouse Credit Facility, in the ABS market once per year.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Although no cash borrowings were outstanding as of September 11, 2015 under our Revolving Corporate Credit Facility, any amounts that are borrowed under that facility, as well as obligations with respect to letters of credit issued pursuant to that facility, are secured by a perfected first priority security interest in substantially all of the assets of the borrower under, and guarantors of, that facility (which include Marriott Vacations Worldwide and each of our direct and indirect, existing and future, domestic subsidiaries, excluding certain bankruptcy remote special purpose subsidiaries), in each case including inventory, subject to certain exceptions.</w:t>
      </w:r>
    </w:p>
    <w:p>
      <w:pPr>
        <w:spacing w:after="0" w:line="8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On August 13, 2015, we completed the securitization of a pool of $264.2 million of vacation ownership notes receivable. Approximately $211.4 million of the vacation ownership notes receivable were purchased on August 13, 2015 by the 2015-1 Trust, and we expect the remaining vacation ownership notes receivable to be purchased by the 2015-1 Trust prior to December 31, 2015. As of August 13, 2015, the 2015-1 Trust held $51.4 million of the proceeds, which will be released as the remaining vacation ownership notes receivable are purchased. On September 24, 2015, subsequent to the third quarter of 2015, the 2015-1 Trust purchased $31.5 million of the remaining vacation ownership notes receivable and $30.4 million was released from restricted cash. Any funds not used to purchase vacation ownership notes receivable will be returned to the investors. In connection with the securitization, investors purchased in a private placement $255.0 million in vacation ownership loan backed notes from the 2015-1 Trust. Two classes of vacation ownership loan backed notes were issued by the 2015-1 Trust: $233.2 million of Class A Notes and $21.8 million of Class B Notes. The Class A Notes have an interest rate of 2.52 percent and the Class B Notes have an interest rate of 2.96 percent, for an overall weighted average interest rate of 2.56 percent.</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shows scheduled future principal payments for our debt:</w:t>
      </w:r>
    </w:p>
    <w:p>
      <w:pPr>
        <w:spacing w:after="0" w:line="1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Vacation Ownership</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Other</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w w:val="87"/>
              </w:rPr>
              <w:t>Notes Receivable</w:t>
            </w: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 xml:space="preserve">Securitizations </w:t>
            </w:r>
            <w:r>
              <w:rPr>
                <w:rFonts w:ascii="Arial" w:cs="Arial" w:eastAsia="Arial" w:hAnsi="Arial"/>
                <w:sz w:val="12"/>
                <w:szCs w:val="12"/>
                <w:b w:val="1"/>
                <w:bCs w:val="1"/>
                <w:color w:val="auto"/>
              </w:rPr>
              <w:t>(1)</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394"/>
              <w:spacing w:after="0"/>
              <w:rPr>
                <w:sz w:val="20"/>
                <w:szCs w:val="20"/>
                <w:color w:val="auto"/>
              </w:rPr>
            </w:pPr>
            <w:r>
              <w:rPr>
                <w:rFonts w:ascii="Arial" w:cs="Arial" w:eastAsia="Arial" w:hAnsi="Arial"/>
                <w:sz w:val="14"/>
                <w:szCs w:val="14"/>
                <w:b w:val="1"/>
                <w:bCs w:val="1"/>
                <w:color w:val="auto"/>
              </w:rPr>
              <w:t>Debt</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Principal Payments Year</w:t>
            </w:r>
          </w:p>
        </w:tc>
        <w:tc>
          <w:tcPr>
            <w:tcW w:w="1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2015</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35,357</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29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35,386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111,848</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60</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111,908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8"/>
                <w:szCs w:val="18"/>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106,587</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64</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106,651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93,068</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69</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93,137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8"/>
                <w:szCs w:val="18"/>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81,671</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74</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81,745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348,117</w:t>
            </w:r>
          </w:p>
        </w:tc>
        <w:tc>
          <w:tcPr>
            <w:tcW w:w="7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3,223</w:t>
            </w:r>
          </w:p>
        </w:tc>
        <w:tc>
          <w:tcPr>
            <w:tcW w:w="7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351,340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060" w:type="dxa"/>
            <w:vAlign w:val="bottom"/>
          </w:tcPr>
          <w:p>
            <w:pPr>
              <w:ind w:left="360"/>
              <w:spacing w:after="0"/>
              <w:rPr>
                <w:sz w:val="20"/>
                <w:szCs w:val="20"/>
                <w:color w:val="auto"/>
              </w:rPr>
            </w:pPr>
            <w:r>
              <w:rPr>
                <w:rFonts w:ascii="Arial" w:cs="Arial" w:eastAsia="Arial" w:hAnsi="Arial"/>
                <w:sz w:val="18"/>
                <w:szCs w:val="18"/>
                <w:color w:val="auto"/>
              </w:rPr>
              <w:t>Balance at September 11, 2015</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776,648</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3,519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780,167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11576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36" w:lineRule="exact"/>
        <w:rPr>
          <w:sz w:val="20"/>
          <w:szCs w:val="20"/>
          <w:color w:val="auto"/>
        </w:rPr>
      </w:pPr>
    </w:p>
    <w:p>
      <w:pPr>
        <w:ind w:left="900" w:right="40" w:hanging="446"/>
        <w:spacing w:after="0" w:line="264"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8"/>
          <w:szCs w:val="18"/>
          <w:color w:val="auto"/>
        </w:rPr>
        <w:t>The debt associated with our vacation ownership notes receivable securitizations is non-recourse to us and represents estimated principal payments assuming purchase of the remaining vacation ownership notes receivable by the 2015-1 Trust in the fourth quarter of 2015 as discussed above.</w:t>
      </w:r>
    </w:p>
    <w:p>
      <w:pPr>
        <w:spacing w:after="0" w:line="73" w:lineRule="exact"/>
        <w:rPr>
          <w:sz w:val="20"/>
          <w:szCs w:val="20"/>
          <w:color w:val="auto"/>
        </w:rPr>
      </w:pPr>
    </w:p>
    <w:p>
      <w:pPr>
        <w:ind w:right="380" w:firstLine="913"/>
        <w:spacing w:after="0" w:line="342"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16"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We paid cash for interest, net of amounts capitalized, of $18.5 million in the thirty-six weeks ended September 11, 2015 and $19.4 million in the thirty-six weeks ended September 12,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Associated with Vacation Ownership Notes Receivable Securitizations</w:t>
      </w:r>
    </w:p>
    <w:p>
      <w:pPr>
        <w:spacing w:after="0" w:line="117"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Each of the transactions in which we have securitized vacation ownership notes receivable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thirty-six weeks ended September 11, 2015, and as of September 11, 2015, no securitized vacation ownership notes receivable pools were out of compliance with the established parameters. As of September 11, 2015, we had 7 securitized vacation ownership notes receivable pools outstanding.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MANDATORILY REDEEMABLE PREFERRED STOCK OF CONSOLIDATED SUBSIDIARY</w:t>
      </w:r>
    </w:p>
    <w:p>
      <w:pPr>
        <w:spacing w:after="0" w:line="121"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In October 2011, our subsidiary, MVW US Holdings, Inc. (“MVW US Holdings”) issued $40.0 million of its mandatorily redeemable Series A (non-voting) preferred stock to Marriott International as part of Marriott International’s internal reorganization prior to the Spin-Off. Subsequently Marriott International sold all of this preferred stock to third-party investors. Until October 2016, the Series A preferred stock will pay an annual cash dividend equal to the five-year U.S. Treasury Rate as of October 19, 2011, plus a spread of 10.958 percent, for a total annual cash dividend rate of 12 percent. In October 2016, if we do not elect to redeem the preferred stock, the annual cash dividend rate will be reset to the five-year U.S. Treasury Rate in effect on such date plus the same 10.958 percent spread. The Series A preferred stock is mandatorily redeemable by MVW US Holdings upon the tenth anniversary of the date of issuance but can be redeemed at our option after five years (i.e., beginning in October 2016) at par. The Series A preferred stock has an aggregate liquidation preference of $40.0 million plus any accrued and unpaid dividends and an additional premium if liquidation occurs during the first five years after the issuance of the preferred stock. As of September 11, 2015, 1,000 shares of Series A preferred stock were authorized, of which 40 shares were issued and outstanding. The dividends are recorded as a component of Interest expense as the Series A preferred stock is treated as a liability for accounting purposes.</w:t>
      </w:r>
    </w:p>
    <w:p>
      <w:pPr>
        <w:spacing w:after="0" w:line="61"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The following table provides detail on our mandatorily redeemable preferred stock of consolidated subsidiary balance, net of unamortized debt issuance costs:</w:t>
      </w:r>
    </w:p>
    <w:p>
      <w:pPr>
        <w:spacing w:after="0" w:line="6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46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At September 11, 2015</w:t>
            </w:r>
          </w:p>
        </w:tc>
        <w:tc>
          <w:tcPr>
            <w:tcW w:w="160" w:type="dxa"/>
            <w:vAlign w:val="bottom"/>
          </w:tcPr>
          <w:p>
            <w:pPr>
              <w:spacing w:after="0"/>
              <w:rPr>
                <w:sz w:val="14"/>
                <w:szCs w:val="14"/>
                <w:color w:val="auto"/>
              </w:rPr>
            </w:pP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At January 2, 2015</w:t>
            </w:r>
          </w:p>
        </w:tc>
      </w:tr>
      <w:tr>
        <w:trPr>
          <w:trHeight w:val="210"/>
        </w:trPr>
        <w:tc>
          <w:tcPr>
            <w:tcW w:w="7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Mandatorily redeemable preferred stock of consolidated subsidiary, gross</w:t>
            </w:r>
          </w:p>
        </w:tc>
        <w:tc>
          <w:tcPr>
            <w:tcW w:w="50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40,000</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40,000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(1,065)</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(1,184)</w:t>
            </w:r>
          </w:p>
        </w:tc>
        <w:tc>
          <w:tcPr>
            <w:tcW w:w="60" w:type="dxa"/>
            <w:vAlign w:val="bottom"/>
          </w:tcPr>
          <w:p>
            <w:pPr>
              <w:spacing w:after="0"/>
              <w:rPr>
                <w:sz w:val="18"/>
                <w:szCs w:val="18"/>
                <w:color w:val="auto"/>
              </w:rPr>
            </w:pPr>
          </w:p>
        </w:tc>
      </w:tr>
      <w:tr>
        <w:trPr>
          <w:trHeight w:val="75"/>
        </w:trPr>
        <w:tc>
          <w:tcPr>
            <w:tcW w:w="7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16"/>
        </w:trPr>
        <w:tc>
          <w:tcPr>
            <w:tcW w:w="74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38,935</w:t>
            </w:r>
          </w:p>
        </w:tc>
        <w:tc>
          <w:tcPr>
            <w:tcW w:w="54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38,816</w:t>
            </w:r>
          </w:p>
        </w:tc>
        <w:tc>
          <w:tcPr>
            <w:tcW w:w="60" w:type="dxa"/>
            <w:vAlign w:val="bottom"/>
            <w:shd w:val="clear" w:color="auto" w:fill="CCEEFF"/>
          </w:tcPr>
          <w:p>
            <w:pPr>
              <w:spacing w:after="0"/>
              <w:rPr>
                <w:sz w:val="18"/>
                <w:szCs w:val="18"/>
                <w:color w:val="auto"/>
              </w:rPr>
            </w:pPr>
          </w:p>
        </w:tc>
      </w:tr>
      <w:tr>
        <w:trPr>
          <w:trHeight w:val="20"/>
        </w:trPr>
        <w:tc>
          <w:tcPr>
            <w:tcW w:w="7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SHAREHOLDERS’ EQUITY</w:t>
      </w:r>
    </w:p>
    <w:p>
      <w:pPr>
        <w:spacing w:after="0" w:line="121"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Marriott Vacations Worldwide has 100,000,000 authorized shares of common stock, par value of $0.01 per share. At September 11, 2015, there were 36,355,412 shares of Marriott Vacations Worldwide common stock issued, of which 31,061,349 shares were outstanding and 5,294,063 shares were held as treasury stock. At January 2, 2015, there were 36,089,513 shares of Marriott Vacations Worldwide common stock issued, of which 32,092,788 shares were outstanding and 3,996,725 shares were held as treasury stock. Marriott Vacations Worldwide has 2,000,000 authorized shares of preferred stock, par value of $0.01 per share, none of which were issued or outstanding as of September 11, 2015 or January 2, 2015.</w:t>
      </w:r>
    </w:p>
    <w:p>
      <w:pPr>
        <w:spacing w:after="0" w:line="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details changes in shareholders’ equity during the thirty-six weeks ended September 11,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2"/>
                <w:szCs w:val="12"/>
                <w:color w:val="auto"/>
              </w:rPr>
            </w:pP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Treasury</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9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216"/>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4"/>
                <w:szCs w:val="14"/>
                <w:color w:val="auto"/>
              </w:rPr>
            </w:pPr>
          </w:p>
        </w:tc>
        <w:tc>
          <w:tcPr>
            <w:tcW w:w="980" w:type="dxa"/>
            <w:vAlign w:val="bottom"/>
          </w:tcPr>
          <w:p>
            <w:pPr>
              <w:jc w:val="right"/>
              <w:ind w:right="234"/>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1060" w:type="dxa"/>
            <w:vAlign w:val="bottom"/>
          </w:tcPr>
          <w:p>
            <w:pPr>
              <w:jc w:val="right"/>
              <w:ind w:right="216"/>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center"/>
              <w:ind w:right="174"/>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4"/>
                <w:szCs w:val="14"/>
                <w:color w:val="auto"/>
              </w:rPr>
            </w:pPr>
          </w:p>
        </w:tc>
        <w:tc>
          <w:tcPr>
            <w:tcW w:w="900" w:type="dxa"/>
            <w:vAlign w:val="bottom"/>
          </w:tcPr>
          <w:p>
            <w:pPr>
              <w:jc w:val="right"/>
              <w:ind w:right="74"/>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2, 2015</w:t>
            </w:r>
          </w:p>
        </w:tc>
        <w:tc>
          <w:tcPr>
            <w:tcW w:w="1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361</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$(229,229)</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4"/>
              </w:rPr>
              <w:t>$ 1,137,785</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17,054</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$ 153,732</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$ 1,079,703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
              <w:spacing w:after="0"/>
              <w:rPr>
                <w:sz w:val="20"/>
                <w:szCs w:val="20"/>
                <w:color w:val="auto"/>
              </w:rPr>
            </w:pPr>
            <w:r>
              <w:rPr>
                <w:rFonts w:ascii="Arial" w:cs="Arial" w:eastAsia="Arial" w:hAnsi="Arial"/>
                <w:sz w:val="18"/>
                <w:szCs w:val="18"/>
                <w:color w:val="auto"/>
              </w:rPr>
              <w:t>89,650</w:t>
            </w:r>
          </w:p>
        </w:tc>
        <w:tc>
          <w:tcPr>
            <w:tcW w:w="1260" w:type="dxa"/>
            <w:vAlign w:val="bottom"/>
            <w:gridSpan w:val="2"/>
          </w:tcPr>
          <w:p>
            <w:pPr>
              <w:jc w:val="right"/>
              <w:ind w:right="34"/>
              <w:spacing w:after="0"/>
              <w:rPr>
                <w:sz w:val="20"/>
                <w:szCs w:val="20"/>
                <w:color w:val="auto"/>
              </w:rPr>
            </w:pPr>
            <w:r>
              <w:rPr>
                <w:rFonts w:ascii="Arial" w:cs="Arial" w:eastAsia="Arial" w:hAnsi="Arial"/>
                <w:sz w:val="18"/>
                <w:szCs w:val="18"/>
                <w:color w:val="auto"/>
              </w:rPr>
              <w:t>89,650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Amounts related to share-based compensation</w:t>
            </w:r>
          </w:p>
        </w:tc>
        <w:tc>
          <w:tcPr>
            <w:tcW w:w="18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6"/>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4"/>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to reclassification of Marriott International</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to Additional paid-in capital</w:t>
            </w: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(106,110)</w:t>
            </w:r>
          </w:p>
        </w:tc>
        <w:tc>
          <w:tcPr>
            <w:tcW w:w="200" w:type="dxa"/>
            <w:vAlign w:val="bottom"/>
          </w:tcPr>
          <w:p>
            <w:pPr>
              <w:spacing w:after="0"/>
              <w:rPr>
                <w:sz w:val="18"/>
                <w:szCs w:val="18"/>
                <w:color w:val="auto"/>
              </w:rPr>
            </w:pP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(106,110)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(23,789)</w:t>
            </w: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520" w:type="dxa"/>
            <w:vAlign w:val="bottom"/>
          </w:tcPr>
          <w:p>
            <w:pPr>
              <w:spacing w:after="0"/>
              <w:rPr>
                <w:sz w:val="20"/>
                <w:szCs w:val="20"/>
                <w:color w:val="auto"/>
              </w:rPr>
            </w:pPr>
            <w:r>
              <w:rPr>
                <w:rFonts w:ascii="Arial" w:cs="Arial" w:eastAsia="Arial" w:hAnsi="Arial"/>
                <w:sz w:val="18"/>
                <w:szCs w:val="18"/>
                <w:color w:val="auto"/>
              </w:rPr>
              <w:t>Balance at September 11, 2015</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(335,339)</w:t>
            </w:r>
          </w:p>
        </w:tc>
        <w:tc>
          <w:tcPr>
            <w:tcW w:w="200" w:type="dxa"/>
            <w:vAlign w:val="bottom"/>
          </w:tcPr>
          <w:p>
            <w:pPr>
              <w:spacing w:after="0"/>
              <w:rPr>
                <w:sz w:val="24"/>
                <w:szCs w:val="24"/>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 xml:space="preserve"> 1,138,049</w:t>
            </w:r>
          </w:p>
        </w:tc>
        <w:tc>
          <w:tcPr>
            <w:tcW w:w="20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13,305</w:t>
            </w:r>
          </w:p>
        </w:tc>
        <w:tc>
          <w:tcPr>
            <w:tcW w:w="220" w:type="dxa"/>
            <w:vAlign w:val="bottom"/>
          </w:tcPr>
          <w:p>
            <w:pPr>
              <w:spacing w:after="0"/>
              <w:rPr>
                <w:sz w:val="24"/>
                <w:szCs w:val="24"/>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 xml:space="preserve"> 219,593</w:t>
            </w:r>
          </w:p>
        </w:tc>
        <w:tc>
          <w:tcPr>
            <w:tcW w:w="220" w:type="dxa"/>
            <w:vAlign w:val="bottom"/>
          </w:tcPr>
          <w:p>
            <w:pPr>
              <w:spacing w:after="0"/>
              <w:rPr>
                <w:sz w:val="24"/>
                <w:szCs w:val="24"/>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 xml:space="preserve"> 1,035,971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gridSpan w:val="2"/>
          </w:tcPr>
          <w:p>
            <w:pPr>
              <w:jc w:val="right"/>
              <w:ind w:right="494"/>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Cost of</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0" w:type="dxa"/>
            <w:vAlign w:val="bottom"/>
          </w:tcPr>
          <w:p>
            <w:pPr>
              <w:spacing w:after="0"/>
              <w:rPr>
                <w:sz w:val="1"/>
                <w:szCs w:val="1"/>
                <w:color w:val="auto"/>
              </w:rPr>
            </w:pPr>
          </w:p>
        </w:tc>
      </w:tr>
      <w:tr>
        <w:trPr>
          <w:trHeight w:val="171"/>
        </w:trPr>
        <w:tc>
          <w:tcPr>
            <w:tcW w:w="69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 except per share amounts)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Repurchased</w:t>
            </w:r>
          </w:p>
        </w:tc>
        <w:tc>
          <w:tcPr>
            <w:tcW w:w="1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Repurchased</w:t>
            </w:r>
          </w:p>
        </w:tc>
        <w:tc>
          <w:tcPr>
            <w:tcW w:w="140" w:type="dxa"/>
            <w:vAlign w:val="bottom"/>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January 2, 2015</w:t>
            </w: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3,996,725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w w:val="95"/>
              </w:rPr>
              <w:t>229,229</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57.35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For the thirty-six weeks ended September 11, 2015</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1,297,338</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w w:val="95"/>
              </w:rPr>
              <w:t>106,110</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11, 2015</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5,294,063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w w:val="95"/>
              </w:rPr>
              <w:t>335,339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September 11, 2015, 1.6 million shares remained available for repurchase under the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On September 10, 2015 our Board of Directors declared a quarterly dividend of $0.25 per share to be paid on October 8, 2015 to shareholders of record as of September 24,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12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A total of 6 million shares are authorized for issuance under the Marriott Vacations Worldwide Corporation Stock and Cash Incentive Plan (the “Stock Plan”). As of September 11, 2015, 1.8 million shares were available for grants under the Stock Plan.</w:t>
      </w:r>
    </w:p>
    <w:p>
      <w:pPr>
        <w:spacing w:after="0" w:line="62" w:lineRule="exact"/>
        <w:rPr>
          <w:sz w:val="20"/>
          <w:szCs w:val="20"/>
          <w:color w:val="auto"/>
        </w:rPr>
      </w:pPr>
    </w:p>
    <w:p>
      <w:pPr>
        <w:ind w:right="160" w:firstLine="913"/>
        <w:spacing w:after="0" w:line="276" w:lineRule="auto"/>
        <w:rPr>
          <w:sz w:val="20"/>
          <w:szCs w:val="20"/>
          <w:color w:val="auto"/>
        </w:rPr>
      </w:pPr>
      <w:r>
        <w:rPr>
          <w:rFonts w:ascii="Arial" w:cs="Arial" w:eastAsia="Arial" w:hAnsi="Arial"/>
          <w:sz w:val="17"/>
          <w:szCs w:val="17"/>
          <w:color w:val="auto"/>
        </w:rPr>
        <w:t>For share-based awards with service-only vesting conditions, we measure compensation expense related to share-based payment transactions with our employees and non-employee directors at fair value on the grant date. With respect to our employees, we recognize this expense on our Statements of Income over the vesting period during which the employees provide service in exchange for the award; with respect to non-employee directors, we recognize this expense on the grant date. For share-based arrangements with performance vesting conditions, we recognize compensation expense once it is probable that the corresponding performance condition will be achieved.</w:t>
      </w:r>
    </w:p>
    <w:p>
      <w:pPr>
        <w:spacing w:after="0" w:line="64"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We recorded share-based compensation expense related to award grants to our officers, directors and employees of $3.0 million for each of the twelve weeks ended September 11, 2015 and September 12, 2014, and $9.6 million and $9.2 million for the thirty-six weeks ended September 11, 2015 and September 12, 2014, respectively. Our deferred compensation liability related to unvested awards held by our employees totaled $17.2 million and $12.2 million at September 11, 2015 and January 2, 2015,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1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We granted 130,007 RSUs, exclusive of RSUs with performance vesting conditions, to our employees and non-employee directors during the thirty-six weeks ended September 11, 2015. RSUs granted in the thirty-six weeks ended September 11, 2015 had a weighted average grant-date fair value of $78.22. RSUs issued to our employees generally vest over four years in annual installments commencing one year after the date of grant. RSUs issued to our non-employee directors vest in full on the date of grant.</w:t>
      </w:r>
    </w:p>
    <w:p>
      <w:pPr>
        <w:spacing w:after="0" w:line="79"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During the thirty-six weeks ended September 11, 2015 and September 12, 2014, we granted RSUs with performance vesting conditions to members of management. The number of RSUs earned, if any, is determined following the end of a three-year performance period based upon our cumulative achievement over that period of specific quantitative operating financial measures. The maximum number of RSUs that may be earned under the RSUs with performance-based vesting criteria granted during the thirty-six weeks ended September 11, 2015 and September 12, 2014 was approximately 74,000 and 62,000,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 (“SARs”)</w:t>
      </w:r>
    </w:p>
    <w:p>
      <w:pPr>
        <w:spacing w:after="0" w:line="117"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We granted 62,018 SARs to members of management during the thirty-six weeks ended September 11, 2015. These SARs had a weighted average grant-date fair value of $29.75 and a weighted average exercise price of $77.42. SARs generally expire ten years after the date of grant and both vest and may be exercised in cumulative installments of one quarter of the grant at the end of each of the first four years following the date of grant.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use the Black-Scholes model to estimate the fair value of the SARs granted. For SARs granted under the Stock Plan in the thirty-six weeks ended September 11, 2015, the expected stock price volatility was calculated based on the historical volatility from the stock prices of a group of identified peer companies. The average expected life was calculated using the simplified method.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outlines the assumptions used to estimate the fair value of grants during the thirty-six weeks ended September 11, 2015:</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Dividend yield</w:t>
            </w:r>
          </w:p>
        </w:tc>
        <w:tc>
          <w:tcPr>
            <w:tcW w:w="33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300" w:type="dxa"/>
            <w:vAlign w:val="bottom"/>
          </w:tcPr>
          <w:p>
            <w:pPr>
              <w:jc w:val="right"/>
              <w:ind w:right="130"/>
              <w:spacing w:after="0"/>
              <w:rPr>
                <w:sz w:val="20"/>
                <w:szCs w:val="20"/>
                <w:color w:val="auto"/>
              </w:rPr>
            </w:pPr>
            <w:r>
              <w:rPr>
                <w:rFonts w:ascii="Arial" w:cs="Arial" w:eastAsia="Arial" w:hAnsi="Arial"/>
                <w:sz w:val="18"/>
                <w:szCs w:val="18"/>
                <w:color w:val="auto"/>
              </w:rPr>
              <w:t>6.25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During the second quarter of 2015, the Board of Directors adopted, and subsequently our shareholders approved, the Marriott Vacations Worldwide Corporation Employee Stock Purchase Plan (the “ESPP”), which became effective during the third quarter of 2015. A total of 500,000 shares of common stock may be purchased under the ESPP. The ESPP allows eligible employees to purchase shares of our common stock at a price per share not less than 95% of the fair market value per share of common stock on the purchase date, up to a maximum established by the plan administrator for the offering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VARIABLE INTEREST ENTITIES</w:t>
      </w:r>
    </w:p>
    <w:p>
      <w:pPr>
        <w:spacing w:after="0" w:line="121"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In accordance with the applicable accounting guidance for the consolidation of variable interest entities, we analyze our variable interests, including loans, guarantees and equity investments,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variable interest entity because we are its primary beneficiary.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11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loans to third parties. In a vacation ownership notes receivable securitization, various classes of debt securities issued by the special purpose entities are generally collateralized by a single tranche of transferred assets, which consist of vacation ownership notes receivable. We service the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We created these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The following table shows consolidated assets, which are collateral for the obligations of these variable interest entities, and consolidated liabilities included on our Balance Sheet at September 11, 2015:</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w w:val="98"/>
              </w:rPr>
              <w:t>Vacation Ownership</w:t>
            </w:r>
          </w:p>
        </w:tc>
        <w:tc>
          <w:tcPr>
            <w:tcW w:w="14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6"/>
              </w:rPr>
              <w:t>Warehouse Credit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14"/>
                <w:szCs w:val="14"/>
                <w:color w:val="auto"/>
              </w:rPr>
            </w:pPr>
          </w:p>
        </w:tc>
        <w:tc>
          <w:tcPr>
            <w:tcW w:w="124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Securitizations</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rPr>
              <w:t>Facility</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Assets:</w:t>
            </w: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Vacation ownership notes receivable, net of reserves</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704,349</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60" w:type="dxa"/>
            <w:vAlign w:val="bottom"/>
          </w:tcPr>
          <w:p>
            <w:pPr>
              <w:ind w:left="5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704,349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4,211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Restricted cash</w:t>
            </w:r>
            <w:r>
              <w:rPr>
                <w:rFonts w:ascii="Arial" w:cs="Arial" w:eastAsia="Arial" w:hAnsi="Arial"/>
                <w:sz w:val="15"/>
                <w:szCs w:val="15"/>
                <w:color w:val="auto"/>
              </w:rPr>
              <w:t>(1)</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93,803</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93,803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802,363</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802,363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1,547</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88</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776,648</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776,648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778,195</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88</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778,283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11576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36" w:lineRule="exact"/>
        <w:rPr>
          <w:sz w:val="20"/>
          <w:szCs w:val="20"/>
          <w:color w:val="auto"/>
        </w:rPr>
      </w:pPr>
    </w:p>
    <w:p>
      <w:pPr>
        <w:ind w:left="900" w:right="60" w:hanging="446"/>
        <w:spacing w:after="0" w:line="312" w:lineRule="auto"/>
        <w:tabs>
          <w:tab w:leader="none" w:pos="900" w:val="left"/>
        </w:tabs>
        <w:numPr>
          <w:ilvl w:val="0"/>
          <w:numId w:val="13"/>
        </w:numPr>
        <w:rPr>
          <w:rFonts w:ascii="Arial" w:cs="Arial" w:eastAsia="Arial" w:hAnsi="Arial"/>
          <w:sz w:val="14"/>
          <w:szCs w:val="14"/>
          <w:color w:val="auto"/>
        </w:rPr>
      </w:pPr>
      <w:r>
        <w:rPr>
          <w:rFonts w:ascii="Arial" w:cs="Arial" w:eastAsia="Arial" w:hAnsi="Arial"/>
          <w:sz w:val="16"/>
          <w:szCs w:val="16"/>
          <w:color w:val="auto"/>
        </w:rPr>
        <w:t>Includes $51.4 million of the proceeds from the securitization transaction completed during the third quarter of 2015, which will be released as the remaining vacation ownership notes receivable are purchased by the 2015-1 Trust. Refer to Footnote No. 9, “Debt,” for discussion of the terms of this securitization transaction and the purchase of additional vacation ownership notes receivable by the 2015-1 Trust.</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noncontrolling interest balance was zero. The creditors of these entities do not have general recourse to us.</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twelve weeks ended September 11, 2015:</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560" w:type="dxa"/>
            <w:vAlign w:val="bottom"/>
            <w:gridSpan w:val="3"/>
          </w:tcPr>
          <w:p>
            <w:pPr>
              <w:ind w:left="80"/>
              <w:spacing w:after="0"/>
              <w:rPr>
                <w:sz w:val="20"/>
                <w:szCs w:val="20"/>
                <w:color w:val="auto"/>
              </w:rPr>
            </w:pPr>
            <w:r>
              <w:rPr>
                <w:rFonts w:ascii="Arial" w:cs="Arial" w:eastAsia="Arial" w:hAnsi="Arial"/>
                <w:sz w:val="14"/>
                <w:szCs w:val="14"/>
                <w:b w:val="1"/>
                <w:bCs w:val="1"/>
                <w:color w:val="auto"/>
              </w:rPr>
              <w:t>Vacation Ownership</w:t>
            </w: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6"/>
              </w:rPr>
              <w:t>Warehouse Credit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Notes Receivable</w:t>
            </w: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Securitizations</w:t>
            </w:r>
          </w:p>
        </w:tc>
        <w:tc>
          <w:tcPr>
            <w:tcW w:w="300" w:type="dxa"/>
            <w:vAlign w:val="bottom"/>
          </w:tcPr>
          <w:p>
            <w:pPr>
              <w:spacing w:after="0"/>
              <w:rPr>
                <w:sz w:val="14"/>
                <w:szCs w:val="14"/>
                <w:color w:val="auto"/>
              </w:rPr>
            </w:pPr>
          </w:p>
        </w:tc>
        <w:tc>
          <w:tcPr>
            <w:tcW w:w="960" w:type="dxa"/>
            <w:vAlign w:val="bottom"/>
          </w:tcPr>
          <w:p>
            <w:pPr>
              <w:jc w:val="right"/>
              <w:ind w:right="314"/>
              <w:spacing w:after="0"/>
              <w:rPr>
                <w:sz w:val="20"/>
                <w:szCs w:val="20"/>
                <w:color w:val="auto"/>
              </w:rPr>
            </w:pPr>
            <w:r>
              <w:rPr>
                <w:rFonts w:ascii="Arial" w:cs="Arial" w:eastAsia="Arial" w:hAnsi="Arial"/>
                <w:sz w:val="14"/>
                <w:szCs w:val="14"/>
                <w:b w:val="1"/>
                <w:bCs w:val="1"/>
                <w:color w:val="auto"/>
              </w:rPr>
              <w:t>Facility</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20,005</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20,005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Interest expense to investors</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96"/>
              <w:spacing w:after="0"/>
              <w:rPr>
                <w:sz w:val="20"/>
                <w:szCs w:val="20"/>
                <w:color w:val="auto"/>
              </w:rPr>
            </w:pPr>
            <w:r>
              <w:rPr>
                <w:rFonts w:ascii="Arial" w:cs="Arial" w:eastAsia="Arial" w:hAnsi="Arial"/>
                <w:sz w:val="18"/>
                <w:szCs w:val="18"/>
                <w:color w:val="auto"/>
              </w:rPr>
              <w:t>4,003</w:t>
            </w:r>
          </w:p>
        </w:tc>
        <w:tc>
          <w:tcPr>
            <w:tcW w:w="14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321</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4,324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amortization</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688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277</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96"/>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20"/>
                <w:szCs w:val="20"/>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37</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thirty-six weeks ended September 11, 2015:</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60" w:type="dxa"/>
            <w:vAlign w:val="bottom"/>
            <w:gridSpan w:val="3"/>
          </w:tcPr>
          <w:p>
            <w:pPr>
              <w:ind w:left="80"/>
              <w:spacing w:after="0"/>
              <w:rPr>
                <w:sz w:val="20"/>
                <w:szCs w:val="20"/>
                <w:color w:val="auto"/>
              </w:rPr>
            </w:pPr>
            <w:r>
              <w:rPr>
                <w:rFonts w:ascii="Arial" w:cs="Arial" w:eastAsia="Arial" w:hAnsi="Arial"/>
                <w:sz w:val="14"/>
                <w:szCs w:val="14"/>
                <w:b w:val="1"/>
                <w:bCs w:val="1"/>
                <w:color w:val="auto"/>
              </w:rPr>
              <w:t>Vacation Ownership</w:t>
            </w: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6"/>
              </w:rPr>
              <w:t>Warehouse Credit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Notes Receivable</w:t>
            </w: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Securitizations</w:t>
            </w:r>
          </w:p>
        </w:tc>
        <w:tc>
          <w:tcPr>
            <w:tcW w:w="300" w:type="dxa"/>
            <w:vAlign w:val="bottom"/>
          </w:tcPr>
          <w:p>
            <w:pPr>
              <w:spacing w:after="0"/>
              <w:rPr>
                <w:sz w:val="14"/>
                <w:szCs w:val="14"/>
                <w:color w:val="auto"/>
              </w:rPr>
            </w:pPr>
          </w:p>
        </w:tc>
        <w:tc>
          <w:tcPr>
            <w:tcW w:w="960" w:type="dxa"/>
            <w:vAlign w:val="bottom"/>
          </w:tcPr>
          <w:p>
            <w:pPr>
              <w:jc w:val="right"/>
              <w:ind w:right="314"/>
              <w:spacing w:after="0"/>
              <w:rPr>
                <w:sz w:val="20"/>
                <w:szCs w:val="20"/>
                <w:color w:val="auto"/>
              </w:rPr>
            </w:pPr>
            <w:r>
              <w:rPr>
                <w:rFonts w:ascii="Arial" w:cs="Arial" w:eastAsia="Arial" w:hAnsi="Arial"/>
                <w:sz w:val="14"/>
                <w:szCs w:val="14"/>
                <w:b w:val="1"/>
                <w:bCs w:val="1"/>
                <w:color w:val="auto"/>
              </w:rPr>
              <w:t>Facility</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59,992</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59,992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Interest expense to investors</w:t>
            </w:r>
          </w:p>
        </w:tc>
        <w:tc>
          <w:tcPr>
            <w:tcW w:w="2720" w:type="dxa"/>
            <w:vAlign w:val="bottom"/>
            <w:gridSpan w:val="2"/>
          </w:tcPr>
          <w:p>
            <w:pPr>
              <w:ind w:left="26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96"/>
              <w:spacing w:after="0"/>
              <w:rPr>
                <w:sz w:val="20"/>
                <w:szCs w:val="20"/>
                <w:color w:val="auto"/>
              </w:rPr>
            </w:pPr>
            <w:r>
              <w:rPr>
                <w:rFonts w:ascii="Arial" w:cs="Arial" w:eastAsia="Arial" w:hAnsi="Arial"/>
                <w:sz w:val="18"/>
                <w:szCs w:val="18"/>
                <w:color w:val="auto"/>
              </w:rPr>
              <w:t>12,659</w:t>
            </w:r>
          </w:p>
        </w:tc>
        <w:tc>
          <w:tcPr>
            <w:tcW w:w="14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955</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13,614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amortization</w:t>
            </w:r>
          </w:p>
        </w:tc>
        <w:tc>
          <w:tcPr>
            <w:tcW w:w="2720" w:type="dxa"/>
            <w:vAlign w:val="bottom"/>
            <w:gridSpan w:val="2"/>
            <w:shd w:val="clear" w:color="auto" w:fill="CCEEFF"/>
          </w:tcPr>
          <w:p>
            <w:pPr>
              <w:ind w:left="264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2,102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842</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2,944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2720" w:type="dxa"/>
            <w:vAlign w:val="bottom"/>
            <w:gridSpan w:val="2"/>
          </w:tcPr>
          <w:p>
            <w:pPr>
              <w:ind w:left="26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96"/>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20"/>
                <w:szCs w:val="20"/>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104</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740" w:type="dxa"/>
            <w:vAlign w:val="bottom"/>
          </w:tcPr>
          <w:p>
            <w:pPr>
              <w:spacing w:after="0"/>
              <w:rPr>
                <w:sz w:val="24"/>
                <w:szCs w:val="24"/>
                <w:color w:val="auto"/>
              </w:rPr>
            </w:pPr>
          </w:p>
        </w:tc>
        <w:tc>
          <w:tcPr>
            <w:tcW w:w="2540" w:type="dxa"/>
            <w:vAlign w:val="bottom"/>
          </w:tcPr>
          <w:p>
            <w:pPr>
              <w:jc w:val="right"/>
              <w:ind w:right="861"/>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The following table shows cash flows between us and the vacation ownership notes receivable securitization variable interest entities during the thirty-six weeks ended September 11, 2015 and September 12, 2014:</w:t>
      </w:r>
    </w:p>
    <w:p>
      <w:pPr>
        <w:spacing w:after="0" w:line="6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80" w:type="dxa"/>
            <w:vAlign w:val="bottom"/>
          </w:tcPr>
          <w:p>
            <w:pPr>
              <w:spacing w:after="0"/>
              <w:rPr>
                <w:sz w:val="14"/>
                <w:szCs w:val="14"/>
                <w:color w:val="auto"/>
              </w:rPr>
            </w:pPr>
          </w:p>
        </w:tc>
        <w:tc>
          <w:tcPr>
            <w:tcW w:w="28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vMerge w:val="continue"/>
          </w:tcPr>
          <w:p>
            <w:pPr>
              <w:spacing w:after="0"/>
              <w:rPr>
                <w:sz w:val="12"/>
                <w:szCs w:val="12"/>
                <w:color w:val="auto"/>
              </w:rPr>
            </w:pPr>
          </w:p>
        </w:tc>
        <w:tc>
          <w:tcPr>
            <w:tcW w:w="1480" w:type="dxa"/>
            <w:vAlign w:val="bottom"/>
            <w:tcBorders>
              <w:top w:val="single" w:sz="8" w:color="auto"/>
              <w:bottom w:val="single" w:sz="8" w:color="auto"/>
            </w:tcBorders>
            <w:gridSpan w:val="2"/>
          </w:tcPr>
          <w:p>
            <w:pPr>
              <w:jc w:val="right"/>
              <w:ind w:right="51"/>
              <w:spacing w:after="0" w:line="142" w:lineRule="exact"/>
              <w:rPr>
                <w:sz w:val="20"/>
                <w:szCs w:val="20"/>
                <w:color w:val="auto"/>
              </w:rPr>
            </w:pPr>
            <w:r>
              <w:rPr>
                <w:rFonts w:ascii="Arial" w:cs="Arial" w:eastAsia="Arial" w:hAnsi="Arial"/>
                <w:sz w:val="14"/>
                <w:szCs w:val="14"/>
                <w:b w:val="1"/>
                <w:bCs w:val="1"/>
                <w:color w:val="auto"/>
              </w:rPr>
              <w:t>September 11, 2015</w:t>
            </w:r>
          </w:p>
        </w:tc>
        <w:tc>
          <w:tcPr>
            <w:tcW w:w="140" w:type="dxa"/>
            <w:vAlign w:val="bottom"/>
            <w:tcBorders>
              <w:top w:val="single" w:sz="8" w:color="auto"/>
              <w:bottom w:val="single" w:sz="8" w:color="CCEEFF"/>
            </w:tcBorders>
          </w:tcPr>
          <w:p>
            <w:pPr>
              <w:spacing w:after="0"/>
              <w:rPr>
                <w:sz w:val="12"/>
                <w:szCs w:val="12"/>
                <w:color w:val="auto"/>
              </w:rPr>
            </w:pPr>
          </w:p>
        </w:tc>
        <w:tc>
          <w:tcPr>
            <w:tcW w:w="150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September 12, 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Net proceeds from vacation ownership notes receivable securitizations</w:t>
            </w:r>
          </w:p>
        </w:tc>
        <w:tc>
          <w:tcPr>
            <w:tcW w:w="38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252,361</w:t>
            </w:r>
          </w:p>
        </w:tc>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22,638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127,571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Interest receipts</w:t>
            </w:r>
          </w:p>
        </w:tc>
        <w:tc>
          <w:tcPr>
            <w:tcW w:w="38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62,324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61,549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Reserve release</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2,478</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400" w:type="dxa"/>
            <w:vAlign w:val="bottom"/>
          </w:tcPr>
          <w:p>
            <w:pPr>
              <w:ind w:left="7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444,734</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210,370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6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outflows: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Principal to investors</w:t>
            </w:r>
          </w:p>
        </w:tc>
        <w:tc>
          <w:tcPr>
            <w:tcW w:w="3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(114,561)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(117,351)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(17,802)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Voluntary clean-up call</w:t>
            </w:r>
          </w:p>
        </w:tc>
        <w:tc>
          <w:tcPr>
            <w:tcW w:w="3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(54,020)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(26,722)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 to investors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(12,160)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Funding of restricted cash</w:t>
            </w:r>
            <w:r>
              <w:rPr>
                <w:rFonts w:ascii="Arial" w:cs="Arial" w:eastAsia="Arial" w:hAnsi="Arial"/>
                <w:sz w:val="15"/>
                <w:szCs w:val="15"/>
                <w:color w:val="auto"/>
              </w:rPr>
              <w:t>(1)</w:t>
            </w:r>
          </w:p>
        </w:tc>
        <w:tc>
          <w:tcPr>
            <w:tcW w:w="380" w:type="dxa"/>
            <w:vAlign w:val="bottom"/>
          </w:tcPr>
          <w:p>
            <w:pPr>
              <w:spacing w:after="0"/>
              <w:rPr>
                <w:sz w:val="18"/>
                <w:szCs w:val="18"/>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(52,756)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640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(251,299)</w:t>
            </w: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(176,466)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400" w:type="dxa"/>
            <w:vAlign w:val="bottom"/>
          </w:tcPr>
          <w:p>
            <w:pPr>
              <w:spacing w:after="0"/>
              <w:rPr>
                <w:sz w:val="20"/>
                <w:szCs w:val="20"/>
                <w:color w:val="auto"/>
              </w:rPr>
            </w:pPr>
            <w:r>
              <w:rPr>
                <w:rFonts w:ascii="Arial" w:cs="Arial" w:eastAsia="Arial" w:hAnsi="Arial"/>
                <w:sz w:val="18"/>
                <w:szCs w:val="18"/>
                <w:b w:val="1"/>
                <w:bCs w:val="1"/>
                <w:color w:val="auto"/>
              </w:rPr>
              <w:t>Net Cash Flows</w:t>
            </w:r>
          </w:p>
        </w:tc>
        <w:tc>
          <w:tcPr>
            <w:tcW w:w="38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193,435</w:t>
            </w:r>
          </w:p>
        </w:tc>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33,904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137160</wp:posOffset>
            </wp:positionV>
            <wp:extent cx="11576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36" w:lineRule="exact"/>
        <w:rPr>
          <w:sz w:val="20"/>
          <w:szCs w:val="20"/>
          <w:color w:val="auto"/>
        </w:rPr>
      </w:pPr>
    </w:p>
    <w:p>
      <w:pPr>
        <w:ind w:left="1480" w:hanging="567"/>
        <w:spacing w:after="0" w:line="259" w:lineRule="auto"/>
        <w:tabs>
          <w:tab w:leader="none" w:pos="1480" w:val="left"/>
        </w:tabs>
        <w:numPr>
          <w:ilvl w:val="0"/>
          <w:numId w:val="14"/>
        </w:numPr>
        <w:rPr>
          <w:rFonts w:ascii="Arial" w:cs="Arial" w:eastAsia="Arial" w:hAnsi="Arial"/>
          <w:sz w:val="15"/>
          <w:szCs w:val="15"/>
          <w:color w:val="auto"/>
        </w:rPr>
      </w:pPr>
      <w:r>
        <w:rPr>
          <w:rFonts w:ascii="Arial" w:cs="Arial" w:eastAsia="Arial" w:hAnsi="Arial"/>
          <w:sz w:val="18"/>
          <w:szCs w:val="18"/>
          <w:color w:val="auto"/>
        </w:rPr>
        <w:t>Includes $51.4 million of the proceeds from the securitization transaction completed during the third quarter of 2015, which will be released as the remaining vacation ownership notes receivable are purchased by the 2015-1 Trust. Refer to Footnote No. 9, “Debt,” for discussion of the terms of this securitization transaction and the purchase of additional vacation ownership notes receivable by the 2015-1 Trust.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shows cash flows between us and the Warehouse Credit Facility variable interest entity during the thirty-six weeks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2015 and September 12, 2014:</w:t>
      </w:r>
    </w:p>
    <w:p>
      <w:pPr>
        <w:spacing w:after="0" w:line="10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Thirty-Six Weeks Ended</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vMerge w:val="continue"/>
          </w:tcPr>
          <w:p>
            <w:pPr>
              <w:spacing w:after="0"/>
              <w:rPr>
                <w:sz w:val="12"/>
                <w:szCs w:val="12"/>
                <w:color w:val="auto"/>
              </w:rPr>
            </w:pPr>
          </w:p>
        </w:tc>
        <w:tc>
          <w:tcPr>
            <w:tcW w:w="1480" w:type="dxa"/>
            <w:vAlign w:val="bottom"/>
            <w:tcBorders>
              <w:bottom w:val="single" w:sz="8" w:color="auto"/>
            </w:tcBorders>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rPr>
              <w:t>September 11, 2015</w:t>
            </w:r>
          </w:p>
        </w:tc>
        <w:tc>
          <w:tcPr>
            <w:tcW w:w="14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September 12, 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72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640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outflows: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Interest to investors</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(920)</w:t>
            </w:r>
          </w:p>
        </w:tc>
        <w:tc>
          <w:tcPr>
            <w:tcW w:w="1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8"/>
              </w:rPr>
              <w:t>(1,013)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6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(920)</w:t>
            </w: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(1,013)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400" w:type="dxa"/>
            <w:vAlign w:val="bottom"/>
          </w:tcPr>
          <w:p>
            <w:pPr>
              <w:spacing w:after="0"/>
              <w:rPr>
                <w:sz w:val="20"/>
                <w:szCs w:val="20"/>
                <w:color w:val="auto"/>
              </w:rPr>
            </w:pPr>
            <w:r>
              <w:rPr>
                <w:rFonts w:ascii="Arial" w:cs="Arial" w:eastAsia="Arial" w:hAnsi="Arial"/>
                <w:sz w:val="18"/>
                <w:szCs w:val="18"/>
                <w:b w:val="1"/>
                <w:bCs w:val="1"/>
                <w:color w:val="auto"/>
              </w:rPr>
              <w:t>Net Cash Flows</w:t>
            </w:r>
          </w:p>
        </w:tc>
        <w:tc>
          <w:tcPr>
            <w:tcW w:w="50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(920)</w:t>
            </w:r>
          </w:p>
        </w:tc>
        <w:tc>
          <w:tcPr>
            <w:tcW w:w="88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98"/>
              </w:rPr>
              <w:t>(1,013)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Under the terms of our vacation ownership notes receivable securitizations, we have the right at our option to repurchase defaulted vacation ownership notes receivable at the outstanding principal balance. The transaction documents typically limit such repurchases to 15 to 20 percent of the transaction’s initial vacation ownership notes receivable principal balance. Our maximum exposure to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 In addition, we could be required to fund up to an aggregate of $10.0 million upon presentation of demand notes related to certain vacation ownerships notes receivable securitization transactions outstanding at September 11, 2015.</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11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We have an equity investment in the Joint Venture, a variable interest entity that previously developed and marketed vacation ownership and residential products in Hawaii. We concluded that the Joint Venture is a variable interest entity because the equity investment at risk is not sufficient to permit it to finance its activities without additional support from other venture parties. We determined that we are not the primary beneficiary of the Joint Venture, as power to direct the activities that most significantly impact its economic performance is shared among the variable interest holders and, therefore, we do not consolidate the Joint Venture. In 2009, we fully impaired our equity investment in the Joint Venture and in certain notes receivable due from the Joint Venture and subsequently reduced the carrying value of our investment in those receivables to zero. Following the Joint Venture’s failure to pay promissory notes due in 2010 and 2011, the lenders initiated foreclosure proceedings with respect to unsold interests in the project. A sale was completed following a foreclosure auction, and on June 13, 2013, we received $7.4 million of cash as a partial repayment of our previously fully reserved receivables due from the Joint Venture. The Joint Venture’s obligations with respect to the remaining receivables have been terminated. At September 11, 2015, we had an accrual of $4.1 million for potential future funding obligations, representing our remaining expected exposure to loss related to our involvement with the Joint Venture exclusive of any future costs that may be incurred pursuant to outstanding litigation matters, including those discussed in Footnote No. 8, “Contingencies and Commitments.”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SEGMENTS</w:t>
      </w:r>
    </w:p>
    <w:p>
      <w:pPr>
        <w:spacing w:after="0" w:line="121" w:lineRule="exact"/>
        <w:rPr>
          <w:sz w:val="20"/>
          <w:szCs w:val="20"/>
          <w:color w:val="auto"/>
        </w:rPr>
      </w:pPr>
    </w:p>
    <w:p>
      <w:pPr>
        <w:ind w:right="120" w:firstLine="913"/>
        <w:spacing w:after="0" w:line="342" w:lineRule="auto"/>
        <w:rPr>
          <w:sz w:val="20"/>
          <w:szCs w:val="20"/>
          <w:color w:val="auto"/>
        </w:rPr>
      </w:pPr>
      <w:r>
        <w:rPr>
          <w:rFonts w:ascii="Arial" w:cs="Arial" w:eastAsia="Arial" w:hAnsi="Arial"/>
          <w:sz w:val="16"/>
          <w:szCs w:val="16"/>
          <w:color w:val="auto"/>
        </w:rPr>
        <w:t>We define our reportable segments based on the way in which the chief operating decision maker, currently our chief executive officer, manages the operations of the company for purposes of allocating resources and assessing performance. We operate in three reportable business segments:</w:t>
      </w:r>
    </w:p>
    <w:p>
      <w:pPr>
        <w:spacing w:after="0" w:line="29" w:lineRule="exact"/>
        <w:rPr>
          <w:sz w:val="20"/>
          <w:szCs w:val="20"/>
          <w:color w:val="auto"/>
        </w:rPr>
      </w:pPr>
    </w:p>
    <w:p>
      <w:pPr>
        <w:ind w:left="1460" w:hanging="547"/>
        <w:spacing w:after="0" w:line="312" w:lineRule="auto"/>
        <w:tabs>
          <w:tab w:leader="none" w:pos="1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our North America segment, we develop, market, sell and manage vacation ownership and related products under the Marriott Vacation Club and Grand Residences by Marriott brands. We also develop, market and sell vacation ownership and related products under The Ritz-Carlton Destination Club brand, as well as whole ownership residential products under The Ritz-Carlton Residences brand.</w:t>
      </w:r>
    </w:p>
    <w:p>
      <w:pPr>
        <w:spacing w:after="0" w:line="52" w:lineRule="exact"/>
        <w:rPr>
          <w:rFonts w:ascii="Arial" w:cs="Arial" w:eastAsia="Arial" w:hAnsi="Arial"/>
          <w:sz w:val="16"/>
          <w:szCs w:val="16"/>
          <w:color w:val="auto"/>
        </w:rPr>
      </w:pPr>
    </w:p>
    <w:p>
      <w:pPr>
        <w:ind w:left="1460" w:right="120" w:hanging="547"/>
        <w:spacing w:after="0" w:line="277"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our Europe segment, we are focusing on selling our existing projects and managing existing resorts. We do not have any current plans for new development in this segment.</w:t>
      </w:r>
    </w:p>
    <w:p>
      <w:pPr>
        <w:spacing w:after="0" w:line="75" w:lineRule="exact"/>
        <w:rPr>
          <w:rFonts w:ascii="Arial" w:cs="Arial" w:eastAsia="Arial" w:hAnsi="Arial"/>
          <w:sz w:val="18"/>
          <w:szCs w:val="18"/>
          <w:color w:val="auto"/>
        </w:rPr>
      </w:pPr>
    </w:p>
    <w:p>
      <w:pPr>
        <w:ind w:left="1460" w:right="60" w:hanging="547"/>
        <w:spacing w:after="0" w:line="342" w:lineRule="auto"/>
        <w:tabs>
          <w:tab w:leader="none" w:pos="1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our Asia Pacific segment, we develop, market, sell and manage the Marriott Vacation Club, Asia Pacific, a right-to-use points program that we specifically designed to appeal to the vacation preferences of the Asian market, as well as a weeks-based right-to-use product.</w:t>
      </w:r>
    </w:p>
    <w:p>
      <w:pPr>
        <w:spacing w:after="0" w:line="16"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We evaluate the performance of our segments based primarily on the results of the segment without allocating corporate expenses or income taxes. We do not allocate corporate interest expense, consumer financing interest expense, other financing expenses or general and administrative expenses to our segments. We include interest income specific to segment activities within the appropriate segment. We allocate other gains and losses and equity in earnings or losses from our joint ventures to each of our segments as appropriate. Corporate and other represents that portion of our revenues, equity in earnings or losses, and other gains or losses that are not allocable to our segments.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2560" w:type="dxa"/>
            <w:vAlign w:val="bottom"/>
            <w:gridSpan w:val="4"/>
          </w:tcPr>
          <w:p>
            <w:pPr>
              <w:ind w:left="50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19"/>
        </w:trPr>
        <w:tc>
          <w:tcPr>
            <w:tcW w:w="40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160" w:type="dxa"/>
            <w:vAlign w:val="bottom"/>
            <w:tcBorders>
              <w:top w:val="single" w:sz="8" w:color="auto"/>
            </w:tcBorders>
            <w:gridSpan w:val="2"/>
          </w:tcPr>
          <w:p>
            <w:pPr>
              <w:jc w:val="right"/>
              <w:ind w:right="54"/>
              <w:spacing w:after="0" w:line="119" w:lineRule="exact"/>
              <w:rPr>
                <w:sz w:val="20"/>
                <w:szCs w:val="20"/>
                <w:color w:val="auto"/>
              </w:rPr>
            </w:pPr>
            <w:r>
              <w:rPr>
                <w:rFonts w:ascii="Arial" w:cs="Arial" w:eastAsia="Arial" w:hAnsi="Arial"/>
                <w:sz w:val="13"/>
                <w:szCs w:val="13"/>
                <w:b w:val="1"/>
                <w:bCs w:val="1"/>
                <w:color w:val="auto"/>
              </w:rPr>
              <w:t>September 11,</w:t>
            </w: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53"/>
              <w:spacing w:after="0" w:line="119" w:lineRule="exact"/>
              <w:rPr>
                <w:sz w:val="20"/>
                <w:szCs w:val="20"/>
                <w:color w:val="auto"/>
              </w:rPr>
            </w:pPr>
            <w:r>
              <w:rPr>
                <w:rFonts w:ascii="Arial" w:cs="Arial" w:eastAsia="Arial" w:hAnsi="Arial"/>
                <w:sz w:val="13"/>
                <w:szCs w:val="13"/>
                <w:b w:val="1"/>
                <w:bCs w:val="1"/>
                <w:color w:val="auto"/>
              </w:rPr>
              <w:t>September 12,</w:t>
            </w:r>
          </w:p>
        </w:tc>
        <w:tc>
          <w:tcPr>
            <w:tcW w:w="160" w:type="dxa"/>
            <w:vAlign w:val="bottom"/>
          </w:tcPr>
          <w:p>
            <w:pPr>
              <w:spacing w:after="0"/>
              <w:rPr>
                <w:sz w:val="10"/>
                <w:szCs w:val="10"/>
                <w:color w:val="auto"/>
              </w:rPr>
            </w:pPr>
          </w:p>
        </w:tc>
        <w:tc>
          <w:tcPr>
            <w:tcW w:w="116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rPr>
              <w:t>September 11,</w:t>
            </w: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55"/>
              <w:spacing w:after="0" w:line="119" w:lineRule="exact"/>
              <w:rPr>
                <w:sz w:val="20"/>
                <w:szCs w:val="20"/>
                <w:color w:val="auto"/>
              </w:rPr>
            </w:pPr>
            <w:r>
              <w:rPr>
                <w:rFonts w:ascii="Arial" w:cs="Arial" w:eastAsia="Arial" w:hAnsi="Arial"/>
                <w:sz w:val="13"/>
                <w:szCs w:val="13"/>
                <w:b w:val="1"/>
                <w:bCs w:val="1"/>
                <w:color w:val="auto"/>
              </w:rPr>
              <w:t>September 12,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1320" w:type="dxa"/>
            <w:vAlign w:val="bottom"/>
            <w:gridSpan w:val="2"/>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340" w:type="dxa"/>
            <w:vAlign w:val="bottom"/>
            <w:gridSpan w:val="2"/>
          </w:tcPr>
          <w:p>
            <w:pPr>
              <w:jc w:val="right"/>
              <w:ind w:right="355"/>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w w:val="98"/>
              </w:rPr>
              <w:t>362,440</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363,901</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w w:val="96"/>
              </w:rPr>
              <w:t>$ 1,138,857</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96"/>
              </w:rPr>
              <w:t>$ 1,093,153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Europe</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31,995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37,291</w:t>
            </w:r>
          </w:p>
        </w:tc>
        <w:tc>
          <w:tcPr>
            <w:tcW w:w="1320" w:type="dxa"/>
            <w:vAlign w:val="bottom"/>
            <w:gridSpan w:val="2"/>
          </w:tcPr>
          <w:p>
            <w:pPr>
              <w:jc w:val="right"/>
              <w:ind w:right="137"/>
              <w:spacing w:after="0"/>
              <w:rPr>
                <w:sz w:val="20"/>
                <w:szCs w:val="20"/>
                <w:color w:val="auto"/>
              </w:rPr>
            </w:pPr>
            <w:r>
              <w:rPr>
                <w:rFonts w:ascii="Arial" w:cs="Arial" w:eastAsia="Arial" w:hAnsi="Arial"/>
                <w:sz w:val="18"/>
                <w:szCs w:val="18"/>
                <w:color w:val="auto"/>
              </w:rPr>
              <w:t>80,203</w:t>
            </w:r>
          </w:p>
        </w:tc>
        <w:tc>
          <w:tcPr>
            <w:tcW w:w="1340" w:type="dxa"/>
            <w:vAlign w:val="bottom"/>
            <w:gridSpan w:val="2"/>
          </w:tcPr>
          <w:p>
            <w:pPr>
              <w:jc w:val="right"/>
              <w:ind w:right="135"/>
              <w:spacing w:after="0"/>
              <w:rPr>
                <w:sz w:val="20"/>
                <w:szCs w:val="20"/>
                <w:color w:val="auto"/>
              </w:rPr>
            </w:pPr>
            <w:r>
              <w:rPr>
                <w:rFonts w:ascii="Arial" w:cs="Arial" w:eastAsia="Arial" w:hAnsi="Arial"/>
                <w:sz w:val="18"/>
                <w:szCs w:val="18"/>
                <w:color w:val="auto"/>
              </w:rPr>
              <w:t>96,511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12,701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11,846</w:t>
            </w:r>
          </w:p>
        </w:tc>
        <w:tc>
          <w:tcPr>
            <w:tcW w:w="1320" w:type="dxa"/>
            <w:vAlign w:val="bottom"/>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65,783</w:t>
            </w:r>
          </w:p>
        </w:tc>
        <w:tc>
          <w:tcPr>
            <w:tcW w:w="134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35,223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720"/>
              <w:spacing w:after="0"/>
              <w:rPr>
                <w:sz w:val="20"/>
                <w:szCs w:val="20"/>
                <w:color w:val="auto"/>
              </w:rPr>
            </w:pPr>
            <w:r>
              <w:rPr>
                <w:rFonts w:ascii="Arial" w:cs="Arial" w:eastAsia="Arial" w:hAnsi="Arial"/>
                <w:sz w:val="18"/>
                <w:szCs w:val="18"/>
                <w:color w:val="auto"/>
              </w:rPr>
              <w:t>Total segment revenues</w:t>
            </w:r>
          </w:p>
        </w:tc>
        <w:tc>
          <w:tcPr>
            <w:tcW w:w="2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w w:val="98"/>
              </w:rPr>
              <w:t>407,136</w:t>
            </w: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413,038</w:t>
            </w:r>
          </w:p>
        </w:tc>
        <w:tc>
          <w:tcPr>
            <w:tcW w:w="160" w:type="dxa"/>
            <w:vAlign w:val="bottom"/>
          </w:tcPr>
          <w:p>
            <w:pPr>
              <w:spacing w:after="0"/>
              <w:rPr>
                <w:sz w:val="19"/>
                <w:szCs w:val="19"/>
                <w:color w:val="auto"/>
              </w:rPr>
            </w:pPr>
          </w:p>
        </w:tc>
        <w:tc>
          <w:tcPr>
            <w:tcW w:w="1160" w:type="dxa"/>
            <w:vAlign w:val="bottom"/>
            <w:tcBorders>
              <w:top w:val="single" w:sz="8" w:color="auto"/>
            </w:tcBorders>
          </w:tcPr>
          <w:p>
            <w:pPr>
              <w:jc w:val="right"/>
              <w:ind w:right="137"/>
              <w:spacing w:after="0"/>
              <w:rPr>
                <w:sz w:val="20"/>
                <w:szCs w:val="20"/>
                <w:color w:val="auto"/>
              </w:rPr>
            </w:pPr>
            <w:r>
              <w:rPr>
                <w:rFonts w:ascii="Arial" w:cs="Arial" w:eastAsia="Arial" w:hAnsi="Arial"/>
                <w:sz w:val="18"/>
                <w:szCs w:val="18"/>
                <w:color w:val="auto"/>
              </w:rPr>
              <w:t>1,284,843</w:t>
            </w:r>
          </w:p>
        </w:tc>
        <w:tc>
          <w:tcPr>
            <w:tcW w:w="180" w:type="dxa"/>
            <w:vAlign w:val="bottom"/>
          </w:tcPr>
          <w:p>
            <w:pPr>
              <w:spacing w:after="0"/>
              <w:rPr>
                <w:sz w:val="19"/>
                <w:szCs w:val="19"/>
                <w:color w:val="auto"/>
              </w:rPr>
            </w:pPr>
          </w:p>
        </w:tc>
        <w:tc>
          <w:tcPr>
            <w:tcW w:w="116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color w:val="auto"/>
              </w:rPr>
              <w:t>1,224,887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w w:val="98"/>
              </w:rPr>
              <w:t>407,136</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413,038</w:t>
            </w:r>
          </w:p>
        </w:tc>
        <w:tc>
          <w:tcPr>
            <w:tcW w:w="1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8"/>
                <w:szCs w:val="18"/>
                <w:color w:val="auto"/>
                <w:w w:val="96"/>
              </w:rPr>
              <w:t>$ 1,284,843</w:t>
            </w:r>
          </w:p>
        </w:tc>
        <w:tc>
          <w:tcPr>
            <w:tcW w:w="1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8"/>
                <w:szCs w:val="18"/>
                <w:color w:val="auto"/>
                <w:w w:val="96"/>
              </w:rPr>
              <w:t>$ 1,224,887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180" w:type="dxa"/>
            <w:vAlign w:val="bottom"/>
            <w:vMerge w:val="restart"/>
          </w:tcPr>
          <w:p>
            <w:pPr>
              <w:jc w:val="right"/>
              <w:ind w:right="310"/>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1"/>
              </w:rPr>
              <w:t>Twelve Weeks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7"/>
          </w:tcPr>
          <w:p>
            <w:pPr>
              <w:ind w:left="10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160" w:type="dxa"/>
            <w:vAlign w:val="bottom"/>
            <w:tcBorders>
              <w:top w:val="single" w:sz="8" w:color="auto"/>
            </w:tcBorders>
            <w:gridSpan w:val="3"/>
          </w:tcPr>
          <w:p>
            <w:pPr>
              <w:ind w:left="160"/>
              <w:spacing w:after="0" w:line="119" w:lineRule="exact"/>
              <w:rPr>
                <w:sz w:val="20"/>
                <w:szCs w:val="20"/>
                <w:color w:val="auto"/>
              </w:rPr>
            </w:pPr>
            <w:r>
              <w:rPr>
                <w:rFonts w:ascii="Arial" w:cs="Arial" w:eastAsia="Arial" w:hAnsi="Arial"/>
                <w:sz w:val="13"/>
                <w:szCs w:val="13"/>
                <w:b w:val="1"/>
                <w:bCs w:val="1"/>
                <w:color w:val="auto"/>
              </w:rPr>
              <w:t>September 11,</w:t>
            </w: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September 12,</w:t>
            </w: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5"/>
          </w:tcPr>
          <w:p>
            <w:pPr>
              <w:jc w:val="right"/>
              <w:ind w:right="440"/>
              <w:spacing w:after="0" w:line="119" w:lineRule="exact"/>
              <w:rPr>
                <w:sz w:val="20"/>
                <w:szCs w:val="20"/>
                <w:color w:val="auto"/>
              </w:rPr>
            </w:pPr>
            <w:r>
              <w:rPr>
                <w:rFonts w:ascii="Arial" w:cs="Arial" w:eastAsia="Arial" w:hAnsi="Arial"/>
                <w:sz w:val="13"/>
                <w:szCs w:val="13"/>
                <w:b w:val="1"/>
                <w:bCs w:val="1"/>
                <w:color w:val="auto"/>
              </w:rPr>
              <w:t>September 11,</w:t>
            </w:r>
          </w:p>
        </w:tc>
        <w:tc>
          <w:tcPr>
            <w:tcW w:w="1080" w:type="dxa"/>
            <w:vAlign w:val="bottom"/>
            <w:tcBorders>
              <w:top w:val="single" w:sz="8" w:color="auto"/>
            </w:tcBorders>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September 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2015</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85,337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86,008</w:t>
            </w:r>
          </w:p>
        </w:tc>
        <w:tc>
          <w:tcPr>
            <w:tcW w:w="2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33"/>
              <w:spacing w:after="0"/>
              <w:rPr>
                <w:sz w:val="20"/>
                <w:szCs w:val="20"/>
                <w:color w:val="auto"/>
              </w:rPr>
            </w:pPr>
            <w:r>
              <w:rPr>
                <w:rFonts w:ascii="Arial" w:cs="Arial" w:eastAsia="Arial" w:hAnsi="Arial"/>
                <w:sz w:val="18"/>
                <w:szCs w:val="18"/>
                <w:color w:val="auto"/>
              </w:rPr>
              <w:t>$  287,676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18"/>
                <w:szCs w:val="18"/>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6,159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6,701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9,179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Pacific</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(4,056)</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1,030</w:t>
            </w:r>
          </w:p>
        </w:tc>
        <w:tc>
          <w:tcPr>
            <w:tcW w:w="2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5,332</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040" w:type="dxa"/>
            <w:vAlign w:val="bottom"/>
            <w:gridSpan w:val="2"/>
          </w:tcPr>
          <w:p>
            <w:pPr>
              <w:ind w:left="720"/>
              <w:spacing w:after="0"/>
              <w:rPr>
                <w:sz w:val="20"/>
                <w:szCs w:val="20"/>
                <w:color w:val="auto"/>
              </w:rPr>
            </w:pPr>
            <w:r>
              <w:rPr>
                <w:rFonts w:ascii="Arial" w:cs="Arial" w:eastAsia="Arial" w:hAnsi="Arial"/>
                <w:sz w:val="18"/>
                <w:szCs w:val="18"/>
                <w:color w:val="auto"/>
              </w:rPr>
              <w:t>Total segment financial results</w:t>
            </w:r>
          </w:p>
        </w:tc>
        <w:tc>
          <w:tcPr>
            <w:tcW w:w="280" w:type="dxa"/>
            <w:vAlign w:val="bottom"/>
          </w:tcPr>
          <w:p>
            <w:pPr>
              <w:spacing w:after="0"/>
              <w:rPr>
                <w:sz w:val="24"/>
                <w:szCs w:val="24"/>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87,440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93,739</w:t>
            </w:r>
          </w:p>
        </w:tc>
        <w:tc>
          <w:tcPr>
            <w:tcW w:w="200" w:type="dxa"/>
            <w:vAlign w:val="bottom"/>
          </w:tcPr>
          <w:p>
            <w:pPr>
              <w:spacing w:after="0"/>
              <w:rPr>
                <w:sz w:val="24"/>
                <w:szCs w:val="24"/>
                <w:color w:val="auto"/>
              </w:rPr>
            </w:pPr>
          </w:p>
        </w:tc>
        <w:tc>
          <w:tcPr>
            <w:tcW w:w="1160" w:type="dxa"/>
            <w:vAlign w:val="bottom"/>
            <w:gridSpan w:val="4"/>
          </w:tcPr>
          <w:p>
            <w:pPr>
              <w:jc w:val="right"/>
              <w:ind w:right="133"/>
              <w:spacing w:after="0"/>
              <w:rPr>
                <w:sz w:val="20"/>
                <w:szCs w:val="20"/>
                <w:color w:val="auto"/>
              </w:rPr>
            </w:pPr>
            <w:r>
              <w:rPr>
                <w:rFonts w:ascii="Arial" w:cs="Arial" w:eastAsia="Arial" w:hAnsi="Arial"/>
                <w:sz w:val="18"/>
                <w:szCs w:val="18"/>
                <w:color w:val="auto"/>
              </w:rPr>
              <w:t>302,187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284,616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(51,277)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(50,229)</w:t>
            </w:r>
          </w:p>
        </w:tc>
        <w:tc>
          <w:tcPr>
            <w:tcW w:w="2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93"/>
              <w:spacing w:after="0"/>
              <w:rPr>
                <w:sz w:val="20"/>
                <w:szCs w:val="20"/>
                <w:color w:val="auto"/>
              </w:rPr>
            </w:pPr>
            <w:r>
              <w:rPr>
                <w:rFonts w:ascii="Arial" w:cs="Arial" w:eastAsia="Arial" w:hAnsi="Arial"/>
                <w:sz w:val="18"/>
                <w:szCs w:val="18"/>
                <w:color w:val="auto"/>
              </w:rPr>
              <w:t>(151,237)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(151,388)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(14,608)</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(17,862)</w:t>
            </w:r>
          </w:p>
        </w:tc>
        <w:tc>
          <w:tcPr>
            <w:tcW w:w="200" w:type="dxa"/>
            <w:vAlign w:val="bottom"/>
          </w:tcPr>
          <w:p>
            <w:pPr>
              <w:spacing w:after="0"/>
              <w:rPr>
                <w:sz w:val="18"/>
                <w:szCs w:val="18"/>
                <w:color w:val="auto"/>
              </w:rPr>
            </w:pPr>
          </w:p>
        </w:tc>
        <w:tc>
          <w:tcPr>
            <w:tcW w:w="116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8"/>
                <w:szCs w:val="18"/>
                <w:color w:val="auto"/>
              </w:rPr>
              <w:t>(61,300)</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(52,969)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920" w:type="dxa"/>
            <w:vAlign w:val="bottom"/>
          </w:tcPr>
          <w:p>
            <w:pPr>
              <w:spacing w:after="0"/>
              <w:rPr>
                <w:sz w:val="6"/>
                <w:szCs w:val="6"/>
                <w:color w:val="auto"/>
              </w:rPr>
            </w:pPr>
          </w:p>
        </w:tc>
        <w:tc>
          <w:tcPr>
            <w:tcW w:w="5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21,555</w:t>
            </w: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25,648</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0"/>
              </w:rPr>
              <w:t>89,650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0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51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At September 11, 2015</w:t>
            </w: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At January 2, 2015</w:t>
            </w:r>
          </w:p>
        </w:tc>
        <w:tc>
          <w:tcPr>
            <w:tcW w:w="120" w:type="dxa"/>
            <w:vAlign w:val="bottom"/>
            <w:tcBorders>
              <w:bottom w:val="single" w:sz="8" w:color="auto"/>
            </w:tcBorders>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1,887,189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1,879,648</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79,451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88,867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136,109</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85,469</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right w:val="single" w:sz="8" w:color="CCEEFF"/>
            </w:tcBorders>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4"/>
                <w:szCs w:val="24"/>
                <w:color w:val="auto"/>
              </w:rPr>
            </w:pPr>
          </w:p>
        </w:tc>
        <w:tc>
          <w:tcPr>
            <w:tcW w:w="5120" w:type="dxa"/>
            <w:vAlign w:val="bottom"/>
          </w:tcPr>
          <w:p>
            <w:pPr>
              <w:ind w:left="720"/>
              <w:spacing w:after="0"/>
              <w:rPr>
                <w:sz w:val="20"/>
                <w:szCs w:val="20"/>
                <w:color w:val="auto"/>
              </w:rPr>
            </w:pPr>
            <w:r>
              <w:rPr>
                <w:rFonts w:ascii="Arial" w:cs="Arial" w:eastAsia="Arial" w:hAnsi="Arial"/>
                <w:sz w:val="18"/>
                <w:szCs w:val="18"/>
                <w:color w:val="auto"/>
              </w:rPr>
              <w:t>Total segment assets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2,102,749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2,053,984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424,278</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476,595</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right w:val="single" w:sz="8" w:color="CCEEFF"/>
            </w:tcBorders>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2,527,027</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2,530,579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 Approval by the Board</w:t>
      </w:r>
    </w:p>
    <w:p>
      <w:pPr>
        <w:spacing w:after="0" w:line="117" w:lineRule="exact"/>
        <w:rPr>
          <w:sz w:val="20"/>
          <w:szCs w:val="20"/>
          <w:color w:val="auto"/>
        </w:rPr>
      </w:pPr>
    </w:p>
    <w:p>
      <w:pPr>
        <w:ind w:right="180" w:firstLine="913"/>
        <w:spacing w:after="0" w:line="276" w:lineRule="auto"/>
        <w:rPr>
          <w:sz w:val="20"/>
          <w:szCs w:val="20"/>
          <w:color w:val="auto"/>
        </w:rPr>
      </w:pPr>
      <w:r>
        <w:rPr>
          <w:rFonts w:ascii="Arial" w:cs="Arial" w:eastAsia="Arial" w:hAnsi="Arial"/>
          <w:sz w:val="17"/>
          <w:szCs w:val="17"/>
          <w:color w:val="auto"/>
        </w:rPr>
        <w:t>On October 12, 2015, our Board of Directors approved the repurchase of up to an additional 2,000,000 shares of our common stock under our existing share repurchase program and extended the termination date of the program to March 24, 2017.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trading plans pursuant to the provisions of Rule 10b5-1 under the Securities Exchange Act of 1934, as amended.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81"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on Form 10-Q, except as required by law.</w:t>
      </w:r>
    </w:p>
    <w:p>
      <w:pPr>
        <w:spacing w:after="0" w:line="57"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The risk factors discussed in “Risk Factors” in our most recent Annual Report on Form 10-K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79"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“Statements of Income,”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section of this Quarterly Report on Form 10-Q.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12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On November 21, 2011, Marriott International, Inc. (“Marriott International”) completed the spin-off of its vacation ownership division (the “Spin-Off”). Since the Spin-Off, we have been an independent public company, with our common stock listed on the New York Stock Exchange under the symbol “VAC.” Following the Spin-Off, we and Marriott International have operated independently, and neither company has any ownership interest in the other.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240" w:firstLine="913"/>
        <w:spacing w:after="0" w:line="257" w:lineRule="auto"/>
        <w:rPr>
          <w:sz w:val="20"/>
          <w:szCs w:val="20"/>
          <w:color w:val="auto"/>
        </w:rPr>
      </w:pPr>
      <w:r>
        <w:rPr>
          <w:rFonts w:ascii="Arial" w:cs="Arial" w:eastAsia="Arial" w:hAnsi="Arial"/>
          <w:sz w:val="18"/>
          <w:szCs w:val="18"/>
          <w:color w:val="auto"/>
        </w:rPr>
        <w:t>We are one of the world’s largest companies whose business is focused almost entirely on vacation ownership, based on number of owners, number of resorts and revenues. 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w:t>
      </w:r>
    </w:p>
    <w:p>
      <w:pPr>
        <w:spacing w:after="0" w:line="80" w:lineRule="exact"/>
        <w:rPr>
          <w:sz w:val="20"/>
          <w:szCs w:val="20"/>
          <w:color w:val="auto"/>
        </w:rPr>
      </w:pPr>
    </w:p>
    <w:p>
      <w:pPr>
        <w:ind w:right="160" w:firstLine="913"/>
        <w:spacing w:after="0" w:line="272" w:lineRule="auto"/>
        <w:rPr>
          <w:sz w:val="20"/>
          <w:szCs w:val="20"/>
          <w:color w:val="auto"/>
        </w:rPr>
      </w:pPr>
      <w:r>
        <w:rPr>
          <w:rFonts w:ascii="Arial" w:cs="Arial" w:eastAsia="Arial" w:hAnsi="Arial"/>
          <w:sz w:val="17"/>
          <w:szCs w:val="17"/>
          <w:color w:val="auto"/>
        </w:rPr>
        <w:t>Our business is grouped into three reportable segments: North America, Europe and Asia Pacific. As of September 11, 2015, our portfolio consisted of 61 properties in the United States and eight other countries and territories. Our properties include an operating hotel in San Diego, California, which is operated by a third party, that we intend to convert in the near term into vacation ownership interests for future use in our North America points-based program, Marriott Vacation Club Destinations</w:t>
      </w:r>
      <w:r>
        <w:rPr>
          <w:rFonts w:ascii="Arial" w:cs="Arial" w:eastAsia="Arial" w:hAnsi="Arial"/>
          <w:sz w:val="14"/>
          <w:szCs w:val="14"/>
          <w:color w:val="auto"/>
        </w:rPr>
        <w:t>™</w:t>
      </w:r>
      <w:r>
        <w:rPr>
          <w:rFonts w:ascii="Arial" w:cs="Arial" w:eastAsia="Arial" w:hAnsi="Arial"/>
          <w:sz w:val="17"/>
          <w:szCs w:val="17"/>
          <w:color w:val="auto"/>
        </w:rPr>
        <w:t xml:space="preserve"> (“MVCD”) and a hotel operated by a third party in Surfers Paradise, Australia, a portion of which we intend to convert, in the near term, into vacation ownership interests for future use in our Asia Pacific segment. We intend to sell the remaining downsized hotel in Surfers Paradise to a third party. We generate most of our revenues from four primary sources: selling vacation ownership products; managing our resorts; financing consumer purchases of vacation ownership products; and renting vacation ownership inventory.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Below is a summary of significant accounting policies used in our business that will be used in describing our results of operations.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right="20" w:firstLine="913"/>
        <w:spacing w:after="0" w:line="342" w:lineRule="auto"/>
        <w:rPr>
          <w:sz w:val="20"/>
          <w:szCs w:val="20"/>
          <w:color w:val="auto"/>
        </w:rPr>
      </w:pPr>
      <w:r>
        <w:rPr>
          <w:rFonts w:ascii="Arial" w:cs="Arial" w:eastAsia="Arial" w:hAnsi="Arial"/>
          <w:sz w:val="16"/>
          <w:szCs w:val="16"/>
          <w:color w:val="auto"/>
        </w:rPr>
        <w:t>We recognize revenues from the sale of vacation ownership products when all of the following conditions exist: a binding sales contract has been executed; the statutory rescission period has expired; the receivable is deemed collectible; and the remainder of our obligations are substantially completed.</w:t>
      </w:r>
    </w:p>
    <w:p>
      <w:pPr>
        <w:spacing w:after="0" w:line="16"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Sales of vacation ownership products may be made for cash or we may provide financing. For sales where we provide financing, we defer revenue recognition until we receive a minimum down payment equal to ten percent of the purchase price plus the fair value of sales incentives provided to the purchaser. These sales incentives typically include Marriott Rewards Points or an alternative sales incentive that we refer to as “plus points.” These plus points are redeemable for stays at our resorts, generally within one to two years from the date of issuance. Sales incentives are only awarded if the sale is closed.</w:t>
      </w:r>
    </w:p>
    <w:p>
      <w:pPr>
        <w:spacing w:after="0" w:line="80" w:lineRule="exact"/>
        <w:rPr>
          <w:sz w:val="20"/>
          <w:szCs w:val="20"/>
          <w:color w:val="auto"/>
        </w:rPr>
      </w:pPr>
    </w:p>
    <w:p>
      <w:pPr>
        <w:ind w:right="180" w:firstLine="913"/>
        <w:spacing w:after="0" w:line="286" w:lineRule="auto"/>
        <w:rPr>
          <w:sz w:val="20"/>
          <w:szCs w:val="20"/>
          <w:color w:val="auto"/>
        </w:rPr>
      </w:pPr>
      <w:r>
        <w:rPr>
          <w:rFonts w:ascii="Arial" w:cs="Arial" w:eastAsia="Arial" w:hAnsi="Arial"/>
          <w:sz w:val="17"/>
          <w:szCs w:val="17"/>
          <w:color w:val="auto"/>
        </w:rPr>
        <w:t>As a result of the down payment requirements with respect to financed sales and the statutory rescission periods, we often defer revenues associated with the sale of vacation ownership products from the date of the purchase agreement to a future period. When comparing results year-over-year, this deferral frequently generates significant variances, which we refer to as the impact of revenue reportability.</w:t>
      </w:r>
    </w:p>
    <w:p>
      <w:pPr>
        <w:spacing w:after="0" w:line="57"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Finally, as more fully described in the “Financing” section below, we record an estimate of expected uncollectibility on all vacation ownership notes receivable (also known as a vacation ownership notes receivable reserve or a sales reserve) as a reduction of revenues from the sale of vacation ownership products at the time we recognize revenues from a sale.</w:t>
      </w:r>
    </w:p>
    <w:p>
      <w:pPr>
        <w:spacing w:after="0" w:line="73"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report, on a supplemental basis, contract sales for each of our three segments. Contract sales represent the total amount of vacation ownership product sales under purchase agreements signed during the period where we have received a down payment of at least ten percent of the contract price, reduced by actual rescissions during the period. Contract sales differ from revenues from the sale of vacation ownership products that we report on our Statements of Income due to the requirements for revenue recognition described above. We consider contract sales to be an important operating measure because it reflects the pace of sales in our business.</w:t>
      </w:r>
    </w:p>
    <w:p>
      <w:pPr>
        <w:spacing w:after="0" w:line="80" w:lineRule="exact"/>
        <w:rPr>
          <w:sz w:val="20"/>
          <w:szCs w:val="20"/>
          <w:color w:val="auto"/>
        </w:rPr>
      </w:pPr>
    </w:p>
    <w:p>
      <w:pPr>
        <w:ind w:right="220" w:firstLine="913"/>
        <w:spacing w:after="0" w:line="273" w:lineRule="auto"/>
        <w:rPr>
          <w:sz w:val="20"/>
          <w:szCs w:val="20"/>
          <w:color w:val="auto"/>
        </w:rPr>
      </w:pPr>
      <w:r>
        <w:rPr>
          <w:rFonts w:ascii="Arial" w:cs="Arial" w:eastAsia="Arial" w:hAnsi="Arial"/>
          <w:sz w:val="17"/>
          <w:szCs w:val="17"/>
          <w:color w:val="auto"/>
        </w:rPr>
        <w:t>Cost of vacation ownership products includes costs to develop and construct our projects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on our Statements of Income to true-up costs in that period to those that would have been recorded historically if the revised estimates had been used. These true-ups, which we refer to as product cost true-ups, will have a positive or negative impact on our Statements of Income.</w:t>
      </w:r>
    </w:p>
    <w:p>
      <w:pPr>
        <w:spacing w:after="0" w:line="70"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11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Our resort management and other services revenues include revenues generated from fees we earn for managing each of our resorts. In addition, we earn revenue for providing ancillary offerings, including food and beverage, retail, and golf and spa offerings at our resorts. We also receive annual fees, club dues, settlement fees from the sale of vacation ownership products and certain transaction-based fees from owners and other third parties, including external exchange service providers with which we are associated.</w:t>
      </w:r>
    </w:p>
    <w:p>
      <w:pPr>
        <w:spacing w:after="0" w:line="79"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We provide day-to-day management services, including housekeeping services, operation of reservation systems, maintenance, and certain accounting and administrative services for property owners’ associations. We receive compensation for these management services; this compensation is generally based on either a percentage of budgeted costs to operate the resorts or a fixed fee arrangement. We earn these fees regardless of usage or occupancy.</w:t>
      </w:r>
    </w:p>
    <w:p>
      <w:pPr>
        <w:spacing w:after="0" w:line="79"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Resort management and other services expenses include costs to operate the food and beverage and other ancillary operations and overall customer support services, including reservations, certain transaction-based expenses relating to external exchange service providers and settlement expenses from the sale of vacation ownership products.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6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Thirty-Six Weeks Ended</w:t>
            </w:r>
          </w:p>
        </w:tc>
      </w:tr>
      <w:tr>
        <w:trPr>
          <w:trHeight w:val="142"/>
        </w:trPr>
        <w:tc>
          <w:tcPr>
            <w:tcW w:w="472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center"/>
              <w:ind w:left="99"/>
              <w:spacing w:after="0" w:line="142" w:lineRule="exact"/>
              <w:rPr>
                <w:sz w:val="20"/>
                <w:szCs w:val="20"/>
                <w:color w:val="auto"/>
              </w:rPr>
            </w:pPr>
            <w:r>
              <w:rPr>
                <w:rFonts w:ascii="Arial" w:cs="Arial" w:eastAsia="Arial" w:hAnsi="Arial"/>
                <w:sz w:val="14"/>
                <w:szCs w:val="14"/>
                <w:b w:val="1"/>
                <w:bCs w:val="1"/>
                <w:color w:val="auto"/>
                <w:w w:val="91"/>
              </w:rPr>
              <w:t>September 11, 2015</w:t>
            </w: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September 12, 2014</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Average FICO score</w:t>
            </w:r>
          </w:p>
        </w:tc>
        <w:tc>
          <w:tcPr>
            <w:tcW w:w="158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734</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729</w:t>
            </w:r>
          </w:p>
        </w:tc>
      </w:tr>
    </w:tbl>
    <w:p>
      <w:pPr>
        <w:spacing w:after="0" w:line="94"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The typical financing agreement provides for monthly payments of principal and interest with the principal balance of the loan fully amortizing over the term of the related vacation ownership note receivable, which is generally ten years. The interest income earned from the financing arrangements is earned on an accrual basis on the principal balance outstanding over the life of the arrangement and is recorded as Financing revenues on our Statements of Income.</w:t>
      </w:r>
    </w:p>
    <w:p>
      <w:pPr>
        <w:spacing w:after="0" w:line="79"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Financing revenues include interest income earned on vacation ownership notes receivable as well as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Due to weakened economic conditions and our elimination of historical financing incentive programs, the percentage of customers choosing to finance their vacation ownership purchase with us (which we refer to as “financing propensity”) declined significantly through 2009 and has stabilized since then. In the first half of 2015, we implemented new programs to help drive financing propensity higher than the 40 to 45 percent that we have averaged in recent years. We expect that interest income will begin to increase in the near term as new originations from growth in the business as well as the impact of higher financing propensity levels begin to outpace the decline in principal of our existing vacation ownership notes receivable portfolio.</w:t>
      </w:r>
    </w:p>
    <w:p>
      <w:pPr>
        <w:spacing w:after="0" w:line="74"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In the event of a default, we generally have the right to foreclose on or revoke the mortgaged vacation ownership interest. We return vacation ownership interests that we reacquire through foreclosure or revocation back to real estate inventory. As discussed above, we record a vacation ownership notes receivable reserve at the time of sale and classify the reserve as a reduction to revenues from the sale of vacation ownership products on our Statements of Income. Historical default rates, which represent defaults as a percentage of each year’s beginning gross vacation ownership notes receivable balance, were as follows:</w:t>
      </w:r>
    </w:p>
    <w:p>
      <w:pPr>
        <w:spacing w:after="0" w:line="8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Thirty-Six Weeks Ended</w:t>
            </w:r>
          </w:p>
        </w:tc>
      </w:tr>
      <w:tr>
        <w:trPr>
          <w:trHeight w:val="142"/>
        </w:trPr>
        <w:tc>
          <w:tcPr>
            <w:tcW w:w="468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center"/>
              <w:ind w:left="99"/>
              <w:spacing w:after="0" w:line="142" w:lineRule="exact"/>
              <w:rPr>
                <w:sz w:val="20"/>
                <w:szCs w:val="20"/>
                <w:color w:val="auto"/>
              </w:rPr>
            </w:pPr>
            <w:r>
              <w:rPr>
                <w:rFonts w:ascii="Arial" w:cs="Arial" w:eastAsia="Arial" w:hAnsi="Arial"/>
                <w:sz w:val="14"/>
                <w:szCs w:val="14"/>
                <w:b w:val="1"/>
                <w:bCs w:val="1"/>
                <w:color w:val="auto"/>
                <w:w w:val="91"/>
              </w:rPr>
              <w:t>September 11, 2015</w:t>
            </w:r>
          </w:p>
        </w:tc>
        <w:tc>
          <w:tcPr>
            <w:tcW w:w="180" w:type="dxa"/>
            <w:vAlign w:val="bottom"/>
            <w:tcBorders>
              <w:bottom w:val="single" w:sz="8" w:color="auto"/>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September 12, 2014</w:t>
            </w: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Historical default rates</w:t>
            </w:r>
          </w:p>
        </w:tc>
        <w:tc>
          <w:tcPr>
            <w:tcW w:w="158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2.9%</w:t>
            </w: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We operate a rental business to provide owner flexibility and to help mitigate carrying costs associated with our inventory. We obtain rental inventory from unsold inventory and inventory we control because owners have elected alternative usage options offered through our vacation ownership programs.</w:t>
      </w:r>
    </w:p>
    <w:p>
      <w:pPr>
        <w:spacing w:after="0" w:line="73" w:lineRule="exact"/>
        <w:rPr>
          <w:sz w:val="20"/>
          <w:szCs w:val="20"/>
          <w:color w:val="auto"/>
        </w:rPr>
      </w:pPr>
    </w:p>
    <w:p>
      <w:pPr>
        <w:ind w:right="360" w:firstLine="913"/>
        <w:spacing w:after="0" w:line="308" w:lineRule="auto"/>
        <w:rPr>
          <w:sz w:val="20"/>
          <w:szCs w:val="20"/>
          <w:color w:val="auto"/>
        </w:rPr>
      </w:pPr>
      <w:r>
        <w:rPr>
          <w:rFonts w:ascii="Arial" w:cs="Arial" w:eastAsia="Arial" w:hAnsi="Arial"/>
          <w:sz w:val="17"/>
          <w:szCs w:val="17"/>
          <w:color w:val="auto"/>
        </w:rPr>
        <w:t>Rental revenues are primarily the revenues we earn from renting this inventory. We also recognize rental revenue from the utilization of plus points under the MVCD program when those points are redeemed for rental stays at one of our resorts or upon expiration of the points.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Rental expenses include:</w:t>
      </w:r>
    </w:p>
    <w:p>
      <w:pPr>
        <w:spacing w:after="0" w:line="131" w:lineRule="exact"/>
        <w:rPr>
          <w:sz w:val="20"/>
          <w:szCs w:val="20"/>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130" w:lineRule="exact"/>
        <w:rPr>
          <w:rFonts w:ascii="Arial" w:cs="Arial" w:eastAsia="Arial" w:hAnsi="Arial"/>
          <w:sz w:val="18"/>
          <w:szCs w:val="18"/>
          <w:color w:val="auto"/>
        </w:rPr>
      </w:pPr>
    </w:p>
    <w:p>
      <w:pPr>
        <w:ind w:left="1480" w:right="140" w:hanging="446"/>
        <w:spacing w:after="0" w:line="277"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Rewards Points and offerings available as part of the Explorer Collection, for owners who elect to exchange their inventory;</w:t>
      </w:r>
    </w:p>
    <w:p>
      <w:pPr>
        <w:spacing w:after="0" w:line="75" w:lineRule="exact"/>
        <w:rPr>
          <w:rFonts w:ascii="Arial" w:cs="Arial" w:eastAsia="Arial" w:hAnsi="Arial"/>
          <w:sz w:val="18"/>
          <w:szCs w:val="18"/>
          <w:color w:val="auto"/>
        </w:rPr>
      </w:pPr>
    </w:p>
    <w:p>
      <w:pPr>
        <w:ind w:left="1480" w:right="660" w:hanging="446"/>
        <w:spacing w:after="0" w:line="277"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Subsidy payments to property owners’ associations at resorts that are in the early phases of construction where maintenance fees collected from the owners are not sufficient to support operating costs of the resort;</w:t>
      </w:r>
    </w:p>
    <w:p>
      <w:pPr>
        <w:spacing w:after="0" w:line="75" w:lineRule="exact"/>
        <w:rPr>
          <w:rFonts w:ascii="Arial" w:cs="Arial" w:eastAsia="Arial" w:hAnsi="Arial"/>
          <w:sz w:val="18"/>
          <w:szCs w:val="18"/>
          <w:color w:val="auto"/>
        </w:rPr>
      </w:pPr>
    </w:p>
    <w:p>
      <w:pPr>
        <w:ind w:left="1480" w:right="460" w:hanging="446"/>
        <w:spacing w:after="0" w:line="277"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the banking and borrowing usage option that is available under the MVCD program.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Further, as our ability to rent certain luxury inventory and inventory in our Asia Pacific segment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180" w:firstLine="913"/>
        <w:spacing w:after="0" w:line="302" w:lineRule="auto"/>
        <w:rPr>
          <w:sz w:val="20"/>
          <w:szCs w:val="20"/>
          <w:color w:val="auto"/>
        </w:rPr>
      </w:pPr>
      <w:r>
        <w:rPr>
          <w:rFonts w:ascii="Arial" w:cs="Arial" w:eastAsia="Arial" w:hAnsi="Arial"/>
          <w:sz w:val="16"/>
          <w:szCs w:val="16"/>
          <w:color w:val="auto"/>
        </w:rPr>
        <w:t>Cost reimbursements include direct and indirect costs that property owners’ associations reimburse to us. In accordance with the accounting guidance for “gross versus net” presentation, we record these revenues and expenses on a gross basis. We recognize cost reimbursements when we incur the related reimbursable costs. These costs primarily consist of payroll and payroll related expenses for management of the property owners’ associations and other services we provide where we are the employer. Cost reimbursements consist of actual expenses with no added margin.</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Consumer Financing Interest Expense</w:t>
      </w:r>
    </w:p>
    <w:p>
      <w:pPr>
        <w:spacing w:after="0" w:line="117" w:lineRule="exact"/>
        <w:rPr>
          <w:sz w:val="20"/>
          <w:szCs w:val="20"/>
          <w:color w:val="auto"/>
        </w:rPr>
      </w:pPr>
    </w:p>
    <w:p>
      <w:pPr>
        <w:ind w:right="260" w:firstLine="913"/>
        <w:spacing w:after="0" w:line="279" w:lineRule="auto"/>
        <w:rPr>
          <w:sz w:val="20"/>
          <w:szCs w:val="20"/>
          <w:color w:val="auto"/>
        </w:rPr>
      </w:pPr>
      <w:r>
        <w:rPr>
          <w:rFonts w:ascii="Arial" w:cs="Arial" w:eastAsia="Arial" w:hAnsi="Arial"/>
          <w:sz w:val="17"/>
          <w:szCs w:val="17"/>
          <w:color w:val="auto"/>
        </w:rPr>
        <w:t>Consumer financing interest expense represents interest expense associated with the debt from our non-recourse warehouse credit facility (the “Warehouse Credit Facility”) and from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that is generally non-recourse to us.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expense consists of all interest expense other than consumer financing interest expense.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31" w:lineRule="exact"/>
        <w:rPr>
          <w:sz w:val="20"/>
          <w:szCs w:val="20"/>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 margin percentage; and</w:t>
      </w:r>
    </w:p>
    <w:p>
      <w:pPr>
        <w:spacing w:after="0" w:line="130" w:lineRule="exact"/>
        <w:rPr>
          <w:rFonts w:ascii="Arial" w:cs="Arial" w:eastAsia="Arial" w:hAnsi="Arial"/>
          <w:sz w:val="18"/>
          <w:szCs w:val="18"/>
          <w:color w:val="auto"/>
        </w:rPr>
      </w:pPr>
    </w:p>
    <w:p>
      <w:pPr>
        <w:ind w:left="1480" w:right="200" w:hanging="446"/>
        <w:spacing w:after="0" w:line="259"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Volume per guest (“VPG”), which we calculate by dividing contract sales, excluding fractional and residential sales, telesales and other sales that are not attributed to a tour at a sales location, by the number of tours at sales locations in a given period. We believe that this operating metric is valuable in evaluating the effectiveness of the sales process as it combines the impact of average contract price with the number of touring guests who make a purchase.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Rounding</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Percentage changes presented in our public filings are calculated using whole dollars.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21"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twelve and thirty-six weeks ended September 11, 2015, compared to the twelve and thirty-six weeks ended September 12, 2014.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6"/>
          </w:tcPr>
          <w:p>
            <w:pPr>
              <w:ind w:left="180"/>
              <w:spacing w:after="0"/>
              <w:rPr>
                <w:sz w:val="20"/>
                <w:szCs w:val="20"/>
                <w:color w:val="auto"/>
              </w:rPr>
            </w:pPr>
            <w:r>
              <w:rPr>
                <w:rFonts w:ascii="Arial" w:cs="Arial" w:eastAsia="Arial" w:hAnsi="Arial"/>
                <w:sz w:val="14"/>
                <w:szCs w:val="14"/>
                <w:b w:val="1"/>
                <w:bCs w:val="1"/>
                <w:color w:val="auto"/>
                <w:w w:val="93"/>
              </w:rPr>
              <w:t>Twelve Weeks Ended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8"/>
          </w:tcPr>
          <w:p>
            <w:pPr>
              <w:ind w:left="14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42"/>
        </w:trPr>
        <w:tc>
          <w:tcPr>
            <w:tcW w:w="5420" w:type="dxa"/>
            <w:vAlign w:val="bottom"/>
            <w:gridSpan w:val="2"/>
            <w:vMerge w:val="continue"/>
          </w:tcPr>
          <w:p>
            <w:pPr>
              <w:spacing w:after="0"/>
              <w:rPr>
                <w:sz w:val="12"/>
                <w:szCs w:val="12"/>
                <w:color w:val="auto"/>
              </w:rPr>
            </w:pPr>
          </w:p>
        </w:tc>
        <w:tc>
          <w:tcPr>
            <w:tcW w:w="1580" w:type="dxa"/>
            <w:vAlign w:val="bottom"/>
            <w:tcBorders>
              <w:top w:val="single" w:sz="8" w:color="auto"/>
            </w:tcBorders>
            <w:gridSpan w:val="5"/>
          </w:tcPr>
          <w:p>
            <w:pPr>
              <w:ind w:left="80"/>
              <w:spacing w:after="0" w:line="142" w:lineRule="exact"/>
              <w:rPr>
                <w:sz w:val="20"/>
                <w:szCs w:val="20"/>
                <w:color w:val="auto"/>
              </w:rPr>
            </w:pPr>
            <w:r>
              <w:rPr>
                <w:rFonts w:ascii="Arial" w:cs="Arial" w:eastAsia="Arial" w:hAnsi="Arial"/>
                <w:sz w:val="14"/>
                <w:szCs w:val="14"/>
                <w:b w:val="1"/>
                <w:bCs w:val="1"/>
                <w:color w:val="auto"/>
              </w:rPr>
              <w:t>September 11, 2015</w:t>
            </w:r>
          </w:p>
        </w:tc>
        <w:tc>
          <w:tcPr>
            <w:tcW w:w="1280" w:type="dxa"/>
            <w:vAlign w:val="bottom"/>
            <w:tcBorders>
              <w:top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w w:val="94"/>
              </w:rPr>
              <w:t>September 12, 2014</w:t>
            </w:r>
          </w:p>
        </w:tc>
        <w:tc>
          <w:tcPr>
            <w:tcW w:w="1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w w:val="94"/>
              </w:rPr>
              <w:t>September 11, 2015</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6"/>
              </w:rPr>
              <w:t>September 12,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Sale of vacation ownership products</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31"/>
              <w:spacing w:after="0"/>
              <w:rPr>
                <w:sz w:val="20"/>
                <w:szCs w:val="20"/>
                <w:color w:val="auto"/>
              </w:rPr>
            </w:pPr>
            <w:r>
              <w:rPr>
                <w:rFonts w:ascii="Arial" w:cs="Arial" w:eastAsia="Arial" w:hAnsi="Arial"/>
                <w:sz w:val="18"/>
                <w:szCs w:val="18"/>
                <w:color w:val="auto"/>
              </w:rPr>
              <w:t>136,802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30"/>
              <w:spacing w:after="0"/>
              <w:rPr>
                <w:sz w:val="20"/>
                <w:szCs w:val="20"/>
                <w:color w:val="auto"/>
              </w:rPr>
            </w:pPr>
            <w:r>
              <w:rPr>
                <w:rFonts w:ascii="Arial" w:cs="Arial" w:eastAsia="Arial" w:hAnsi="Arial"/>
                <w:sz w:val="18"/>
                <w:szCs w:val="18"/>
                <w:color w:val="auto"/>
              </w:rPr>
              <w:t>155,384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132"/>
              <w:spacing w:after="0"/>
              <w:rPr>
                <w:sz w:val="20"/>
                <w:szCs w:val="20"/>
                <w:color w:val="auto"/>
              </w:rPr>
            </w:pPr>
            <w:r>
              <w:rPr>
                <w:rFonts w:ascii="Arial" w:cs="Arial" w:eastAsia="Arial" w:hAnsi="Arial"/>
                <w:sz w:val="18"/>
                <w:szCs w:val="18"/>
                <w:color w:val="auto"/>
              </w:rPr>
              <w:t>476,078</w:t>
            </w:r>
          </w:p>
        </w:tc>
        <w:tc>
          <w:tcPr>
            <w:tcW w:w="360" w:type="dxa"/>
            <w:vAlign w:val="bottom"/>
            <w:gridSpan w:val="4"/>
          </w:tcPr>
          <w:p>
            <w:pPr>
              <w:ind w:left="26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452,796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0"/>
              </w:rPr>
              <w:t>73,828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70,981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212,308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Financing</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31"/>
              <w:spacing w:after="0"/>
              <w:rPr>
                <w:sz w:val="20"/>
                <w:szCs w:val="20"/>
                <w:color w:val="auto"/>
              </w:rPr>
            </w:pPr>
            <w:r>
              <w:rPr>
                <w:rFonts w:ascii="Arial" w:cs="Arial" w:eastAsia="Arial" w:hAnsi="Arial"/>
                <w:sz w:val="18"/>
                <w:szCs w:val="18"/>
                <w:color w:val="auto"/>
                <w:w w:val="90"/>
              </w:rPr>
              <w:t>28,294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w w:val="90"/>
              </w:rPr>
              <w:t>29,545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85,640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90,002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0"/>
              </w:rPr>
              <w:t>76,039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65,620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224,880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Cost reimbursements</w:t>
            </w: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0"/>
              </w:rPr>
              <w:t>92,173</w:t>
            </w:r>
          </w:p>
        </w:tc>
        <w:tc>
          <w:tcPr>
            <w:tcW w:w="1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0"/>
              </w:rPr>
              <w:t>91,508</w:t>
            </w:r>
          </w:p>
        </w:tc>
        <w:tc>
          <w:tcPr>
            <w:tcW w:w="1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8"/>
                <w:szCs w:val="18"/>
                <w:color w:val="auto"/>
              </w:rPr>
              <w:t>285,937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281,769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60" w:type="dxa"/>
            <w:vAlign w:val="bottom"/>
          </w:tcPr>
          <w:p>
            <w:pPr>
              <w:spacing w:after="0"/>
              <w:rPr>
                <w:sz w:val="6"/>
                <w:szCs w:val="6"/>
                <w:color w:val="auto"/>
              </w:rPr>
            </w:pPr>
          </w:p>
        </w:tc>
        <w:tc>
          <w:tcPr>
            <w:tcW w:w="49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revenues</w:t>
            </w: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407,136</w:t>
            </w:r>
          </w:p>
        </w:tc>
        <w:tc>
          <w:tcPr>
            <w:tcW w:w="1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413,038</w:t>
            </w: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1,284,843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1,224,887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vacation ownership products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0"/>
              </w:rPr>
              <w:t>40,776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48,640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150,857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Marketing and sales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31"/>
              <w:spacing w:after="0"/>
              <w:rPr>
                <w:sz w:val="20"/>
                <w:szCs w:val="20"/>
                <w:color w:val="auto"/>
              </w:rPr>
            </w:pPr>
            <w:r>
              <w:rPr>
                <w:rFonts w:ascii="Arial" w:cs="Arial" w:eastAsia="Arial" w:hAnsi="Arial"/>
                <w:sz w:val="18"/>
                <w:szCs w:val="18"/>
                <w:color w:val="auto"/>
                <w:w w:val="90"/>
              </w:rPr>
              <w:t>71,628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w w:val="90"/>
              </w:rPr>
              <w:t>73,380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ind w:right="132"/>
              <w:spacing w:after="0"/>
              <w:rPr>
                <w:sz w:val="20"/>
                <w:szCs w:val="20"/>
                <w:color w:val="auto"/>
              </w:rPr>
            </w:pPr>
            <w:r>
              <w:rPr>
                <w:rFonts w:ascii="Arial" w:cs="Arial" w:eastAsia="Arial" w:hAnsi="Arial"/>
                <w:sz w:val="18"/>
                <w:szCs w:val="18"/>
                <w:color w:val="auto"/>
              </w:rPr>
              <w:t>228,760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216,827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0"/>
              </w:rPr>
              <w:t>47,409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47,857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135,298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Financing</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31"/>
              <w:spacing w:after="0"/>
              <w:rPr>
                <w:sz w:val="20"/>
                <w:szCs w:val="20"/>
                <w:color w:val="auto"/>
              </w:rPr>
            </w:pPr>
            <w:r>
              <w:rPr>
                <w:rFonts w:ascii="Arial" w:cs="Arial" w:eastAsia="Arial" w:hAnsi="Arial"/>
                <w:sz w:val="18"/>
                <w:szCs w:val="18"/>
                <w:color w:val="auto"/>
              </w:rPr>
              <w:t>5,488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5,434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16,478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0"/>
              </w:rPr>
              <w:t>62,567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54,605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184,560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31"/>
              <w:spacing w:after="0"/>
              <w:rPr>
                <w:sz w:val="20"/>
                <w:szCs w:val="20"/>
                <w:color w:val="auto"/>
              </w:rPr>
            </w:pPr>
            <w:r>
              <w:rPr>
                <w:rFonts w:ascii="Arial" w:cs="Arial" w:eastAsia="Arial" w:hAnsi="Arial"/>
                <w:sz w:val="18"/>
                <w:szCs w:val="18"/>
                <w:color w:val="auto"/>
                <w:w w:val="90"/>
              </w:rPr>
              <w:t>23,214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w w:val="90"/>
              </w:rPr>
              <w:t>21,932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68,883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Litigation settlement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3,225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Organizational and separation related</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31"/>
              <w:spacing w:after="0"/>
              <w:rPr>
                <w:sz w:val="20"/>
                <w:szCs w:val="20"/>
                <w:color w:val="auto"/>
              </w:rPr>
            </w:pPr>
            <w:r>
              <w:rPr>
                <w:rFonts w:ascii="Arial" w:cs="Arial" w:eastAsia="Arial" w:hAnsi="Arial"/>
                <w:sz w:val="18"/>
                <w:szCs w:val="18"/>
                <w:color w:val="auto"/>
              </w:rPr>
              <w:t>439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332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732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Consumer financing interest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5,289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5,605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16,558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Royalty fee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31"/>
              <w:spacing w:after="0"/>
              <w:rPr>
                <w:sz w:val="20"/>
                <w:szCs w:val="20"/>
                <w:color w:val="auto"/>
              </w:rPr>
            </w:pPr>
            <w:r>
              <w:rPr>
                <w:rFonts w:ascii="Arial" w:cs="Arial" w:eastAsia="Arial" w:hAnsi="Arial"/>
                <w:sz w:val="18"/>
                <w:szCs w:val="18"/>
                <w:color w:val="auto"/>
                <w:w w:val="90"/>
              </w:rPr>
              <w:t>14,000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w w:val="90"/>
              </w:rPr>
              <w:t>14,339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40,431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Cost reimbursements</w:t>
            </w: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0"/>
              </w:rPr>
              <w:t>92,173</w:t>
            </w:r>
          </w:p>
        </w:tc>
        <w:tc>
          <w:tcPr>
            <w:tcW w:w="1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0"/>
              </w:rPr>
              <w:t>91,508</w:t>
            </w:r>
          </w:p>
        </w:tc>
        <w:tc>
          <w:tcPr>
            <w:tcW w:w="1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8"/>
                <w:szCs w:val="18"/>
                <w:color w:val="auto"/>
              </w:rPr>
              <w:t>285,937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281,769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60" w:type="dxa"/>
            <w:vAlign w:val="bottom"/>
          </w:tcPr>
          <w:p>
            <w:pPr>
              <w:spacing w:after="0"/>
              <w:rPr>
                <w:sz w:val="6"/>
                <w:szCs w:val="6"/>
                <w:color w:val="auto"/>
              </w:rPr>
            </w:pPr>
          </w:p>
        </w:tc>
        <w:tc>
          <w:tcPr>
            <w:tcW w:w="49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expenses</w:t>
            </w: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362,983</w:t>
            </w:r>
          </w:p>
        </w:tc>
        <w:tc>
          <w:tcPr>
            <w:tcW w:w="1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366,883</w:t>
            </w: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1,128,258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1,086,026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(Losses) gains and other (expense) income</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91"/>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9,492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4"/>
              </w:rPr>
              <w:t>(2,839)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4"/>
              </w:rPr>
              <w:t>(2,890)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(8,822)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Equity in earnings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31"/>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4"/>
              </w:rPr>
              <w:t>(5,181)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(6,453)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460" w:type="dxa"/>
            <w:vAlign w:val="bottom"/>
          </w:tcPr>
          <w:p>
            <w:pPr>
              <w:spacing w:after="0"/>
              <w:rPr>
                <w:sz w:val="24"/>
                <w:szCs w:val="24"/>
                <w:color w:val="auto"/>
              </w:rPr>
            </w:pPr>
          </w:p>
        </w:tc>
        <w:tc>
          <w:tcPr>
            <w:tcW w:w="4960" w:type="dxa"/>
            <w:vAlign w:val="bottom"/>
          </w:tcPr>
          <w:p>
            <w:pPr>
              <w:ind w:left="260"/>
              <w:spacing w:after="0"/>
              <w:rPr>
                <w:sz w:val="20"/>
                <w:szCs w:val="20"/>
                <w:color w:val="auto"/>
              </w:rPr>
            </w:pPr>
            <w:r>
              <w:rPr>
                <w:rFonts w:ascii="Arial" w:cs="Arial" w:eastAsia="Arial" w:hAnsi="Arial"/>
                <w:sz w:val="18"/>
                <w:szCs w:val="18"/>
                <w:color w:val="auto"/>
              </w:rPr>
              <w:t>Income before income taxes</w:t>
            </w:r>
          </w:p>
        </w:tc>
        <w:tc>
          <w:tcPr>
            <w:tcW w:w="4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90"/>
              </w:rPr>
              <w:t>36,163</w:t>
            </w:r>
          </w:p>
        </w:tc>
        <w:tc>
          <w:tcPr>
            <w:tcW w:w="1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0"/>
              </w:rPr>
              <w:t>43,510</w:t>
            </w:r>
          </w:p>
        </w:tc>
        <w:tc>
          <w:tcPr>
            <w:tcW w:w="1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gridSpan w:val="3"/>
          </w:tcPr>
          <w:p>
            <w:pPr>
              <w:jc w:val="right"/>
              <w:ind w:right="132"/>
              <w:spacing w:after="0"/>
              <w:rPr>
                <w:sz w:val="20"/>
                <w:szCs w:val="20"/>
                <w:color w:val="auto"/>
              </w:rPr>
            </w:pPr>
            <w:r>
              <w:rPr>
                <w:rFonts w:ascii="Arial" w:cs="Arial" w:eastAsia="Arial" w:hAnsi="Arial"/>
                <w:sz w:val="18"/>
                <w:szCs w:val="18"/>
                <w:color w:val="auto"/>
              </w:rPr>
              <w:t>150,950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133,228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(14,608)</w:t>
            </w:r>
          </w:p>
        </w:tc>
        <w:tc>
          <w:tcPr>
            <w:tcW w:w="1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(17,862)</w:t>
            </w: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89"/>
              </w:rPr>
              <w:t>(61,300)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60" w:type="dxa"/>
            <w:vAlign w:val="bottom"/>
          </w:tcPr>
          <w:p>
            <w:pPr>
              <w:spacing w:after="0"/>
              <w:rPr>
                <w:sz w:val="24"/>
                <w:szCs w:val="24"/>
                <w:color w:val="auto"/>
              </w:rPr>
            </w:pPr>
          </w:p>
        </w:tc>
        <w:tc>
          <w:tcPr>
            <w:tcW w:w="496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ind w:right="131"/>
              <w:spacing w:after="0"/>
              <w:rPr>
                <w:sz w:val="20"/>
                <w:szCs w:val="20"/>
                <w:color w:val="auto"/>
              </w:rPr>
            </w:pPr>
            <w:r>
              <w:rPr>
                <w:rFonts w:ascii="Arial" w:cs="Arial" w:eastAsia="Arial" w:hAnsi="Arial"/>
                <w:sz w:val="18"/>
                <w:szCs w:val="18"/>
                <w:color w:val="auto"/>
                <w:w w:val="90"/>
              </w:rPr>
              <w:t>21,555</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color w:val="auto"/>
                <w:w w:val="90"/>
              </w:rPr>
              <w:t>25,648</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89,650</w:t>
            </w:r>
          </w:p>
        </w:tc>
        <w:tc>
          <w:tcPr>
            <w:tcW w:w="360" w:type="dxa"/>
            <w:vAlign w:val="bottom"/>
            <w:gridSpan w:val="4"/>
          </w:tcPr>
          <w:p>
            <w:pPr>
              <w:ind w:left="26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80,259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4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tcPr>
          <w:p>
            <w:pPr>
              <w:spacing w:after="0"/>
              <w:rPr>
                <w:sz w:val="24"/>
                <w:szCs w:val="24"/>
                <w:color w:val="auto"/>
              </w:rPr>
            </w:pPr>
          </w:p>
        </w:tc>
        <w:tc>
          <w:tcPr>
            <w:tcW w:w="4960" w:type="dxa"/>
            <w:vAlign w:val="bottom"/>
          </w:tcPr>
          <w:p>
            <w:pPr>
              <w:ind w:left="460"/>
              <w:spacing w:after="0"/>
              <w:rPr>
                <w:sz w:val="20"/>
                <w:szCs w:val="20"/>
                <w:color w:val="auto"/>
              </w:rPr>
            </w:pPr>
            <w:r>
              <w:rPr>
                <w:rFonts w:ascii="Arial" w:cs="Arial" w:eastAsia="Arial" w:hAnsi="Arial"/>
                <w:sz w:val="18"/>
                <w:szCs w:val="18"/>
                <w:i w:val="1"/>
                <w:iCs w:val="1"/>
                <w:color w:val="auto"/>
              </w:rPr>
              <w:t>Twelve Weeks Ended September 11, 2015</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20" w:type="dxa"/>
            <w:vAlign w:val="bottom"/>
            <w:gridSpan w:val="2"/>
            <w:vMerge w:val="restart"/>
          </w:tcPr>
          <w:p>
            <w:pPr>
              <w:ind w:left="460"/>
              <w:spacing w:after="0"/>
              <w:rPr>
                <w:sz w:val="20"/>
                <w:szCs w:val="20"/>
                <w:color w:val="auto"/>
              </w:rPr>
            </w:pPr>
            <w:r>
              <w:rPr>
                <w:rFonts w:ascii="Arial" w:cs="Arial" w:eastAsia="Arial" w:hAnsi="Arial"/>
                <w:sz w:val="14"/>
                <w:szCs w:val="14"/>
                <w:b w:val="1"/>
                <w:bCs w:val="1"/>
                <w:i w:val="1"/>
                <w:iCs w:val="1"/>
                <w:color w:val="auto"/>
              </w:rPr>
              <w:t>($ in thousands)</w:t>
            </w:r>
          </w:p>
        </w:tc>
        <w:tc>
          <w:tcPr>
            <w:tcW w:w="4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9"/>
          </w:tcPr>
          <w:p>
            <w:pPr>
              <w:jc w:val="right"/>
              <w:ind w:right="600"/>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4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gridSpan w:val="5"/>
          </w:tcPr>
          <w:p>
            <w:pPr>
              <w:ind w:left="80"/>
              <w:spacing w:after="0" w:line="142" w:lineRule="exact"/>
              <w:rPr>
                <w:sz w:val="20"/>
                <w:szCs w:val="20"/>
                <w:color w:val="auto"/>
              </w:rPr>
            </w:pPr>
            <w:r>
              <w:rPr>
                <w:rFonts w:ascii="Arial" w:cs="Arial" w:eastAsia="Arial" w:hAnsi="Arial"/>
                <w:sz w:val="14"/>
                <w:szCs w:val="14"/>
                <w:b w:val="1"/>
                <w:bCs w:val="1"/>
                <w:color w:val="auto"/>
                <w:w w:val="94"/>
              </w:rPr>
              <w:t>September 11, 2015</w:t>
            </w:r>
          </w:p>
        </w:tc>
        <w:tc>
          <w:tcPr>
            <w:tcW w:w="160" w:type="dxa"/>
            <w:vAlign w:val="bottom"/>
          </w:tcPr>
          <w:p>
            <w:pPr>
              <w:spacing w:after="0"/>
              <w:rPr>
                <w:sz w:val="12"/>
                <w:szCs w:val="12"/>
                <w:color w:val="auto"/>
              </w:rPr>
            </w:pPr>
          </w:p>
        </w:tc>
        <w:tc>
          <w:tcPr>
            <w:tcW w:w="1340" w:type="dxa"/>
            <w:vAlign w:val="bottom"/>
            <w:gridSpan w:val="5"/>
          </w:tcPr>
          <w:p>
            <w:pPr>
              <w:ind w:left="60"/>
              <w:spacing w:after="0" w:line="142" w:lineRule="exact"/>
              <w:rPr>
                <w:sz w:val="20"/>
                <w:szCs w:val="20"/>
                <w:color w:val="auto"/>
              </w:rPr>
            </w:pPr>
            <w:r>
              <w:rPr>
                <w:rFonts w:ascii="Arial" w:cs="Arial" w:eastAsia="Arial" w:hAnsi="Arial"/>
                <w:sz w:val="14"/>
                <w:szCs w:val="14"/>
                <w:b w:val="1"/>
                <w:bCs w:val="1"/>
                <w:color w:val="auto"/>
                <w:w w:val="96"/>
              </w:rPr>
              <w:t>September 12, 2014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4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159,757</w:t>
            </w:r>
          </w:p>
        </w:tc>
        <w:tc>
          <w:tcPr>
            <w:tcW w:w="16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167,245</w:t>
            </w: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(7,488)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ind w:right="71"/>
              <w:spacing w:after="0"/>
              <w:rPr>
                <w:sz w:val="20"/>
                <w:szCs w:val="20"/>
                <w:color w:val="auto"/>
              </w:rPr>
            </w:pPr>
            <w:r>
              <w:rPr>
                <w:rFonts w:ascii="Arial" w:cs="Arial" w:eastAsia="Arial" w:hAnsi="Arial"/>
                <w:sz w:val="18"/>
                <w:szCs w:val="18"/>
                <w:color w:val="auto"/>
                <w:w w:val="94"/>
              </w:rPr>
              <w:t>(4%)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products</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4,488</w:t>
            </w: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(4,488)</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51"/>
              <w:spacing w:after="0"/>
              <w:rPr>
                <w:sz w:val="20"/>
                <w:szCs w:val="20"/>
                <w:color w:val="auto"/>
              </w:rPr>
            </w:pPr>
            <w:r>
              <w:rPr>
                <w:rFonts w:ascii="Arial" w:cs="Arial" w:eastAsia="Arial" w:hAnsi="Arial"/>
                <w:sz w:val="18"/>
                <w:szCs w:val="18"/>
                <w:color w:val="auto"/>
                <w:w w:val="92"/>
              </w:rPr>
              <w:t>(100%)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60" w:type="dxa"/>
            <w:vAlign w:val="bottom"/>
          </w:tcPr>
          <w:p>
            <w:pPr>
              <w:spacing w:after="0"/>
              <w:rPr>
                <w:sz w:val="24"/>
                <w:szCs w:val="24"/>
                <w:color w:val="auto"/>
              </w:rPr>
            </w:pPr>
          </w:p>
        </w:tc>
        <w:tc>
          <w:tcPr>
            <w:tcW w:w="4960" w:type="dxa"/>
            <w:vAlign w:val="bottom"/>
          </w:tcPr>
          <w:p>
            <w:pPr>
              <w:ind w:left="720"/>
              <w:spacing w:after="0"/>
              <w:rPr>
                <w:sz w:val="20"/>
                <w:szCs w:val="20"/>
                <w:color w:val="auto"/>
              </w:rPr>
            </w:pPr>
            <w:r>
              <w:rPr>
                <w:rFonts w:ascii="Arial" w:cs="Arial" w:eastAsia="Arial" w:hAnsi="Arial"/>
                <w:sz w:val="18"/>
                <w:szCs w:val="18"/>
                <w:color w:val="auto"/>
              </w:rPr>
              <w:t>Total contract sales</w:t>
            </w:r>
          </w:p>
        </w:tc>
        <w:tc>
          <w:tcPr>
            <w:tcW w:w="40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159,757</w:t>
            </w:r>
          </w:p>
        </w:tc>
        <w:tc>
          <w:tcPr>
            <w:tcW w:w="160" w:type="dxa"/>
            <w:vAlign w:val="bottom"/>
          </w:tcPr>
          <w:p>
            <w:pPr>
              <w:spacing w:after="0"/>
              <w:rPr>
                <w:sz w:val="24"/>
                <w:szCs w:val="24"/>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171,733</w:t>
            </w:r>
          </w:p>
        </w:tc>
        <w:tc>
          <w:tcPr>
            <w:tcW w:w="1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w w:val="98"/>
              </w:rPr>
              <w:t>(11,976)</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71"/>
              <w:spacing w:after="0"/>
              <w:rPr>
                <w:sz w:val="20"/>
                <w:szCs w:val="20"/>
                <w:color w:val="auto"/>
              </w:rPr>
            </w:pPr>
            <w:r>
              <w:rPr>
                <w:rFonts w:ascii="Arial" w:cs="Arial" w:eastAsia="Arial" w:hAnsi="Arial"/>
                <w:sz w:val="18"/>
                <w:szCs w:val="18"/>
                <w:color w:val="auto"/>
                <w:w w:val="94"/>
              </w:rPr>
              <w:t>(7%)</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 $12.0 million decrease in total contract sales was driven by $5.4 million of lower vacation ownership contract sales in our key North America segment, $4.5 million of lower residential contract sales in our North America segment due to the sale of $4.5 million of excess residential inventory in the prior year comparable period, $1.2 million of lower contract sales in our Europe segment as we continue to sell through existing inventory in that segment and $0.9 million of lower vacation ownership contract sales in our Asia Pacific segment due to lower sales to the existing owner base and the negative impact of local currency devaluations in the current period.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The decrease in vacation ownership contract sales in our North America segment reflected a $4.0 million decrease in sales at off-site (non tour-based) sales locations and a $2.5 million decrease in sales at on-site sales locations, partially offset by a $1.1 million increase in fractional sales as we continue to sell through remaining luxury inventory.</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sales at off-site locations were negatively impacted in part by the strength of the U.S. dollar, primarily in Latin America.</w:t>
      </w:r>
    </w:p>
    <w:p>
      <w:pPr>
        <w:spacing w:after="0" w:line="117"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The sales at on-site locations were negatively impacted in part by the strength of the U.S. dollar, primarily impacting Latin American customers purchasing in the U.S., as well as Japanese customers purchasing at our resort on Oahu. The decrease in sales at on-site sales locations reflected a 1.4 percent decrease in VPG to $3,428 in the twelve weeks ended September 11, 2015 from $3,477 in the prior year comparable period and a 1.3 percent decrease in the number of tours. The decrease in VPG resulted from a decrease in the number of points sold per contract due to the increase in sales to existing owners in the current period, partially offset by higher pricing and a 0.1 percentage point increase in closing efficiency. The decrease in the number of tours was driven in part by hurricane activity in the Caribbean and Hawaii, as well as the threatened hurricane activity in Florida, which resulted in tour cancellations.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5"/>
              </w:rPr>
              <w:t>Thirty-Six Weeks Ended</w:t>
            </w:r>
          </w:p>
        </w:tc>
        <w:tc>
          <w:tcPr>
            <w:tcW w:w="8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7"/>
              </w:rPr>
              <w:t>Change</w:t>
            </w:r>
          </w:p>
        </w:tc>
        <w:tc>
          <w:tcPr>
            <w:tcW w:w="54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4220" w:type="dxa"/>
            <w:vAlign w:val="bottom"/>
            <w:tcBorders>
              <w:bottom w:val="single" w:sz="8" w:color="CCEEFF"/>
            </w:tcBorders>
            <w:vMerge w:val="continue"/>
          </w:tcPr>
          <w:p>
            <w:pPr>
              <w:spacing w:after="0"/>
              <w:rPr>
                <w:sz w:val="12"/>
                <w:szCs w:val="12"/>
                <w:color w:val="auto"/>
              </w:rPr>
            </w:pPr>
          </w:p>
        </w:tc>
        <w:tc>
          <w:tcPr>
            <w:tcW w:w="134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4"/>
              </w:rPr>
              <w:t>September 11, 2015</w:t>
            </w:r>
          </w:p>
        </w:tc>
        <w:tc>
          <w:tcPr>
            <w:tcW w:w="52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6"/>
              </w:rPr>
              <w:t>September 12, 2014</w:t>
            </w:r>
          </w:p>
        </w:tc>
        <w:tc>
          <w:tcPr>
            <w:tcW w:w="5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495,645</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w w:val="95"/>
              </w:rPr>
              <w:t>487,082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8,563</w:t>
            </w:r>
          </w:p>
        </w:tc>
        <w:tc>
          <w:tcPr>
            <w:tcW w:w="1480" w:type="dxa"/>
            <w:vAlign w:val="bottom"/>
            <w:gridSpan w:val="2"/>
          </w:tcPr>
          <w:p>
            <w:pPr>
              <w:jc w:val="center"/>
              <w:ind w:left="43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products</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28,420</w:t>
            </w:r>
          </w:p>
        </w:tc>
        <w:tc>
          <w:tcPr>
            <w:tcW w:w="5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10,814</w:t>
            </w:r>
          </w:p>
        </w:tc>
        <w:tc>
          <w:tcPr>
            <w:tcW w:w="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17,606</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91"/>
        </w:trPr>
        <w:tc>
          <w:tcPr>
            <w:tcW w:w="4220" w:type="dxa"/>
            <w:vAlign w:val="bottom"/>
          </w:tcPr>
          <w:p>
            <w:pPr>
              <w:ind w:left="720"/>
              <w:spacing w:after="0"/>
              <w:rPr>
                <w:sz w:val="20"/>
                <w:szCs w:val="20"/>
                <w:color w:val="auto"/>
              </w:rPr>
            </w:pPr>
            <w:r>
              <w:rPr>
                <w:rFonts w:ascii="Arial" w:cs="Arial" w:eastAsia="Arial" w:hAnsi="Arial"/>
                <w:sz w:val="18"/>
                <w:szCs w:val="18"/>
                <w:color w:val="auto"/>
              </w:rPr>
              <w:t>Total contract sales</w:t>
            </w: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524,065</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w w:val="95"/>
              </w:rPr>
              <w:t>497,896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26,169</w:t>
            </w:r>
          </w:p>
        </w:tc>
        <w:tc>
          <w:tcPr>
            <w:tcW w:w="1480" w:type="dxa"/>
            <w:vAlign w:val="bottom"/>
            <w:gridSpan w:val="2"/>
          </w:tcPr>
          <w:p>
            <w:pPr>
              <w:jc w:val="center"/>
              <w:ind w:left="43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NM = not meaningful</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$26.2 million increase in total contract sales was driven by $28.4 million of higher residential contract sales in our Asia Pacific segment,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$15.5 million of higher vacation ownership contract sales in our key North America segment and $1.8 million of higher vacation ownership contract sales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Asia Pacific segment, partially offset by $8.7 million of lower contract sales in our Europe segment and $10.8 million of lower residential contract sales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our North America segment due to the sale of $10.8 million of excess residential inventory in the prior year comparable period.</w:t>
      </w:r>
    </w:p>
    <w:p>
      <w:pPr>
        <w:spacing w:after="0" w:line="103"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The increase in vacation ownership contract sales in our North America segment reflected a $12.0 million increase in sales at on-site sales locations and a $3.8 million increase in fractional sales as we continue to sell through remaining luxury inventory, partially offset by a $0.3 million decrease in sales at off-site (non tour-based) sales locations.</w:t>
      </w:r>
    </w:p>
    <w:p>
      <w:pPr>
        <w:spacing w:after="0" w:line="7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increase in sales at on-site sales locations reflected a 1.3 percent increase in VPG to $3,489 in the thirty-six weeks ended September 11, 2015 from $3,444 in the prior year comparable period and a 1.7 percent increase in the number of tours, and was negatively impacted in the third quarter of 2015 by the strength of the U.S. dollar, primarily impacting Latin American customers purchasing in the U.S., as well as Japanese customers purchasing at our resort in Oahu. The increase in VPG was due to a 0.4 percentage point increase in closing efficiency and higher pricing, partially offset by a decrease in the number of points sold per contract due to the increase in sales to existing owners in the current period. The increase in the number of tours was driven by an increase in existing owner tours. In the first quarter of 2015, we announced enhancements to our owner recognition levels that created a near-term incentive for existing owners to purchase additional points prior to the end of the twenty-four weeks ended June 19, 2015, which resulted in an increase in existing owner tours. This was partially offset by the decrease in the number of tours in the third quarter of 2015 as a result of the hurricane and threatened hurricane activity mentioned above.</w:t>
      </w:r>
    </w:p>
    <w:p>
      <w:pPr>
        <w:spacing w:after="0" w:line="74"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Due to operational constraints, regulatory conditions and certain other conditions related to our 18 units in Macau, we decided not to sell these units through our Marriott Vacation Club, Asia Pacific points program, and instead disposed of the units as whole ownership residential units during the first quarter of 2015 for $28.4 million. In the third quarter of 2015, we reinvested the proceeds from this disposition into the purchase of an operating hotel located in Surfers Paradise, Australia. We intend to convert a portion of this hotel into a new timeshare destination that we expect will have a strong on-site sales location and to sell the remainder to a third party.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360" w:type="dxa"/>
            <w:vAlign w:val="bottom"/>
            <w:tcBorders>
              <w:bottom w:val="single" w:sz="8" w:color="CCEEFF"/>
            </w:tcBorders>
            <w:vMerge w:val="continue"/>
          </w:tcPr>
          <w:p>
            <w:pPr>
              <w:spacing w:after="0"/>
              <w:rPr>
                <w:sz w:val="12"/>
                <w:szCs w:val="12"/>
                <w:color w:val="auto"/>
              </w:rPr>
            </w:pPr>
          </w:p>
        </w:tc>
        <w:tc>
          <w:tcPr>
            <w:tcW w:w="134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4"/>
              </w:rPr>
              <w:t>September 11, 2015</w:t>
            </w:r>
          </w:p>
        </w:tc>
        <w:tc>
          <w:tcPr>
            <w:tcW w:w="20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6"/>
              </w:rPr>
              <w:t>September 12, 2014</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5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159,757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171,733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(11,976)</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Reportability</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(11,051)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(4,503)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(6,548)</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Sales reserve</w:t>
            </w:r>
          </w:p>
        </w:tc>
        <w:tc>
          <w:tcPr>
            <w:tcW w:w="360" w:type="dxa"/>
            <w:vAlign w:val="bottom"/>
          </w:tcPr>
          <w:p>
            <w:pPr>
              <w:spacing w:after="0"/>
              <w:rPr>
                <w:sz w:val="18"/>
                <w:szCs w:val="18"/>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(7,600)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(7,310)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(4,304)</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(4,536)</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36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136,802</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155,384</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(18,582)</w:t>
            </w:r>
          </w:p>
        </w:tc>
        <w:tc>
          <w:tcPr>
            <w:tcW w:w="1680" w:type="dxa"/>
            <w:vAlign w:val="bottom"/>
            <w:gridSpan w:val="2"/>
          </w:tcPr>
          <w:p>
            <w:pPr>
              <w:jc w:val="right"/>
              <w:ind w:right="459"/>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1576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3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117"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Revenue reportability had an $11.1 million negative impact in the current period, compared to a $4.5 million negative impact in the prior year comparable period, due to fewer sales meeting the down payment requirements for revenue reportability in the current period, in part due to a seven percentage point increase in financing propensity in the third quarter of 2015 compared to the prior year comparable period. The higher sales reserve reflects an increase in the estimated default activity in our Europe and Asia Pacific segments, as well as an increase in our North America segment due to the increase in financing propensity, partially offset by the lower vacation ownership contract sales volume compared to the prior year comparable period.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4"/>
                <w:szCs w:val="14"/>
                <w:b w:val="1"/>
                <w:bCs w:val="1"/>
                <w:color w:val="auto"/>
              </w:rPr>
              <w:t>Thirty-Six Weeks Ended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vMerge w:val="continue"/>
          </w:tcPr>
          <w:p>
            <w:pPr>
              <w:spacing w:after="0"/>
              <w:rPr>
                <w:sz w:val="12"/>
                <w:szCs w:val="12"/>
                <w:color w:val="auto"/>
              </w:rPr>
            </w:pPr>
          </w:p>
        </w:tc>
        <w:tc>
          <w:tcPr>
            <w:tcW w:w="132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4"/>
              </w:rPr>
              <w:t>September 11, 2015</w:t>
            </w:r>
          </w:p>
        </w:tc>
        <w:tc>
          <w:tcPr>
            <w:tcW w:w="16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6"/>
              </w:rPr>
              <w:t>September 12, 2014</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5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524,065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497,896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26,169</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Reportability</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(11,124)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(8,228)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(2,896)</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Sales reserve</w:t>
            </w:r>
          </w:p>
        </w:tc>
        <w:tc>
          <w:tcPr>
            <w:tcW w:w="340" w:type="dxa"/>
            <w:vAlign w:val="bottom"/>
          </w:tcPr>
          <w:p>
            <w:pPr>
              <w:spacing w:after="0"/>
              <w:rPr>
                <w:sz w:val="18"/>
                <w:szCs w:val="18"/>
                <w:color w:val="auto"/>
              </w:rPr>
            </w:pPr>
          </w:p>
        </w:tc>
        <w:tc>
          <w:tcPr>
            <w:tcW w:w="980" w:type="dxa"/>
            <w:vAlign w:val="bottom"/>
          </w:tcPr>
          <w:p>
            <w:pPr>
              <w:ind w:left="200"/>
              <w:spacing w:after="0"/>
              <w:rPr>
                <w:sz w:val="20"/>
                <w:szCs w:val="20"/>
                <w:color w:val="auto"/>
              </w:rPr>
            </w:pPr>
            <w:r>
              <w:rPr>
                <w:rFonts w:ascii="Arial" w:cs="Arial" w:eastAsia="Arial" w:hAnsi="Arial"/>
                <w:sz w:val="18"/>
                <w:szCs w:val="18"/>
                <w:color w:val="auto"/>
              </w:rPr>
              <w:t>(23,146)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(23,008)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(13,717)</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(13,864)</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42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980" w:type="dxa"/>
            <w:vAlign w:val="bottom"/>
          </w:tcPr>
          <w:p>
            <w:pPr>
              <w:ind w:left="180"/>
              <w:spacing w:after="0"/>
              <w:rPr>
                <w:sz w:val="20"/>
                <w:szCs w:val="20"/>
                <w:color w:val="auto"/>
              </w:rPr>
            </w:pPr>
            <w:r>
              <w:rPr>
                <w:rFonts w:ascii="Arial" w:cs="Arial" w:eastAsia="Arial" w:hAnsi="Arial"/>
                <w:sz w:val="18"/>
                <w:szCs w:val="18"/>
                <w:color w:val="auto"/>
              </w:rPr>
              <w:t>476,078</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452,796</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23,282</w:t>
            </w:r>
          </w:p>
        </w:tc>
        <w:tc>
          <w:tcPr>
            <w:tcW w:w="168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1576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3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Revenue reportability had an $11.1 million negative impact in the current period, compared to an $8.2 million negative impact in the prior year comparable period due to fewer sales meeting the down payment requirements for revenue reportability in the current period, in part due to a three percentage point increase in financing propensity in the current period, partially offset by fewer sales in the rescission period at the end of the thirty-six weeks ended September 11, 2015 compared to the prior year comparable period. The higher sales reserve is driven by the higher vacation ownership contract sales and the impact of the higher financing propensity in our North America segment, partially offset by a decrease in the estimated default activity in our North America segment compared to the prior year comparable period.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5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420" w:type="dxa"/>
            <w:vAlign w:val="bottom"/>
            <w:gridSpan w:val="2"/>
            <w:vMerge w:val="continue"/>
          </w:tcPr>
          <w:p>
            <w:pPr>
              <w:spacing w:after="0"/>
              <w:rPr>
                <w:sz w:val="12"/>
                <w:szCs w:val="12"/>
                <w:color w:val="auto"/>
              </w:rPr>
            </w:pPr>
          </w:p>
        </w:tc>
        <w:tc>
          <w:tcPr>
            <w:tcW w:w="13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94"/>
              </w:rPr>
              <w:t>September 11, 2015</w:t>
            </w:r>
          </w:p>
        </w:tc>
        <w:tc>
          <w:tcPr>
            <w:tcW w:w="160" w:type="dxa"/>
            <w:vAlign w:val="bottom"/>
          </w:tcPr>
          <w:p>
            <w:pPr>
              <w:spacing w:after="0"/>
              <w:rPr>
                <w:sz w:val="12"/>
                <w:szCs w:val="12"/>
                <w:color w:val="auto"/>
              </w:rPr>
            </w:pPr>
          </w:p>
        </w:tc>
        <w:tc>
          <w:tcPr>
            <w:tcW w:w="13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96"/>
              </w:rPr>
              <w:t>September 12, 2014</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136,802</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155,384</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(18,582)</w:t>
            </w:r>
          </w:p>
        </w:tc>
        <w:tc>
          <w:tcPr>
            <w:tcW w:w="1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340" w:type="dxa"/>
            <w:vAlign w:val="bottom"/>
          </w:tcPr>
          <w:p>
            <w:pPr>
              <w:spacing w:after="0"/>
              <w:rPr>
                <w:sz w:val="18"/>
                <w:szCs w:val="18"/>
                <w:color w:val="auto"/>
              </w:rPr>
            </w:pP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(40,776)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(48,640)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8"/>
                <w:szCs w:val="18"/>
                <w:color w:val="auto"/>
              </w:rPr>
              <w:t>7,864</w:t>
            </w:r>
          </w:p>
        </w:tc>
        <w:tc>
          <w:tcPr>
            <w:tcW w:w="168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(71,628)</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(73,380)</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1,752</w:t>
            </w:r>
          </w:p>
        </w:tc>
        <w:tc>
          <w:tcPr>
            <w:tcW w:w="168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91"/>
        </w:trPr>
        <w:tc>
          <w:tcPr>
            <w:tcW w:w="5420" w:type="dxa"/>
            <w:vAlign w:val="bottom"/>
            <w:gridSpan w:val="2"/>
          </w:tcPr>
          <w:p>
            <w:pPr>
              <w:spacing w:after="0"/>
              <w:rPr>
                <w:sz w:val="20"/>
                <w:szCs w:val="20"/>
                <w:color w:val="auto"/>
              </w:rPr>
            </w:pPr>
            <w:r>
              <w:rPr>
                <w:rFonts w:ascii="Arial" w:cs="Arial" w:eastAsia="Arial" w:hAnsi="Arial"/>
                <w:sz w:val="18"/>
                <w:szCs w:val="18"/>
                <w:color w:val="auto"/>
              </w:rPr>
              <w:t>Development margin</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24,398</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33,364</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(8,966)</w:t>
            </w:r>
          </w:p>
        </w:tc>
        <w:tc>
          <w:tcPr>
            <w:tcW w:w="168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(3.7 pts)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400" w:type="dxa"/>
            <w:vAlign w:val="bottom"/>
          </w:tcPr>
          <w:p>
            <w:pPr>
              <w:ind w:left="900"/>
              <w:spacing w:after="0"/>
              <w:rPr>
                <w:sz w:val="20"/>
                <w:szCs w:val="20"/>
                <w:color w:val="auto"/>
              </w:rPr>
            </w:pPr>
            <w:r>
              <w:rPr>
                <w:rFonts w:ascii="Arial" w:cs="Arial" w:eastAsia="Arial" w:hAnsi="Arial"/>
                <w:sz w:val="18"/>
                <w:szCs w:val="18"/>
                <w:color w:val="auto"/>
                <w:w w:val="93"/>
              </w:rPr>
              <w:t>The decrease in development margin reflected the following:</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920" w:hanging="440"/>
        <w:spacing w:after="0"/>
        <w:tabs>
          <w:tab w:leader="none" w:pos="1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$4.1 million from lower revenue reportability compared to the prior year comparable period;</w:t>
      </w:r>
    </w:p>
    <w:p>
      <w:pPr>
        <w:spacing w:after="0" w:line="130" w:lineRule="exact"/>
        <w:rPr>
          <w:rFonts w:ascii="Arial" w:cs="Arial" w:eastAsia="Arial" w:hAnsi="Arial"/>
          <w:sz w:val="18"/>
          <w:szCs w:val="18"/>
          <w:color w:val="auto"/>
        </w:rPr>
      </w:pPr>
    </w:p>
    <w:p>
      <w:pPr>
        <w:ind w:left="1920" w:right="100" w:hanging="440"/>
        <w:spacing w:after="0" w:line="257" w:lineRule="auto"/>
        <w:tabs>
          <w:tab w:leader="none" w:pos="1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$5.0 million from lower vacation ownership contract sales volume net of higher direct variable expenses (i.e., cost of vacation ownership products and marketing and sales), including $2.3 million from higher marketing and sales costs due to investment in new programs to help generate future incremental tour volumes and higher marketing and sales related program costs in our North America segment, $1.8 million from the lower vacation ownership contract sales and $0.9 million from an unfavorable mix of higher cost real estate inventory being sold;</w:t>
      </w:r>
    </w:p>
    <w:p>
      <w:pPr>
        <w:spacing w:after="0" w:line="93" w:lineRule="exact"/>
        <w:rPr>
          <w:rFonts w:ascii="Arial" w:cs="Arial" w:eastAsia="Arial" w:hAnsi="Arial"/>
          <w:sz w:val="18"/>
          <w:szCs w:val="18"/>
          <w:color w:val="auto"/>
        </w:rPr>
      </w:pPr>
    </w:p>
    <w:p>
      <w:pPr>
        <w:ind w:left="1920" w:right="100" w:hanging="440"/>
        <w:spacing w:after="0" w:line="342" w:lineRule="auto"/>
        <w:tabs>
          <w:tab w:leader="none" w:pos="1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$0.9 million from lower residential contract sales (no residential sales in the twelve weeks ended September 11, 2015 compared to $0.9 million from the sale of residential inventory in our North America segment in the prior year comparable period); and</w:t>
      </w:r>
    </w:p>
    <w:p>
      <w:pPr>
        <w:spacing w:after="0" w:line="29" w:lineRule="exact"/>
        <w:rPr>
          <w:rFonts w:ascii="Arial" w:cs="Arial" w:eastAsia="Arial" w:hAnsi="Arial"/>
          <w:sz w:val="16"/>
          <w:szCs w:val="16"/>
          <w:color w:val="auto"/>
        </w:rPr>
      </w:pPr>
    </w:p>
    <w:p>
      <w:pPr>
        <w:ind w:left="1920" w:right="660" w:hanging="440"/>
        <w:spacing w:after="0" w:line="277" w:lineRule="auto"/>
        <w:tabs>
          <w:tab w:leader="none" w:pos="1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$0.6 million from the higher estimated default activity in our Europe and Asia Pacific segments compared to the prior year comparable period.</w:t>
      </w:r>
    </w:p>
    <w:p>
      <w:pPr>
        <w:spacing w:after="0" w:line="62"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These decreases were partially offset by $1.3 million of lower development expenses due to more costs being capitalized in the twelve weeks ended September 11, 2015 compared to the prior year comparable period and due to the disposition of land and related assets in Kauai in the fourth quarter of 2014 and second quarter of 2015 and Abaco in the third quarter of 2014, as well as $0.4 million from higher favorable product cost true-ups ($0.4 million in the twelve weeks ended September 11, 2015 compared to none in the prior year comparable period).</w:t>
      </w:r>
    </w:p>
    <w:p>
      <w:pPr>
        <w:spacing w:after="0" w:line="63"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The 3.7 percentage point decline in the development margin percentage reflected a 2.3 percentage point decrease due to the unfavorable revenue reportability year-over-year, a 1.6 percentage point decline due to the higher marketing and sales spending, and a 0.6 percentage point decrease due to an unfavorable mix of higher cost vacation ownership real estate inventory being sold in the twelve weeks ended September 11, 2015. These declines were partially offset by a 0.6 percentage point increase from the lower development expenses and a 0.2 percentage point increase due to the lower favorable product cost true-up activity year-over-year.</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4"/>
                <w:szCs w:val="14"/>
                <w:b w:val="1"/>
                <w:bCs w:val="1"/>
                <w:color w:val="auto"/>
              </w:rPr>
              <w:t>Thirty-Six Weeks Ended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52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420" w:type="dxa"/>
            <w:vAlign w:val="bottom"/>
            <w:gridSpan w:val="2"/>
            <w:vMerge w:val="continue"/>
          </w:tcPr>
          <w:p>
            <w:pPr>
              <w:spacing w:after="0"/>
              <w:rPr>
                <w:sz w:val="12"/>
                <w:szCs w:val="12"/>
                <w:color w:val="auto"/>
              </w:rPr>
            </w:pPr>
          </w:p>
        </w:tc>
        <w:tc>
          <w:tcPr>
            <w:tcW w:w="13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94"/>
              </w:rPr>
              <w:t>September 11, 2015</w:t>
            </w:r>
          </w:p>
        </w:tc>
        <w:tc>
          <w:tcPr>
            <w:tcW w:w="160" w:type="dxa"/>
            <w:vAlign w:val="bottom"/>
          </w:tcPr>
          <w:p>
            <w:pPr>
              <w:spacing w:after="0"/>
              <w:rPr>
                <w:sz w:val="12"/>
                <w:szCs w:val="12"/>
                <w:color w:val="auto"/>
              </w:rPr>
            </w:pPr>
          </w:p>
        </w:tc>
        <w:tc>
          <w:tcPr>
            <w:tcW w:w="13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96"/>
              </w:rPr>
              <w:t>September 12, 2014</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3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476,078</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452,796</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23,282</w:t>
            </w:r>
          </w:p>
        </w:tc>
        <w:tc>
          <w:tcPr>
            <w:tcW w:w="1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300" w:type="dxa"/>
            <w:vAlign w:val="bottom"/>
          </w:tcPr>
          <w:p>
            <w:pPr>
              <w:spacing w:after="0"/>
              <w:rPr>
                <w:sz w:val="18"/>
                <w:szCs w:val="18"/>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(150,857)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(138,925)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(11,932)</w:t>
            </w:r>
          </w:p>
        </w:tc>
        <w:tc>
          <w:tcPr>
            <w:tcW w:w="1680" w:type="dxa"/>
            <w:vAlign w:val="bottom"/>
            <w:gridSpan w:val="2"/>
          </w:tcPr>
          <w:p>
            <w:pPr>
              <w:jc w:val="right"/>
              <w:ind w:right="499"/>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(228,760)</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(216,827)</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(11,933)</w:t>
            </w:r>
          </w:p>
        </w:tc>
        <w:tc>
          <w:tcPr>
            <w:tcW w:w="1680" w:type="dxa"/>
            <w:vAlign w:val="bottom"/>
            <w:gridSpan w:val="2"/>
            <w:shd w:val="clear" w:color="auto" w:fill="CCEEFF"/>
          </w:tcPr>
          <w:p>
            <w:pPr>
              <w:jc w:val="right"/>
              <w:ind w:right="49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91"/>
        </w:trPr>
        <w:tc>
          <w:tcPr>
            <w:tcW w:w="5420" w:type="dxa"/>
            <w:vAlign w:val="bottom"/>
            <w:gridSpan w:val="2"/>
          </w:tcPr>
          <w:p>
            <w:pPr>
              <w:spacing w:after="0"/>
              <w:rPr>
                <w:sz w:val="20"/>
                <w:szCs w:val="20"/>
                <w:color w:val="auto"/>
              </w:rPr>
            </w:pPr>
            <w:r>
              <w:rPr>
                <w:rFonts w:ascii="Arial" w:cs="Arial" w:eastAsia="Arial" w:hAnsi="Arial"/>
                <w:sz w:val="18"/>
                <w:szCs w:val="18"/>
                <w:color w:val="auto"/>
              </w:rPr>
              <w:t>Development margin</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96,461</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97,044</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(583)</w:t>
            </w:r>
          </w:p>
        </w:tc>
        <w:tc>
          <w:tcPr>
            <w:tcW w:w="1680" w:type="dxa"/>
            <w:vAlign w:val="bottom"/>
            <w:gridSpan w:val="2"/>
          </w:tcPr>
          <w:p>
            <w:pPr>
              <w:jc w:val="right"/>
              <w:ind w:right="49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 pts)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400" w:type="dxa"/>
            <w:vAlign w:val="bottom"/>
          </w:tcPr>
          <w:p>
            <w:pPr>
              <w:ind w:left="900"/>
              <w:spacing w:after="0"/>
              <w:rPr>
                <w:sz w:val="20"/>
                <w:szCs w:val="20"/>
                <w:color w:val="auto"/>
              </w:rPr>
            </w:pPr>
            <w:r>
              <w:rPr>
                <w:rFonts w:ascii="Arial" w:cs="Arial" w:eastAsia="Arial" w:hAnsi="Arial"/>
                <w:sz w:val="18"/>
                <w:szCs w:val="18"/>
                <w:color w:val="auto"/>
                <w:w w:val="93"/>
              </w:rPr>
              <w:t>The decrease in development margin reflected the following:</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920" w:right="180" w:hanging="440"/>
        <w:spacing w:after="0" w:line="255" w:lineRule="auto"/>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$5.3 million from higher vacation ownership contract sales volume net of higher direct variable expenses (i.e., cost of vacation ownership products and marketing and sales), including $8.2 million from higher marketing and sales costs due to an inability to leverage fixed costs on lower sales volumes in our Europe segment, investment in new programs to help generate future incremental tour volumes and higher marketing and sales related program costs in our North America segment, partially offset by $2.6 million from the higher vacation ownership contract sales volume and $0.3 million from a favorable mix of lower cost real estate inventory being sold;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hanging="440"/>
        <w:spacing w:after="0"/>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$1.9 million from lower revenue reportability compared to the prior year comparable period; and</w:t>
      </w:r>
    </w:p>
    <w:p>
      <w:pPr>
        <w:spacing w:after="0" w:line="130" w:lineRule="exact"/>
        <w:rPr>
          <w:rFonts w:ascii="Arial" w:cs="Arial" w:eastAsia="Arial" w:hAnsi="Arial"/>
          <w:sz w:val="18"/>
          <w:szCs w:val="18"/>
          <w:color w:val="auto"/>
        </w:rPr>
      </w:pPr>
    </w:p>
    <w:p>
      <w:pPr>
        <w:ind w:left="1920" w:right="80" w:hanging="440"/>
        <w:spacing w:after="0" w:line="264" w:lineRule="auto"/>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$0.4 million from the higher estimated default activity compared to the prior year comparable period, including $1.2 million in our Europe and Asia Pacific segments, partially offset by $0.8 million from the lower estimated default activity in our North America segment.</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These decreases were partially offset by the following:</w:t>
      </w:r>
    </w:p>
    <w:p>
      <w:pPr>
        <w:spacing w:after="0" w:line="131" w:lineRule="exact"/>
        <w:rPr>
          <w:sz w:val="20"/>
          <w:szCs w:val="20"/>
          <w:color w:val="auto"/>
        </w:rPr>
      </w:pPr>
    </w:p>
    <w:p>
      <w:pPr>
        <w:ind w:left="1920" w:right="180" w:hanging="440"/>
        <w:spacing w:after="0" w:line="264" w:lineRule="auto"/>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$3.6 million from higher residential contract sales ($5.9 million from the sale of residential inventory in our Asia Pacific segment in the thirty-six weeks ended September 11, 2015 compared to $2.3 million from the sale of residential inventory in our North America segment in the prior year comparable period); and</w:t>
      </w:r>
    </w:p>
    <w:p>
      <w:pPr>
        <w:spacing w:after="0" w:line="86" w:lineRule="exact"/>
        <w:rPr>
          <w:rFonts w:ascii="Arial" w:cs="Arial" w:eastAsia="Arial" w:hAnsi="Arial"/>
          <w:sz w:val="18"/>
          <w:szCs w:val="18"/>
          <w:color w:val="auto"/>
        </w:rPr>
      </w:pPr>
    </w:p>
    <w:p>
      <w:pPr>
        <w:jc w:val="both"/>
        <w:ind w:left="1920" w:right="100" w:hanging="440"/>
        <w:spacing w:after="0" w:line="264" w:lineRule="auto"/>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$2.1 million of lower development expenses due to more costs being capitalized in the thirty-six weeks ended September 11, 2015 compared to the prior year comparable period and due to the disposition of land and related assets in Kauai in the fourth quarter of 2014 and second quarter of 2015 and Abaco in the third quarter of 2014; and</w:t>
      </w:r>
    </w:p>
    <w:p>
      <w:pPr>
        <w:spacing w:after="0" w:line="86" w:lineRule="exact"/>
        <w:rPr>
          <w:rFonts w:ascii="Arial" w:cs="Arial" w:eastAsia="Arial" w:hAnsi="Arial"/>
          <w:sz w:val="18"/>
          <w:szCs w:val="18"/>
          <w:color w:val="auto"/>
        </w:rPr>
      </w:pPr>
    </w:p>
    <w:p>
      <w:pPr>
        <w:ind w:left="1920" w:right="80" w:hanging="440"/>
        <w:spacing w:after="0" w:line="277" w:lineRule="auto"/>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$1.3 million from higher favorable product cost true-ups ($3.2 million in the thirty-six weeks ended September 11, 2015 compared to $2.3 million in the prior year comparable period).</w:t>
      </w:r>
    </w:p>
    <w:p>
      <w:pPr>
        <w:spacing w:after="0" w:line="6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1.1 percentage point decline in the development margin percentage reflected a 1.8 percentage point decline due to higher marketing and sales spending and a 0.3 percentage point decrease due to the unfavorable revenue reportability year-over-year, partially offset by a 0.4 percentage point increase from the lower development expenses, a 0.3 percentage point increase due to the higher favorable product cost true-up activity year-over-year, a 0.2 percentage point increase from the higher North America vacation ownership contract sales (which have a development margin that is higher than the company-wide average) and the lower Europe vacation ownership contract sales (which have a development margin that is lower than the company-wide average), and a 0.1 percentage point increase due to a favorable mix of lower cost vacation ownership real estate inventory being sold in the thirty-six weeks ended September 11,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2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00" w:type="dxa"/>
            <w:vAlign w:val="bottom"/>
            <w:gridSpan w:val="2"/>
            <w:vMerge w:val="continue"/>
          </w:tcPr>
          <w:p>
            <w:pPr>
              <w:spacing w:after="0"/>
              <w:rPr>
                <w:sz w:val="12"/>
                <w:szCs w:val="12"/>
                <w:color w:val="auto"/>
              </w:rPr>
            </w:pPr>
          </w:p>
        </w:tc>
        <w:tc>
          <w:tcPr>
            <w:tcW w:w="13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94"/>
              </w:rPr>
              <w:t>September 11, 2015</w:t>
            </w:r>
          </w:p>
        </w:tc>
        <w:tc>
          <w:tcPr>
            <w:tcW w:w="160" w:type="dxa"/>
            <w:vAlign w:val="bottom"/>
          </w:tcPr>
          <w:p>
            <w:pPr>
              <w:spacing w:after="0"/>
              <w:rPr>
                <w:sz w:val="12"/>
                <w:szCs w:val="12"/>
                <w:color w:val="auto"/>
              </w:rPr>
            </w:pPr>
          </w:p>
        </w:tc>
        <w:tc>
          <w:tcPr>
            <w:tcW w:w="13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96"/>
              </w:rPr>
              <w:t>September 12, 2014</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17,980</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17,334</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646</w:t>
            </w: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55,848</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53,647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2,201</w:t>
            </w:r>
          </w:p>
        </w:tc>
        <w:tc>
          <w:tcPr>
            <w:tcW w:w="14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73,828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70,981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2,847</w:t>
            </w:r>
          </w:p>
        </w:tc>
        <w:tc>
          <w:tcPr>
            <w:tcW w:w="14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(47,409)</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(47,857)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448</w:t>
            </w:r>
          </w:p>
        </w:tc>
        <w:tc>
          <w:tcPr>
            <w:tcW w:w="14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26,419</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23,124</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3,295</w:t>
            </w:r>
          </w:p>
        </w:tc>
        <w:tc>
          <w:tcPr>
            <w:tcW w:w="14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0"/>
        </w:trPr>
        <w:tc>
          <w:tcPr>
            <w:tcW w:w="570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700" w:type="dxa"/>
            <w:vAlign w:val="bottom"/>
            <w:gridSpan w:val="2"/>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360" w:type="dxa"/>
            <w:vAlign w:val="bottom"/>
          </w:tcPr>
          <w:p>
            <w:pPr>
              <w:spacing w:after="0"/>
              <w:rPr>
                <w:sz w:val="24"/>
                <w:szCs w:val="24"/>
                <w:color w:val="auto"/>
              </w:rPr>
            </w:pPr>
          </w:p>
        </w:tc>
        <w:tc>
          <w:tcPr>
            <w:tcW w:w="980" w:type="dxa"/>
            <w:vAlign w:val="bottom"/>
          </w:tcPr>
          <w:p>
            <w:pPr>
              <w:jc w:val="right"/>
              <w:ind w:right="133"/>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3.2 pts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80" w:firstLine="913"/>
        <w:spacing w:after="0" w:line="254" w:lineRule="auto"/>
        <w:rPr>
          <w:sz w:val="20"/>
          <w:szCs w:val="20"/>
          <w:color w:val="auto"/>
        </w:rPr>
      </w:pPr>
      <w:r>
        <w:rPr>
          <w:rFonts w:ascii="Arial" w:cs="Arial" w:eastAsia="Arial" w:hAnsi="Arial"/>
          <w:sz w:val="18"/>
          <w:szCs w:val="18"/>
          <w:color w:val="auto"/>
        </w:rPr>
        <w:t>The increase in resort management and other services revenues reflected $1.0 million of higher ancillary revenues, $0.7 million of higher resales commission and other revenues, $0.6 million of higher management fees (net of $0.3 million negative foreign exchange impact in our Europe segment), $0.5 million of additional annual club dues earned in connection with the MVCD program due to the cumulative increase in owners enrolled in the program, $0.2 million of higher brand fees due to more closings compared to the prior year comparable period and $0.1 million of higher settlement fees due to an increase in the number of contracts closed. These increases were partially offset by $0.3 million of lower fees from external exchange service providers. The increase in ancillary revenues included a $1.9 million increase in ancillary revenues from food and beverage and golf offerings at our existing resorts, $1.3 million of ancillary revenues at the operating hotel in Australia acquired in the third quarter of 2015 and $0.6 million of ancillary revenues at the operating hotel in San Diego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acquired in the first quarter of 2015. These increases in ancillary revenues were partially offset by a $1.8 million decline due to the disposition of certain assets during the prior year, the closure of another ancillary operation during the prior year and outsourcing of the operation of a restaurant during the prior year, as well as $1.0 million from the changes in foreign exchange rates in our Europe segment.</w:t>
      </w:r>
    </w:p>
    <w:p>
      <w:pPr>
        <w:spacing w:after="0" w:line="73"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The improvement in the resort management and other services margin reflected the changes in revenue, as well as $0.4 million of lower expenses, including $3.1 million of ancillary expense savings from the dispositions, closure and outsourcing noted above and $1.0 million from the changes in foreign exchange rates in our Europe segment, partially offset by $2.0 million of higher ancillary, customer service, settlement and MVCD program expenses related to the higher revenues from our existing resorts in the twelve weeks ended September 11, 2015, $1.2 million from the operation of the hotel in Australia and $0.5 million from the operation of the hotel in San Diego.</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4"/>
                <w:szCs w:val="14"/>
                <w:b w:val="1"/>
                <w:bCs w:val="1"/>
                <w:color w:val="auto"/>
              </w:rPr>
              <w:t>Thirty-Six Weeks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7"/>
              </w:rPr>
              <w:t>Change</w:t>
            </w:r>
          </w:p>
        </w:tc>
        <w:tc>
          <w:tcPr>
            <w:tcW w:w="16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240" w:type="dxa"/>
            <w:vAlign w:val="bottom"/>
            <w:gridSpan w:val="2"/>
            <w:vMerge w:val="continue"/>
          </w:tcPr>
          <w:p>
            <w:pPr>
              <w:spacing w:after="0"/>
              <w:rPr>
                <w:sz w:val="12"/>
                <w:szCs w:val="12"/>
                <w:color w:val="auto"/>
              </w:rPr>
            </w:pPr>
          </w:p>
        </w:tc>
        <w:tc>
          <w:tcPr>
            <w:tcW w:w="13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94"/>
              </w:rPr>
              <w:t>September 11, 2015</w:t>
            </w:r>
          </w:p>
        </w:tc>
        <w:tc>
          <w:tcPr>
            <w:tcW w:w="160" w:type="dxa"/>
            <w:vAlign w:val="bottom"/>
          </w:tcPr>
          <w:p>
            <w:pPr>
              <w:spacing w:after="0"/>
              <w:rPr>
                <w:sz w:val="12"/>
                <w:szCs w:val="12"/>
                <w:color w:val="auto"/>
              </w:rPr>
            </w:pPr>
          </w:p>
        </w:tc>
        <w:tc>
          <w:tcPr>
            <w:tcW w:w="13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96"/>
              </w:rPr>
              <w:t>September 12, 2014</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3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53,516</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51,428</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2,088</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158,792</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157,920</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872</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212,308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209,348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2,960</w:t>
            </w:r>
          </w:p>
        </w:tc>
        <w:tc>
          <w:tcPr>
            <w:tcW w:w="11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(135,298)</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(141,061)</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5,763</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77,010</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68,287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8,723</w:t>
            </w:r>
          </w:p>
        </w:tc>
        <w:tc>
          <w:tcPr>
            <w:tcW w:w="11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0"/>
        </w:trPr>
        <w:tc>
          <w:tcPr>
            <w:tcW w:w="624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240" w:type="dxa"/>
            <w:vAlign w:val="bottom"/>
            <w:gridSpan w:val="2"/>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320" w:type="dxa"/>
            <w:vAlign w:val="bottom"/>
          </w:tcPr>
          <w:p>
            <w:pPr>
              <w:spacing w:after="0"/>
              <w:rPr>
                <w:sz w:val="24"/>
                <w:szCs w:val="24"/>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3.7 pts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firstLine="913"/>
        <w:spacing w:after="0" w:line="270" w:lineRule="auto"/>
        <w:rPr>
          <w:sz w:val="20"/>
          <w:szCs w:val="20"/>
          <w:color w:val="auto"/>
        </w:rPr>
      </w:pPr>
      <w:r>
        <w:rPr>
          <w:rFonts w:ascii="Arial" w:cs="Arial" w:eastAsia="Arial" w:hAnsi="Arial"/>
          <w:sz w:val="17"/>
          <w:szCs w:val="17"/>
          <w:color w:val="auto"/>
        </w:rPr>
        <w:t>The increase in resort management and other services revenues reflected $2.1 million of higher management fees (net of $0.8 million negative foreign exchange impact in our Europe segment), $1.6 million of additional annual club dues earned in connection with the MVCD program due to the cumulative increase in owners enrolled in the program, $1.5 million of higher settlement and lien fees due to an increase in the number of contracts closed and higher assessed lien fees, and $1.0 million of higher resales commission and other revenues, partially offset by $3.0 million of lower ancillary revenues and $0.3 million of lower fees from external exchange service providers. The decrease in ancillary revenues included a $7.0 million decline due to the disposition of certain assets during the prior year, the closure of another ancillary operation during the prior year and outsourcing of the operation of a restaurant during the prior year, as well as $2.7 million from the changes in foreign exchange rates in our Europe segment. These declines in ancillary revenues were partially offset by a $4.2 million increase in ancillary revenues from food and beverage and golf offerings at our existing resorts, $1.3 million of ancillary revenues at the operating hotel in Australia acquired in the third quarter of 2015 and $1.2 million of ancillary revenues at the operating hotel in San Diego acquired in the first quarter of 2015.</w:t>
      </w:r>
    </w:p>
    <w:p>
      <w:pPr>
        <w:spacing w:after="0" w:line="70"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The improvement in the resort management and other services margin reflected the changes in revenue, as well as $5.8 million of lower expenses, including $10.9 million of ancillary expense savings from the dispositions, closure and outsourcing noted above and $2.9 million from the changes in foreign exchange rates in our Europe segment, partially offset by $5.8 million of higher ancillary, customer service, settlement and MVCD program expenses related to the higher revenues from our existing resorts in the thirty-six weeks ended September 11, 2015, $1.2 million from the operation of the hotel in Australia and $1.0 million from the operation of the hotel in San Diego.</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9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w w:val="90"/>
              </w:rPr>
              <w:t>September 11, 2015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91"/>
              </w:rPr>
              <w:t>September 12, 2014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26,926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28,072</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(1,147)</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1,368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1,473</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(104)</w:t>
            </w:r>
          </w:p>
        </w:tc>
        <w:tc>
          <w:tcPr>
            <w:tcW w:w="1100" w:type="dxa"/>
            <w:vAlign w:val="bottom"/>
            <w:gridSpan w:val="2"/>
          </w:tcPr>
          <w:p>
            <w:pPr>
              <w:jc w:val="right"/>
              <w:ind w:right="219"/>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28,294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29,545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(1,251)</w:t>
            </w:r>
          </w:p>
        </w:tc>
        <w:tc>
          <w:tcPr>
            <w:tcW w:w="110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Financing expenses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1100" w:type="dxa"/>
            <w:vAlign w:val="bottom"/>
            <w:gridSpan w:val="2"/>
          </w:tcPr>
          <w:p>
            <w:pPr>
              <w:jc w:val="right"/>
              <w:ind w:right="21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financing interest expense</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316</w:t>
            </w:r>
          </w:p>
        </w:tc>
        <w:tc>
          <w:tcPr>
            <w:tcW w:w="110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91"/>
        </w:trPr>
        <w:tc>
          <w:tcPr>
            <w:tcW w:w="5740" w:type="dxa"/>
            <w:vAlign w:val="bottom"/>
            <w:gridSpan w:val="2"/>
          </w:tcPr>
          <w:p>
            <w:pPr>
              <w:spacing w:after="0"/>
              <w:rPr>
                <w:sz w:val="20"/>
                <w:szCs w:val="20"/>
                <w:color w:val="auto"/>
              </w:rPr>
            </w:pPr>
            <w:r>
              <w:rPr>
                <w:rFonts w:ascii="Arial" w:cs="Arial" w:eastAsia="Arial" w:hAnsi="Arial"/>
                <w:sz w:val="18"/>
                <w:szCs w:val="18"/>
                <w:color w:val="auto"/>
              </w:rPr>
              <w:t>Financing margin</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4"/>
              <w:spacing w:after="0"/>
              <w:rPr>
                <w:sz w:val="20"/>
                <w:szCs w:val="20"/>
                <w:color w:val="auto"/>
              </w:rPr>
            </w:pPr>
            <w:r>
              <w:rPr>
                <w:rFonts w:ascii="Arial" w:cs="Arial" w:eastAsia="Arial" w:hAnsi="Arial"/>
                <w:sz w:val="18"/>
                <w:szCs w:val="18"/>
                <w:color w:val="auto"/>
              </w:rPr>
              <w:t>17,517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18,506</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(989)</w:t>
            </w:r>
          </w:p>
        </w:tc>
        <w:tc>
          <w:tcPr>
            <w:tcW w:w="1100" w:type="dxa"/>
            <w:vAlign w:val="bottom"/>
            <w:gridSpan w:val="2"/>
          </w:tcPr>
          <w:p>
            <w:pPr>
              <w:jc w:val="right"/>
              <w:ind w:right="21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Financing propensity</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The decrease in financing revenues was due to a $48.8 million decline in the average gross vacation ownership notes receivable balance. This decline reflected our continued collection of existing vacation ownership notes receivable at a faster pace than our origination of new vacation ownership notes receivable.</w:t>
      </w:r>
    </w:p>
    <w:p>
      <w:pPr>
        <w:spacing w:after="0" w:line="73"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The decline in financing margin reflects the lower financing revenues, partially offset by lower consumer financing interest expense. The lower consumer financing interest expense was due to a lower average interest rate on the outstanding debt balances.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79"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increase in financing propensity resulted from new programs implemented in the first half of 2015 to help drive financing propensity higher than the 40 to 45 percent that the company has averaged in recent years.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Thirty-Six Weeks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9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w w:val="90"/>
              </w:rPr>
              <w:t>September 11, 2015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91"/>
              </w:rPr>
              <w:t>September 12, 2014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81,420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85,518</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(4,098)</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4,220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4,484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(264)</w:t>
            </w:r>
          </w:p>
        </w:tc>
        <w:tc>
          <w:tcPr>
            <w:tcW w:w="1100" w:type="dxa"/>
            <w:vAlign w:val="bottom"/>
            <w:gridSpan w:val="2"/>
          </w:tcPr>
          <w:p>
            <w:pPr>
              <w:jc w:val="right"/>
              <w:ind w:right="219"/>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85,640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90,002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(4,362)</w:t>
            </w:r>
          </w:p>
        </w:tc>
        <w:tc>
          <w:tcPr>
            <w:tcW w:w="110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Financing expenses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(16,478)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(15,976)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(502)</w:t>
            </w:r>
          </w:p>
        </w:tc>
        <w:tc>
          <w:tcPr>
            <w:tcW w:w="1100" w:type="dxa"/>
            <w:vAlign w:val="bottom"/>
            <w:gridSpan w:val="2"/>
          </w:tcPr>
          <w:p>
            <w:pPr>
              <w:jc w:val="right"/>
              <w:ind w:right="21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financing interest expense</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(17,967)</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1,409</w:t>
            </w:r>
          </w:p>
        </w:tc>
        <w:tc>
          <w:tcPr>
            <w:tcW w:w="1100" w:type="dxa"/>
            <w:vAlign w:val="bottom"/>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91"/>
        </w:trPr>
        <w:tc>
          <w:tcPr>
            <w:tcW w:w="5740" w:type="dxa"/>
            <w:vAlign w:val="bottom"/>
            <w:gridSpan w:val="2"/>
          </w:tcPr>
          <w:p>
            <w:pPr>
              <w:spacing w:after="0"/>
              <w:rPr>
                <w:sz w:val="20"/>
                <w:szCs w:val="20"/>
                <w:color w:val="auto"/>
              </w:rPr>
            </w:pPr>
            <w:r>
              <w:rPr>
                <w:rFonts w:ascii="Arial" w:cs="Arial" w:eastAsia="Arial" w:hAnsi="Arial"/>
                <w:sz w:val="18"/>
                <w:szCs w:val="18"/>
                <w:color w:val="auto"/>
              </w:rPr>
              <w:t>Financing margin</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4"/>
              <w:spacing w:after="0"/>
              <w:rPr>
                <w:sz w:val="20"/>
                <w:szCs w:val="20"/>
                <w:color w:val="auto"/>
              </w:rPr>
            </w:pPr>
            <w:r>
              <w:rPr>
                <w:rFonts w:ascii="Arial" w:cs="Arial" w:eastAsia="Arial" w:hAnsi="Arial"/>
                <w:sz w:val="18"/>
                <w:szCs w:val="18"/>
                <w:color w:val="auto"/>
              </w:rPr>
              <w:t>52,604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56,059</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(3,455)</w:t>
            </w:r>
          </w:p>
        </w:tc>
        <w:tc>
          <w:tcPr>
            <w:tcW w:w="1100" w:type="dxa"/>
            <w:vAlign w:val="bottom"/>
            <w:gridSpan w:val="2"/>
          </w:tcPr>
          <w:p>
            <w:pPr>
              <w:jc w:val="right"/>
              <w:ind w:right="219"/>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Financing propensity</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The decrease in financing revenues was due to a $57.6 million decline in the average gross vacation ownership notes receivable balance. This decline reflected our continued collection of existing vacation ownership notes receivable at a faster pace than our origination of new vacation ownership notes receivable.</w:t>
      </w:r>
    </w:p>
    <w:p>
      <w:pPr>
        <w:spacing w:after="0" w:line="73"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The decline in financing margin reflects the lower financing revenues and an increase in expenses due to higher credit card fees and inflationary cost increases, partially offset by lower consumer financing interest expense. The lower consumer financing interest expense was due to a lower average interest rate on the outstanding debt balances ($1.7 million), partially offset by an increase in the outstanding debt balances of securitized vacation ownership notes receivable and associated interest costs ($0.3 million).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8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increase in financing propensity resulted from new programs implemented in the first half of 2015 to help drive financing propensity higher than the 40 to 45 percent that the company has averaged in recent years.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w w:val="90"/>
              </w:rPr>
              <w:t>September 11, 2015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w w:val="90"/>
              </w:rPr>
              <w:t>September 12, 2014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76,039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65,620</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10,419</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Unsold maintenance fees — upscale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(13,157)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(11,624)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(1,533)</w:t>
            </w:r>
          </w:p>
        </w:tc>
        <w:tc>
          <w:tcPr>
            <w:tcW w:w="110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Unsold maintenance fees — luxury</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1,116</w:t>
            </w:r>
          </w:p>
        </w:tc>
        <w:tc>
          <w:tcPr>
            <w:tcW w:w="11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39%</w:t>
            </w:r>
          </w:p>
        </w:tc>
        <w:tc>
          <w:tcPr>
            <w:tcW w:w="0" w:type="dxa"/>
            <w:vAlign w:val="bottom"/>
          </w:tcPr>
          <w:p>
            <w:pPr>
              <w:spacing w:after="0"/>
              <w:rPr>
                <w:sz w:val="1"/>
                <w:szCs w:val="1"/>
                <w:color w:val="auto"/>
              </w:rPr>
            </w:pPr>
          </w:p>
        </w:tc>
      </w:tr>
      <w:tr>
        <w:trPr>
          <w:trHeight w:val="291"/>
        </w:trPr>
        <w:tc>
          <w:tcPr>
            <w:tcW w:w="5660" w:type="dxa"/>
            <w:vAlign w:val="bottom"/>
            <w:gridSpan w:val="2"/>
          </w:tcPr>
          <w:p>
            <w:pPr>
              <w:spacing w:after="0"/>
              <w:rPr>
                <w:sz w:val="20"/>
                <w:szCs w:val="20"/>
                <w:color w:val="auto"/>
              </w:rPr>
            </w:pPr>
            <w:r>
              <w:rPr>
                <w:rFonts w:ascii="Arial" w:cs="Arial" w:eastAsia="Arial" w:hAnsi="Arial"/>
                <w:sz w:val="18"/>
                <w:szCs w:val="18"/>
                <w:color w:val="auto"/>
              </w:rPr>
              <w:t>Unsold maintenance fees</w:t>
            </w: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(14,889)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(14,472)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(417)</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rental expenses</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(40,133)</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(7,545)</w:t>
            </w:r>
          </w:p>
        </w:tc>
        <w:tc>
          <w:tcPr>
            <w:tcW w:w="11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5"/>
              </w:rPr>
              <w:t>(19%)</w:t>
            </w:r>
          </w:p>
        </w:tc>
        <w:tc>
          <w:tcPr>
            <w:tcW w:w="0" w:type="dxa"/>
            <w:vAlign w:val="bottom"/>
          </w:tcPr>
          <w:p>
            <w:pPr>
              <w:spacing w:after="0"/>
              <w:rPr>
                <w:sz w:val="1"/>
                <w:szCs w:val="1"/>
                <w:color w:val="auto"/>
              </w:rPr>
            </w:pPr>
          </w:p>
        </w:tc>
      </w:tr>
      <w:tr>
        <w:trPr>
          <w:trHeight w:val="291"/>
        </w:trPr>
        <w:tc>
          <w:tcPr>
            <w:tcW w:w="5660" w:type="dxa"/>
            <w:vAlign w:val="bottom"/>
            <w:gridSpan w:val="2"/>
          </w:tcPr>
          <w:p>
            <w:pPr>
              <w:spacing w:after="0"/>
              <w:rPr>
                <w:sz w:val="20"/>
                <w:szCs w:val="20"/>
                <w:color w:val="auto"/>
              </w:rPr>
            </w:pPr>
            <w:r>
              <w:rPr>
                <w:rFonts w:ascii="Arial" w:cs="Arial" w:eastAsia="Arial" w:hAnsi="Arial"/>
                <w:sz w:val="18"/>
                <w:szCs w:val="18"/>
                <w:color w:val="auto"/>
              </w:rPr>
              <w:t>Rental margin</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13,472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11,015</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2,457</w:t>
            </w:r>
          </w:p>
        </w:tc>
        <w:tc>
          <w:tcPr>
            <w:tcW w:w="110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0.9 pts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24"/>
                <w:szCs w:val="2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3"/>
              </w:rPr>
              <w:t>September 11, 2015</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3"/>
              </w:rPr>
              <w:t>September 12, 2014</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279,994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263,835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16,159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5"/>
              <w:spacing w:after="0"/>
              <w:rPr>
                <w:sz w:val="20"/>
                <w:szCs w:val="20"/>
                <w:color w:val="auto"/>
              </w:rPr>
            </w:pPr>
            <w:r>
              <w:rPr>
                <w:rFonts w:ascii="Arial" w:cs="Arial" w:eastAsia="Arial" w:hAnsi="Arial"/>
                <w:sz w:val="18"/>
                <w:szCs w:val="18"/>
                <w:color w:val="auto"/>
              </w:rPr>
              <w:t>222.15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222.21</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(0.06)</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91.2%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0.2 pts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576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225"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The increase in rental revenues was due to a company-wide 6 percent increase in transient keys rented ($3.6 million) primarily sourced from a 5 percent increase in available keys, $1.7 million of higher plus points revenue (which is recognized upon utilization of plus points for stays at our resorts or upon expiration of the points) and a $0.8 million increase in preview keys and other revenue. In addition, we generated $3.2 million of revenue from the operation of the hotel in San Diego acquired during the first quarter of 2015 and $1.1 million of revenue from the operation of the hotel in Australia acquired in the third quarter of 2015.</w:t>
      </w:r>
    </w:p>
    <w:p>
      <w:pPr>
        <w:spacing w:after="0" w:line="8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increase in rental margin reflected $1.6 million of higher rental revenues net of direct variable expenses (such as housekeeping), expenses incurred due to owners choosing alternative usage options, and unsold maintenance fees, as well as the $1.7 million increase in plus points revenue, partially offset by a $0.6 million loss from the operation of the hotel in Australia acquired during the third quarter of 2015 and a $0.2 million loss from the operation of the hotel in San Diego acquired during the first quarter of 2015.</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Thirty-Six Weeks Ended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w w:val="90"/>
              </w:rPr>
              <w:t>September 11, 2015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w w:val="90"/>
              </w:rPr>
              <w:t>September 12, 2014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224,880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190,972</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33,908</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Unsold maintenance fees — upscale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(38,625)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(34,213)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(4,412)</w:t>
            </w:r>
          </w:p>
        </w:tc>
        <w:tc>
          <w:tcPr>
            <w:tcW w:w="110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Unsold maintenance fees — luxury</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1,439</w:t>
            </w:r>
          </w:p>
        </w:tc>
        <w:tc>
          <w:tcPr>
            <w:tcW w:w="11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19%</w:t>
            </w:r>
          </w:p>
        </w:tc>
        <w:tc>
          <w:tcPr>
            <w:tcW w:w="0" w:type="dxa"/>
            <w:vAlign w:val="bottom"/>
          </w:tcPr>
          <w:p>
            <w:pPr>
              <w:spacing w:after="0"/>
              <w:rPr>
                <w:sz w:val="1"/>
                <w:szCs w:val="1"/>
                <w:color w:val="auto"/>
              </w:rPr>
            </w:pPr>
          </w:p>
        </w:tc>
      </w:tr>
      <w:tr>
        <w:trPr>
          <w:trHeight w:val="291"/>
        </w:trPr>
        <w:tc>
          <w:tcPr>
            <w:tcW w:w="5660" w:type="dxa"/>
            <w:vAlign w:val="bottom"/>
            <w:gridSpan w:val="2"/>
          </w:tcPr>
          <w:p>
            <w:pPr>
              <w:spacing w:after="0"/>
              <w:rPr>
                <w:sz w:val="20"/>
                <w:szCs w:val="20"/>
                <w:color w:val="auto"/>
              </w:rPr>
            </w:pPr>
            <w:r>
              <w:rPr>
                <w:rFonts w:ascii="Arial" w:cs="Arial" w:eastAsia="Arial" w:hAnsi="Arial"/>
                <w:sz w:val="18"/>
                <w:szCs w:val="18"/>
                <w:color w:val="auto"/>
              </w:rPr>
              <w:t>Unsold maintenance fees</w:t>
            </w: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(44,773)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(41,800)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(2,973)</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rental expenses</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(139,787)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(124,586)</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(15,201)</w:t>
            </w:r>
          </w:p>
        </w:tc>
        <w:tc>
          <w:tcPr>
            <w:tcW w:w="11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91"/>
        </w:trPr>
        <w:tc>
          <w:tcPr>
            <w:tcW w:w="5660" w:type="dxa"/>
            <w:vAlign w:val="bottom"/>
            <w:gridSpan w:val="2"/>
          </w:tcPr>
          <w:p>
            <w:pPr>
              <w:spacing w:after="0"/>
              <w:rPr>
                <w:sz w:val="20"/>
                <w:szCs w:val="20"/>
                <w:color w:val="auto"/>
              </w:rPr>
            </w:pPr>
            <w:r>
              <w:rPr>
                <w:rFonts w:ascii="Arial" w:cs="Arial" w:eastAsia="Arial" w:hAnsi="Arial"/>
                <w:sz w:val="18"/>
                <w:szCs w:val="18"/>
                <w:color w:val="auto"/>
              </w:rPr>
              <w:t>Rental margin</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5"/>
              <w:spacing w:after="0"/>
              <w:rPr>
                <w:sz w:val="20"/>
                <w:szCs w:val="20"/>
                <w:color w:val="auto"/>
              </w:rPr>
            </w:pPr>
            <w:r>
              <w:rPr>
                <w:rFonts w:ascii="Arial" w:cs="Arial" w:eastAsia="Arial" w:hAnsi="Arial"/>
                <w:sz w:val="18"/>
                <w:szCs w:val="18"/>
                <w:color w:val="auto"/>
              </w:rPr>
              <w:t>40,320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24,586</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15,734</w:t>
            </w:r>
          </w:p>
        </w:tc>
        <w:tc>
          <w:tcPr>
            <w:tcW w:w="110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5.0 pts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Thirty-Six Weeks Ended</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24"/>
                <w:szCs w:val="2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3"/>
              </w:rPr>
              <w:t>September 11, 2015</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3"/>
              </w:rPr>
              <w:t>September 12, 2014</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852,291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793,493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58,798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5"/>
              <w:spacing w:after="0"/>
              <w:rPr>
                <w:sz w:val="20"/>
                <w:szCs w:val="20"/>
                <w:color w:val="auto"/>
              </w:rPr>
            </w:pPr>
            <w:r>
              <w:rPr>
                <w:rFonts w:ascii="Arial" w:cs="Arial" w:eastAsia="Arial" w:hAnsi="Arial"/>
                <w:sz w:val="18"/>
                <w:szCs w:val="18"/>
                <w:color w:val="auto"/>
              </w:rPr>
              <w:t>222.47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214.99</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7.48</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89.6%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(0.4 pts)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576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55" w:lineRule="exact"/>
        <w:rPr>
          <w:sz w:val="20"/>
          <w:szCs w:val="20"/>
          <w:color w:val="auto"/>
        </w:rPr>
      </w:pPr>
    </w:p>
    <w:p>
      <w:pPr>
        <w:ind w:left="5620" w:right="5500" w:hanging="5612"/>
        <w:spacing w:after="0" w:line="536" w:lineRule="auto"/>
        <w:tabs>
          <w:tab w:leader="none" w:pos="450" w:val="left"/>
        </w:tabs>
        <w:numPr>
          <w:ilvl w:val="0"/>
          <w:numId w:val="25"/>
        </w:numPr>
        <w:rPr>
          <w:rFonts w:ascii="Arial" w:cs="Arial" w:eastAsia="Arial" w:hAnsi="Arial"/>
          <w:sz w:val="14"/>
          <w:szCs w:val="14"/>
          <w:color w:val="auto"/>
        </w:rPr>
      </w:pPr>
      <w:r>
        <w:rPr>
          <w:rFonts w:ascii="Arial" w:cs="Arial" w:eastAsia="Arial" w:hAnsi="Arial"/>
          <w:sz w:val="16"/>
          <w:szCs w:val="16"/>
          <w:color w:val="auto"/>
        </w:rPr>
        <w:t>Transient keys rented exclude those obtained through the use of plus points. 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The increase in rental revenues was due to a company-wide 7 percent increase in transient keys rented ($12.6 million) primarily sourced from an 8 percent increase in available keys, a company-wide 3 percent increase in average transient rate ($6.4 million) driven by stronger consumer demand, $4.4 million of higher plus points revenue (which is recognized upon utilization of plus points for stays at our resorts or upon expiration of the points) and a $3.0 million increase in preview keys and other revenue. In addition, we generated $6.4 million of revenue from the operation of the hotel in San Diego acquired during the first quarter of 2015 and $1.1 million of revenue from the operation of the hotel in Australia acquired in the third quarter of 2015.</w:t>
      </w:r>
    </w:p>
    <w:p>
      <w:pPr>
        <w:spacing w:after="0" w:line="50"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The increase in rental margin reflected $13.2 million of higher rental revenues net of direct variable expenses (such as housekeeping), expenses incurred due to owners choosing alternative usage options, and unsold maintenance fees, as well as the $4.4 million increase in plus points revenue, partially offset by a $1.3 million loss from the operation of the hotel in San Diego acquired during the first quarter of 2015 and a $0.6 million loss from the operation of the hotel in Australia acquired during the third quarter of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Cost reimbursements increased $0.7 million, or 1 percent, over the prior year comparable period, reflecting an increase of $2.9 million due to higher costs and $1.1 million due to additional managed unit weeks in the twelve weeks ended September 11, 2015, partially offset by $1.8 million of lower costs associated with management contracts that were terminated prior to 2015 and a $1.5 million negative impact from foreign exchange rates in our Europe segment.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Cost reimbursements increased $4.2 million, or 1.5 percent, over the prior year comparable period, reflecting an increase of $11.2 million due to higher costs and $3.6 million due to additional managed unit weeks in the thirty-six weeks ended September 11, 2015, partially offset by $5.9 million of lower costs associated with management contracts that were terminated prior to 2015 and a $4.7 million negative impact from foreign exchange rates in our Europe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17"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General and administrative expenses increased $1.3 million (from $21.9 million to $23.2 million) and were driven by $1.7 million of costs related to a refurbishment project in the twelve weeks ended September 11, 2015, partially offset by lower costs ($0.4 million) related to cost savings and lower depreciation net of higher personnel related costs.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1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General and administrative expenses increased $2.0 million (from $66.9 million to $68.9 million) and were driven by $1.7 million of costs related to a refurbishment project in the thirty-six weeks ended September 11, 2015 and $0.3 million of higher personnel related and other costs net of lower depreciation and cost savings.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and Thirty-Six Weeks Ended September 11, 2015</w:t>
      </w:r>
    </w:p>
    <w:p>
      <w:pPr>
        <w:spacing w:after="0" w:line="11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During the first quarter of 2015, we reversed $0.3 million of an accrual from the sale of The Abaco Club in the Bahamas in the fourth quarter of 2014 because actual costs were lower than expected.</w:t>
      </w:r>
    </w:p>
    <w:p>
      <w:pPr>
        <w:spacing w:after="0" w:line="62"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During the third quarter of 2014, an agreement in principle was reached to settle an action related to The Ritz-Carlton Club and Residences, San Francisco (the “RCC San Francisco”), a project within our North America segment. As a result of the agreement in principle, we recorded a charge of $3.2 million, which is included in the Litigation settlement line on our Statements of Income for the twelve and thirty-six weeks ended September 12, 2014. See Footnote No. 8, “Contingencies and Commitments,” to our Financial Statements for further information related to this action.</w:t>
      </w:r>
    </w:p>
    <w:p>
      <w:pPr>
        <w:spacing w:after="0" w:line="46"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During the second quarter of 2014, we agreed to settle a dispute with a service provider relating to services provided to us prior to 2011. The dispute related to certain lawsuits and claims asserted by several residential unit and fractional interest owners at the RCC San Francisco, who questioned the adequacy of disclosures made regarding bonds issued for that project under California’s Mello-Roos Community Facilities Act of 1982 and their payment obligations with respect to such bonds. In connection with the settlement, we received a one-time payment of $7.6 million after the end of the second quarter</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459" w:right="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of 2014 from the service provider, which no longer provides services to us. We recorded a gain of $7.6 million as a result of the settlement, which is included in the Litigation settlement line on our Statement of Operations for the thirty-six weeks ended September 12,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and Separation Related Efforts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and Thirty-Six Weeks Ended September 11, 2015</w:t>
      </w:r>
    </w:p>
    <w:p>
      <w:pPr>
        <w:spacing w:after="0" w:line="11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Organizational and separation related expenses, as reflected on our Statements of Income, increased slightly in the third quarter of 2015, with $0.4 million of expenses in the twelve weeks ended September 11, 2015 compared to $0.3 million in the prior year comparable period. Organizational and separation related expenses were $0.7 million in the thirty-six weeks ended September 11, 2015 compared to $2.3 million in the prior year comparable period due to the completion of many of the initiatives relating to our separation from Marriott International.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1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Royalty fee expense decreased $0.3 million in the twelve weeks ended September 11, 2015 (from $14.3 million to $14.0 million) due to a higher portion of sales of pre-owned inventory, which carry a lower royalty fee as compared to initial sales of our real estate inventory (one percent versus two percent).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Royalty fee expense decreased $1.0 million in the thirty-six weeks ended September 11, 2015 (from $41.4 million to $40.4 million), and included $1.1 million of lower costs due to a higher portion of sales of pre-owned inventory, which carry a lower royalty fee as compared to initial sales of our real estate inventory (one percent versus two percent), partially offset by $0.1 million of higher costs due to higher closings in the thirty-six weeks ended September 11, 2015. Royalty fee expense decreased despite higher sales of our real estate inventory, as the $28.4 million of residential contract sales in our Asia Pacific segment were unbranded and did not require us to pay a royalty fee.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and Thirty-Six Weeks Ended September 11, 2015</w:t>
      </w:r>
    </w:p>
    <w:p>
      <w:pPr>
        <w:spacing w:after="0" w:line="117"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There were no impairment charges during the first, second or third quarters of 2015. During the second quarter of 2014, we recorded an impairment charge of $0.9 million with respect to a building as a result of a termination of a land lease at one of our projects in our North America segment.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(Losses) Gains and Other (Expense) Income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and Thirty-Six Weeks Ended September 11, 2015</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(Losses) gains and other (expense) income decreased $0.2 million in the twelve weeks ended September 11, 2015 (from $0.2 million to $0)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increased $7.7 million in the thirty-six weeks ended September 11, 2015 (from $1.8 million to $9.5 million). The $7.7 million increase in the thirty-six weeks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ended September 11, 2015 was due to an $8.7 million gain on the disposition of undeveloped land in Kauai, Hawaii in the thirty-six weeks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11, 2015, partially offset by a $0.9 million lower gain from the disposition of a golf course and adjacent undeveloped land in Orlando, Florida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$0.3 million gain from the disposition of undeveloped land on Singer Island, Florida in the prior year comparable period. We disposed of a golf course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undeveloped land in Orlando, Florida in the first quarter of 2014 and, as a condition of the sale, we continued to operate the golf course through the end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first quarter of 2015 at our own risk. We utilized the performance of services method to record a gain of $3.1 million over the period during which we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operated the golf course, of which $0.9 million was recorded in the thirty-six weeks ended September 11, 2015 and $1.8 million in the prior year comparable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1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Interest expense decreased $0.1 million (from $2.9 million to $2.8 million) due to a $0.2 million decline in expense associated with our liability for the Marriott Rewards customer loyalty program under our Marriott Rewards Affiliation Agreement with Marriott International and a $0.4 million decline in other interest expense, partially offset by $0.5 million of lower capitalized interest costs because fewer projects were under construction than in the prior year comparable period.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Interest expense increased $1.2 million (from $7.6 million to $8.8 million) due to $2.5 million of lower capitalized interest costs because fewer projects were under construction than in the prior year comparable period, partially offset by a $0.6 million decline in expense associated with our liability for the Marriott Rewards customer loyalty program under our Marriott Rewards Affiliation Agreement with Marriott International and a $0.7 million decline in other interest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and Thirty-Six Weeks Ended September 11, 2015</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During the third quarter of 2015 we incurred $4.2 million of transaction related costs mainly associated with the completion of our purchase of an operating hotel located in Surfers Paradise, Australia. In the thirty-six weeks ended September 11, 2015 we incurred $5.4 million of costs mainly associated with the completion of our purchase of an operating hotel located in Surfers Paradise, Australia, which was required to be accounted for as a business combination for which transaction costs are expensed. See Footnote No. 8, “Contingencies and Commitments,” to our Financial Statements for further information related to this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Our provision for income taxes decreased $3.3 million (from $17.9 million to $14.6 million) from the prior year comparable period. The decrease was due to lower income in the United States.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1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Our provision for income taxes increased $8.3 million (from $53.0 million to $61.3 million) from the prior year comparable period. The increase was due to higher income in the United States and an increase in tax from foreign jurisdictions.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w:t>
      </w:r>
    </w:p>
    <w:p>
      <w:pPr>
        <w:spacing w:after="0" w:line="121"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EBITDA, a financial measure that is not prescribed or authorized by GAAP, is defined as earnings, or net income, before interest expense (excluding consumer financing interest expense), provision for income taxes, depreciation and amortization. For purposes of our EBITDA calculation, we do not adjust for consumer financing interest expense because the associated debt is secured by vacation ownership notes receivable that have been sold to bankruptcy remote special purpose entities and that is generally non-recourse to us. Further, we consider consumer financing interest expense to be an operating expense of our business.</w:t>
      </w:r>
    </w:p>
    <w:p>
      <w:pPr>
        <w:spacing w:after="0" w:line="80"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We consider EBITDA to be an indicator of operating performance, and we use it to measure our ability to service debt, fund capital expenditures and expand our business. We also use it, as do analysts, lenders, investors and others,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also excludes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913"/>
        <w:spacing w:after="0" w:line="286" w:lineRule="auto"/>
        <w:rPr>
          <w:sz w:val="20"/>
          <w:szCs w:val="20"/>
          <w:color w:val="auto"/>
        </w:rPr>
      </w:pPr>
      <w:r>
        <w:rPr>
          <w:rFonts w:ascii="Arial" w:cs="Arial" w:eastAsia="Arial" w:hAnsi="Arial"/>
          <w:sz w:val="17"/>
          <w:szCs w:val="17"/>
          <w:color w:val="auto"/>
        </w:rPr>
        <w:t>EBITDA has limitations and should not be considered in isolation or as a substitute for performance measures calculated in accordance with GAAP. In addition, other companies in our industry may calculate EBITDA differently than we do or may not calculate it at all, limiting its usefulness as a comparative measure. The table below shows our EBITDA calculation and reconciles that measure with Net income.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gridSpan w:val="4"/>
          </w:tcPr>
          <w:p>
            <w:pPr>
              <w:jc w:val="right"/>
              <w:ind w:right="913"/>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5"/>
          </w:tcPr>
          <w:p>
            <w:pPr>
              <w:ind w:left="78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42"/>
        </w:trPr>
        <w:tc>
          <w:tcPr>
            <w:tcW w:w="3400" w:type="dxa"/>
            <w:vAlign w:val="bottom"/>
            <w:tcBorders>
              <w:bottom w:val="single" w:sz="8" w:color="CCEEFF"/>
            </w:tcBorders>
            <w:vMerge w:val="continue"/>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1"/>
              </w:rPr>
              <w:t>September 11, 2015</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1"/>
              </w:rPr>
              <w:t>September 12, 2014</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1"/>
              </w:rPr>
              <w:t>September 11, 2015</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1"/>
              </w:rPr>
              <w:t>September 12,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21,555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25,648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89,650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80,259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55"/>
              <w:spacing w:after="0"/>
              <w:rPr>
                <w:sz w:val="20"/>
                <w:szCs w:val="20"/>
                <w:color w:val="auto"/>
              </w:rPr>
            </w:pPr>
            <w:r>
              <w:rPr>
                <w:rFonts w:ascii="Arial" w:cs="Arial" w:eastAsia="Arial" w:hAnsi="Arial"/>
                <w:sz w:val="18"/>
                <w:szCs w:val="18"/>
                <w:color w:val="auto"/>
              </w:rPr>
              <w:t>2,839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2,890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35"/>
              <w:spacing w:after="0"/>
              <w:rPr>
                <w:sz w:val="20"/>
                <w:szCs w:val="20"/>
                <w:color w:val="auto"/>
              </w:rPr>
            </w:pPr>
            <w:r>
              <w:rPr>
                <w:rFonts w:ascii="Arial" w:cs="Arial" w:eastAsia="Arial" w:hAnsi="Arial"/>
                <w:sz w:val="18"/>
                <w:szCs w:val="18"/>
                <w:color w:val="auto"/>
              </w:rPr>
              <w:t>8,822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7,638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14,608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17,862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61,300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52,969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5,292</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4,261</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13,850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13,183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EBITDA</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44,294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50,661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173,622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154,049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Our business is grouped into three reportable business segments: North America, Europe and Asia Pacific. See Footnote No. 14, “Business Segments,” to our Financial Statements for further information on our segments.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September 11, 2015, our portfolio consisted of the following 61 properties by segment:</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040" w:type="dxa"/>
            <w:vAlign w:val="bottom"/>
          </w:tcPr>
          <w:p>
            <w:pPr>
              <w:jc w:val="right"/>
              <w:ind w:right="174"/>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2"/>
                <w:szCs w:val="12"/>
                <w:b w:val="1"/>
                <w:bCs w:val="1"/>
                <w:color w:val="auto"/>
              </w:rPr>
              <w:t>(1)</w:t>
            </w:r>
          </w:p>
        </w:tc>
        <w:tc>
          <w:tcPr>
            <w:tcW w:w="100" w:type="dxa"/>
            <w:vAlign w:val="bottom"/>
          </w:tcPr>
          <w:p>
            <w:pPr>
              <w:spacing w:after="0"/>
              <w:rPr>
                <w:sz w:val="16"/>
                <w:szCs w:val="16"/>
                <w:color w:val="auto"/>
              </w:rPr>
            </w:pPr>
          </w:p>
        </w:tc>
        <w:tc>
          <w:tcPr>
            <w:tcW w:w="1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Non-U.S.</w:t>
            </w:r>
          </w:p>
        </w:tc>
        <w:tc>
          <w:tcPr>
            <w:tcW w:w="100" w:type="dxa"/>
            <w:vAlign w:val="bottom"/>
          </w:tcPr>
          <w:p>
            <w:pPr>
              <w:spacing w:after="0"/>
              <w:rPr>
                <w:sz w:val="16"/>
                <w:szCs w:val="16"/>
                <w:color w:val="auto"/>
              </w:rPr>
            </w:pPr>
          </w:p>
        </w:tc>
        <w:tc>
          <w:tcPr>
            <w:tcW w:w="10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4"/>
        </w:trPr>
        <w:tc>
          <w:tcPr>
            <w:tcW w:w="616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r>
              <w:rPr>
                <w:rFonts w:ascii="Arial" w:cs="Arial" w:eastAsia="Arial" w:hAnsi="Arial"/>
                <w:sz w:val="15"/>
                <w:szCs w:val="15"/>
                <w:color w:val="auto"/>
              </w:rPr>
              <w:t>(2)</w:t>
            </w:r>
          </w:p>
        </w:tc>
        <w:tc>
          <w:tcPr>
            <w:tcW w:w="10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Europe</w:t>
            </w:r>
          </w:p>
        </w:tc>
        <w:tc>
          <w:tcPr>
            <w:tcW w:w="104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5</w:t>
            </w:r>
          </w:p>
        </w:tc>
        <w:tc>
          <w:tcPr>
            <w:tcW w:w="114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r>
              <w:rPr>
                <w:rFonts w:ascii="Arial" w:cs="Arial" w:eastAsia="Arial" w:hAnsi="Arial"/>
                <w:sz w:val="15"/>
                <w:szCs w:val="15"/>
                <w:color w:val="auto"/>
              </w:rPr>
              <w:t>(3)</w:t>
            </w:r>
          </w:p>
        </w:tc>
        <w:tc>
          <w:tcPr>
            <w:tcW w:w="104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91"/>
        </w:trPr>
        <w:tc>
          <w:tcPr>
            <w:tcW w:w="6160" w:type="dxa"/>
            <w:vAlign w:val="bottom"/>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tcPr>
          <w:p>
            <w:pPr>
              <w:jc w:val="right"/>
              <w:ind w:right="354"/>
              <w:spacing w:after="0"/>
              <w:rPr>
                <w:sz w:val="20"/>
                <w:szCs w:val="20"/>
                <w:color w:val="auto"/>
              </w:rPr>
            </w:pPr>
            <w:r>
              <w:rPr>
                <w:rFonts w:ascii="Arial" w:cs="Arial" w:eastAsia="Arial" w:hAnsi="Arial"/>
                <w:sz w:val="18"/>
                <w:szCs w:val="18"/>
                <w:color w:val="auto"/>
              </w:rPr>
              <w:t>47</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14</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137160</wp:posOffset>
            </wp:positionV>
            <wp:extent cx="11576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36" w:lineRule="exact"/>
        <w:rPr>
          <w:sz w:val="20"/>
          <w:szCs w:val="20"/>
          <w:color w:val="auto"/>
        </w:rPr>
      </w:pPr>
    </w:p>
    <w:p>
      <w:pPr>
        <w:ind w:left="1480" w:hanging="567"/>
        <w:spacing w:after="0"/>
        <w:tabs>
          <w:tab w:leader="none" w:pos="1480" w:val="left"/>
        </w:tabs>
        <w:numPr>
          <w:ilvl w:val="0"/>
          <w:numId w:val="26"/>
        </w:numPr>
        <w:rPr>
          <w:rFonts w:ascii="Arial" w:cs="Arial" w:eastAsia="Arial" w:hAnsi="Arial"/>
          <w:sz w:val="15"/>
          <w:szCs w:val="15"/>
          <w:color w:val="auto"/>
        </w:rPr>
      </w:pPr>
      <w:r>
        <w:rPr>
          <w:rFonts w:ascii="Arial" w:cs="Arial" w:eastAsia="Arial" w:hAnsi="Arial"/>
          <w:sz w:val="18"/>
          <w:szCs w:val="18"/>
          <w:color w:val="auto"/>
        </w:rPr>
        <w:t>Includes properties located in the 48 contiguous states, Hawaii and Alaska.</w:t>
      </w:r>
    </w:p>
    <w:p>
      <w:pPr>
        <w:spacing w:after="0" w:line="76" w:lineRule="exact"/>
        <w:rPr>
          <w:rFonts w:ascii="Arial" w:cs="Arial" w:eastAsia="Arial" w:hAnsi="Arial"/>
          <w:sz w:val="15"/>
          <w:szCs w:val="15"/>
          <w:color w:val="auto"/>
        </w:rPr>
      </w:pPr>
    </w:p>
    <w:p>
      <w:pPr>
        <w:ind w:left="1480" w:right="140" w:hanging="567"/>
        <w:spacing w:after="0" w:line="277" w:lineRule="auto"/>
        <w:tabs>
          <w:tab w:leader="none" w:pos="1480" w:val="left"/>
        </w:tabs>
        <w:numPr>
          <w:ilvl w:val="0"/>
          <w:numId w:val="26"/>
        </w:numPr>
        <w:rPr>
          <w:rFonts w:ascii="Arial" w:cs="Arial" w:eastAsia="Arial" w:hAnsi="Arial"/>
          <w:sz w:val="15"/>
          <w:szCs w:val="15"/>
          <w:color w:val="auto"/>
        </w:rPr>
      </w:pPr>
      <w:r>
        <w:rPr>
          <w:rFonts w:ascii="Arial" w:cs="Arial" w:eastAsia="Arial" w:hAnsi="Arial"/>
          <w:sz w:val="18"/>
          <w:szCs w:val="18"/>
          <w:color w:val="auto"/>
        </w:rPr>
        <w:t>Includes an operating hotel in San Diego, California acquired during the first quarter of 2015, which is operated by a third party, that we intend to convert in the near term into vacation ownership interests for future use in our MVCD program.</w:t>
      </w:r>
    </w:p>
    <w:p>
      <w:pPr>
        <w:spacing w:after="0" w:line="21" w:lineRule="exact"/>
        <w:rPr>
          <w:rFonts w:ascii="Arial" w:cs="Arial" w:eastAsia="Arial" w:hAnsi="Arial"/>
          <w:sz w:val="15"/>
          <w:szCs w:val="15"/>
          <w:color w:val="auto"/>
        </w:rPr>
      </w:pPr>
    </w:p>
    <w:p>
      <w:pPr>
        <w:ind w:left="1480" w:right="20" w:hanging="567"/>
        <w:spacing w:after="0" w:line="264" w:lineRule="auto"/>
        <w:tabs>
          <w:tab w:leader="none" w:pos="1480" w:val="left"/>
        </w:tabs>
        <w:numPr>
          <w:ilvl w:val="0"/>
          <w:numId w:val="26"/>
        </w:numPr>
        <w:rPr>
          <w:rFonts w:ascii="Arial" w:cs="Arial" w:eastAsia="Arial" w:hAnsi="Arial"/>
          <w:sz w:val="15"/>
          <w:szCs w:val="15"/>
          <w:color w:val="auto"/>
        </w:rPr>
      </w:pPr>
      <w:r>
        <w:rPr>
          <w:rFonts w:ascii="Arial" w:cs="Arial" w:eastAsia="Arial" w:hAnsi="Arial"/>
          <w:sz w:val="18"/>
          <w:szCs w:val="18"/>
          <w:color w:val="auto"/>
        </w:rPr>
        <w:t>Includes an operating hotel in Surfers Paradise, Australia acquired during the third quarter of 2015, which is operated by a third party. We intend to convert a portion of this hotel in the near term into vacation ownership interests for future use in our Asia Pacific segment, and to sell the remaining downsized hotel to a third party.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17"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twelve and thirty-six weeks ended September 11, 2015, compared to the twelve and thirty-six weeks ended September 12, 2014.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Pr>
          <w:p>
            <w:pPr>
              <w:spacing w:after="0"/>
              <w:rPr>
                <w:sz w:val="14"/>
                <w:szCs w:val="14"/>
                <w:color w:val="auto"/>
              </w:rPr>
            </w:pPr>
          </w:p>
        </w:tc>
        <w:tc>
          <w:tcPr>
            <w:tcW w:w="2480" w:type="dxa"/>
            <w:vAlign w:val="bottom"/>
            <w:gridSpan w:val="4"/>
          </w:tcPr>
          <w:p>
            <w:pPr>
              <w:jc w:val="right"/>
              <w:ind w:right="610"/>
              <w:spacing w:after="0"/>
              <w:rPr>
                <w:sz w:val="20"/>
                <w:szCs w:val="20"/>
                <w:color w:val="auto"/>
              </w:rPr>
            </w:pPr>
            <w:r>
              <w:rPr>
                <w:rFonts w:ascii="Arial" w:cs="Arial" w:eastAsia="Arial" w:hAnsi="Arial"/>
                <w:sz w:val="14"/>
                <w:szCs w:val="14"/>
                <w:b w:val="1"/>
                <w:bCs w:val="1"/>
                <w:color w:val="auto"/>
              </w:rPr>
              <w:t>Twelve Weeks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60" w:type="dxa"/>
            <w:vAlign w:val="bottom"/>
            <w:gridSpan w:val="5"/>
          </w:tcPr>
          <w:p>
            <w:pPr>
              <w:ind w:left="46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42"/>
        </w:trPr>
        <w:tc>
          <w:tcPr>
            <w:tcW w:w="5460" w:type="dxa"/>
            <w:vAlign w:val="bottom"/>
            <w:tcBorders>
              <w:bottom w:val="single" w:sz="8" w:color="CCEEFF"/>
            </w:tcBorders>
            <w:vMerge w:val="continue"/>
          </w:tcPr>
          <w:p>
            <w:pPr>
              <w:spacing w:after="0"/>
              <w:rPr>
                <w:sz w:val="12"/>
                <w:szCs w:val="12"/>
                <w:color w:val="auto"/>
              </w:rPr>
            </w:pPr>
          </w:p>
        </w:tc>
        <w:tc>
          <w:tcPr>
            <w:tcW w:w="12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September 11, 2015</w:t>
            </w:r>
          </w:p>
        </w:tc>
        <w:tc>
          <w:tcPr>
            <w:tcW w:w="320" w:type="dxa"/>
            <w:vAlign w:val="bottom"/>
            <w:tcBorders>
              <w:top w:val="single" w:sz="8" w:color="auto"/>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September 12, 2014</w:t>
            </w:r>
          </w:p>
        </w:tc>
        <w:tc>
          <w:tcPr>
            <w:tcW w:w="26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September 11, 2015</w:t>
            </w:r>
          </w:p>
        </w:tc>
        <w:tc>
          <w:tcPr>
            <w:tcW w:w="300" w:type="dxa"/>
            <w:vAlign w:val="bottom"/>
            <w:tcBorders>
              <w:top w:val="single" w:sz="8" w:color="auto"/>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September 12,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122,908</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138,179</w:t>
            </w:r>
          </w:p>
        </w:tc>
        <w:tc>
          <w:tcPr>
            <w:tcW w:w="4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406,784</w:t>
            </w:r>
          </w:p>
        </w:tc>
        <w:tc>
          <w:tcPr>
            <w:tcW w:w="5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404,111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64,437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61,956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189,206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184,596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240" w:type="dxa"/>
            <w:vAlign w:val="bottom"/>
          </w:tcPr>
          <w:p>
            <w:pPr>
              <w:spacing w:after="0"/>
              <w:rPr>
                <w:sz w:val="18"/>
                <w:szCs w:val="18"/>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26,399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27,519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79,809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83,887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65,135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55,216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202,606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168,943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83,561</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81,031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260,452</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251,616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5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362,440</w:t>
            </w: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363,901</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1,138,857</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1,093,153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4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vacation ownership products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35,736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41,394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117,071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120,332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Marketing and sales</w:t>
            </w:r>
          </w:p>
        </w:tc>
        <w:tc>
          <w:tcPr>
            <w:tcW w:w="240" w:type="dxa"/>
            <w:vAlign w:val="bottom"/>
          </w:tcPr>
          <w:p>
            <w:pPr>
              <w:spacing w:after="0"/>
              <w:rPr>
                <w:sz w:val="18"/>
                <w:szCs w:val="18"/>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62,652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63,092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199,506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187,501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39,175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40,021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115,244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119,637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Rental</w:t>
            </w:r>
          </w:p>
        </w:tc>
        <w:tc>
          <w:tcPr>
            <w:tcW w:w="240" w:type="dxa"/>
            <w:vAlign w:val="bottom"/>
          </w:tcPr>
          <w:p>
            <w:pPr>
              <w:spacing w:after="0"/>
              <w:rPr>
                <w:sz w:val="18"/>
                <w:szCs w:val="18"/>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53,742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46,962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163,481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145,984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settlement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(370)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Organizational and separation related</w:t>
            </w:r>
          </w:p>
        </w:tc>
        <w:tc>
          <w:tcPr>
            <w:tcW w:w="240" w:type="dxa"/>
            <w:vAlign w:val="bottom"/>
          </w:tcPr>
          <w:p>
            <w:pPr>
              <w:spacing w:after="0"/>
              <w:rPr>
                <w:sz w:val="18"/>
                <w:szCs w:val="18"/>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313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fee</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2,228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2,529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5,174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240" w:type="dxa"/>
            <w:vAlign w:val="bottom"/>
          </w:tcPr>
          <w:p>
            <w:pPr>
              <w:spacing w:after="0"/>
              <w:rPr>
                <w:sz w:val="18"/>
                <w:szCs w:val="18"/>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reimbursements</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83,561</w:t>
            </w: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81,031</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260,452</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251,616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46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277,153</w:t>
            </w:r>
          </w:p>
        </w:tc>
        <w:tc>
          <w:tcPr>
            <w:tcW w:w="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278,150</w:t>
            </w: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860,871</w:t>
            </w: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827,881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5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(Losses) gains and other (expense) income</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9,534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Equity in earnings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5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Segment financial results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85,337</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86,008</w:t>
            </w:r>
          </w:p>
        </w:tc>
        <w:tc>
          <w:tcPr>
            <w:tcW w:w="4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287,676</w:t>
            </w:r>
          </w:p>
        </w:tc>
        <w:tc>
          <w:tcPr>
            <w:tcW w:w="5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267,339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Twelve Weeks Ended</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3"/>
              </w:rPr>
              <w:t>Change</w:t>
            </w: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000" w:type="dxa"/>
            <w:vAlign w:val="bottom"/>
            <w:vMerge w:val="continue"/>
          </w:tcPr>
          <w:p>
            <w:pPr>
              <w:spacing w:after="0"/>
              <w:rPr>
                <w:sz w:val="12"/>
                <w:szCs w:val="12"/>
                <w:color w:val="auto"/>
              </w:rPr>
            </w:pPr>
          </w:p>
        </w:tc>
        <w:tc>
          <w:tcPr>
            <w:tcW w:w="1540" w:type="dxa"/>
            <w:vAlign w:val="bottom"/>
            <w:gridSpan w:val="2"/>
          </w:tcPr>
          <w:p>
            <w:pPr>
              <w:jc w:val="right"/>
              <w:ind w:right="134"/>
              <w:spacing w:after="0" w:line="142" w:lineRule="exact"/>
              <w:rPr>
                <w:sz w:val="20"/>
                <w:szCs w:val="20"/>
                <w:color w:val="auto"/>
              </w:rPr>
            </w:pPr>
            <w:r>
              <w:rPr>
                <w:rFonts w:ascii="Arial" w:cs="Arial" w:eastAsia="Arial" w:hAnsi="Arial"/>
                <w:sz w:val="14"/>
                <w:szCs w:val="14"/>
                <w:b w:val="1"/>
                <w:bCs w:val="1"/>
                <w:color w:val="auto"/>
                <w:w w:val="99"/>
              </w:rPr>
              <w:t>September 11, 2015</w:t>
            </w:r>
          </w:p>
        </w:tc>
        <w:tc>
          <w:tcPr>
            <w:tcW w:w="160" w:type="dxa"/>
            <w:vAlign w:val="bottom"/>
          </w:tcPr>
          <w:p>
            <w:pPr>
              <w:spacing w:after="0"/>
              <w:rPr>
                <w:sz w:val="12"/>
                <w:szCs w:val="12"/>
                <w:color w:val="auto"/>
              </w:rPr>
            </w:pPr>
          </w:p>
        </w:tc>
        <w:tc>
          <w:tcPr>
            <w:tcW w:w="156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September 12, 2014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5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52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142,787</w:t>
            </w:r>
          </w:p>
        </w:tc>
        <w:tc>
          <w:tcPr>
            <w:tcW w:w="88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148,154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(5,367)</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products</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(4,488)</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0" w:type="dxa"/>
            <w:vAlign w:val="bottom"/>
          </w:tcPr>
          <w:p>
            <w:pPr>
              <w:ind w:left="720"/>
              <w:spacing w:after="0"/>
              <w:rPr>
                <w:sz w:val="20"/>
                <w:szCs w:val="20"/>
                <w:color w:val="auto"/>
              </w:rPr>
            </w:pPr>
            <w:r>
              <w:rPr>
                <w:rFonts w:ascii="Arial" w:cs="Arial" w:eastAsia="Arial" w:hAnsi="Arial"/>
                <w:sz w:val="18"/>
                <w:szCs w:val="18"/>
                <w:color w:val="auto"/>
              </w:rPr>
              <w:t>Total contract sales</w:t>
            </w:r>
          </w:p>
        </w:tc>
        <w:tc>
          <w:tcPr>
            <w:tcW w:w="52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142,787</w:t>
            </w:r>
          </w:p>
        </w:tc>
        <w:tc>
          <w:tcPr>
            <w:tcW w:w="160" w:type="dxa"/>
            <w:vAlign w:val="bottom"/>
          </w:tcPr>
          <w:p>
            <w:pPr>
              <w:spacing w:after="0"/>
              <w:rPr>
                <w:sz w:val="24"/>
                <w:szCs w:val="24"/>
                <w:color w:val="auto"/>
              </w:rPr>
            </w:pPr>
          </w:p>
        </w:tc>
        <w:tc>
          <w:tcPr>
            <w:tcW w:w="720" w:type="dxa"/>
            <w:vAlign w:val="bottom"/>
          </w:tcPr>
          <w:p>
            <w:pPr>
              <w:jc w:val="right"/>
              <w:ind w:right="459"/>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152,642</w:t>
            </w:r>
          </w:p>
        </w:tc>
        <w:tc>
          <w:tcPr>
            <w:tcW w:w="1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(9,855)</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The decrease in vacation ownership contract sales in our North America segment reflected a $4.0 million decrease in sales at off-site (non tour-based) sales locations and a $2.5 million decrease in sales at on-site sales locations, partially offset by a $1.1 million increase in fractional sales as we continue to sell through remaining luxury inventory.</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sales at off-site locations were negatively impacted in part by the strength of the U.S. dollar, primarily in Latin America.</w:t>
      </w:r>
    </w:p>
    <w:p>
      <w:pPr>
        <w:spacing w:after="0" w:line="117"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The sales at on-site locations were negatively impacted in part by the strength of the U.S. dollar, primarily impacting Latin American customers purchasing in the U.S., as well as Japanese customers purchasing at our resort on Oahu. The decrease in sales at on-site sales locations reflected a 1.4 percent decrease in VPG to $3,428 in the twelve weeks ended September 11, 2015 from $3,477 in the prior year comparable period and a 1.3 percent decrease in the number of tours. The decrease in VPG resulted from a decrease in the number of points sold per contract due to the increase in sales to existing owners in the current period, partially offset by higher pricing and a 0.1 percentage point increase in closing efficiency. The decrease in the number of tours was driven in part by hurricane activity in the Caribbean and Hawaii, as well as the threatened hurricane activity in Florida, which resulted in tour cancellations.</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decline in residential contract sales was due to the sale of $4.5 million of excess residential inventory in the prior year comparable period.</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Thirty-Six Weeks Ended</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080" w:type="dxa"/>
            <w:vAlign w:val="bottom"/>
            <w:tcBorders>
              <w:bottom w:val="single" w:sz="8" w:color="CCEEFF"/>
            </w:tcBorders>
            <w:vMerge w:val="continue"/>
          </w:tcPr>
          <w:p>
            <w:pPr>
              <w:spacing w:after="0"/>
              <w:rPr>
                <w:sz w:val="12"/>
                <w:szCs w:val="12"/>
                <w:color w:val="auto"/>
              </w:rPr>
            </w:pPr>
          </w:p>
        </w:tc>
        <w:tc>
          <w:tcPr>
            <w:tcW w:w="1560" w:type="dxa"/>
            <w:vAlign w:val="bottom"/>
            <w:tcBorders>
              <w:bottom w:val="single" w:sz="8" w:color="auto"/>
            </w:tcBorders>
            <w:gridSpan w:val="2"/>
          </w:tcPr>
          <w:p>
            <w:pPr>
              <w:jc w:val="right"/>
              <w:ind w:right="134"/>
              <w:spacing w:after="0" w:line="142" w:lineRule="exact"/>
              <w:rPr>
                <w:sz w:val="20"/>
                <w:szCs w:val="20"/>
                <w:color w:val="auto"/>
              </w:rPr>
            </w:pPr>
            <w:r>
              <w:rPr>
                <w:rFonts w:ascii="Arial" w:cs="Arial" w:eastAsia="Arial" w:hAnsi="Arial"/>
                <w:sz w:val="14"/>
                <w:szCs w:val="14"/>
                <w:b w:val="1"/>
                <w:bCs w:val="1"/>
                <w:color w:val="auto"/>
              </w:rPr>
              <w:t>September 11, 2015</w:t>
            </w:r>
          </w:p>
        </w:tc>
        <w:tc>
          <w:tcPr>
            <w:tcW w:w="14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September 12, 2014</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54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449,385</w:t>
            </w:r>
          </w:p>
        </w:tc>
        <w:tc>
          <w:tcPr>
            <w:tcW w:w="94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433,928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15,457</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products</w:t>
            </w: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10,814</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(10,814)</w:t>
            </w:r>
          </w:p>
        </w:tc>
        <w:tc>
          <w:tcPr>
            <w:tcW w:w="11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91"/>
        </w:trPr>
        <w:tc>
          <w:tcPr>
            <w:tcW w:w="5080" w:type="dxa"/>
            <w:vAlign w:val="bottom"/>
          </w:tcPr>
          <w:p>
            <w:pPr>
              <w:ind w:left="720"/>
              <w:spacing w:after="0"/>
              <w:rPr>
                <w:sz w:val="20"/>
                <w:szCs w:val="20"/>
                <w:color w:val="auto"/>
              </w:rPr>
            </w:pPr>
            <w:r>
              <w:rPr>
                <w:rFonts w:ascii="Arial" w:cs="Arial" w:eastAsia="Arial" w:hAnsi="Arial"/>
                <w:sz w:val="18"/>
                <w:szCs w:val="18"/>
                <w:color w:val="auto"/>
              </w:rPr>
              <w:t>Total contract sales</w:t>
            </w:r>
          </w:p>
        </w:tc>
        <w:tc>
          <w:tcPr>
            <w:tcW w:w="54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449,385</w:t>
            </w:r>
          </w:p>
        </w:tc>
        <w:tc>
          <w:tcPr>
            <w:tcW w:w="94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444,742</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4,643</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The increase in vacation ownership contract sales in our North America segment reflected a $12.0 million increase in sales at on-site sales locations and a $3.8 million increase in fractional sales as we continue to sell through remaining luxury inventory, partially offset by a $0.3 million decrease in sales at off-site (non tour-based) sales locations.</w:t>
      </w:r>
    </w:p>
    <w:p>
      <w:pPr>
        <w:spacing w:after="0" w:line="7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increase in sales at on-site sales locations reflected a 1.3 percent increase in VPG to $3,489 in the thirty-six weeks ended September 11, 2015 from $3,444 in the prior year comparable period and a 1.7 percent increase in the number of tours, and was negatively impacted in the third quarter of 2015 by the strength of the U.S. dollar, primarily impacting Latin American customers purchasing in the U.S., as well as Japanese customers purchasing at our resort in Oahu. The increase in VPG was due to a 0.4 percentage point increase in closing efficiency and higher pricing, partially offset by a decrease in the number of points sold per contract due to the increase in sales to existing owners in the current period. The increase in the number of tours was driven by an increase in existing owner tours. In the first quarter of 2015, we announced enhancements to our owner recognition levels that created a near-term incentive for existing owners to purchase additional points prior to the end of the twenty-four weeks ended June 19, 2015, which resulted in an increase in existing owner tours. This was partially offset by the decrease in the number of tours in the third quarter of 2015 as a result of the hurricane and threatened hurricane activity mentioned above.</w:t>
      </w:r>
    </w:p>
    <w:p>
      <w:pPr>
        <w:spacing w:after="0" w:line="7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decline in residential contract sales was due to the sale of $10.8 million of excess residential inventory in the prior year comparable period.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Twelve Weeks Ended</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vMerge w:val="continue"/>
          </w:tcPr>
          <w:p>
            <w:pPr>
              <w:spacing w:after="0"/>
              <w:rPr>
                <w:sz w:val="12"/>
                <w:szCs w:val="12"/>
                <w:color w:val="auto"/>
              </w:rPr>
            </w:pPr>
          </w:p>
        </w:tc>
        <w:tc>
          <w:tcPr>
            <w:tcW w:w="1560" w:type="dxa"/>
            <w:vAlign w:val="bottom"/>
            <w:tcBorders>
              <w:bottom w:val="single" w:sz="8" w:color="auto"/>
            </w:tcBorders>
            <w:gridSpan w:val="2"/>
          </w:tcPr>
          <w:p>
            <w:pPr>
              <w:jc w:val="right"/>
              <w:ind w:right="133"/>
              <w:spacing w:after="0" w:line="142" w:lineRule="exact"/>
              <w:rPr>
                <w:sz w:val="20"/>
                <w:szCs w:val="20"/>
                <w:color w:val="auto"/>
              </w:rPr>
            </w:pPr>
            <w:r>
              <w:rPr>
                <w:rFonts w:ascii="Arial" w:cs="Arial" w:eastAsia="Arial" w:hAnsi="Arial"/>
                <w:sz w:val="14"/>
                <w:szCs w:val="14"/>
                <w:b w:val="1"/>
                <w:bCs w:val="1"/>
                <w:color w:val="auto"/>
              </w:rPr>
              <w:t>September 11, 2015</w:t>
            </w:r>
          </w:p>
        </w:tc>
        <w:tc>
          <w:tcPr>
            <w:tcW w:w="16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September 12, 2014</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5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142,787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152,642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(9,855)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Reportability</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(9,849)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(5,745)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Sales reserve</w:t>
            </w:r>
          </w:p>
        </w:tc>
        <w:tc>
          <w:tcPr>
            <w:tcW w:w="52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(5,901)</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(5,867)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(4,129)</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96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52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122,908</w:t>
            </w:r>
          </w:p>
        </w:tc>
        <w:tc>
          <w:tcPr>
            <w:tcW w:w="88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138,179</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w w:val="89"/>
              </w:rPr>
              <w:t>(15,271)</w:t>
            </w:r>
          </w:p>
        </w:tc>
        <w:tc>
          <w:tcPr>
            <w:tcW w:w="1100" w:type="dxa"/>
            <w:vAlign w:val="bottom"/>
            <w:gridSpan w:val="2"/>
          </w:tcPr>
          <w:p>
            <w:pPr>
              <w:jc w:val="right"/>
              <w:ind w:right="179"/>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1576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36"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117"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Revenue reportability had a $9.8 million negative impact in the current period, compared to a $4.1 million negative impact in the prior year comparable period, due to fewer sales meeting the down payment requirements for revenue reportability in the current period, in part due to a nine percentage point increase in financing propensity in the third quarter of 2015 compared to the prior year comparable period. The slight increase in sales reserve reflects the higher reserve rate associated with the higher financing propensity, partially offset by the decrease in vacation ownership contract sales.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9"/>
              </w:rPr>
              <w:t>Thirty-Six Weeks Ended</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vMerge w:val="continue"/>
          </w:tcPr>
          <w:p>
            <w:pPr>
              <w:spacing w:after="0"/>
              <w:rPr>
                <w:sz w:val="12"/>
                <w:szCs w:val="12"/>
                <w:color w:val="auto"/>
              </w:rPr>
            </w:pPr>
          </w:p>
        </w:tc>
        <w:tc>
          <w:tcPr>
            <w:tcW w:w="156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September 11, 2015</w:t>
            </w:r>
          </w:p>
        </w:tc>
        <w:tc>
          <w:tcPr>
            <w:tcW w:w="16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September 12, 2014</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5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449,385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444,742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4,643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Reportability</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(11,351)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(3,055)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Sales reserve</w:t>
            </w:r>
          </w:p>
        </w:tc>
        <w:tc>
          <w:tcPr>
            <w:tcW w:w="520" w:type="dxa"/>
            <w:vAlign w:val="bottom"/>
          </w:tcPr>
          <w:p>
            <w:pPr>
              <w:spacing w:after="0"/>
              <w:rPr>
                <w:sz w:val="18"/>
                <w:szCs w:val="18"/>
                <w:color w:val="auto"/>
              </w:rPr>
            </w:pPr>
          </w:p>
        </w:tc>
        <w:tc>
          <w:tcPr>
            <w:tcW w:w="1040" w:type="dxa"/>
            <w:vAlign w:val="bottom"/>
          </w:tcPr>
          <w:p>
            <w:pPr>
              <w:ind w:left="340"/>
              <w:spacing w:after="0"/>
              <w:rPr>
                <w:sz w:val="20"/>
                <w:szCs w:val="20"/>
                <w:color w:val="auto"/>
              </w:rPr>
            </w:pPr>
            <w:r>
              <w:rPr>
                <w:rFonts w:ascii="Arial" w:cs="Arial" w:eastAsia="Arial" w:hAnsi="Arial"/>
                <w:sz w:val="18"/>
                <w:szCs w:val="18"/>
                <w:color w:val="auto"/>
              </w:rPr>
              <w:t>(17,886)</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732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(13,364)</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353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96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52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040" w:type="dxa"/>
            <w:vAlign w:val="bottom"/>
          </w:tcPr>
          <w:p>
            <w:pPr>
              <w:ind w:left="320"/>
              <w:spacing w:after="0"/>
              <w:rPr>
                <w:sz w:val="20"/>
                <w:szCs w:val="20"/>
                <w:color w:val="auto"/>
              </w:rPr>
            </w:pPr>
            <w:r>
              <w:rPr>
                <w:rFonts w:ascii="Arial" w:cs="Arial" w:eastAsia="Arial" w:hAnsi="Arial"/>
                <w:sz w:val="18"/>
                <w:szCs w:val="18"/>
                <w:color w:val="auto"/>
              </w:rPr>
              <w:t>406,784</w:t>
            </w:r>
          </w:p>
        </w:tc>
        <w:tc>
          <w:tcPr>
            <w:tcW w:w="920" w:type="dxa"/>
            <w:vAlign w:val="bottom"/>
            <w:gridSpan w:val="2"/>
          </w:tcPr>
          <w:p>
            <w:pPr>
              <w:jc w:val="right"/>
              <w:ind w:right="499"/>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404,111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2,673</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1576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3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117"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Revenue reportability had an $11.4 million negative impact in the current period, compared to an $8.3 million negative impact in the prior year comparable period due to fewer sales meeting the down payment requirements for revenue reportability in the current period in part due to a five percentage point increase in financing propensity in the current period, partially offset by fewer sales in the rescission period at the end of the thirty-six weeks ended September 11, 2015 compared to the prior year comparable period. The lower sales reserve is due to a decrease in the estimated default activity compared to the prior year comparable period, partially offset by the increase in vacation ownership contract sales and higher financing propensity as compared to the prior year comparable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Twelve Weeks Ended</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920" w:type="dxa"/>
            <w:vAlign w:val="bottom"/>
            <w:gridSpan w:val="2"/>
            <w:vMerge w:val="continue"/>
          </w:tcPr>
          <w:p>
            <w:pPr>
              <w:spacing w:after="0"/>
              <w:rPr>
                <w:sz w:val="12"/>
                <w:szCs w:val="12"/>
                <w:color w:val="auto"/>
              </w:rPr>
            </w:pPr>
          </w:p>
        </w:tc>
        <w:tc>
          <w:tcPr>
            <w:tcW w:w="1560" w:type="dxa"/>
            <w:vAlign w:val="bottom"/>
            <w:gridSpan w:val="2"/>
          </w:tcPr>
          <w:p>
            <w:pPr>
              <w:jc w:val="right"/>
              <w:ind w:right="133"/>
              <w:spacing w:after="0" w:line="142" w:lineRule="exact"/>
              <w:rPr>
                <w:sz w:val="20"/>
                <w:szCs w:val="20"/>
                <w:color w:val="auto"/>
              </w:rPr>
            </w:pPr>
            <w:r>
              <w:rPr>
                <w:rFonts w:ascii="Arial" w:cs="Arial" w:eastAsia="Arial" w:hAnsi="Arial"/>
                <w:sz w:val="14"/>
                <w:szCs w:val="14"/>
                <w:b w:val="1"/>
                <w:bCs w:val="1"/>
                <w:color w:val="auto"/>
              </w:rPr>
              <w:t>September 11, 2015</w:t>
            </w:r>
          </w:p>
        </w:tc>
        <w:tc>
          <w:tcPr>
            <w:tcW w:w="160" w:type="dxa"/>
            <w:vAlign w:val="bottom"/>
          </w:tcPr>
          <w:p>
            <w:pPr>
              <w:spacing w:after="0"/>
              <w:rPr>
                <w:sz w:val="12"/>
                <w:szCs w:val="12"/>
                <w:color w:val="auto"/>
              </w:rPr>
            </w:pPr>
          </w:p>
        </w:tc>
        <w:tc>
          <w:tcPr>
            <w:tcW w:w="156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September 12, 2014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50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122,908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138,179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89"/>
              </w:rPr>
              <w:t>(15,271)</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500" w:type="dxa"/>
            <w:vAlign w:val="bottom"/>
          </w:tcPr>
          <w:p>
            <w:pPr>
              <w:spacing w:after="0"/>
              <w:rPr>
                <w:sz w:val="18"/>
                <w:szCs w:val="18"/>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(35,736)</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(41,394)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5,658</w:t>
            </w:r>
          </w:p>
        </w:tc>
        <w:tc>
          <w:tcPr>
            <w:tcW w:w="114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(62,652)</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(63,092)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440</w:t>
            </w:r>
          </w:p>
        </w:tc>
        <w:tc>
          <w:tcPr>
            <w:tcW w:w="11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91"/>
        </w:trPr>
        <w:tc>
          <w:tcPr>
            <w:tcW w:w="5920" w:type="dxa"/>
            <w:vAlign w:val="bottom"/>
            <w:gridSpan w:val="2"/>
          </w:tcPr>
          <w:p>
            <w:pPr>
              <w:spacing w:after="0"/>
              <w:rPr>
                <w:sz w:val="20"/>
                <w:szCs w:val="20"/>
                <w:color w:val="auto"/>
              </w:rPr>
            </w:pPr>
            <w:r>
              <w:rPr>
                <w:rFonts w:ascii="Arial" w:cs="Arial" w:eastAsia="Arial" w:hAnsi="Arial"/>
                <w:sz w:val="18"/>
                <w:szCs w:val="18"/>
                <w:color w:val="auto"/>
              </w:rPr>
              <w:t>Development margin</w:t>
            </w:r>
          </w:p>
        </w:tc>
        <w:tc>
          <w:tcPr>
            <w:tcW w:w="50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24,520</w:t>
            </w:r>
          </w:p>
        </w:tc>
        <w:tc>
          <w:tcPr>
            <w:tcW w:w="860" w:type="dxa"/>
            <w:vAlign w:val="bottom"/>
            <w:gridSpan w:val="2"/>
          </w:tcPr>
          <w:p>
            <w:pPr>
              <w:jc w:val="right"/>
              <w:ind w:right="439"/>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33,693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(9,173)</w:t>
            </w:r>
          </w:p>
        </w:tc>
        <w:tc>
          <w:tcPr>
            <w:tcW w:w="1140" w:type="dxa"/>
            <w:vAlign w:val="bottom"/>
            <w:gridSpan w:val="2"/>
          </w:tcPr>
          <w:p>
            <w:pPr>
              <w:jc w:val="center"/>
              <w:ind w:left="110"/>
              <w:spacing w:after="0"/>
              <w:rPr>
                <w:sz w:val="20"/>
                <w:szCs w:val="20"/>
                <w:color w:val="auto"/>
              </w:rPr>
            </w:pPr>
            <w:r>
              <w:rPr>
                <w:rFonts w:ascii="Arial" w:cs="Arial" w:eastAsia="Arial" w:hAnsi="Arial"/>
                <w:sz w:val="18"/>
                <w:szCs w:val="18"/>
                <w:color w:val="auto"/>
                <w:w w:val="95"/>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9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(4.4 pts)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900" w:type="dxa"/>
            <w:vAlign w:val="bottom"/>
          </w:tcPr>
          <w:p>
            <w:pPr>
              <w:ind w:left="900"/>
              <w:spacing w:after="0"/>
              <w:rPr>
                <w:sz w:val="20"/>
                <w:szCs w:val="20"/>
                <w:color w:val="auto"/>
              </w:rPr>
            </w:pPr>
            <w:r>
              <w:rPr>
                <w:rFonts w:ascii="Arial" w:cs="Arial" w:eastAsia="Arial" w:hAnsi="Arial"/>
                <w:sz w:val="18"/>
                <w:szCs w:val="18"/>
                <w:color w:val="auto"/>
              </w:rPr>
              <w:t>The decrease in development margin reflected the following:</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920" w:right="60" w:hanging="440"/>
        <w:spacing w:after="0" w:line="257" w:lineRule="auto"/>
        <w:tabs>
          <w:tab w:leader="none" w:pos="1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$4.9 million from lower vacation ownership contract sales volume net of higher direct variable expenses (i.e., cost of vacation ownership products and marketing and sales), including $2.3 million from higher marketing and sales costs due to investment in new programs to help generate future incremental tour volumes and higher marketing and sales related program costs, $1.4 million from the lower vacation ownership contract sales and $1.2 million from an unfavorable mix of higher cost real estate inventory being sold;</w:t>
      </w:r>
    </w:p>
    <w:p>
      <w:pPr>
        <w:spacing w:after="0" w:line="93" w:lineRule="exact"/>
        <w:rPr>
          <w:rFonts w:ascii="Arial" w:cs="Arial" w:eastAsia="Arial" w:hAnsi="Arial"/>
          <w:sz w:val="18"/>
          <w:szCs w:val="18"/>
          <w:color w:val="auto"/>
        </w:rPr>
      </w:pPr>
    </w:p>
    <w:p>
      <w:pPr>
        <w:ind w:left="1920" w:hanging="440"/>
        <w:spacing w:after="0"/>
        <w:tabs>
          <w:tab w:leader="none" w:pos="1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$3.6 million from lower revenue reportability compared to the prior year comparable period; and</w:t>
      </w:r>
    </w:p>
    <w:p>
      <w:pPr>
        <w:spacing w:after="0" w:line="130" w:lineRule="exact"/>
        <w:rPr>
          <w:rFonts w:ascii="Arial" w:cs="Arial" w:eastAsia="Arial" w:hAnsi="Arial"/>
          <w:sz w:val="18"/>
          <w:szCs w:val="18"/>
          <w:color w:val="auto"/>
        </w:rPr>
      </w:pPr>
    </w:p>
    <w:p>
      <w:pPr>
        <w:ind w:left="1920" w:right="100" w:hanging="440"/>
        <w:spacing w:after="0" w:line="277" w:lineRule="auto"/>
        <w:tabs>
          <w:tab w:leader="none" w:pos="1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$0.9 million from lower residential contract sales (no residential sales in the twelve weeks ended September 11, 2015 compared to $0.9 million from the sale of residential inventory in the prior year comparable period).</w:t>
      </w:r>
    </w:p>
    <w:p>
      <w:pPr>
        <w:spacing w:after="0" w:line="62"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These decreases were partially offset by $0.2 million from higher favorable product cost true-ups ($0.2 million in the twelve weeks ended September 11, 2015 compared to none in the prior year comparable period).</w:t>
      </w:r>
    </w:p>
    <w:p>
      <w:pPr>
        <w:spacing w:after="0" w:line="62"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The 4.4 percentage point decline in the development margin percentage reflected a 2.0 percentage point decrease due to the unfavorable revenue reportability year-over-year, 1.7 percentage point decline due to the higher marketing and sales spending, and a 0.9 percentage point decrease due to an unfavorable mix of higher cost vacation ownership real estate inventory being sold in the twelve weeks ended September 11, 2015. These declines were partially offset by a 0.2 percentage point increase due to the lower favorable product cost true-up activity year-over-year.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Thirty-Six Weeks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9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w w:val="93"/>
              </w:rPr>
              <w:t>September 11, 2015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w w:val="93"/>
              </w:rPr>
              <w:t>September 12, 2014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406,784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404,111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2,673</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(117,071)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(120,332)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3,261</w:t>
            </w:r>
          </w:p>
        </w:tc>
        <w:tc>
          <w:tcPr>
            <w:tcW w:w="1080" w:type="dxa"/>
            <w:vAlign w:val="bottom"/>
            <w:gridSpan w:val="2"/>
          </w:tcPr>
          <w:p>
            <w:pPr>
              <w:jc w:val="right"/>
              <w:ind w:right="27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(199,506)</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(187,501)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(12,005)</w:t>
            </w:r>
          </w:p>
        </w:tc>
        <w:tc>
          <w:tcPr>
            <w:tcW w:w="108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91"/>
        </w:trPr>
        <w:tc>
          <w:tcPr>
            <w:tcW w:w="5740" w:type="dxa"/>
            <w:vAlign w:val="bottom"/>
            <w:gridSpan w:val="2"/>
          </w:tcPr>
          <w:p>
            <w:pPr>
              <w:spacing w:after="0"/>
              <w:rPr>
                <w:sz w:val="20"/>
                <w:szCs w:val="20"/>
                <w:color w:val="auto"/>
              </w:rPr>
            </w:pPr>
            <w:r>
              <w:rPr>
                <w:rFonts w:ascii="Arial" w:cs="Arial" w:eastAsia="Arial" w:hAnsi="Arial"/>
                <w:sz w:val="18"/>
                <w:szCs w:val="18"/>
                <w:color w:val="auto"/>
              </w:rPr>
              <w:t>Development margin</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5"/>
              <w:spacing w:after="0"/>
              <w:rPr>
                <w:sz w:val="20"/>
                <w:szCs w:val="20"/>
                <w:color w:val="auto"/>
              </w:rPr>
            </w:pPr>
            <w:r>
              <w:rPr>
                <w:rFonts w:ascii="Arial" w:cs="Arial" w:eastAsia="Arial" w:hAnsi="Arial"/>
                <w:sz w:val="18"/>
                <w:szCs w:val="18"/>
                <w:color w:val="auto"/>
              </w:rPr>
              <w:t>90,207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96,278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(6,071)</w:t>
            </w:r>
          </w:p>
        </w:tc>
        <w:tc>
          <w:tcPr>
            <w:tcW w:w="1080" w:type="dxa"/>
            <w:vAlign w:val="bottom"/>
            <w:gridSpan w:val="2"/>
          </w:tcPr>
          <w:p>
            <w:pPr>
              <w:jc w:val="right"/>
              <w:ind w:right="219"/>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 pts)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720" w:type="dxa"/>
            <w:vAlign w:val="bottom"/>
          </w:tcPr>
          <w:p>
            <w:pPr>
              <w:ind w:left="900"/>
              <w:spacing w:after="0"/>
              <w:rPr>
                <w:sz w:val="20"/>
                <w:szCs w:val="20"/>
                <w:color w:val="auto"/>
              </w:rPr>
            </w:pPr>
            <w:r>
              <w:rPr>
                <w:rFonts w:ascii="Arial" w:cs="Arial" w:eastAsia="Arial" w:hAnsi="Arial"/>
                <w:sz w:val="18"/>
                <w:szCs w:val="18"/>
                <w:color w:val="auto"/>
                <w:w w:val="99"/>
              </w:rPr>
              <w:t>The decrease in development margin reflected the following:</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920" w:right="60" w:hanging="440"/>
        <w:spacing w:after="0" w:line="257" w:lineRule="auto"/>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$2.0 million from higher vacation ownership contract sales volume net of higher direct variable expenses (i.e., cost of vacation ownership products and marketing and sales), including $5.3 million from higher marketing and sales costs due to investment in new programs to help generate future incremental tour volumes and higher marketing and sales related program costs, and $0.4 million from an unfavorable mix of higher cost vacation ownership real estate inventory being sold, partially offset by $3.7 million from the higher vacation ownership contract sales;</w:t>
      </w:r>
    </w:p>
    <w:p>
      <w:pPr>
        <w:spacing w:after="0" w:line="93" w:lineRule="exact"/>
        <w:rPr>
          <w:rFonts w:ascii="Arial" w:cs="Arial" w:eastAsia="Arial" w:hAnsi="Arial"/>
          <w:sz w:val="18"/>
          <w:szCs w:val="18"/>
          <w:color w:val="auto"/>
        </w:rPr>
      </w:pPr>
    </w:p>
    <w:p>
      <w:pPr>
        <w:ind w:left="1920" w:hanging="440"/>
        <w:spacing w:after="0"/>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$2.0 million from lower revenue reportability compared to the prior year comparable period;</w:t>
      </w:r>
    </w:p>
    <w:p>
      <w:pPr>
        <w:spacing w:after="0" w:line="130" w:lineRule="exact"/>
        <w:rPr>
          <w:rFonts w:ascii="Arial" w:cs="Arial" w:eastAsia="Arial" w:hAnsi="Arial"/>
          <w:sz w:val="18"/>
          <w:szCs w:val="18"/>
          <w:color w:val="auto"/>
        </w:rPr>
      </w:pPr>
    </w:p>
    <w:p>
      <w:pPr>
        <w:ind w:left="1920" w:right="120" w:hanging="440"/>
        <w:spacing w:after="0" w:line="277" w:lineRule="auto"/>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$2.3 million from lower residential contract sales (no residential sales in the thirty-six weeks ended September 11, 2015 compared to $2.3 million from the sale of residential inventory in the prior year comparable period); and</w:t>
      </w:r>
    </w:p>
    <w:p>
      <w:pPr>
        <w:spacing w:after="0" w:line="75" w:lineRule="exact"/>
        <w:rPr>
          <w:rFonts w:ascii="Arial" w:cs="Arial" w:eastAsia="Arial" w:hAnsi="Arial"/>
          <w:sz w:val="18"/>
          <w:szCs w:val="18"/>
          <w:color w:val="auto"/>
        </w:rPr>
      </w:pPr>
    </w:p>
    <w:p>
      <w:pPr>
        <w:ind w:left="1920" w:right="120" w:hanging="440"/>
        <w:spacing w:after="0" w:line="277" w:lineRule="auto"/>
        <w:tabs>
          <w:tab w:leader="none" w:pos="1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$0.6 million from lower favorable product cost true-ups ($1.7 million in the thirty-six weeks ended September 11, 2015 compared to $2.3 million in the prior year comparable period).</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These decreases were partially offset by $0.8 million from the lower estimated default activity compared to the prior year comparable period.</w:t>
      </w:r>
    </w:p>
    <w:p>
      <w:pPr>
        <w:spacing w:after="0" w:line="14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1.6 percentage point decline in the development margin percentage reflected a 1.2 percentage point decline due to higher marketing and sales spending, a 0.3 percentage point decrease due to the unfavorable revenue reportability year-over-year, a 0.1 percentage point decrease due to an unfavorable mix of higher cost vacation ownership real estate inventory being sold in the thirty-six weeks ended September 11, 2015, and a 0.1 percentage point decrease due to the lower favorable product cost true-up activity year-over-year. These declines were partially offset by a 0.1 percentage point increase due to the lower estimated default activity.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w w:val="93"/>
              </w:rPr>
              <w:t>September 11, 2015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w w:val="93"/>
              </w:rPr>
              <w:t>September 12, 2014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15,926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14,989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937</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48,511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46,967</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1,544</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64,437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61,956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2,481</w:t>
            </w:r>
          </w:p>
        </w:tc>
        <w:tc>
          <w:tcPr>
            <w:tcW w:w="11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(39,175)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(40,021)</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846</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25,262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21,935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3,327</w:t>
            </w:r>
          </w:p>
        </w:tc>
        <w:tc>
          <w:tcPr>
            <w:tcW w:w="11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0"/>
        </w:trPr>
        <w:tc>
          <w:tcPr>
            <w:tcW w:w="57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720" w:type="dxa"/>
            <w:vAlign w:val="bottom"/>
            <w:gridSpan w:val="2"/>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180" w:type="dxa"/>
            <w:vAlign w:val="bottom"/>
          </w:tcPr>
          <w:p>
            <w:pPr>
              <w:spacing w:after="0"/>
              <w:rPr>
                <w:sz w:val="24"/>
                <w:szCs w:val="24"/>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3.8 pts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increase in resort management and other services revenues reflected $0.9 million of higher management fees, $0.7 million of higher resales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commission and other revenues, $0.5 million of additional annual club dues earned in connection with the MVCD program due to the cumulative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owners enrolled in the program, $0.4 million of higher ancillary revenues, $0.2 million of higher brand fees due to more closings compared to the prior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comparable period and $0.1 million of higher settlement fees due to an increase in the number of contracts closed. These increases were partially offset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of lower fees from external exchange service providers. The increase in ancillary revenues included a $1.6 million increase in ancillary revenues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food and beverage and golf offerings at our existing resorts and $0.6 million of ancillary revenues at the operating hotel in San Diego acquired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2015, partially offset by a $1.8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million decline due to the disposition of certain assets during the prior year, the closure of another ancillary operation during the prior year and outsourcing of the operation of a restaurant during the prior year.</w:t>
      </w:r>
    </w:p>
    <w:p>
      <w:pPr>
        <w:spacing w:after="0" w:line="62"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The improvement in the resort management and other services margin reflected the changes in revenue, as well as $0.8 million of lower expenses, including $3.1 million of ancillary expense savings from the dispositions, closure and outsourcing noted above, partially offset by $1.8 million of higher ancillary, customer service, settlement and MVCD program expenses related to the higher revenues from our existing resorts in the twelve weeks ended September 11, 2015 and $0.5 million from the operation of the hotel in San Diego.</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Thirty-Six Weeks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7"/>
              </w:rPr>
              <w:t>Change</w:t>
            </w:r>
          </w:p>
        </w:tc>
        <w:tc>
          <w:tcPr>
            <w:tcW w:w="16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w w:val="90"/>
              </w:rPr>
              <w:t>September 11, 2015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w w:val="90"/>
              </w:rPr>
              <w:t>September 12, 2014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47,403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44,637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2,766</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141,803</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139,959</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1,844</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189,206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184,596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4,610</w:t>
            </w:r>
          </w:p>
        </w:tc>
        <w:tc>
          <w:tcPr>
            <w:tcW w:w="11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(115,244)</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(119,637)</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4,393</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73,962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64,959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9,003</w:t>
            </w:r>
          </w:p>
        </w:tc>
        <w:tc>
          <w:tcPr>
            <w:tcW w:w="11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60" w:type="dxa"/>
            <w:vAlign w:val="bottom"/>
            <w:gridSpan w:val="2"/>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140" w:type="dxa"/>
            <w:vAlign w:val="bottom"/>
          </w:tcPr>
          <w:p>
            <w:pPr>
              <w:spacing w:after="0"/>
              <w:rPr>
                <w:sz w:val="24"/>
                <w:szCs w:val="24"/>
                <w:color w:val="auto"/>
              </w:rPr>
            </w:pPr>
          </w:p>
        </w:tc>
        <w:tc>
          <w:tcPr>
            <w:tcW w:w="1420" w:type="dxa"/>
            <w:vAlign w:val="bottom"/>
          </w:tcPr>
          <w:p>
            <w:pPr>
              <w:jc w:val="right"/>
              <w:ind w:right="54"/>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3.9 pts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The increase in resort management and other services revenues reflected $2.8 million of higher management fees, $2.0 million of additional annual club dues earned in connection with the MVCD program due to the cumulative increase in owners enrolled in the program, $1.5 million of higher settlement and lien fees due to an increase in the number of contracts closed and higher assessed lien fees, and $1.0 million of higher resales commission and other revenues, partially offset by $2.4 million of lower ancillary revenues and $0.3 million of lower fees from external exchange service providers. The decrease in ancillary revenues included a $7.0 million decline due to the disposition of certain assets during the prior year, the closure of another ancillary operation during the prior year and outsourcing the operation of a restaurant during the prior year, partially offset by a $3.4 million increase in ancillary revenues from food and beverage and golf offerings at our existing resorts and $1.2 million of ancillary revenues at the operating hotel in San Diego acquired in the first quarter of 2015.</w:t>
      </w:r>
    </w:p>
    <w:p>
      <w:pPr>
        <w:spacing w:after="0" w:line="84"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The improvement in the resort management and other services margin reflected the changes in revenue, as well as $4.4 million of lower expenses, including $10.9 million of ancillary expense savings from the dispositions, closure and outsourcing noted above, partially offset by $5.5 million of higher ancillary, customer service, settlement and MVCD program expenses related to the higher revenues from our existing resorts in the thirty-six weeks ended September 11, 2015 and $1.0 million from the operation of the hotel in San Diego.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w w:val="90"/>
              </w:rPr>
              <w:t>September 11, 2015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w w:val="91"/>
              </w:rPr>
              <w:t>September 12, 2014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25,066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26,107</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1,333</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1,412</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26,399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27,519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1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0"/>
        </w:trPr>
        <w:tc>
          <w:tcPr>
            <w:tcW w:w="60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00" w:type="dxa"/>
            <w:vAlign w:val="bottom"/>
            <w:gridSpan w:val="2"/>
          </w:tcPr>
          <w:p>
            <w:pPr>
              <w:spacing w:after="0"/>
              <w:rPr>
                <w:sz w:val="20"/>
                <w:szCs w:val="20"/>
                <w:color w:val="auto"/>
              </w:rPr>
            </w:pPr>
            <w:r>
              <w:rPr>
                <w:rFonts w:ascii="Arial" w:cs="Arial" w:eastAsia="Arial" w:hAnsi="Arial"/>
                <w:sz w:val="18"/>
                <w:szCs w:val="18"/>
                <w:color w:val="auto"/>
              </w:rPr>
              <w:t>Financing propensity</w:t>
            </w:r>
          </w:p>
        </w:tc>
        <w:tc>
          <w:tcPr>
            <w:tcW w:w="140" w:type="dxa"/>
            <w:vAlign w:val="bottom"/>
          </w:tcPr>
          <w:p>
            <w:pPr>
              <w:spacing w:after="0"/>
              <w:rPr>
                <w:sz w:val="24"/>
                <w:szCs w:val="24"/>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decrease in financing revenues was due to lower interest income from a lower outstanding vacation ownership notes receivable balance. This decline reflected our continued collection of existing vacation ownership notes receivable at a faster pace than our origination of new vacation ownership notes receivable.</w:t>
      </w:r>
    </w:p>
    <w:p>
      <w:pPr>
        <w:spacing w:after="0" w:line="73"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increase in financing propensity resulted from new programs implemented in the first half of 2015 to help drive financing propensity higher than the 40 to 45 percent that the company has averaged in recent years.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Thirty-Six Weeks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660" w:type="dxa"/>
            <w:vAlign w:val="bottom"/>
            <w:gridSpan w:val="2"/>
            <w:vMerge w:val="continue"/>
          </w:tcPr>
          <w:p>
            <w:pPr>
              <w:spacing w:after="0"/>
              <w:rPr>
                <w:sz w:val="12"/>
                <w:szCs w:val="12"/>
                <w:color w:val="auto"/>
              </w:rPr>
            </w:pPr>
          </w:p>
        </w:tc>
        <w:tc>
          <w:tcPr>
            <w:tcW w:w="1560" w:type="dxa"/>
            <w:vAlign w:val="bottom"/>
            <w:gridSpan w:val="2"/>
          </w:tcPr>
          <w:p>
            <w:pPr>
              <w:jc w:val="right"/>
              <w:ind w:right="134"/>
              <w:spacing w:after="0" w:line="142" w:lineRule="exact"/>
              <w:rPr>
                <w:sz w:val="20"/>
                <w:szCs w:val="20"/>
                <w:color w:val="auto"/>
              </w:rPr>
            </w:pPr>
            <w:r>
              <w:rPr>
                <w:rFonts w:ascii="Arial" w:cs="Arial" w:eastAsia="Arial" w:hAnsi="Arial"/>
                <w:sz w:val="14"/>
                <w:szCs w:val="14"/>
                <w:b w:val="1"/>
                <w:bCs w:val="1"/>
                <w:color w:val="auto"/>
              </w:rPr>
              <w:t>September 11, 2015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w w:val="91"/>
              </w:rPr>
              <w:t>September 12, 2014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4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75,702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79,557</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(3,855)</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4,107</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4,330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(223)</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54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79,809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83,887</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(4,078)</w:t>
            </w:r>
          </w:p>
        </w:tc>
        <w:tc>
          <w:tcPr>
            <w:tcW w:w="11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0"/>
        </w:trPr>
        <w:tc>
          <w:tcPr>
            <w:tcW w:w="566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660" w:type="dxa"/>
            <w:vAlign w:val="bottom"/>
            <w:gridSpan w:val="2"/>
          </w:tcPr>
          <w:p>
            <w:pPr>
              <w:spacing w:after="0"/>
              <w:rPr>
                <w:sz w:val="20"/>
                <w:szCs w:val="20"/>
                <w:color w:val="auto"/>
              </w:rPr>
            </w:pPr>
            <w:r>
              <w:rPr>
                <w:rFonts w:ascii="Arial" w:cs="Arial" w:eastAsia="Arial" w:hAnsi="Arial"/>
                <w:sz w:val="18"/>
                <w:szCs w:val="18"/>
                <w:color w:val="auto"/>
              </w:rPr>
              <w:t>Financing propensity</w:t>
            </w:r>
          </w:p>
        </w:tc>
        <w:tc>
          <w:tcPr>
            <w:tcW w:w="540" w:type="dxa"/>
            <w:vAlign w:val="bottom"/>
          </w:tcPr>
          <w:p>
            <w:pPr>
              <w:spacing w:after="0"/>
              <w:rPr>
                <w:sz w:val="24"/>
                <w:szCs w:val="24"/>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decrease in financing revenues was due to lower interest income from a lower outstanding vacation ownership notes receivable balance. This decline reflected our continued collection of existing vacation ownership notes receivable at a faster pace than our origination of new vacation ownership notes receivable.</w:t>
      </w:r>
    </w:p>
    <w:p>
      <w:pPr>
        <w:spacing w:after="0" w:line="73"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increase in financing propensity resulted from new programs implemented in the first half of 2015 to help drive financing propensity higher than the 40 to 45 percent that the company has averaged in recent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4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62"/>
              <w:spacing w:after="0"/>
              <w:rPr>
                <w:sz w:val="20"/>
                <w:szCs w:val="20"/>
                <w:color w:val="auto"/>
              </w:rPr>
            </w:pPr>
            <w:r>
              <w:rPr>
                <w:rFonts w:ascii="Arial" w:cs="Arial" w:eastAsia="Arial" w:hAnsi="Arial"/>
                <w:sz w:val="14"/>
                <w:szCs w:val="14"/>
                <w:b w:val="1"/>
                <w:bCs w:val="1"/>
                <w:color w:val="auto"/>
              </w:rPr>
              <w:t>Twelve Weeks Ended</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660" w:type="dxa"/>
            <w:vAlign w:val="bottom"/>
            <w:gridSpan w:val="3"/>
            <w:vMerge w:val="continue"/>
          </w:tcPr>
          <w:p>
            <w:pPr>
              <w:spacing w:after="0"/>
              <w:rPr>
                <w:sz w:val="12"/>
                <w:szCs w:val="12"/>
                <w:color w:val="auto"/>
              </w:rPr>
            </w:pPr>
          </w:p>
        </w:tc>
        <w:tc>
          <w:tcPr>
            <w:tcW w:w="156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September 11, 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September 12, 2014</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4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65,135</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4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55,216</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9,919</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340"/>
              <w:spacing w:after="0"/>
              <w:rPr>
                <w:sz w:val="20"/>
                <w:szCs w:val="20"/>
                <w:color w:val="auto"/>
              </w:rPr>
            </w:pPr>
            <w:r>
              <w:rPr>
                <w:rFonts w:ascii="Arial" w:cs="Arial" w:eastAsia="Arial" w:hAnsi="Arial"/>
                <w:sz w:val="18"/>
                <w:szCs w:val="18"/>
                <w:color w:val="auto"/>
              </w:rPr>
              <w:t>Unsold maintenance fees — upscale</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(10,360)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(1,818)</w:t>
            </w:r>
          </w:p>
        </w:tc>
        <w:tc>
          <w:tcPr>
            <w:tcW w:w="110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Unsold maintenance fees — luxury</w:t>
            </w: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1,116</w:t>
            </w:r>
          </w:p>
        </w:tc>
        <w:tc>
          <w:tcPr>
            <w:tcW w:w="11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39%</w:t>
            </w:r>
          </w:p>
        </w:tc>
        <w:tc>
          <w:tcPr>
            <w:tcW w:w="0" w:type="dxa"/>
            <w:vAlign w:val="bottom"/>
          </w:tcPr>
          <w:p>
            <w:pPr>
              <w:spacing w:after="0"/>
              <w:rPr>
                <w:sz w:val="1"/>
                <w:szCs w:val="1"/>
                <w:color w:val="auto"/>
              </w:rPr>
            </w:pPr>
          </w:p>
        </w:tc>
      </w:tr>
      <w:tr>
        <w:trPr>
          <w:trHeight w:val="291"/>
        </w:trPr>
        <w:tc>
          <w:tcPr>
            <w:tcW w:w="5660" w:type="dxa"/>
            <w:vAlign w:val="bottom"/>
            <w:gridSpan w:val="3"/>
          </w:tcPr>
          <w:p>
            <w:pPr>
              <w:spacing w:after="0"/>
              <w:rPr>
                <w:sz w:val="20"/>
                <w:szCs w:val="20"/>
                <w:color w:val="auto"/>
              </w:rPr>
            </w:pPr>
            <w:r>
              <w:rPr>
                <w:rFonts w:ascii="Arial" w:cs="Arial" w:eastAsia="Arial" w:hAnsi="Arial"/>
                <w:sz w:val="18"/>
                <w:szCs w:val="18"/>
                <w:color w:val="auto"/>
              </w:rPr>
              <w:t>Unsold maintenance fees</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(13,910)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(13,208)</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(702)</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rental expenses</w:t>
            </w: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(39,832)</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(33,754)</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(6,078)</w:t>
            </w:r>
          </w:p>
        </w:tc>
        <w:tc>
          <w:tcPr>
            <w:tcW w:w="11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5"/>
              </w:rPr>
              <w:t>(18%)</w:t>
            </w:r>
          </w:p>
        </w:tc>
        <w:tc>
          <w:tcPr>
            <w:tcW w:w="0" w:type="dxa"/>
            <w:vAlign w:val="bottom"/>
          </w:tcPr>
          <w:p>
            <w:pPr>
              <w:spacing w:after="0"/>
              <w:rPr>
                <w:sz w:val="1"/>
                <w:szCs w:val="1"/>
                <w:color w:val="auto"/>
              </w:rPr>
            </w:pPr>
          </w:p>
        </w:tc>
      </w:tr>
      <w:tr>
        <w:trPr>
          <w:trHeight w:val="291"/>
        </w:trPr>
        <w:tc>
          <w:tcPr>
            <w:tcW w:w="5660" w:type="dxa"/>
            <w:vAlign w:val="bottom"/>
            <w:gridSpan w:val="3"/>
          </w:tcPr>
          <w:p>
            <w:pPr>
              <w:spacing w:after="0"/>
              <w:rPr>
                <w:sz w:val="20"/>
                <w:szCs w:val="20"/>
                <w:color w:val="auto"/>
              </w:rPr>
            </w:pPr>
            <w:r>
              <w:rPr>
                <w:rFonts w:ascii="Arial" w:cs="Arial" w:eastAsia="Arial" w:hAnsi="Arial"/>
                <w:sz w:val="18"/>
                <w:szCs w:val="18"/>
                <w:color w:val="auto"/>
              </w:rPr>
              <w:t>Rental margin</w:t>
            </w:r>
          </w:p>
        </w:tc>
        <w:tc>
          <w:tcPr>
            <w:tcW w:w="48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11,393</w:t>
            </w:r>
          </w:p>
        </w:tc>
        <w:tc>
          <w:tcPr>
            <w:tcW w:w="60" w:type="dxa"/>
            <w:vAlign w:val="bottom"/>
          </w:tcPr>
          <w:p>
            <w:pPr>
              <w:spacing w:after="0"/>
              <w:rPr>
                <w:sz w:val="24"/>
                <w:szCs w:val="24"/>
                <w:color w:val="auto"/>
              </w:rPr>
            </w:pPr>
          </w:p>
        </w:tc>
        <w:tc>
          <w:tcPr>
            <w:tcW w:w="880" w:type="dxa"/>
            <w:vAlign w:val="bottom"/>
            <w:gridSpan w:val="3"/>
          </w:tcPr>
          <w:p>
            <w:pPr>
              <w:jc w:val="right"/>
              <w:ind w:right="46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8,254</w:t>
            </w: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3,139</w:t>
            </w:r>
          </w:p>
        </w:tc>
        <w:tc>
          <w:tcPr>
            <w:tcW w:w="110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 pts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right"/>
              <w:ind w:right="102"/>
              <w:spacing w:after="0"/>
              <w:rPr>
                <w:sz w:val="20"/>
                <w:szCs w:val="20"/>
                <w:color w:val="auto"/>
              </w:rPr>
            </w:pPr>
            <w:r>
              <w:rPr>
                <w:rFonts w:ascii="Arial" w:cs="Arial" w:eastAsia="Arial" w:hAnsi="Arial"/>
                <w:sz w:val="14"/>
                <w:szCs w:val="14"/>
                <w:b w:val="1"/>
                <w:bCs w:val="1"/>
                <w:color w:val="auto"/>
              </w:rPr>
              <w:t>Twelve Weeks Ended</w:t>
            </w:r>
          </w:p>
        </w:tc>
        <w:tc>
          <w:tcPr>
            <w:tcW w:w="8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24"/>
                <w:szCs w:val="2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September 11, 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September 12, 2014</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253,873</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238,463</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15,410</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Average transient key rate</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209.70</w:t>
            </w:r>
          </w:p>
        </w:tc>
        <w:tc>
          <w:tcPr>
            <w:tcW w:w="60" w:type="dxa"/>
            <w:vAlign w:val="bottom"/>
          </w:tcPr>
          <w:p>
            <w:pPr>
              <w:spacing w:after="0"/>
              <w:rPr>
                <w:sz w:val="18"/>
                <w:szCs w:val="18"/>
                <w:color w:val="auto"/>
              </w:rPr>
            </w:pPr>
          </w:p>
        </w:tc>
        <w:tc>
          <w:tcPr>
            <w:tcW w:w="880" w:type="dxa"/>
            <w:vAlign w:val="bottom"/>
            <w:gridSpan w:val="3"/>
          </w:tcPr>
          <w:p>
            <w:pPr>
              <w:jc w:val="right"/>
              <w:ind w:right="52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205.82</w:t>
            </w: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3.88</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0.1 pts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576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117"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The increase in rental revenues was due to a 6 percent increase in transient keys rented ($3.2 million) primarily sourced from a 5 percent increase in available keys, $1.7 million of higher plus points revenue (which is recognized upon utilization of plus points for stays at our resorts or upon expiration of the points), a 2 percent increase in average transient rate ($1.0 million) driven by stronger consumer demand, and a $0.8 million increase in preview keys and other revenue. In addition, we generated $3.2 million of revenue from the operation of the hotel in San Diego acquired during the first quarter of 2015.</w:t>
      </w:r>
    </w:p>
    <w:p>
      <w:pPr>
        <w:spacing w:after="0" w:line="46"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The increase in rental margin reflected $1.6 million of higher rental revenues net of direct variable expenses (such as housekeeping), expenses incurred due to owners choosing alternative usage options, and unsold maintenance fees, as well as the $1.7 million increase in plus points revenue, partially offset by a $0.2 million loss from the operation of the hotel in San Diego acquired during the first quarter of 2015.</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5"/>
              </w:rPr>
              <w:t>Thirty-Six Weeks Ended</w:t>
            </w: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vMerge w:val="restart"/>
          </w:tcPr>
          <w:p>
            <w:pPr>
              <w:jc w:val="right"/>
              <w:ind w:right="29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gridSpan w:val="3"/>
          </w:tcPr>
          <w:p>
            <w:pPr>
              <w:jc w:val="right"/>
              <w:ind w:right="133"/>
              <w:spacing w:after="0" w:line="142" w:lineRule="exact"/>
              <w:rPr>
                <w:sz w:val="20"/>
                <w:szCs w:val="20"/>
                <w:color w:val="auto"/>
              </w:rPr>
            </w:pPr>
            <w:r>
              <w:rPr>
                <w:rFonts w:ascii="Arial" w:cs="Arial" w:eastAsia="Arial" w:hAnsi="Arial"/>
                <w:sz w:val="14"/>
                <w:szCs w:val="14"/>
                <w:b w:val="1"/>
                <w:bCs w:val="1"/>
                <w:color w:val="auto"/>
              </w:rPr>
              <w:t>September 11, 2015</w:t>
            </w:r>
          </w:p>
        </w:tc>
        <w:tc>
          <w:tcPr>
            <w:tcW w:w="160" w:type="dxa"/>
            <w:vAlign w:val="bottom"/>
          </w:tcPr>
          <w:p>
            <w:pPr>
              <w:spacing w:after="0"/>
              <w:rPr>
                <w:sz w:val="12"/>
                <w:szCs w:val="12"/>
                <w:color w:val="auto"/>
              </w:rPr>
            </w:pPr>
          </w:p>
        </w:tc>
        <w:tc>
          <w:tcPr>
            <w:tcW w:w="1560" w:type="dxa"/>
            <w:vAlign w:val="bottom"/>
            <w:gridSpan w:val="4"/>
          </w:tcPr>
          <w:p>
            <w:pPr>
              <w:jc w:val="right"/>
              <w:ind w:right="148"/>
              <w:spacing w:after="0" w:line="142" w:lineRule="exact"/>
              <w:rPr>
                <w:sz w:val="20"/>
                <w:szCs w:val="20"/>
                <w:color w:val="auto"/>
              </w:rPr>
            </w:pPr>
            <w:r>
              <w:rPr>
                <w:rFonts w:ascii="Arial" w:cs="Arial" w:eastAsia="Arial" w:hAnsi="Arial"/>
                <w:sz w:val="14"/>
                <w:szCs w:val="14"/>
                <w:b w:val="1"/>
                <w:bCs w:val="1"/>
                <w:color w:val="auto"/>
              </w:rPr>
              <w:t>September 12, 2014</w:t>
            </w:r>
          </w:p>
        </w:tc>
        <w:tc>
          <w:tcPr>
            <w:tcW w:w="1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5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202,606</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168,943</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33,663</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40"/>
              <w:spacing w:after="0"/>
              <w:rPr>
                <w:sz w:val="20"/>
                <w:szCs w:val="20"/>
                <w:color w:val="auto"/>
              </w:rPr>
            </w:pPr>
            <w:r>
              <w:rPr>
                <w:rFonts w:ascii="Arial" w:cs="Arial" w:eastAsia="Arial" w:hAnsi="Arial"/>
                <w:sz w:val="18"/>
                <w:szCs w:val="18"/>
                <w:color w:val="auto"/>
              </w:rPr>
              <w:t>Unsold maintenance fees — upscale</w:t>
            </w: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(35,521)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rPr>
              <w:t>(29,958)</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(5,563)</w:t>
            </w:r>
          </w:p>
        </w:tc>
        <w:tc>
          <w:tcPr>
            <w:tcW w:w="110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Unsold maintenance fees — luxury</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(7,587)</w:t>
            </w:r>
          </w:p>
        </w:tc>
        <w:tc>
          <w:tcPr>
            <w:tcW w:w="1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1,439</w:t>
            </w:r>
          </w:p>
        </w:tc>
        <w:tc>
          <w:tcPr>
            <w:tcW w:w="11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19%</w:t>
            </w:r>
          </w:p>
        </w:tc>
        <w:tc>
          <w:tcPr>
            <w:tcW w:w="0" w:type="dxa"/>
            <w:vAlign w:val="bottom"/>
          </w:tcPr>
          <w:p>
            <w:pPr>
              <w:spacing w:after="0"/>
              <w:rPr>
                <w:sz w:val="1"/>
                <w:szCs w:val="1"/>
                <w:color w:val="auto"/>
              </w:rPr>
            </w:pPr>
          </w:p>
        </w:tc>
      </w:tr>
      <w:tr>
        <w:trPr>
          <w:trHeight w:val="291"/>
        </w:trPr>
        <w:tc>
          <w:tcPr>
            <w:tcW w:w="3740" w:type="dxa"/>
            <w:vAlign w:val="bottom"/>
            <w:gridSpan w:val="2"/>
          </w:tcPr>
          <w:p>
            <w:pPr>
              <w:spacing w:after="0"/>
              <w:rPr>
                <w:sz w:val="20"/>
                <w:szCs w:val="20"/>
                <w:color w:val="auto"/>
              </w:rPr>
            </w:pPr>
            <w:r>
              <w:rPr>
                <w:rFonts w:ascii="Arial" w:cs="Arial" w:eastAsia="Arial" w:hAnsi="Arial"/>
                <w:sz w:val="18"/>
                <w:szCs w:val="18"/>
                <w:color w:val="auto"/>
              </w:rPr>
              <w:t>Unsold maintenance fees</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(41,669)</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rPr>
              <w:t>(37,545)</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(4,124)</w:t>
            </w: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rental expenses</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(121,812)</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5"/>
              </w:rPr>
              <w:t>(108,439)</w:t>
            </w:r>
          </w:p>
        </w:tc>
        <w:tc>
          <w:tcPr>
            <w:tcW w:w="1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(13,373)</w:t>
            </w:r>
          </w:p>
        </w:tc>
        <w:tc>
          <w:tcPr>
            <w:tcW w:w="11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91"/>
        </w:trPr>
        <w:tc>
          <w:tcPr>
            <w:tcW w:w="3740" w:type="dxa"/>
            <w:vAlign w:val="bottom"/>
            <w:gridSpan w:val="2"/>
          </w:tcPr>
          <w:p>
            <w:pPr>
              <w:spacing w:after="0"/>
              <w:rPr>
                <w:sz w:val="20"/>
                <w:szCs w:val="20"/>
                <w:color w:val="auto"/>
              </w:rPr>
            </w:pPr>
            <w:r>
              <w:rPr>
                <w:rFonts w:ascii="Arial" w:cs="Arial" w:eastAsia="Arial" w:hAnsi="Arial"/>
                <w:sz w:val="18"/>
                <w:szCs w:val="18"/>
                <w:color w:val="auto"/>
              </w:rPr>
              <w:t>Rental margin</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39,125</w:t>
            </w:r>
          </w:p>
        </w:tc>
        <w:tc>
          <w:tcPr>
            <w:tcW w:w="4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8"/>
                <w:szCs w:val="18"/>
                <w:color w:val="auto"/>
              </w:rPr>
              <w:t>22,959</w:t>
            </w:r>
          </w:p>
        </w:tc>
        <w:tc>
          <w:tcPr>
            <w:tcW w:w="660" w:type="dxa"/>
            <w:vAlign w:val="bottom"/>
            <w:gridSpan w:val="2"/>
          </w:tcPr>
          <w:p>
            <w:pPr>
              <w:jc w:val="right"/>
              <w:ind w:right="219"/>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16,166</w:t>
            </w:r>
          </w:p>
        </w:tc>
        <w:tc>
          <w:tcPr>
            <w:tcW w:w="110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3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5"/>
              </w:rPr>
              <w:t>5.7 pts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980" w:type="dxa"/>
            <w:vAlign w:val="bottom"/>
            <w:tcBorders>
              <w:bottom w:val="single" w:sz="8" w:color="auto"/>
            </w:tcBorders>
            <w:gridSpan w:val="5"/>
          </w:tcPr>
          <w:p>
            <w:pPr>
              <w:jc w:val="right"/>
              <w:ind w:right="653"/>
              <w:spacing w:after="0"/>
              <w:rPr>
                <w:sz w:val="20"/>
                <w:szCs w:val="20"/>
                <w:color w:val="auto"/>
              </w:rPr>
            </w:pPr>
            <w:r>
              <w:rPr>
                <w:rFonts w:ascii="Arial" w:cs="Arial" w:eastAsia="Arial" w:hAnsi="Arial"/>
                <w:sz w:val="14"/>
                <w:szCs w:val="14"/>
                <w:b w:val="1"/>
                <w:bCs w:val="1"/>
                <w:color w:val="auto"/>
              </w:rPr>
              <w:t>Thirty-Six Weeks Ended</w:t>
            </w:r>
          </w:p>
        </w:tc>
        <w:tc>
          <w:tcPr>
            <w:tcW w:w="1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gridSpan w:val="3"/>
            <w:vMerge w:val="restart"/>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92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September 11, 2015</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jc w:val="right"/>
              <w:ind w:right="139"/>
              <w:spacing w:after="0" w:line="142" w:lineRule="exact"/>
              <w:rPr>
                <w:sz w:val="20"/>
                <w:szCs w:val="20"/>
                <w:color w:val="auto"/>
              </w:rPr>
            </w:pPr>
            <w:r>
              <w:rPr>
                <w:rFonts w:ascii="Arial" w:cs="Arial" w:eastAsia="Arial" w:hAnsi="Arial"/>
                <w:sz w:val="14"/>
                <w:szCs w:val="14"/>
                <w:b w:val="1"/>
                <w:bCs w:val="1"/>
                <w:color w:val="auto"/>
                <w:w w:val="90"/>
              </w:rPr>
              <w:t>September 12, 2014</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785,833</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728,208</w:t>
            </w: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57,625</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50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217.06</w:t>
            </w:r>
          </w:p>
        </w:tc>
        <w:tc>
          <w:tcPr>
            <w:tcW w:w="3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9"/>
              <w:spacing w:after="0"/>
              <w:rPr>
                <w:sz w:val="20"/>
                <w:szCs w:val="20"/>
                <w:color w:val="auto"/>
              </w:rPr>
            </w:pPr>
            <w:r>
              <w:rPr>
                <w:rFonts w:ascii="Arial" w:cs="Arial" w:eastAsia="Arial" w:hAnsi="Arial"/>
                <w:sz w:val="18"/>
                <w:szCs w:val="18"/>
                <w:color w:val="auto"/>
              </w:rPr>
              <w:t>207.00</w:t>
            </w:r>
          </w:p>
        </w:tc>
        <w:tc>
          <w:tcPr>
            <w:tcW w:w="400" w:type="dxa"/>
            <w:vAlign w:val="bottom"/>
          </w:tcPr>
          <w:p>
            <w:pPr>
              <w:spacing w:after="0"/>
              <w:rPr>
                <w:sz w:val="18"/>
                <w:szCs w:val="18"/>
                <w:color w:val="auto"/>
              </w:rPr>
            </w:pPr>
          </w:p>
        </w:tc>
        <w:tc>
          <w:tcPr>
            <w:tcW w:w="84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90.4%</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90.5%</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(0.1 pts)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576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The increase in rental revenues was due to an 8 percent increase in transient keys rented ($11.9 million) primarily sourced from an 8 percent increase in available keys, a 5 percent increase in average transient rate ($7.9 million) driven by stronger consumer demand, $4.4 million of higher plus points revenue (which is recognized upon utilization of plus points for stays at our resorts or upon expiration of the points) and a $3.1 million increase in preview keys and other revenue. In addition, we generated $6.4 million of revenue from the operation of the hotel in San Diego acquired during the first quarter of 2015.</w:t>
      </w:r>
    </w:p>
    <w:p>
      <w:pPr>
        <w:spacing w:after="0" w:line="80" w:lineRule="exact"/>
        <w:rPr>
          <w:sz w:val="20"/>
          <w:szCs w:val="20"/>
          <w:color w:val="auto"/>
        </w:rPr>
      </w:pPr>
    </w:p>
    <w:p>
      <w:pPr>
        <w:jc w:val="both"/>
        <w:ind w:right="120" w:firstLine="913"/>
        <w:spacing w:after="0" w:line="286" w:lineRule="auto"/>
        <w:rPr>
          <w:sz w:val="20"/>
          <w:szCs w:val="20"/>
          <w:color w:val="auto"/>
        </w:rPr>
      </w:pPr>
      <w:r>
        <w:rPr>
          <w:rFonts w:ascii="Arial" w:cs="Arial" w:eastAsia="Arial" w:hAnsi="Arial"/>
          <w:sz w:val="17"/>
          <w:szCs w:val="17"/>
          <w:color w:val="auto"/>
        </w:rPr>
        <w:t>The increase in rental margin reflected $13.1 million of higher rental revenues net of direct variable expenses (such as housekeeping), expenses incurred due to owners choosing alternative usage options, and unsold maintenance fees, as well as the $4.4 million increase in plus points revenue, partially offset by a $1.3 million loss from the operation of the hotel in San Diego acquired during the first quarter of 2015.</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17"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twelve and thirty-six weeks ended September 11, 2015, compared to the twelve and thirty-six weeks ended September 12,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42"/>
        </w:trPr>
        <w:tc>
          <w:tcPr>
            <w:tcW w:w="5380" w:type="dxa"/>
            <w:vAlign w:val="bottom"/>
            <w:tcBorders>
              <w:bottom w:val="single" w:sz="8" w:color="CCEEFF"/>
            </w:tcBorders>
            <w:vMerge w:val="continue"/>
          </w:tcPr>
          <w:p>
            <w:pPr>
              <w:spacing w:after="0"/>
              <w:rPr>
                <w:sz w:val="12"/>
                <w:szCs w:val="12"/>
                <w:color w:val="auto"/>
              </w:rPr>
            </w:pPr>
          </w:p>
        </w:tc>
        <w:tc>
          <w:tcPr>
            <w:tcW w:w="1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September 11, 2015</w:t>
            </w:r>
          </w:p>
        </w:tc>
        <w:tc>
          <w:tcPr>
            <w:tcW w:w="20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September 12, 2014</w:t>
            </w:r>
          </w:p>
        </w:tc>
        <w:tc>
          <w:tcPr>
            <w:tcW w:w="160" w:type="dxa"/>
            <w:vAlign w:val="bottom"/>
            <w:tcBorders>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September 11, 2015</w:t>
            </w:r>
          </w:p>
        </w:tc>
        <w:tc>
          <w:tcPr>
            <w:tcW w:w="200" w:type="dxa"/>
            <w:vAlign w:val="bottom"/>
            <w:tcBorders>
              <w:top w:val="single" w:sz="8" w:color="auto"/>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September 12,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7,591</w:t>
            </w:r>
          </w:p>
        </w:tc>
        <w:tc>
          <w:tcPr>
            <w:tcW w:w="80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9,564</w:t>
            </w:r>
          </w:p>
        </w:tc>
        <w:tc>
          <w:tcPr>
            <w:tcW w:w="50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19,138</w:t>
            </w:r>
          </w:p>
        </w:tc>
        <w:tc>
          <w:tcPr>
            <w:tcW w:w="5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26,822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7,179</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8,134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19,063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3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887</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988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2,774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8,335</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8,831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15,850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8,003</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9,774</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23,378</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5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31,995</w:t>
            </w:r>
          </w:p>
        </w:tc>
        <w:tc>
          <w:tcPr>
            <w:tcW w:w="2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0"/>
              </w:rPr>
              <w:t>37,291</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80,203</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96,511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3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vacation ownership products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2,070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2,888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4,155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Marketing and sales</w:t>
            </w:r>
          </w:p>
        </w:tc>
        <w:tc>
          <w:tcPr>
            <w:tcW w:w="3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4,954</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5,762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15,243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16,779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5,970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7,141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16,285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Rental</w:t>
            </w:r>
          </w:p>
        </w:tc>
        <w:tc>
          <w:tcPr>
            <w:tcW w:w="360" w:type="dxa"/>
            <w:vAlign w:val="bottom"/>
          </w:tcPr>
          <w:p>
            <w:pPr>
              <w:spacing w:after="0"/>
              <w:rPr>
                <w:sz w:val="18"/>
                <w:szCs w:val="18"/>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4,696</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4,881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11,660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12,108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fee</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8,003</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9,774</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23,378</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5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25,819</w:t>
            </w:r>
          </w:p>
        </w:tc>
        <w:tc>
          <w:tcPr>
            <w:tcW w:w="2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0"/>
              </w:rPr>
              <w:t>30,590</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71,011</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83,210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380" w:type="dxa"/>
            <w:vAlign w:val="bottom"/>
          </w:tcPr>
          <w:p>
            <w:pPr>
              <w:ind w:left="360"/>
              <w:spacing w:after="0"/>
              <w:rPr>
                <w:sz w:val="20"/>
                <w:szCs w:val="20"/>
                <w:color w:val="auto"/>
              </w:rPr>
            </w:pPr>
            <w:r>
              <w:rPr>
                <w:rFonts w:ascii="Arial" w:cs="Arial" w:eastAsia="Arial" w:hAnsi="Arial"/>
                <w:sz w:val="18"/>
                <w:szCs w:val="18"/>
                <w:color w:val="auto"/>
              </w:rPr>
              <w:t>Losses and other expense</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5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Segment financial results</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6,159</w:t>
            </w:r>
          </w:p>
        </w:tc>
        <w:tc>
          <w:tcPr>
            <w:tcW w:w="8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6,701</w:t>
            </w:r>
          </w:p>
        </w:tc>
        <w:tc>
          <w:tcPr>
            <w:tcW w:w="5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9,179</w:t>
            </w:r>
          </w:p>
        </w:tc>
        <w:tc>
          <w:tcPr>
            <w:tcW w:w="5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In our Europe segment, we are focused on selling our existing projects and managing existing resorts. We do not have any current plans for new development in this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Twelve Weeks Ended</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320" w:type="dxa"/>
            <w:vAlign w:val="bottom"/>
            <w:tcBorders>
              <w:bottom w:val="single" w:sz="8" w:color="CCEEFF"/>
            </w:tcBorders>
            <w:vMerge w:val="continue"/>
          </w:tcPr>
          <w:p>
            <w:pPr>
              <w:spacing w:after="0"/>
              <w:rPr>
                <w:sz w:val="12"/>
                <w:szCs w:val="12"/>
                <w:color w:val="auto"/>
              </w:rPr>
            </w:pPr>
          </w:p>
        </w:tc>
        <w:tc>
          <w:tcPr>
            <w:tcW w:w="1560" w:type="dxa"/>
            <w:vAlign w:val="bottom"/>
            <w:tcBorders>
              <w:bottom w:val="single" w:sz="8" w:color="auto"/>
            </w:tcBorders>
            <w:gridSpan w:val="2"/>
          </w:tcPr>
          <w:p>
            <w:pPr>
              <w:jc w:val="right"/>
              <w:ind w:right="136"/>
              <w:spacing w:after="0" w:line="142" w:lineRule="exact"/>
              <w:rPr>
                <w:sz w:val="20"/>
                <w:szCs w:val="20"/>
                <w:color w:val="auto"/>
              </w:rPr>
            </w:pPr>
            <w:r>
              <w:rPr>
                <w:rFonts w:ascii="Arial" w:cs="Arial" w:eastAsia="Arial" w:hAnsi="Arial"/>
                <w:sz w:val="14"/>
                <w:szCs w:val="14"/>
                <w:b w:val="1"/>
                <w:bCs w:val="1"/>
                <w:color w:val="auto"/>
              </w:rPr>
              <w:t>September 11, 2015</w:t>
            </w:r>
          </w:p>
        </w:tc>
        <w:tc>
          <w:tcPr>
            <w:tcW w:w="16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September 12, 2014</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58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10,093</w:t>
            </w:r>
          </w:p>
        </w:tc>
        <w:tc>
          <w:tcPr>
            <w:tcW w:w="94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11,307</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(1,214)</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r>
        <w:trPr>
          <w:trHeight w:val="75"/>
        </w:trPr>
        <w:tc>
          <w:tcPr>
            <w:tcW w:w="532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contract sales</w:t>
            </w:r>
          </w:p>
        </w:tc>
        <w:tc>
          <w:tcPr>
            <w:tcW w:w="58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9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11,307</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(1,214)</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340" w:firstLine="913"/>
        <w:spacing w:after="0" w:line="308" w:lineRule="auto"/>
        <w:rPr>
          <w:sz w:val="20"/>
          <w:szCs w:val="20"/>
          <w:color w:val="auto"/>
        </w:rPr>
      </w:pPr>
      <w:r>
        <w:rPr>
          <w:rFonts w:ascii="Arial" w:cs="Arial" w:eastAsia="Arial" w:hAnsi="Arial"/>
          <w:sz w:val="17"/>
          <w:szCs w:val="17"/>
          <w:color w:val="auto"/>
        </w:rPr>
        <w:t>The decrease in contract sales was driven by $1.4 million of lower sales from our Middle East sales location, as well as $1.2 million from the changes in foreign exchange rates, partially offset by $1.4 million of stronger fractional sales at our project in London, United Kingdom.</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Thirty-Six Weeks Ended</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320" w:type="dxa"/>
            <w:vAlign w:val="bottom"/>
            <w:tcBorders>
              <w:bottom w:val="single" w:sz="8" w:color="CCEEFF"/>
            </w:tcBorders>
            <w:vMerge w:val="continue"/>
          </w:tcPr>
          <w:p>
            <w:pPr>
              <w:spacing w:after="0"/>
              <w:rPr>
                <w:sz w:val="12"/>
                <w:szCs w:val="12"/>
                <w:color w:val="auto"/>
              </w:rPr>
            </w:pPr>
          </w:p>
        </w:tc>
        <w:tc>
          <w:tcPr>
            <w:tcW w:w="1560" w:type="dxa"/>
            <w:vAlign w:val="bottom"/>
            <w:tcBorders>
              <w:bottom w:val="single" w:sz="8" w:color="auto"/>
            </w:tcBorders>
            <w:gridSpan w:val="2"/>
          </w:tcPr>
          <w:p>
            <w:pPr>
              <w:jc w:val="right"/>
              <w:ind w:right="136"/>
              <w:spacing w:after="0" w:line="142" w:lineRule="exact"/>
              <w:rPr>
                <w:sz w:val="20"/>
                <w:szCs w:val="20"/>
                <w:color w:val="auto"/>
              </w:rPr>
            </w:pPr>
            <w:r>
              <w:rPr>
                <w:rFonts w:ascii="Arial" w:cs="Arial" w:eastAsia="Arial" w:hAnsi="Arial"/>
                <w:sz w:val="14"/>
                <w:szCs w:val="14"/>
                <w:b w:val="1"/>
                <w:bCs w:val="1"/>
                <w:color w:val="auto"/>
              </w:rPr>
              <w:t>September 11, 2015</w:t>
            </w:r>
          </w:p>
        </w:tc>
        <w:tc>
          <w:tcPr>
            <w:tcW w:w="16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September 12, 2014</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54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22,732</w:t>
            </w:r>
          </w:p>
        </w:tc>
        <w:tc>
          <w:tcPr>
            <w:tcW w:w="100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31,410</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(8,678)</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(28%)</w:t>
            </w:r>
          </w:p>
        </w:tc>
        <w:tc>
          <w:tcPr>
            <w:tcW w:w="0" w:type="dxa"/>
            <w:vAlign w:val="bottom"/>
          </w:tcPr>
          <w:p>
            <w:pPr>
              <w:spacing w:after="0"/>
              <w:rPr>
                <w:sz w:val="1"/>
                <w:szCs w:val="1"/>
                <w:color w:val="auto"/>
              </w:rPr>
            </w:pPr>
          </w:p>
        </w:tc>
      </w:tr>
      <w:tr>
        <w:trPr>
          <w:trHeight w:val="75"/>
        </w:trPr>
        <w:tc>
          <w:tcPr>
            <w:tcW w:w="532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contract sales</w:t>
            </w:r>
          </w:p>
        </w:tc>
        <w:tc>
          <w:tcPr>
            <w:tcW w:w="54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22,732</w:t>
            </w:r>
          </w:p>
        </w:tc>
        <w:tc>
          <w:tcPr>
            <w:tcW w:w="10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31,410</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(8,678)</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(28%)</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decrease in contract sales was driven by $6.4 million of lower sales from our Middle East sales location due to large multi-week purchases in the prior year comparable period that did not recur in the current period, as well as higher cancellations and fewer tours in the current period, $3.2 million from the changes in foreign exchange rates, and $0.5 million of lower sales across the other sites in this segment, partially offset by $1.4 million of stronger fractional sales at our project in London, United Kingdom.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4"/>
          </w:tcPr>
          <w:p>
            <w:pPr>
              <w:jc w:val="right"/>
              <w:ind w:right="1113"/>
              <w:spacing w:after="0"/>
              <w:rPr>
                <w:sz w:val="20"/>
                <w:szCs w:val="20"/>
                <w:color w:val="auto"/>
              </w:rPr>
            </w:pPr>
            <w:r>
              <w:rPr>
                <w:rFonts w:ascii="Arial" w:cs="Arial" w:eastAsia="Arial" w:hAnsi="Arial"/>
                <w:sz w:val="14"/>
                <w:szCs w:val="14"/>
                <w:b w:val="1"/>
                <w:bCs w:val="1"/>
                <w:color w:val="auto"/>
              </w:rPr>
              <w:t>Twelve Weeks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7"/>
              </w:rPr>
              <w:t>Change</w:t>
            </w:r>
          </w:p>
        </w:tc>
        <w:tc>
          <w:tcPr>
            <w:tcW w:w="14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46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w w:val="93"/>
              </w:rPr>
              <w:t>September 11, 2015</w:t>
            </w: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94"/>
              </w:rPr>
              <w:t>September 12, 2014</w:t>
            </w: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10,093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11,307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Reportability</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Sales reserve</w:t>
            </w:r>
          </w:p>
        </w:tc>
        <w:tc>
          <w:tcPr>
            <w:tcW w:w="240" w:type="dxa"/>
            <w:vAlign w:val="bottom"/>
          </w:tcPr>
          <w:p>
            <w:pPr>
              <w:spacing w:after="0"/>
              <w:rPr>
                <w:sz w:val="18"/>
                <w:szCs w:val="18"/>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46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5"/>
              <w:spacing w:after="0"/>
              <w:rPr>
                <w:sz w:val="20"/>
                <w:szCs w:val="20"/>
                <w:color w:val="auto"/>
              </w:rPr>
            </w:pPr>
            <w:r>
              <w:rPr>
                <w:rFonts w:ascii="Arial" w:cs="Arial" w:eastAsia="Arial" w:hAnsi="Arial"/>
                <w:sz w:val="18"/>
                <w:szCs w:val="18"/>
                <w:color w:val="auto"/>
              </w:rPr>
              <w:t>7,591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9,564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(1,973)</w:t>
            </w:r>
          </w:p>
        </w:tc>
        <w:tc>
          <w:tcPr>
            <w:tcW w:w="108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(21%)</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1576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36"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225"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Revenue reportability had a negative impact in the current period compared to the prior year comparable period because fewer sales met the down payment requirement for revenue recognition purposes prior to the end of the current period compared to the prior year comparable period. The slight increase in the sales reserve is due to an increase in the estimated default activity compared to the prior year comparable period, partially offset by the lower contract sales.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Thirty-Six Weeks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7"/>
              </w:rPr>
              <w:t>Change</w:t>
            </w:r>
          </w:p>
        </w:tc>
        <w:tc>
          <w:tcPr>
            <w:tcW w:w="16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380" w:type="dxa"/>
            <w:vAlign w:val="bottom"/>
            <w:tcBorders>
              <w:bottom w:val="single" w:sz="8" w:color="CCEEFF"/>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w w:val="93"/>
              </w:rPr>
              <w:t>September 11, 2015</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94"/>
              </w:rPr>
              <w:t>September 12, 2014</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22,732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31,410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(8,678)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Reportability</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(1,224)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1,066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Sales reserve</w:t>
            </w:r>
          </w:p>
        </w:tc>
        <w:tc>
          <w:tcPr>
            <w:tcW w:w="240" w:type="dxa"/>
            <w:vAlign w:val="bottom"/>
          </w:tcPr>
          <w:p>
            <w:pPr>
              <w:spacing w:after="0"/>
              <w:rPr>
                <w:sz w:val="18"/>
                <w:szCs w:val="18"/>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(3,098)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(3,171)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38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5"/>
              <w:spacing w:after="0"/>
              <w:rPr>
                <w:sz w:val="20"/>
                <w:szCs w:val="20"/>
                <w:color w:val="auto"/>
              </w:rPr>
            </w:pPr>
            <w:r>
              <w:rPr>
                <w:rFonts w:ascii="Arial" w:cs="Arial" w:eastAsia="Arial" w:hAnsi="Arial"/>
                <w:sz w:val="18"/>
                <w:szCs w:val="18"/>
                <w:color w:val="auto"/>
              </w:rPr>
              <w:t>19,138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26,822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(7,684)</w:t>
            </w:r>
          </w:p>
        </w:tc>
        <w:tc>
          <w:tcPr>
            <w:tcW w:w="110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(29%)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1576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3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5"/>
          <w:szCs w:val="15"/>
          <w:color w:val="auto"/>
        </w:rPr>
      </w:pPr>
      <w:r>
        <w:rPr>
          <w:rFonts w:ascii="Arial" w:cs="Arial" w:eastAsia="Arial" w:hAnsi="Arial"/>
          <w:sz w:val="18"/>
          <w:szCs w:val="18"/>
          <w:color w:val="auto"/>
        </w:rPr>
        <w:t>Adjustent for sales incentives that will not be recognized as Sale of vacation ownership products revenue.</w:t>
      </w:r>
    </w:p>
    <w:p>
      <w:pPr>
        <w:spacing w:after="0" w:line="225"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Revenue reportability had a smaller negative impact in the current period compared to the prior year comparable period because more sales met the down payment requirement for revenue recognition purposes prior to the end of the current period compared to the prior year comparable period. The decrease in the sales reserve is due to the lower contract sales, partially offset by an increase in the estimated default activity compared to the prior year comparable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4"/>
          </w:tcPr>
          <w:p>
            <w:pPr>
              <w:jc w:val="right"/>
              <w:ind w:right="1133"/>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7"/>
              </w:rPr>
              <w:t>Change</w:t>
            </w:r>
          </w:p>
        </w:tc>
        <w:tc>
          <w:tcPr>
            <w:tcW w:w="160" w:type="dxa"/>
            <w:vAlign w:val="bottom"/>
          </w:tcPr>
          <w:p>
            <w:pPr>
              <w:spacing w:after="0"/>
              <w:rPr>
                <w:sz w:val="14"/>
                <w:szCs w:val="14"/>
                <w:color w:val="auto"/>
              </w:rPr>
            </w:pPr>
          </w:p>
        </w:tc>
        <w:tc>
          <w:tcPr>
            <w:tcW w:w="9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w w:val="93"/>
              </w:rPr>
              <w:t>September 11, 2015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w w:val="94"/>
              </w:rPr>
              <w:t>September 12, 2014</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7,591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9,564</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(1,973)</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40" w:type="dxa"/>
            <w:vAlign w:val="bottom"/>
          </w:tcPr>
          <w:p>
            <w:pPr>
              <w:spacing w:after="0"/>
              <w:rPr>
                <w:sz w:val="18"/>
                <w:szCs w:val="18"/>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(2,070)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(2,888)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818</w:t>
            </w:r>
          </w:p>
        </w:tc>
        <w:tc>
          <w:tcPr>
            <w:tcW w:w="1100" w:type="dxa"/>
            <w:vAlign w:val="bottom"/>
            <w:gridSpan w:val="2"/>
          </w:tcPr>
          <w:p>
            <w:pPr>
              <w:jc w:val="right"/>
              <w:ind w:right="219"/>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(4,954)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(5,762)</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808</w:t>
            </w:r>
          </w:p>
        </w:tc>
        <w:tc>
          <w:tcPr>
            <w:tcW w:w="110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91"/>
        </w:trPr>
        <w:tc>
          <w:tcPr>
            <w:tcW w:w="5380" w:type="dxa"/>
            <w:vAlign w:val="bottom"/>
            <w:gridSpan w:val="2"/>
          </w:tcPr>
          <w:p>
            <w:pPr>
              <w:spacing w:after="0"/>
              <w:rPr>
                <w:sz w:val="20"/>
                <w:szCs w:val="20"/>
                <w:color w:val="auto"/>
              </w:rPr>
            </w:pPr>
            <w:r>
              <w:rPr>
                <w:rFonts w:ascii="Arial" w:cs="Arial" w:eastAsia="Arial" w:hAnsi="Arial"/>
                <w:sz w:val="18"/>
                <w:szCs w:val="18"/>
                <w:color w:val="auto"/>
              </w:rPr>
              <w:t>Development margin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5"/>
              <w:spacing w:after="0"/>
              <w:rPr>
                <w:sz w:val="20"/>
                <w:szCs w:val="20"/>
                <w:color w:val="auto"/>
              </w:rPr>
            </w:pPr>
            <w:r>
              <w:rPr>
                <w:rFonts w:ascii="Arial" w:cs="Arial" w:eastAsia="Arial" w:hAnsi="Arial"/>
                <w:sz w:val="18"/>
                <w:szCs w:val="18"/>
                <w:color w:val="auto"/>
              </w:rPr>
              <w:t>567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914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(347)</w:t>
            </w:r>
          </w:p>
        </w:tc>
        <w:tc>
          <w:tcPr>
            <w:tcW w:w="1100" w:type="dxa"/>
            <w:vAlign w:val="bottom"/>
            <w:gridSpan w:val="2"/>
          </w:tcPr>
          <w:p>
            <w:pPr>
              <w:jc w:val="right"/>
              <w:ind w:right="159"/>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 pts)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decrease in development margin reflected $0.4 million from the lower revenue reportability year-over-year and $0.2 million from the increase in the estimated default activity, partially offset by $0.3 million from the lower vacation ownership contract sales volume net of lower direct variable expenses (i.e., cost of vacation ownership products and marketing and sales) due to a favorable mix of lower cost vacation ownership real estate inventory being sold.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Thirty-Six Weeks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w w:val="90"/>
              </w:rPr>
              <w:t>September 11, 2015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w w:val="91"/>
              </w:rPr>
              <w:t>September 12, 2014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19,138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26,822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(7,684)</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40" w:type="dxa"/>
            <w:vAlign w:val="bottom"/>
          </w:tcPr>
          <w:p>
            <w:pPr>
              <w:spacing w:after="0"/>
              <w:rPr>
                <w:sz w:val="18"/>
                <w:szCs w:val="18"/>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(4,155)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(6,723)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2,568</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(15,243)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(16,779)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1,536</w:t>
            </w:r>
          </w:p>
        </w:tc>
        <w:tc>
          <w:tcPr>
            <w:tcW w:w="12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91"/>
        </w:trPr>
        <w:tc>
          <w:tcPr>
            <w:tcW w:w="5840" w:type="dxa"/>
            <w:vAlign w:val="bottom"/>
            <w:gridSpan w:val="2"/>
          </w:tcPr>
          <w:p>
            <w:pPr>
              <w:spacing w:after="0"/>
              <w:rPr>
                <w:sz w:val="20"/>
                <w:szCs w:val="20"/>
                <w:color w:val="auto"/>
              </w:rPr>
            </w:pPr>
            <w:r>
              <w:rPr>
                <w:rFonts w:ascii="Arial" w:cs="Arial" w:eastAsia="Arial" w:hAnsi="Arial"/>
                <w:sz w:val="18"/>
                <w:szCs w:val="18"/>
                <w:color w:val="auto"/>
              </w:rPr>
              <w:t>Development margin</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(260)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3,320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(3,580)</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6"/>
              </w:rPr>
              <w:t>(13.8 pts)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The decrease in development margin reflected $3.8 million from the lower vacation ownership contract sales volume net of lower direct variable expenses (i.e., cost of vacation ownership products and marketing and sales) due in part to less efficient marketing and sales spending at our existing sales locations due to an inability to leverage fixed costs on the lower sales volumes, as well as $0.5 million from the increase in the estimated default activity. These decreases were partially offset by $0.7 million from the higher revenue reportability year-over-year.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 Pacific</w:t>
      </w:r>
    </w:p>
    <w:p>
      <w:pPr>
        <w:spacing w:after="0" w:line="117"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twelve and thirty-six weeks ended September 11, 2015, compared to the twelve and thirty-six weeks ended September 12, 2014.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20" w:type="dxa"/>
            <w:vAlign w:val="bottom"/>
          </w:tcPr>
          <w:p>
            <w:pPr>
              <w:spacing w:after="0"/>
              <w:rPr>
                <w:sz w:val="14"/>
                <w:szCs w:val="14"/>
                <w:color w:val="auto"/>
              </w:rPr>
            </w:pPr>
          </w:p>
        </w:tc>
        <w:tc>
          <w:tcPr>
            <w:tcW w:w="3180" w:type="dxa"/>
            <w:vAlign w:val="bottom"/>
            <w:gridSpan w:val="4"/>
          </w:tcPr>
          <w:p>
            <w:pPr>
              <w:jc w:val="right"/>
              <w:ind w:right="911"/>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5"/>
          </w:tcPr>
          <w:p>
            <w:pPr>
              <w:ind w:left="78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1"/>
              </w:rPr>
              <w:t>September 11, 2015</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3"/>
              </w:rPr>
              <w:t>September 12, 2014</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1"/>
              </w:rPr>
              <w:t>September 11, 2015</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91"/>
              </w:rPr>
              <w:t>September 12,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6,303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7,641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50,156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21,863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120" w:type="dxa"/>
            <w:vAlign w:val="bottom"/>
          </w:tcPr>
          <w:p>
            <w:pPr>
              <w:spacing w:after="0"/>
              <w:rPr>
                <w:sz w:val="18"/>
                <w:szCs w:val="18"/>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1,008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1,038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3,057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6,424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703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2,107</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12,701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11,846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65,783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35,223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5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vacation ownership products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25,231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Marketing and sales</w:t>
            </w:r>
          </w:p>
        </w:tc>
        <w:tc>
          <w:tcPr>
            <w:tcW w:w="120" w:type="dxa"/>
            <w:vAlign w:val="bottom"/>
          </w:tcPr>
          <w:p>
            <w:pPr>
              <w:spacing w:after="0"/>
              <w:rPr>
                <w:sz w:val="18"/>
                <w:szCs w:val="18"/>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4,022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4,526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14,011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12,547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18"/>
                <w:szCs w:val="18"/>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4,129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2,762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9,419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8,294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fee</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703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2,107</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12,595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10,804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54,983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31,186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560" w:type="dxa"/>
            <w:vAlign w:val="bottom"/>
          </w:tcPr>
          <w:p>
            <w:pPr>
              <w:ind w:left="360"/>
              <w:spacing w:after="0"/>
              <w:rPr>
                <w:sz w:val="20"/>
                <w:szCs w:val="20"/>
                <w:color w:val="auto"/>
              </w:rPr>
            </w:pPr>
            <w:r>
              <w:rPr>
                <w:rFonts w:ascii="Arial" w:cs="Arial" w:eastAsia="Arial" w:hAnsi="Arial"/>
                <w:sz w:val="18"/>
                <w:szCs w:val="18"/>
                <w:color w:val="auto"/>
              </w:rPr>
              <w:t>Gains (losses) and other income (expense)</w:t>
            </w:r>
          </w:p>
        </w:tc>
        <w:tc>
          <w:tcPr>
            <w:tcW w:w="120" w:type="dxa"/>
            <w:vAlign w:val="bottom"/>
          </w:tcPr>
          <w:p>
            <w:pPr>
              <w:spacing w:after="0"/>
              <w:rPr>
                <w:sz w:val="24"/>
                <w:szCs w:val="24"/>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losses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(4,159)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(5,431)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45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4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Segment financial results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(4,056)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1,030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5,332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In our Asia Pacific segment, we continue to identify opportunities for development margin improvement. Our on-site sales locations are more efficient sales channels than our off-site sales locations and we plan to focus on future inventory acquisitions with strong on-site sales locations. Due to operational constraints, regulatory conditions and certain other conditions related to our 18 units in Macau, we decided not to sell these units through our Marriott Vacation Club, Asia Pacific points program, and instead disposed of the units as whole ownership residential units during the first quarter of 2015. In the third quarter of 2015, we reinvested the proceeds from this disposition into the purchase of an operating hotel located in Surfers Paradise, Australia. We intend to convert a portion of this hotel into a new timeshare destination that we expect will have a strong on-site sales location and to sell the remainder to a third party.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4"/>
          </w:tcPr>
          <w:p>
            <w:pPr>
              <w:jc w:val="right"/>
              <w:ind w:right="976"/>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32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0"/>
              </w:rPr>
              <w:t>September 11, 2015</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1"/>
              </w:rPr>
              <w:t>September 12, 2014</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6,877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7,784</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(907)</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75"/>
        </w:trPr>
        <w:tc>
          <w:tcPr>
            <w:tcW w:w="532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4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contract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7,784</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(907)</w:t>
            </w:r>
          </w:p>
        </w:tc>
        <w:tc>
          <w:tcPr>
            <w:tcW w:w="12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The decrease in vacation ownership contract sales was due to lower sales to the existing owner base and the negative impact of local currency devaluations in the current period.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Thirty-Six Weeks Ended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32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0"/>
              </w:rPr>
              <w:t>September 11, 2015</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1"/>
              </w:rPr>
              <w:t>September 12, 2014</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23,528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21,744</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1,784</w:t>
            </w:r>
          </w:p>
        </w:tc>
        <w:tc>
          <w:tcPr>
            <w:tcW w:w="1220" w:type="dxa"/>
            <w:vAlign w:val="bottom"/>
            <w:gridSpan w:val="2"/>
          </w:tcPr>
          <w:p>
            <w:pPr>
              <w:jc w:val="right"/>
              <w:ind w:right="33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products</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28,420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91"/>
        </w:trPr>
        <w:tc>
          <w:tcPr>
            <w:tcW w:w="5320" w:type="dxa"/>
            <w:vAlign w:val="bottom"/>
          </w:tcPr>
          <w:p>
            <w:pPr>
              <w:ind w:left="720"/>
              <w:spacing w:after="0"/>
              <w:rPr>
                <w:sz w:val="20"/>
                <w:szCs w:val="20"/>
                <w:color w:val="auto"/>
              </w:rPr>
            </w:pPr>
            <w:r>
              <w:rPr>
                <w:rFonts w:ascii="Arial" w:cs="Arial" w:eastAsia="Arial" w:hAnsi="Arial"/>
                <w:sz w:val="18"/>
                <w:szCs w:val="18"/>
                <w:color w:val="auto"/>
              </w:rPr>
              <w:t>Total contract sales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51,948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21,744</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30,204</w:t>
            </w:r>
          </w:p>
        </w:tc>
        <w:tc>
          <w:tcPr>
            <w:tcW w:w="1220" w:type="dxa"/>
            <w:vAlign w:val="bottom"/>
            <w:gridSpan w:val="2"/>
          </w:tcPr>
          <w:p>
            <w:pPr>
              <w:jc w:val="right"/>
              <w:ind w:right="259"/>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The increase in vacation ownership contract sales reflected an increase in the cancellations rate due to changes in the Singapore timeshare regulations and political turmoil in Thailand in the current prior year comparable period. In addition, the current period reflects lower sales to the existing owner base and the negative impact of local currency devaluations in the current period.</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$28.4 million of residential contract sales was from the disposition of the Macau inventory discussed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60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1"/>
              </w:rPr>
              <w:t>September 11, 2015</w:t>
            </w: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3"/>
              </w:rPr>
              <w:t>September 12, 2014</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6,877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7,784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Reportability</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Sales reserve</w:t>
            </w:r>
          </w:p>
        </w:tc>
        <w:tc>
          <w:tcPr>
            <w:tcW w:w="200" w:type="dxa"/>
            <w:vAlign w:val="bottom"/>
          </w:tcPr>
          <w:p>
            <w:pPr>
              <w:spacing w:after="0"/>
              <w:rPr>
                <w:sz w:val="18"/>
                <w:szCs w:val="18"/>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60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5"/>
              <w:spacing w:after="0"/>
              <w:rPr>
                <w:sz w:val="20"/>
                <w:szCs w:val="20"/>
                <w:color w:val="auto"/>
              </w:rPr>
            </w:pPr>
            <w:r>
              <w:rPr>
                <w:rFonts w:ascii="Arial" w:cs="Arial" w:eastAsia="Arial" w:hAnsi="Arial"/>
                <w:sz w:val="18"/>
                <w:szCs w:val="18"/>
                <w:color w:val="auto"/>
              </w:rPr>
              <w:t>6,303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7,641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(1,338)</w:t>
            </w:r>
          </w:p>
        </w:tc>
        <w:tc>
          <w:tcPr>
            <w:tcW w:w="122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(17%)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1576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36"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225"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The lower favorable reportability in the current period is due to the recognition of sales in the prior year comparable period that were previously in the rescission period as a result of the change in timeshare legislation in Singapore. The increase in the sales reserve is due to an increase in the estimated default activity compared to the prior year comparable period, partially offset by the lower contract sales.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Thirty-Six Weeks Ended</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vMerge w:val="continue"/>
          </w:tcPr>
          <w:p>
            <w:pPr>
              <w:spacing w:after="0"/>
              <w:rPr>
                <w:sz w:val="12"/>
                <w:szCs w:val="12"/>
                <w:color w:val="auto"/>
              </w:rPr>
            </w:pPr>
          </w:p>
        </w:tc>
        <w:tc>
          <w:tcPr>
            <w:tcW w:w="1540" w:type="dxa"/>
            <w:vAlign w:val="bottom"/>
            <w:tcBorders>
              <w:bottom w:val="single" w:sz="8" w:color="auto"/>
            </w:tcBorders>
            <w:gridSpan w:val="2"/>
          </w:tcPr>
          <w:p>
            <w:pPr>
              <w:jc w:val="right"/>
              <w:ind w:right="113"/>
              <w:spacing w:after="0" w:line="142" w:lineRule="exact"/>
              <w:rPr>
                <w:sz w:val="20"/>
                <w:szCs w:val="20"/>
                <w:color w:val="auto"/>
              </w:rPr>
            </w:pPr>
            <w:r>
              <w:rPr>
                <w:rFonts w:ascii="Arial" w:cs="Arial" w:eastAsia="Arial" w:hAnsi="Arial"/>
                <w:sz w:val="14"/>
                <w:szCs w:val="14"/>
                <w:b w:val="1"/>
                <w:bCs w:val="1"/>
                <w:color w:val="auto"/>
              </w:rPr>
              <w:t>September 11, 2015</w:t>
            </w:r>
          </w:p>
        </w:tc>
        <w:tc>
          <w:tcPr>
            <w:tcW w:w="16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September 12, 2014</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5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51,948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21,744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8"/>
              </w:rPr>
              <w:t>30,204</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139%</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Revenue recognition adjustments:</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Reportability</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(907)</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Sales reserve</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(2,162)</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(943)</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86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52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50,156</w:t>
            </w:r>
          </w:p>
        </w:tc>
        <w:tc>
          <w:tcPr>
            <w:tcW w:w="960" w:type="dxa"/>
            <w:vAlign w:val="bottom"/>
            <w:gridSpan w:val="2"/>
          </w:tcPr>
          <w:p>
            <w:pPr>
              <w:jc w:val="right"/>
              <w:ind w:right="539"/>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21,863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w w:val="98"/>
              </w:rPr>
              <w:t>28,293</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129%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890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36"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5"/>
          <w:szCs w:val="15"/>
          <w:color w:val="auto"/>
        </w:rPr>
      </w:pPr>
      <w:r>
        <w:rPr>
          <w:rFonts w:ascii="Arial" w:cs="Arial" w:eastAsia="Arial" w:hAnsi="Arial"/>
          <w:sz w:val="18"/>
          <w:szCs w:val="18"/>
          <w:color w:val="auto"/>
        </w:rPr>
        <w:t>Adjustment for sales incentives that will not be recognized as Sale of vacation ownership products revenue.</w:t>
      </w:r>
    </w:p>
    <w:p>
      <w:pPr>
        <w:spacing w:after="0" w:line="225" w:lineRule="exact"/>
        <w:rPr>
          <w:sz w:val="20"/>
          <w:szCs w:val="20"/>
          <w:color w:val="auto"/>
        </w:rPr>
      </w:pPr>
    </w:p>
    <w:p>
      <w:pPr>
        <w:jc w:val="both"/>
        <w:ind w:right="120" w:firstLine="913"/>
        <w:spacing w:after="0" w:line="286" w:lineRule="auto"/>
        <w:rPr>
          <w:sz w:val="20"/>
          <w:szCs w:val="20"/>
          <w:color w:val="auto"/>
        </w:rPr>
      </w:pPr>
      <w:r>
        <w:rPr>
          <w:rFonts w:ascii="Arial" w:cs="Arial" w:eastAsia="Arial" w:hAnsi="Arial"/>
          <w:sz w:val="17"/>
          <w:szCs w:val="17"/>
          <w:color w:val="auto"/>
        </w:rPr>
        <w:t>The lower favorable reportability in the current period is due to the recognition of sales in the prior year comparable period that were previously in the rescission period as a result of the change in timeshare legislation in Singapore. The increase in the sales reserve is due to an increase in the estimated default activity compared to the prior year comparable period as well as the increase in vacation ownership contract sales.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9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11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00" w:type="dxa"/>
            <w:vAlign w:val="bottom"/>
            <w:gridSpan w:val="2"/>
            <w:vMerge w:val="continue"/>
          </w:tcPr>
          <w:p>
            <w:pPr>
              <w:spacing w:after="0"/>
              <w:rPr>
                <w:sz w:val="12"/>
                <w:szCs w:val="12"/>
                <w:color w:val="auto"/>
              </w:rPr>
            </w:pPr>
          </w:p>
        </w:tc>
        <w:tc>
          <w:tcPr>
            <w:tcW w:w="1560" w:type="dxa"/>
            <w:vAlign w:val="bottom"/>
            <w:gridSpan w:val="2"/>
          </w:tcPr>
          <w:p>
            <w:pPr>
              <w:jc w:val="right"/>
              <w:ind w:right="133"/>
              <w:spacing w:after="0" w:line="142" w:lineRule="exact"/>
              <w:rPr>
                <w:sz w:val="20"/>
                <w:szCs w:val="20"/>
                <w:color w:val="auto"/>
              </w:rPr>
            </w:pPr>
            <w:r>
              <w:rPr>
                <w:rFonts w:ascii="Arial" w:cs="Arial" w:eastAsia="Arial" w:hAnsi="Arial"/>
                <w:sz w:val="14"/>
                <w:szCs w:val="14"/>
                <w:b w:val="1"/>
                <w:bCs w:val="1"/>
                <w:color w:val="auto"/>
              </w:rPr>
              <w:t>September 11, 2015</w:t>
            </w:r>
          </w:p>
        </w:tc>
        <w:tc>
          <w:tcPr>
            <w:tcW w:w="180" w:type="dxa"/>
            <w:vAlign w:val="bottom"/>
          </w:tcPr>
          <w:p>
            <w:pPr>
              <w:spacing w:after="0"/>
              <w:rPr>
                <w:sz w:val="12"/>
                <w:szCs w:val="12"/>
                <w:color w:val="auto"/>
              </w:rPr>
            </w:pPr>
          </w:p>
        </w:tc>
        <w:tc>
          <w:tcPr>
            <w:tcW w:w="158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September 12, 2014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5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6,303</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88"/>
              </w:rPr>
              <w:t>7,641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(1,338)</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(1,432)</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center"/>
              <w:ind w:left="150"/>
              <w:spacing w:after="0"/>
              <w:rPr>
                <w:sz w:val="20"/>
                <w:szCs w:val="20"/>
                <w:color w:val="auto"/>
              </w:rPr>
            </w:pPr>
            <w:r>
              <w:rPr>
                <w:rFonts w:ascii="Arial" w:cs="Arial" w:eastAsia="Arial" w:hAnsi="Arial"/>
                <w:sz w:val="18"/>
                <w:szCs w:val="18"/>
                <w:color w:val="auto"/>
                <w:w w:val="91"/>
              </w:rPr>
              <w:t>(1,959)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527</w:t>
            </w:r>
          </w:p>
        </w:tc>
        <w:tc>
          <w:tcPr>
            <w:tcW w:w="1280" w:type="dxa"/>
            <w:vAlign w:val="bottom"/>
            <w:gridSpan w:val="2"/>
          </w:tcPr>
          <w:p>
            <w:pPr>
              <w:jc w:val="right"/>
              <w:ind w:right="299"/>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1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w w:val="91"/>
              </w:rPr>
              <w:t>(4,526)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504</w:t>
            </w:r>
          </w:p>
        </w:tc>
        <w:tc>
          <w:tcPr>
            <w:tcW w:w="128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91"/>
        </w:trPr>
        <w:tc>
          <w:tcPr>
            <w:tcW w:w="5700" w:type="dxa"/>
            <w:vAlign w:val="bottom"/>
            <w:gridSpan w:val="2"/>
          </w:tcPr>
          <w:p>
            <w:pPr>
              <w:spacing w:after="0"/>
              <w:rPr>
                <w:sz w:val="20"/>
                <w:szCs w:val="20"/>
                <w:color w:val="auto"/>
              </w:rPr>
            </w:pPr>
            <w:r>
              <w:rPr>
                <w:rFonts w:ascii="Arial" w:cs="Arial" w:eastAsia="Arial" w:hAnsi="Arial"/>
                <w:sz w:val="18"/>
                <w:szCs w:val="18"/>
                <w:color w:val="auto"/>
              </w:rPr>
              <w:t>Development margin</w:t>
            </w:r>
          </w:p>
        </w:tc>
        <w:tc>
          <w:tcPr>
            <w:tcW w:w="50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849</w:t>
            </w:r>
          </w:p>
        </w:tc>
        <w:tc>
          <w:tcPr>
            <w:tcW w:w="800" w:type="dxa"/>
            <w:vAlign w:val="bottom"/>
            <w:gridSpan w:val="2"/>
          </w:tcPr>
          <w:p>
            <w:pPr>
              <w:jc w:val="right"/>
              <w:ind w:right="359"/>
              <w:spacing w:after="0"/>
              <w:rPr>
                <w:sz w:val="20"/>
                <w:szCs w:val="20"/>
                <w:color w:val="auto"/>
              </w:rPr>
            </w:pPr>
            <w:r>
              <w:rPr>
                <w:rFonts w:ascii="Arial" w:cs="Arial" w:eastAsia="Arial" w:hAnsi="Arial"/>
                <w:sz w:val="18"/>
                <w:szCs w:val="18"/>
                <w:color w:val="auto"/>
              </w:rPr>
              <w:t>$</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w w:val="88"/>
              </w:rPr>
              <w:t>1,156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(307)</w:t>
            </w:r>
          </w:p>
        </w:tc>
        <w:tc>
          <w:tcPr>
            <w:tcW w:w="1280" w:type="dxa"/>
            <w:vAlign w:val="bottom"/>
            <w:gridSpan w:val="2"/>
          </w:tcPr>
          <w:p>
            <w:pPr>
              <w:jc w:val="right"/>
              <w:ind w:right="239"/>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15.1%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7"/>
              </w:rPr>
              <w:t>(1.6 pts)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The decrease in development margin reflected $0.3 million from the increase in the sales reserve, $0.1 million from lower revenue reportability compared to the prior year comparable period and $0.1 million from the lower sales volume net of direct variable expenses (i.e., cost of vacation ownership products and marketing and sales), partially offset by $0.2 million from higher favorable product cost true-ups.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4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4"/>
                <w:szCs w:val="14"/>
                <w:b w:val="1"/>
                <w:bCs w:val="1"/>
                <w:color w:val="auto"/>
              </w:rPr>
              <w:t>Thirty-Six Weeks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560" w:type="dxa"/>
            <w:vAlign w:val="bottom"/>
            <w:gridSpan w:val="2"/>
          </w:tcPr>
          <w:p>
            <w:pPr>
              <w:jc w:val="right"/>
              <w:ind w:right="133"/>
              <w:spacing w:after="0" w:line="142" w:lineRule="exact"/>
              <w:rPr>
                <w:sz w:val="20"/>
                <w:szCs w:val="20"/>
                <w:color w:val="auto"/>
              </w:rPr>
            </w:pPr>
            <w:r>
              <w:rPr>
                <w:rFonts w:ascii="Arial" w:cs="Arial" w:eastAsia="Arial" w:hAnsi="Arial"/>
                <w:sz w:val="14"/>
                <w:szCs w:val="14"/>
                <w:b w:val="1"/>
                <w:bCs w:val="1"/>
                <w:color w:val="auto"/>
              </w:rPr>
              <w:t>September 11, 2015</w:t>
            </w:r>
          </w:p>
        </w:tc>
        <w:tc>
          <w:tcPr>
            <w:tcW w:w="180" w:type="dxa"/>
            <w:vAlign w:val="bottom"/>
          </w:tcPr>
          <w:p>
            <w:pPr>
              <w:spacing w:after="0"/>
              <w:rPr>
                <w:sz w:val="12"/>
                <w:szCs w:val="12"/>
                <w:color w:val="auto"/>
              </w:rPr>
            </w:pPr>
          </w:p>
        </w:tc>
        <w:tc>
          <w:tcPr>
            <w:tcW w:w="156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September 12, 2014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42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center"/>
              <w:ind w:left="293"/>
              <w:spacing w:after="0"/>
              <w:rPr>
                <w:sz w:val="20"/>
                <w:szCs w:val="20"/>
                <w:color w:val="auto"/>
              </w:rPr>
            </w:pPr>
            <w:r>
              <w:rPr>
                <w:rFonts w:ascii="Arial" w:cs="Arial" w:eastAsia="Arial" w:hAnsi="Arial"/>
                <w:sz w:val="18"/>
                <w:szCs w:val="18"/>
                <w:color w:val="auto"/>
                <w:w w:val="87"/>
              </w:rPr>
              <w:t>50,156</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21,863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28,293</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420" w:type="dxa"/>
            <w:vAlign w:val="bottom"/>
          </w:tcPr>
          <w:p>
            <w:pPr>
              <w:spacing w:after="0"/>
              <w:rPr>
                <w:sz w:val="18"/>
                <w:szCs w:val="18"/>
                <w:color w:val="auto"/>
              </w:rPr>
            </w:pPr>
          </w:p>
        </w:tc>
        <w:tc>
          <w:tcPr>
            <w:tcW w:w="1140" w:type="dxa"/>
            <w:vAlign w:val="bottom"/>
          </w:tcPr>
          <w:p>
            <w:pPr>
              <w:jc w:val="center"/>
              <w:ind w:left="273"/>
              <w:spacing w:after="0"/>
              <w:rPr>
                <w:sz w:val="20"/>
                <w:szCs w:val="20"/>
                <w:color w:val="auto"/>
              </w:rPr>
            </w:pPr>
            <w:r>
              <w:rPr>
                <w:rFonts w:ascii="Arial" w:cs="Arial" w:eastAsia="Arial" w:hAnsi="Arial"/>
                <w:sz w:val="18"/>
                <w:szCs w:val="18"/>
                <w:color w:val="auto"/>
                <w:w w:val="92"/>
              </w:rPr>
              <w:t>(25,231)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w w:val="89"/>
              </w:rPr>
              <w:t>(19,772)</w:t>
            </w:r>
          </w:p>
        </w:tc>
        <w:tc>
          <w:tcPr>
            <w:tcW w:w="1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center"/>
              <w:ind w:left="273"/>
              <w:spacing w:after="0"/>
              <w:rPr>
                <w:sz w:val="20"/>
                <w:szCs w:val="20"/>
                <w:color w:val="auto"/>
              </w:rPr>
            </w:pPr>
            <w:r>
              <w:rPr>
                <w:rFonts w:ascii="Arial" w:cs="Arial" w:eastAsia="Arial" w:hAnsi="Arial"/>
                <w:sz w:val="18"/>
                <w:szCs w:val="18"/>
                <w:color w:val="auto"/>
                <w:w w:val="92"/>
              </w:rPr>
              <w:t>(14,011)</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(1,464)</w:t>
            </w:r>
          </w:p>
        </w:tc>
        <w:tc>
          <w:tcPr>
            <w:tcW w:w="12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91"/>
        </w:trPr>
        <w:tc>
          <w:tcPr>
            <w:tcW w:w="5740" w:type="dxa"/>
            <w:vAlign w:val="bottom"/>
            <w:gridSpan w:val="2"/>
          </w:tcPr>
          <w:p>
            <w:pPr>
              <w:spacing w:after="0"/>
              <w:rPr>
                <w:sz w:val="20"/>
                <w:szCs w:val="20"/>
                <w:color w:val="auto"/>
              </w:rPr>
            </w:pPr>
            <w:r>
              <w:rPr>
                <w:rFonts w:ascii="Arial" w:cs="Arial" w:eastAsia="Arial" w:hAnsi="Arial"/>
                <w:sz w:val="18"/>
                <w:szCs w:val="18"/>
                <w:color w:val="auto"/>
              </w:rPr>
              <w:t>Development margin</w:t>
            </w:r>
          </w:p>
        </w:tc>
        <w:tc>
          <w:tcPr>
            <w:tcW w:w="42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140" w:type="dxa"/>
            <w:vAlign w:val="bottom"/>
          </w:tcPr>
          <w:p>
            <w:pPr>
              <w:jc w:val="center"/>
              <w:ind w:left="293"/>
              <w:spacing w:after="0"/>
              <w:rPr>
                <w:sz w:val="20"/>
                <w:szCs w:val="20"/>
                <w:color w:val="auto"/>
              </w:rPr>
            </w:pPr>
            <w:r>
              <w:rPr>
                <w:rFonts w:ascii="Arial" w:cs="Arial" w:eastAsia="Arial" w:hAnsi="Arial"/>
                <w:sz w:val="18"/>
                <w:szCs w:val="18"/>
                <w:color w:val="auto"/>
                <w:w w:val="87"/>
              </w:rPr>
              <w:t>10,914</w:t>
            </w:r>
          </w:p>
        </w:tc>
        <w:tc>
          <w:tcPr>
            <w:tcW w:w="58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3,857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7,057</w:t>
            </w:r>
          </w:p>
        </w:tc>
        <w:tc>
          <w:tcPr>
            <w:tcW w:w="128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9"/>
              </w:rPr>
              <w:t>4.2 pts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The increase in development margin reflected $5.9 million from the residential contract sales, $1.5 million from higher favorable product cost true-ups ($1.6 million in the thirty-six weeks ended September 11, 2015 compared to $0.1 million in the prior year comparable period), and $1.0 million from the higher sales volume net of direct variable expenses (i.e., cost of vacation ownership products and marketing and sales), and included more efficient marketing and sales spending at our existing sales locations due to leveraging fixed costs on higher sales volumes. These increases were partially offset by $0.7 million from the lower revenue reportability compared to the prior year comparable period and $0.6 million from the increase in the sales reserve.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Twelve Weeks Ended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56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w w:val="93"/>
              </w:rPr>
              <w:t>September 11, 2015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w w:val="93"/>
              </w:rPr>
              <w:t>September 12, 2014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630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597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1,582</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1,288</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2,212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891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1,321</w:t>
            </w:r>
          </w:p>
        </w:tc>
        <w:tc>
          <w:tcPr>
            <w:tcW w:w="11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1"/>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1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2"/>
              </w:rPr>
              <w:t>(127%)</w:t>
            </w:r>
          </w:p>
        </w:tc>
        <w:tc>
          <w:tcPr>
            <w:tcW w:w="0" w:type="dxa"/>
            <w:vAlign w:val="bottom"/>
          </w:tcPr>
          <w:p>
            <w:pPr>
              <w:spacing w:after="0"/>
              <w:rPr>
                <w:sz w:val="1"/>
                <w:szCs w:val="1"/>
                <w:color w:val="auto"/>
              </w:rPr>
            </w:pPr>
          </w:p>
        </w:tc>
      </w:tr>
      <w:tr>
        <w:trPr>
          <w:trHeight w:val="20"/>
        </w:trPr>
        <w:tc>
          <w:tcPr>
            <w:tcW w:w="566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660" w:type="dxa"/>
            <w:vAlign w:val="bottom"/>
            <w:gridSpan w:val="2"/>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180" w:type="dxa"/>
            <w:vAlign w:val="bottom"/>
          </w:tcPr>
          <w:p>
            <w:pPr>
              <w:spacing w:after="0"/>
              <w:rPr>
                <w:sz w:val="24"/>
                <w:szCs w:val="24"/>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(19.7 pts)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The increase in resort management and other services revenues reflected $1.3 million of ancillary revenues at the operating hotel in Australia acquired in the third quarter of 2015.</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decline in the resort management and other services margin reflected spending in support of future growth in the business.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Thirty-Six Weeks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w w:val="93"/>
              </w:rPr>
              <w:t>September 11, 2015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w w:val="93"/>
              </w:rPr>
              <w:t>September 12, 2014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1,859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1,766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93</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2,180</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957</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1,223</w:t>
            </w:r>
          </w:p>
        </w:tc>
        <w:tc>
          <w:tcPr>
            <w:tcW w:w="110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128%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4,039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1,316</w:t>
            </w:r>
          </w:p>
        </w:tc>
        <w:tc>
          <w:tcPr>
            <w:tcW w:w="11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4"/>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(3,769)</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(2,037)</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110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(85%)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1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5"/>
              </w:rPr>
              <w:t>(61%)</w:t>
            </w:r>
          </w:p>
        </w:tc>
        <w:tc>
          <w:tcPr>
            <w:tcW w:w="0" w:type="dxa"/>
            <w:vAlign w:val="bottom"/>
          </w:tcPr>
          <w:p>
            <w:pPr>
              <w:spacing w:after="0"/>
              <w:rPr>
                <w:sz w:val="1"/>
                <w:szCs w:val="1"/>
                <w:color w:val="auto"/>
              </w:rPr>
            </w:pPr>
          </w:p>
        </w:tc>
      </w:tr>
      <w:tr>
        <w:trPr>
          <w:trHeight w:val="20"/>
        </w:trPr>
        <w:tc>
          <w:tcPr>
            <w:tcW w:w="58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840" w:type="dxa"/>
            <w:vAlign w:val="bottom"/>
            <w:gridSpan w:val="2"/>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180" w:type="dxa"/>
            <w:vAlign w:val="bottom"/>
          </w:tcPr>
          <w:p>
            <w:pPr>
              <w:spacing w:after="0"/>
              <w:rPr>
                <w:sz w:val="24"/>
                <w:szCs w:val="24"/>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(18.5 pts)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firstLine="913"/>
        <w:spacing w:after="0" w:line="308" w:lineRule="auto"/>
        <w:rPr>
          <w:sz w:val="20"/>
          <w:szCs w:val="20"/>
          <w:color w:val="auto"/>
        </w:rPr>
      </w:pPr>
      <w:r>
        <w:rPr>
          <w:rFonts w:ascii="Arial" w:cs="Arial" w:eastAsia="Arial" w:hAnsi="Arial"/>
          <w:sz w:val="17"/>
          <w:szCs w:val="17"/>
          <w:color w:val="auto"/>
        </w:rPr>
        <w:t>The increase in resort management and other services revenues reflected $1.3 million of ancillary revenues at the operating hotel in Australia acquired in the third quarter of 2015 and $0.1 million of higher management fees, partially offset by $0.1 million of lower other revenues.</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decline in the resort management and other services margin reflected spending in support of future growth in the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4"/>
          </w:tcPr>
          <w:p>
            <w:pPr>
              <w:jc w:val="right"/>
              <w:ind w:right="1114"/>
              <w:spacing w:after="0"/>
              <w:rPr>
                <w:sz w:val="20"/>
                <w:szCs w:val="20"/>
                <w:color w:val="auto"/>
              </w:rPr>
            </w:pPr>
            <w:r>
              <w:rPr>
                <w:rFonts w:ascii="Arial" w:cs="Arial" w:eastAsia="Arial" w:hAnsi="Arial"/>
                <w:sz w:val="14"/>
                <w:szCs w:val="14"/>
                <w:b w:val="1"/>
                <w:bCs w:val="1"/>
                <w:color w:val="auto"/>
              </w:rPr>
              <w:t>Twelve Weeks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9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w w:val="94"/>
              </w:rPr>
              <w:t>September 11, 2015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w w:val="96"/>
              </w:rPr>
              <w:t>September 12, 2014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2,569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1,573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996</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Rental expenses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(4,129)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(2,762)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(1,367)</w:t>
            </w:r>
          </w:p>
        </w:tc>
        <w:tc>
          <w:tcPr>
            <w:tcW w:w="1080" w:type="dxa"/>
            <w:vAlign w:val="bottom"/>
            <w:gridSpan w:val="2"/>
          </w:tcPr>
          <w:p>
            <w:pPr>
              <w:jc w:val="right"/>
              <w:ind w:right="159"/>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Rental margin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(1,560)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(1,189)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(371)</w:t>
            </w:r>
          </w:p>
        </w:tc>
        <w:tc>
          <w:tcPr>
            <w:tcW w:w="108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6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460" w:type="dxa"/>
            <w:vAlign w:val="bottom"/>
            <w:gridSpan w:val="2"/>
          </w:tcPr>
          <w:p>
            <w:pPr>
              <w:spacing w:after="0"/>
              <w:rPr>
                <w:sz w:val="20"/>
                <w:szCs w:val="20"/>
                <w:color w:val="auto"/>
              </w:rPr>
            </w:pPr>
            <w:r>
              <w:rPr>
                <w:rFonts w:ascii="Arial" w:cs="Arial" w:eastAsia="Arial" w:hAnsi="Arial"/>
                <w:sz w:val="18"/>
                <w:szCs w:val="18"/>
                <w:color w:val="auto"/>
              </w:rPr>
              <w:t>Rental margin percentage</w:t>
            </w:r>
          </w:p>
        </w:tc>
        <w:tc>
          <w:tcPr>
            <w:tcW w:w="220" w:type="dxa"/>
            <w:vAlign w:val="bottom"/>
          </w:tcPr>
          <w:p>
            <w:pPr>
              <w:spacing w:after="0"/>
              <w:rPr>
                <w:sz w:val="24"/>
                <w:szCs w:val="24"/>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14.9 pts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The increase in rental revenues was due to the operation of the hotel in Australia acquired in the third quarter of 2015. The decrease in rental margin reflected a $0.6 million loss from the hotel, partially offset by $0.2 million of lower unsold maintenance fees.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4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4"/>
          </w:tcPr>
          <w:p>
            <w:pPr>
              <w:jc w:val="right"/>
              <w:ind w:right="1014"/>
              <w:spacing w:after="0"/>
              <w:rPr>
                <w:sz w:val="20"/>
                <w:szCs w:val="20"/>
                <w:color w:val="auto"/>
              </w:rPr>
            </w:pPr>
            <w:r>
              <w:rPr>
                <w:rFonts w:ascii="Arial" w:cs="Arial" w:eastAsia="Arial" w:hAnsi="Arial"/>
                <w:sz w:val="14"/>
                <w:szCs w:val="14"/>
                <w:b w:val="1"/>
                <w:bCs w:val="1"/>
                <w:color w:val="auto"/>
              </w:rPr>
              <w:t>Thirty-Six Weeks Ended</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w w:val="93"/>
              </w:rPr>
              <w:t>September 11, 2015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w w:val="94"/>
              </w:rPr>
              <w:t>September 12, 2014</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6,424</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5,129</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Rental expenses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(9,419)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(8,294)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(1,125)</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(14%)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12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52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5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Rental margin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(3,165)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0"/>
        </w:trPr>
        <w:tc>
          <w:tcPr>
            <w:tcW w:w="51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40" w:type="dxa"/>
            <w:vAlign w:val="bottom"/>
            <w:gridSpan w:val="2"/>
          </w:tcPr>
          <w:p>
            <w:pPr>
              <w:spacing w:after="0"/>
              <w:rPr>
                <w:sz w:val="20"/>
                <w:szCs w:val="20"/>
                <w:color w:val="auto"/>
              </w:rPr>
            </w:pPr>
            <w:r>
              <w:rPr>
                <w:rFonts w:ascii="Arial" w:cs="Arial" w:eastAsia="Arial" w:hAnsi="Arial"/>
                <w:sz w:val="18"/>
                <w:szCs w:val="18"/>
                <w:color w:val="auto"/>
              </w:rPr>
              <w:t>Rental margin percentage</w:t>
            </w:r>
          </w:p>
        </w:tc>
        <w:tc>
          <w:tcPr>
            <w:tcW w:w="2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(46.6%)</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15.1 pts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0" w:firstLine="913"/>
        <w:spacing w:after="0" w:line="308" w:lineRule="auto"/>
        <w:rPr>
          <w:sz w:val="20"/>
          <w:szCs w:val="20"/>
          <w:color w:val="auto"/>
        </w:rPr>
      </w:pPr>
      <w:r>
        <w:rPr>
          <w:rFonts w:ascii="Arial" w:cs="Arial" w:eastAsia="Arial" w:hAnsi="Arial"/>
          <w:sz w:val="17"/>
          <w:szCs w:val="17"/>
          <w:color w:val="auto"/>
        </w:rPr>
        <w:t>The increase in rental revenues was due to the operation of the hotel in Australia acquired in the third quarter of 2015. The increase in rental margin reflected $0.9 million of lower unsold maintenance fees, partially offset by a $0.6 million loss from the operation of the hotel.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twelve and thirty-six weeks ended September 11, 2015, compared to the twelve and thirty-six weeks ended September 12, 2014.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36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42"/>
        </w:trPr>
        <w:tc>
          <w:tcPr>
            <w:tcW w:w="5380" w:type="dxa"/>
            <w:vAlign w:val="bottom"/>
            <w:tcBorders>
              <w:bottom w:val="single" w:sz="8" w:color="CCEEFF"/>
            </w:tcBorders>
            <w:vMerge w:val="continue"/>
          </w:tcPr>
          <w:p>
            <w:pPr>
              <w:spacing w:after="0"/>
              <w:rPr>
                <w:sz w:val="12"/>
                <w:szCs w:val="12"/>
                <w:color w:val="auto"/>
              </w:rPr>
            </w:pPr>
          </w:p>
        </w:tc>
        <w:tc>
          <w:tcPr>
            <w:tcW w:w="1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September 11, 2015</w:t>
            </w:r>
          </w:p>
        </w:tc>
        <w:tc>
          <w:tcPr>
            <w:tcW w:w="16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September 12, 2014</w:t>
            </w:r>
          </w:p>
        </w:tc>
        <w:tc>
          <w:tcPr>
            <w:tcW w:w="200" w:type="dxa"/>
            <w:vAlign w:val="bottom"/>
            <w:tcBorders>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September 11, 2015</w:t>
            </w:r>
          </w:p>
        </w:tc>
        <w:tc>
          <w:tcPr>
            <w:tcW w:w="200" w:type="dxa"/>
            <w:vAlign w:val="bottom"/>
            <w:tcBorders>
              <w:top w:val="single" w:sz="8" w:color="auto"/>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September 12, 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Expenses</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Cost of vacation ownership products</w:t>
            </w: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1,538</w:t>
            </w:r>
          </w:p>
        </w:tc>
        <w:tc>
          <w:tcPr>
            <w:tcW w:w="78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2,399</w:t>
            </w:r>
          </w:p>
        </w:tc>
        <w:tc>
          <w:tcPr>
            <w:tcW w:w="52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4,400</w:t>
            </w:r>
          </w:p>
        </w:tc>
        <w:tc>
          <w:tcPr>
            <w:tcW w:w="52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5,488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5,434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16,478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23,214</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21,932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68,883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66,913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settlement</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Organizational and separation related</w:t>
            </w:r>
          </w:p>
        </w:tc>
        <w:tc>
          <w:tcPr>
            <w:tcW w:w="36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financing interest</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5,289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5,605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16,558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Royalty fee</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11,507</w:t>
            </w:r>
          </w:p>
        </w:tc>
        <w:tc>
          <w:tcPr>
            <w:tcW w:w="1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11,507</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34,521</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5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47,416</w:t>
            </w:r>
          </w:p>
        </w:tc>
        <w:tc>
          <w:tcPr>
            <w:tcW w:w="1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47,339</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141,388</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143,749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5380" w:type="dxa"/>
            <w:vAlign w:val="bottom"/>
          </w:tcPr>
          <w:p>
            <w:pPr>
              <w:ind w:left="360"/>
              <w:spacing w:after="0"/>
              <w:rPr>
                <w:sz w:val="20"/>
                <w:szCs w:val="20"/>
                <w:color w:val="auto"/>
              </w:rPr>
            </w:pPr>
            <w:r>
              <w:rPr>
                <w:rFonts w:ascii="Arial" w:cs="Arial" w:eastAsia="Arial" w:hAnsi="Arial"/>
                <w:sz w:val="18"/>
                <w:szCs w:val="18"/>
                <w:color w:val="auto"/>
              </w:rPr>
              <w:t>Losses and other expense</w:t>
            </w:r>
          </w:p>
        </w:tc>
        <w:tc>
          <w:tcPr>
            <w:tcW w:w="360" w:type="dxa"/>
            <w:vAlign w:val="bottom"/>
          </w:tcPr>
          <w:p>
            <w:pPr>
              <w:spacing w:after="0"/>
              <w:rPr>
                <w:sz w:val="24"/>
                <w:szCs w:val="24"/>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(8,822)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538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financial results</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(51,277)</w:t>
            </w:r>
          </w:p>
        </w:tc>
        <w:tc>
          <w:tcPr>
            <w:tcW w:w="7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(50,229)</w:t>
            </w:r>
          </w:p>
        </w:tc>
        <w:tc>
          <w:tcPr>
            <w:tcW w:w="5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(151,237)</w:t>
            </w:r>
          </w:p>
        </w:tc>
        <w:tc>
          <w:tcPr>
            <w:tcW w:w="5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420" w:firstLine="913"/>
        <w:spacing w:after="0" w:line="259" w:lineRule="auto"/>
        <w:rPr>
          <w:sz w:val="20"/>
          <w:szCs w:val="20"/>
          <w:color w:val="auto"/>
        </w:rPr>
      </w:pPr>
      <w:r>
        <w:rPr>
          <w:rFonts w:ascii="Arial" w:cs="Arial" w:eastAsia="Arial" w:hAnsi="Arial"/>
          <w:sz w:val="18"/>
          <w:szCs w:val="18"/>
          <w:color w:val="auto"/>
        </w:rPr>
        <w:t>Corporate and Other consists of results not specifically attributable to an individual segment, including expenses in support of our financing operations, non-capitalizable development expenses incurred to support overall company development, company-wide general and administrative costs, corporate interest expense, consumer financing interest expense and the fixed royalty fee payable under the license agreements that we entered into with Marriott International in connection with the Spin-Off.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Expenses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Twelve Weeks Ended September 11, 2015</w:t>
      </w:r>
    </w:p>
    <w:p>
      <w:pPr>
        <w:spacing w:after="0" w:line="117"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Total expenses increased $0.1 million from the prior year comparable period. The $0.1 million increase resulted from $1.3 million of higher general and administrative expenses, $0.2 million of higher organizational and separation related expenses due to the timing of expenses compared to the prior year comparable period, and $0.1 million of higher financing expenses, partially offset by $0.9 million of lower cost of vacation ownership products expenses due to the higher capitalization of development expenses in the current year period, $0.3 million of lower consumer financing interest expense, and $0.3 million of litigation settlements in the prior year period.</w:t>
      </w:r>
    </w:p>
    <w:p>
      <w:pPr>
        <w:spacing w:after="0" w:line="80"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General and administrative expenses increased $1.3 million and were driven by $1.7 million of costs related to a refurbishment project in the twelve weeks ended September 11, 2015, partially offset by $0.4 million related to cost savings and lower depreciation net of higher personnel related costs.</w:t>
      </w:r>
    </w:p>
    <w:p>
      <w:pPr>
        <w:spacing w:after="0" w:line="16" w:lineRule="exact"/>
        <w:rPr>
          <w:sz w:val="20"/>
          <w:szCs w:val="20"/>
          <w:color w:val="auto"/>
        </w:rPr>
      </w:pPr>
    </w:p>
    <w:p>
      <w:pPr>
        <w:ind w:right="220" w:firstLine="913"/>
        <w:spacing w:after="0" w:line="286" w:lineRule="auto"/>
        <w:rPr>
          <w:sz w:val="20"/>
          <w:szCs w:val="20"/>
          <w:color w:val="auto"/>
        </w:rPr>
      </w:pPr>
      <w:r>
        <w:rPr>
          <w:rFonts w:ascii="Arial" w:cs="Arial" w:eastAsia="Arial" w:hAnsi="Arial"/>
          <w:sz w:val="17"/>
          <w:szCs w:val="17"/>
          <w:color w:val="auto"/>
        </w:rPr>
        <w:t>The $0.3 million decline in consumer financing interest expense was due to a lower average interest rate on the outstanding debt balances.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Thirty-Six Weeks Ended September 11, 2015</w:t>
      </w:r>
    </w:p>
    <w:p>
      <w:pPr>
        <w:spacing w:after="0" w:line="117"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Total expenses decreased $2.4 million from the prior year comparable period. The $2.4 million decrease resulted from $2.0 million of lower cost of vacation ownership products expenses due to lower pre-development spending associated with potential acquisitions and higher capitalization of other development expenses, $1.4 million of lower consumer financing interest expense $1.3 million of lower organizational and separation related expenses due to the completion of many of the initiatives relating to our separation from Marriott International and $0.1 million of lower litigation settlements, partially offset by $2.0 million of higher general and administrative expenses and $0.5 million of higher financing expenses.</w:t>
      </w:r>
    </w:p>
    <w:p>
      <w:pPr>
        <w:spacing w:after="0" w:line="64" w:lineRule="exact"/>
        <w:rPr>
          <w:sz w:val="20"/>
          <w:szCs w:val="20"/>
          <w:color w:val="auto"/>
        </w:rPr>
      </w:pPr>
    </w:p>
    <w:p>
      <w:pPr>
        <w:jc w:val="both"/>
        <w:ind w:right="80" w:firstLine="913"/>
        <w:spacing w:after="0" w:line="302" w:lineRule="auto"/>
        <w:rPr>
          <w:sz w:val="20"/>
          <w:szCs w:val="20"/>
          <w:color w:val="auto"/>
        </w:rPr>
      </w:pPr>
      <w:r>
        <w:rPr>
          <w:rFonts w:ascii="Arial" w:cs="Arial" w:eastAsia="Arial" w:hAnsi="Arial"/>
          <w:sz w:val="16"/>
          <w:szCs w:val="16"/>
          <w:color w:val="auto"/>
        </w:rPr>
        <w:t>The $1.4 million decline in consumer financing interest expense was due to a lower average interest rate on the outstanding debt balances ($1.7 million), partially offset by an increase in the outstanding debt balances of securitized vacation ownership notes receivable and associated interest costs ($0.3 million).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46"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General and administrative expenses increased $2.0 million (from $66.9 million to $68.9 million) and were driven by $1.7 million of costs related to a refurbishment project in the thirty-six weeks ended September 11, 2015 and $0.3 million of higher personnel related and other costs net of lower depreciation and cost savings.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See Footnote No. 1, “Summary of Significant Accounting Policies,” to our Financial Statements for a discussion of recently issued accounting pronouncements, including information on new accounting standards and the future adoption of such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Our capital needs are supported by cash on hand ($321.7 million at the end of the third quarter of 2015), cash generated from operations, our ability to raise capital through securitizations in the ABS market, and to the extent necessary, funds available under the Warehouse Credit Facility and the Revolving Corporate Credit Facility. We believe these sources of capital will be adequate to meet our short-term and long-term liquidity requirements, finance our long-term growth plans, satisfy debt service requirements, and fulfill other cash requirements. At the end of the third quarter of 2015, $776.6 million of the $780.2 million of total gross debt outstanding was non-recourse debt associated with vacation ownership notes receivable securitizations. In addition, we have $40.0 million of gross mandatorily redeemable preferred stock of a consolidated subsidiary that we are not required to redeem until October 2021. We may, however, redeem the preferred stock at par beginning in October 2016 at our option.</w:t>
      </w:r>
    </w:p>
    <w:p>
      <w:pPr>
        <w:spacing w:after="0" w:line="70"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At the end of the third quarter of 2015, we had $716.0 million of real estate inventory on hand, comprised of $351.9 million of finished goods and $364.1 million of land and infrastructure. We expect to continue to sell excess Ritz-Carlton branded inventory through the MVCD program or bulk sale transactions in order to generate incremental cash and reduce related carrying costs.</w:t>
      </w:r>
    </w:p>
    <w:p>
      <w:pPr>
        <w:spacing w:after="0" w:line="73"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Our vacation ownership product offerings allow us to utilize our real estate inventory efficiently. The majority of our sales are of a points-based product, which permits us to sell vacation ownership products at most of our sales locations, including those where little or no weeks-based inventory remains available for sale. Because we no longer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real estate inventory acquisitions with the pace of sales of vacation ownership products.</w:t>
      </w:r>
    </w:p>
    <w:p>
      <w:pPr>
        <w:spacing w:after="0" w:line="70" w:lineRule="exact"/>
        <w:rPr>
          <w:sz w:val="20"/>
          <w:szCs w:val="20"/>
          <w:color w:val="auto"/>
        </w:rPr>
      </w:pPr>
    </w:p>
    <w:p>
      <w:pPr>
        <w:jc w:val="both"/>
        <w:ind w:right="440" w:firstLine="913"/>
        <w:spacing w:after="0" w:line="259" w:lineRule="auto"/>
        <w:rPr>
          <w:sz w:val="20"/>
          <w:szCs w:val="20"/>
          <w:color w:val="auto"/>
        </w:rPr>
      </w:pPr>
      <w:r>
        <w:rPr>
          <w:rFonts w:ascii="Arial" w:cs="Arial" w:eastAsia="Arial" w:hAnsi="Arial"/>
          <w:sz w:val="18"/>
          <w:szCs w:val="18"/>
          <w:color w:val="auto"/>
        </w:rPr>
        <w:t>We are selectively pursuing growth opportunities in North America and Asia by targeting high-quality inventory that would allow us to add desirable new destinations to our system with new on-site sales locations through transactions that limit our up-front capital investment and allow us to purchase finished inventory closer to the time it is needed for sale. These capital efficient deals may consist of the development of new inventory, or the conversion of previously built units by third parties, just prior to sale.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We intend for our capital allocation strategy to strike a balance between enhancing our operations and using our capital to provide returns to our shareholders through programs such as share repurchase programs and payment of dividends.</w:t>
      </w:r>
    </w:p>
    <w:p>
      <w:pPr>
        <w:spacing w:after="0" w:line="62" w:lineRule="exact"/>
        <w:rPr>
          <w:sz w:val="20"/>
          <w:szCs w:val="20"/>
          <w:color w:val="auto"/>
        </w:rPr>
      </w:pPr>
    </w:p>
    <w:p>
      <w:pPr>
        <w:ind w:right="300" w:firstLine="913"/>
        <w:spacing w:after="0" w:line="308" w:lineRule="auto"/>
        <w:rPr>
          <w:sz w:val="20"/>
          <w:szCs w:val="20"/>
          <w:color w:val="auto"/>
        </w:rPr>
      </w:pPr>
      <w:r>
        <w:rPr>
          <w:rFonts w:ascii="Arial" w:cs="Arial" w:eastAsia="Arial" w:hAnsi="Arial"/>
          <w:sz w:val="17"/>
          <w:szCs w:val="17"/>
          <w:color w:val="auto"/>
        </w:rPr>
        <w:t>During the thirty-six weeks ended September 11, 2015 we had a net decrease in cash and cash equivalents of $24.8 million compared to a net decrease of $53.4 million during the thirty-six weeks ended September 12, 2014. The following table summarizes these changes:</w:t>
      </w:r>
    </w:p>
    <w:p>
      <w:pPr>
        <w:spacing w:after="0" w:line="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Thirty-Six Weeks Ended</w:t>
            </w:r>
          </w:p>
        </w:tc>
        <w:tc>
          <w:tcPr>
            <w:tcW w:w="1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3"/>
              </w:rPr>
              <w:t>September 11, 2015</w:t>
            </w:r>
          </w:p>
        </w:tc>
        <w:tc>
          <w:tcPr>
            <w:tcW w:w="1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0"/>
              </w:rPr>
              <w:t>September 12, 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100,724</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206,478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(60,542)</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(61,764)</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(305,280)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change in exchange rates on cash and cash equivalents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0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(24,825)</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(53,379)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920"/>
        <w:spacing w:after="0"/>
        <w:rPr>
          <w:sz w:val="20"/>
          <w:szCs w:val="20"/>
          <w:color w:val="auto"/>
        </w:rPr>
      </w:pPr>
      <w:r>
        <w:rPr>
          <w:rFonts w:ascii="Arial" w:cs="Arial" w:eastAsia="Arial" w:hAnsi="Arial"/>
          <w:sz w:val="18"/>
          <w:szCs w:val="18"/>
          <w:i w:val="1"/>
          <w:iCs w:val="1"/>
          <w:u w:val="single" w:color="auto"/>
          <w:color w:val="auto"/>
        </w:rPr>
        <w:t>Cash from Operating Activities</w:t>
      </w:r>
    </w:p>
    <w:p>
      <w:pPr>
        <w:spacing w:after="0" w:line="11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and (3) net cash generated from our rental and resort management and other services operations. Outflows include spending for the development of new phases of existing resorts, the acquisition of additional inventory and funding our working capital needs.</w:t>
      </w:r>
    </w:p>
    <w:p>
      <w:pPr>
        <w:spacing w:after="0" w:line="79"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compensation-related outflows. In addition, our cash from operations varies due to the timing of our owners’ repayment of vacation ownership notes receivable, the closing of sales contracts for vacation ownership products, financing propensity and cash outlays for real estate inventory acquisition and development.</w:t>
      </w:r>
    </w:p>
    <w:p>
      <w:pPr>
        <w:spacing w:after="0" w:line="80"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In the thirty-six weeks ended September 11, 2015, we generated $100.7 million of cash flows from operating activities, compared to $206.5 million in the thirty-six weeks ended September 12, 2014. Excluding the impact of changes in net income and adjustments for non-cash items, the decrease in cash flows was attributable to cash outlays for an acquisition of an operating hotel in San Diego, California that we intend to convert to vacation ownership interests in the future, the acquisition of a portion of an operating hotel in Washington, D.C. and the portion of the acquisition of an operating hotel located in Surfers Paradise, Australia that we intend to convert in the near term to vacation ownership interests for sale in our Asia Pacific segment. See Footnote No. 5, “Acquisitions and Dispositions,” to our Financial Statements for additional information regarding these transactions. The operating activities also reflect higher financing propensity due to our implementation of a new financing program, lower collections due to the reduction in the portfolio of outstanding vacation ownership notes receivable, timing of payments to property owners’ associations for maintenance fees collected on their behalf and the timing of payments for maintenance fees on unsold inventory. These outlays were partially offset by lower payments on the declining liability balance for the Marriott Rewards customer loyalty program.</w:t>
      </w:r>
    </w:p>
    <w:p>
      <w:pPr>
        <w:spacing w:after="0" w:line="70"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In the thirty-six weeks ended September 11, 2015, we recorded residential contract sales of $28.4 million associated with the sale of eighteen units in Macau. In the thirty-six weeks ended September 12, 2014, we recorded residential contract sales of $10.8 million associated with the sale of five of the units at the RCC San Francisco that we bought back as part of a legal settlement at the end of 2012.</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addition to net income and adjustments for non-cash items, the following operating activities are key drivers of our cash flow from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activities: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Real Estate Inventory Spending (In Excess of) Less Than Cost of Sales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9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14"/>
                <w:szCs w:val="14"/>
                <w:color w:val="auto"/>
              </w:rPr>
            </w:pPr>
          </w:p>
        </w:tc>
        <w:tc>
          <w:tcPr>
            <w:tcW w:w="3360" w:type="dxa"/>
            <w:vAlign w:val="bottom"/>
            <w:gridSpan w:val="5"/>
          </w:tcPr>
          <w:p>
            <w:pPr>
              <w:ind w:left="82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42"/>
        </w:trPr>
        <w:tc>
          <w:tcPr>
            <w:tcW w:w="6960" w:type="dxa"/>
            <w:vAlign w:val="bottom"/>
            <w:tcBorders>
              <w:bottom w:val="single" w:sz="8" w:color="CCEEFF"/>
            </w:tcBorders>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3"/>
              </w:rPr>
              <w:t>September 11, 2015</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3"/>
              </w:rPr>
              <w:t>September 12, 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Real estate inventory spending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(90,585)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Purchase of operating hotels for future conversion to inventory</w:t>
            </w:r>
          </w:p>
        </w:tc>
        <w:tc>
          <w:tcPr>
            <w:tcW w:w="180" w:type="dxa"/>
            <w:vAlign w:val="bottom"/>
          </w:tcPr>
          <w:p>
            <w:pPr>
              <w:spacing w:after="0"/>
              <w:rPr>
                <w:sz w:val="18"/>
                <w:szCs w:val="18"/>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(61,554)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Real estate inventory costs</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143,261</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128,509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960" w:type="dxa"/>
            <w:vAlign w:val="bottom"/>
          </w:tcPr>
          <w:p>
            <w:pPr>
              <w:spacing w:after="0"/>
              <w:rPr>
                <w:sz w:val="20"/>
                <w:szCs w:val="20"/>
                <w:color w:val="auto"/>
              </w:rPr>
            </w:pPr>
            <w:r>
              <w:rPr>
                <w:rFonts w:ascii="Arial" w:cs="Arial" w:eastAsia="Arial" w:hAnsi="Arial"/>
                <w:sz w:val="18"/>
                <w:szCs w:val="18"/>
                <w:color w:val="auto"/>
              </w:rPr>
              <w:t>Real estate inventory spending (in excess of) less than cost of sales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(8,878)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60,407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340" w:firstLine="913"/>
        <w:spacing w:after="0" w:line="34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on our Statements of Income related to sale of vacation ownership products (a non-cash item).</w:t>
      </w:r>
    </w:p>
    <w:p>
      <w:pPr>
        <w:spacing w:after="0" w:line="16" w:lineRule="exact"/>
        <w:rPr>
          <w:sz w:val="20"/>
          <w:szCs w:val="20"/>
          <w:color w:val="auto"/>
        </w:rPr>
      </w:pPr>
    </w:p>
    <w:p>
      <w:pPr>
        <w:ind w:right="140" w:firstLine="913"/>
        <w:spacing w:after="0" w:line="302" w:lineRule="auto"/>
        <w:rPr>
          <w:sz w:val="20"/>
          <w:szCs w:val="20"/>
          <w:color w:val="auto"/>
        </w:rPr>
      </w:pPr>
      <w:r>
        <w:rPr>
          <w:rFonts w:ascii="Arial" w:cs="Arial" w:eastAsia="Arial" w:hAnsi="Arial"/>
          <w:sz w:val="16"/>
          <w:szCs w:val="16"/>
          <w:color w:val="auto"/>
        </w:rPr>
        <w:t>Our real estate inventory spending exceeded real estate inventory costs in the thirty-six weeks ended September 11, 2015, as a result of our opportunistic acquisition efforts. Real estate inventory spending included $32.0 million for the acquisition of 71 rooms at The Mayflower Hotel, Autograph Collection, an operating hotel in Washington, D.C. We intend to include these vacation ownership units, in their current form, in our MVCD program in the near term. See Footnote No. 5, “Acquisitions and Dispositions,” to our Financial Statements for additional information regarding this transaction.</w:t>
      </w:r>
    </w:p>
    <w:p>
      <w:pPr>
        <w:spacing w:after="0" w:line="46"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During the thirty-six weeks ended September 11, 2015, we completed the acquisition of an operating hotel located in Surfers Paradise, Australia. We intend to convert a portion of this hotel ($14.9 million, the related portion of the purchase price, which is included in Purchase of operating hotels for future conversion to inventory on our Cash Flows for the thirty-six weeks ended September 11, 2015) in the near term into vacation ownership interests for future use in our Asia Pacific segment. We intend to sell the remaining downsized hotel to a third party and have included the related portion of the purchase price as an Investing activity on our Cash Flows. See Footnote No. 5, “Acquisitions and Dispositions,” to our Financial Statements for additional information regarding this transaction.</w:t>
      </w:r>
    </w:p>
    <w:p>
      <w:pPr>
        <w:spacing w:after="0" w:line="85"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We also capitalized on the opportunity to add a premier destination to our portfolio through the acquisition of an operating hotel in San Diego, California that we intend to convert in the near term to vacation ownership interests for future use in our MVCD program. In order to ensure consistency with the expected related future cash flow presentation, $46.6 million of the cash purchase price allocated to property and equipment was included as an operating activity in the Purchase of operating hotels for future conversion to inventory line on our Cash Flows for the thirty-six weeks ended September 11, 2015. See Footnote No. 5, “Acquisitions and Dispositions,” to our Financial Statements for additional information regarding this transaction.</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Real estate inventory costs for the thirty-six weeks ended September 11, 2015 included $21.6 million related to the sale of the residential units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103"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In the thirty-six weeks ended September 12, 2014, real estate inventory spending was less than real estate inventory costs due to the level of completed real estate inventory on hand at that time.</w:t>
      </w:r>
    </w:p>
    <w:p>
      <w:pPr>
        <w:spacing w:after="0" w:line="62"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Notes Receivable Collections in Excess of New Mortgages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4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Thirty-Six Weeks Ended</w:t>
            </w: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20" w:type="dxa"/>
            <w:vAlign w:val="bottom"/>
            <w:tcBorders>
              <w:bottom w:val="single" w:sz="8" w:color="CCEEFF"/>
            </w:tcBorders>
            <w:vMerge w:val="continue"/>
          </w:tcPr>
          <w:p>
            <w:pPr>
              <w:spacing w:after="0"/>
              <w:rPr>
                <w:sz w:val="12"/>
                <w:szCs w:val="12"/>
                <w:color w:val="auto"/>
              </w:rPr>
            </w:pPr>
          </w:p>
        </w:tc>
        <w:tc>
          <w:tcPr>
            <w:tcW w:w="1540" w:type="dxa"/>
            <w:vAlign w:val="bottom"/>
            <w:tcBorders>
              <w:bottom w:val="single" w:sz="8" w:color="auto"/>
            </w:tcBorders>
            <w:gridSpan w:val="2"/>
          </w:tcPr>
          <w:p>
            <w:pPr>
              <w:jc w:val="right"/>
              <w:ind w:right="114"/>
              <w:spacing w:after="0" w:line="142" w:lineRule="exact"/>
              <w:rPr>
                <w:sz w:val="20"/>
                <w:szCs w:val="20"/>
                <w:color w:val="auto"/>
              </w:rPr>
            </w:pPr>
            <w:r>
              <w:rPr>
                <w:rFonts w:ascii="Arial" w:cs="Arial" w:eastAsia="Arial" w:hAnsi="Arial"/>
                <w:sz w:val="14"/>
                <w:szCs w:val="14"/>
                <w:b w:val="1"/>
                <w:bCs w:val="1"/>
                <w:color w:val="auto"/>
              </w:rPr>
              <w:t>September 11, 2015</w:t>
            </w:r>
          </w:p>
        </w:tc>
        <w:tc>
          <w:tcPr>
            <w:tcW w:w="24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September 12, 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collections — non-securitized</w:t>
            </w:r>
          </w:p>
        </w:tc>
        <w:tc>
          <w:tcPr>
            <w:tcW w:w="4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66,595</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Vacation ownership notes receivable collections — securitized</w:t>
            </w:r>
          </w:p>
        </w:tc>
        <w:tc>
          <w:tcPr>
            <w:tcW w:w="46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126,257</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124,470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originations</w:t>
            </w: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(189,029)</w:t>
            </w:r>
          </w:p>
        </w:tc>
        <w:tc>
          <w:tcPr>
            <w:tcW w:w="2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(169,784)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020" w:type="dxa"/>
            <w:vAlign w:val="bottom"/>
          </w:tcPr>
          <w:p>
            <w:pPr>
              <w:spacing w:after="0"/>
              <w:rPr>
                <w:sz w:val="20"/>
                <w:szCs w:val="20"/>
                <w:color w:val="auto"/>
              </w:rPr>
            </w:pPr>
            <w:r>
              <w:rPr>
                <w:rFonts w:ascii="Arial" w:cs="Arial" w:eastAsia="Arial" w:hAnsi="Arial"/>
                <w:sz w:val="18"/>
                <w:szCs w:val="18"/>
                <w:color w:val="auto"/>
              </w:rPr>
              <w:t>Vacation ownership notes receivable collections in excess of originations</w:t>
            </w:r>
          </w:p>
        </w:tc>
        <w:tc>
          <w:tcPr>
            <w:tcW w:w="46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3,823</w:t>
            </w:r>
          </w:p>
        </w:tc>
        <w:tc>
          <w:tcPr>
            <w:tcW w:w="940" w:type="dxa"/>
            <w:vAlign w:val="bottom"/>
            <w:gridSpan w:val="2"/>
          </w:tcPr>
          <w:p>
            <w:pPr>
              <w:jc w:val="right"/>
              <w:ind w:right="439"/>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33,944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Vacation ownership notes receivable collections include principal from non-securitized and securitized vacation ownership notes receivable. Vacation ownership notes receivable collections declined due to the reduction in the portfolio of outstanding vacation ownership notes receivable. Vacation ownership notes receivable originations in the thirty-six weeks ended September 11, 2015 increased due to higher vacation ownership sales volumes and an increase in financing propensity to 46.4 percent for the thirty-six weeks ended September 11, 2015 compared to 42.6 percent for the thirty-six weeks ended September 12, 2014 due to the addition of a new financing incentive program implemented in the first half of 2015. Given the success of this program to date, we expect financing propensity levels to remain higher than the 40 to 45 percent that we have been averaging in recent years.</w:t>
      </w:r>
    </w:p>
    <w:p>
      <w:pPr>
        <w:spacing w:after="0" w:line="5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During the thirty-six weeks ended September 11, 2015, and as of September 11, 2015, no securitized vacation ownership notes receivable pools were out of compliance with established performance parameters.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i w:val="1"/>
          <w:iCs w:val="1"/>
          <w:u w:val="single" w:color="auto"/>
          <w:color w:val="auto"/>
        </w:rPr>
        <w:t>Cash from Investing Activities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Thirty-Six Weeks Ended</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40" w:type="dxa"/>
            <w:vAlign w:val="bottom"/>
            <w:vMerge w:val="continue"/>
          </w:tcPr>
          <w:p>
            <w:pPr>
              <w:spacing w:after="0"/>
              <w:rPr>
                <w:sz w:val="12"/>
                <w:szCs w:val="12"/>
                <w:color w:val="auto"/>
              </w:rPr>
            </w:pPr>
          </w:p>
        </w:tc>
        <w:tc>
          <w:tcPr>
            <w:tcW w:w="182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September 11, 2015</w:t>
            </w:r>
          </w:p>
        </w:tc>
        <w:tc>
          <w:tcPr>
            <w:tcW w:w="156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September 12,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50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(20,873)</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Purchase of operating hotel to be sold</w:t>
            </w:r>
          </w:p>
        </w:tc>
        <w:tc>
          <w:tcPr>
            <w:tcW w:w="50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(47,658)</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restricted cash</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(12,616)</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Dispositions, net</w:t>
            </w: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20,605</w:t>
            </w:r>
          </w:p>
        </w:tc>
        <w:tc>
          <w:tcPr>
            <w:tcW w:w="2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79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provided by investing activities</w:t>
            </w:r>
          </w:p>
        </w:tc>
        <w:tc>
          <w:tcPr>
            <w:tcW w:w="5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(60,542)</w:t>
            </w:r>
          </w:p>
        </w:tc>
        <w:tc>
          <w:tcPr>
            <w:tcW w:w="78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11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w:t>
      </w:r>
    </w:p>
    <w:p>
      <w:pPr>
        <w:spacing w:after="0" w:line="62" w:lineRule="exact"/>
        <w:rPr>
          <w:sz w:val="20"/>
          <w:szCs w:val="20"/>
          <w:color w:val="auto"/>
        </w:rPr>
      </w:pPr>
    </w:p>
    <w:p>
      <w:pPr>
        <w:ind w:right="240" w:firstLine="913"/>
        <w:spacing w:after="0" w:line="257" w:lineRule="auto"/>
        <w:rPr>
          <w:sz w:val="20"/>
          <w:szCs w:val="20"/>
          <w:color w:val="auto"/>
        </w:rPr>
      </w:pPr>
      <w:r>
        <w:rPr>
          <w:rFonts w:ascii="Arial" w:cs="Arial" w:eastAsia="Arial" w:hAnsi="Arial"/>
          <w:sz w:val="18"/>
          <w:szCs w:val="18"/>
          <w:color w:val="auto"/>
        </w:rPr>
        <w:t>In the thirty-six weeks ended September 11, 2015, capital expenditures for property and equipment of $20.9 million included $15.7 million to support business operations (including $7.7 million associated with the assets purchased for the operating hotel in San Diego, California, $5.8 million for sales locations other than the operating hotel in San Diego, California, and $2.2 million for ancillary and operations assets) and $5.2 million for technology spending (including $3.0 million for Spin-Off related initiatives). See Footnote No. 5, “Acquisitions and Dispositions,” to our Financial Statements for additional information regarding the San Diego transaction.</w:t>
      </w:r>
    </w:p>
    <w:p>
      <w:pPr>
        <w:spacing w:after="0" w:line="80"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In the thirty-six weeks ended September 12, 2014, capital expenditures for property and equipment of $7.8 million included $4.4 million to support business operations (including $3.2 million for ancillary and operations assets and $1.2 million for sales locations) and $3.4 million for technology spending (including $1.9 million for Spin-Off related initiatives).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Purchase of Operating Hotel to be Sold</w:t>
      </w:r>
    </w:p>
    <w:p>
      <w:pPr>
        <w:spacing w:after="0" w:line="117"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During the thirty-six weeks ended September 11, 2015, we completed the acquisition of an operating hotel located in Surfers Paradise, Australia. We intend to convert a portion of this hotel in the near term into vacation ownership interests for future use in our Asia Pacific segment, and to sell the remaining downsized hotel to a third party. We have included $47.6 million, the portion of the purchase price related to the downsized hotel, as Purchase of operating hotel to be sold on our Cash Flows. See Footnote No. 5, “Acquisitions and Dispositions,” to our Financial Statements for additional information regarding this transaction.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(Increase) Decrease in Restricted Cash</w:t>
      </w:r>
    </w:p>
    <w:p>
      <w:pPr>
        <w:spacing w:after="0" w:line="117"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Restricted cash primarily consists of cash held in reserve accounts related to vacation ownership notes receivable securitizations, cash collected for maintenance fees to be remitted to property owners’ associations and deposits received, primarily associated with tour package sales and vacation ownership product sales that are held in escrow until the associated contract has closed or the period in which it can be rescinded has expired, depending on applicable legal requirements. Restricted cash also consists of cash received from the securitization of vacation ownership notes receivable with respect to vacation ownership notes receivable that are expected to be purchased by the 2015-1 Trust in the near term in accordance with the terms of the securitization transaction completed in the thirty-six weeks ended September 11, 2015. Refer to Footnote No. 9, “Debt,” to our Financial Statements for discussion of the terms of the securitization transaction and the purchase of additional vacation ownership notes receivable by the 2015-1 Trust.</w:t>
      </w:r>
    </w:p>
    <w:p>
      <w:pPr>
        <w:spacing w:after="0" w:line="59"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increase in restricted cash in the thirty-six weeks ended September 11, 2015 reflected $51.4 million of the proceeds from the securitization transaction completed during the third quarter of 2015, which will be released as the remaining vacation ownership notes receivable are purchased by the 2015-1 Trust, a $6.7 million increase in cash that was collected for distribution to investors in connection with securitized vacation ownership notes receivable, a $2.7 million increase in cash associated with vacation ownership sales held in escrow and $1.7 million related to property refurbishment reserves for the newly acquired Surfers Paradise property. These increases were partially offset by $49.8 million of higher cash distributions for maintenance fees remitted to certain property owners’ associations subsequent to the end of 2014.</w:t>
      </w:r>
    </w:p>
    <w:p>
      <w:pPr>
        <w:spacing w:after="0" w:line="70" w:lineRule="exact"/>
        <w:rPr>
          <w:sz w:val="20"/>
          <w:szCs w:val="20"/>
          <w:color w:val="auto"/>
        </w:rPr>
      </w:pPr>
    </w:p>
    <w:p>
      <w:pPr>
        <w:ind w:right="260" w:firstLine="913"/>
        <w:spacing w:after="0" w:line="302" w:lineRule="auto"/>
        <w:rPr>
          <w:sz w:val="20"/>
          <w:szCs w:val="20"/>
          <w:color w:val="auto"/>
        </w:rPr>
      </w:pPr>
      <w:r>
        <w:rPr>
          <w:rFonts w:ascii="Arial" w:cs="Arial" w:eastAsia="Arial" w:hAnsi="Arial"/>
          <w:sz w:val="16"/>
          <w:szCs w:val="16"/>
          <w:color w:val="auto"/>
        </w:rPr>
        <w:t>The decrease in restricted cash in the thirty-six weeks ended September 12, 2014 reflected $33.6 million of cash distributions for maintenance fees remitted to certain property owners’ associations subsequent to the end of 2013, partially offset by a $11.2 million increase in cash related to vacation ownership sales that are held in escrow, $1.2 million of cash distributions in connection with securitized vacation ownership notes receivable and a $0.6 million increase in funds required to be held in escrow to guarantee our credit card business in the Asia Pacific segment.</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Dispositions</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Dispositions in the thirty-six weeks ended September 11, 2015 related to the sale of undeveloped land in Kauai, Hawaii for $19.6 million, three lots in St. Thomas, U.S. Virgin Islands for $0.6 million and an operations facility in Hilton Head, South Carolina for $0.4 million.</w:t>
      </w:r>
    </w:p>
    <w:p>
      <w:pPr>
        <w:spacing w:after="0" w:line="62" w:lineRule="exact"/>
        <w:rPr>
          <w:sz w:val="20"/>
          <w:szCs w:val="20"/>
          <w:color w:val="auto"/>
        </w:rPr>
      </w:pPr>
    </w:p>
    <w:p>
      <w:pPr>
        <w:jc w:val="both"/>
        <w:ind w:right="200" w:firstLine="913"/>
        <w:spacing w:after="0" w:line="286" w:lineRule="auto"/>
        <w:rPr>
          <w:sz w:val="20"/>
          <w:szCs w:val="20"/>
          <w:color w:val="auto"/>
        </w:rPr>
      </w:pPr>
      <w:r>
        <w:rPr>
          <w:rFonts w:ascii="Arial" w:cs="Arial" w:eastAsia="Arial" w:hAnsi="Arial"/>
          <w:sz w:val="17"/>
          <w:szCs w:val="17"/>
          <w:color w:val="auto"/>
        </w:rPr>
        <w:t>Dispositions in the thirty-six weeks ended September 12, 2014 related to the sale of an operating golf course and adjacent undeveloped land in Orlando, Florida for $21.9 million, the sale of undeveloped land on Singer Island, Florida for $10.1 million, four lots in St. Thomas, U.S. Virgin Islands for $0.8 million, lots in Abaco, Bahamas for $0.3 million and undeveloped land in Seaview, New Jersey for $0.2 million.</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i w:val="1"/>
          <w:iCs w:val="1"/>
          <w:u w:val="single" w:color="auto"/>
          <w:color w:val="auto"/>
        </w:rPr>
        <w:t>Cash from Financing Activities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7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14"/>
                <w:szCs w:val="14"/>
                <w:color w:val="auto"/>
              </w:rPr>
            </w:pPr>
          </w:p>
        </w:tc>
        <w:tc>
          <w:tcPr>
            <w:tcW w:w="3540" w:type="dxa"/>
            <w:vAlign w:val="bottom"/>
            <w:gridSpan w:val="5"/>
          </w:tcPr>
          <w:p>
            <w:pPr>
              <w:ind w:left="88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94"/>
              </w:rPr>
              <w:t>September 11, 2015</w:t>
            </w: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w w:val="96"/>
              </w:rPr>
              <w:t>September 12, 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Borrowings from securitization transactions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255,000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Repayment of debt related to securitizations</w:t>
            </w:r>
          </w:p>
        </w:tc>
        <w:tc>
          <w:tcPr>
            <w:tcW w:w="220" w:type="dxa"/>
            <w:vAlign w:val="bottom"/>
          </w:tcPr>
          <w:p>
            <w:pPr>
              <w:spacing w:after="0"/>
              <w:rPr>
                <w:sz w:val="18"/>
                <w:szCs w:val="18"/>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(186,383)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(162,680)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vacation ownership inventory arrangement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5,375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Debt issuance costs</w:t>
            </w:r>
          </w:p>
        </w:tc>
        <w:tc>
          <w:tcPr>
            <w:tcW w:w="220" w:type="dxa"/>
            <w:vAlign w:val="bottom"/>
          </w:tcPr>
          <w:p>
            <w:pPr>
              <w:spacing w:after="0"/>
              <w:rPr>
                <w:sz w:val="18"/>
                <w:szCs w:val="18"/>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(4,405)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(106,110)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Payment of dividends</w:t>
            </w:r>
          </w:p>
        </w:tc>
        <w:tc>
          <w:tcPr>
            <w:tcW w:w="220" w:type="dxa"/>
            <w:vAlign w:val="bottom"/>
          </w:tcPr>
          <w:p>
            <w:pPr>
              <w:spacing w:after="0"/>
              <w:rPr>
                <w:sz w:val="18"/>
                <w:szCs w:val="18"/>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(16,003)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option exercises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Excess tax benefits from share-based compensation</w:t>
            </w:r>
          </w:p>
        </w:tc>
        <w:tc>
          <w:tcPr>
            <w:tcW w:w="220" w:type="dxa"/>
            <w:vAlign w:val="bottom"/>
          </w:tcPr>
          <w:p>
            <w:pPr>
              <w:spacing w:after="0"/>
              <w:rPr>
                <w:sz w:val="18"/>
                <w:szCs w:val="18"/>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Payment of withholding taxes on vesting of restricted stock units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(9,615)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674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56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5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(61,764)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Warehouse Credit Facility</w:t>
      </w:r>
    </w:p>
    <w:p>
      <w:pPr>
        <w:spacing w:after="0" w:line="117"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At September 11, 2015, no amounts were outstanding under the Warehouse Credit Facility and $36.0 million of gross vacation ownership notes receivable were eligible for securitization. We expect that these vacation ownership notes receivable will be purchased by the 2015-1 Trust prior to December 31, 2015 in accordance with the terms of the securitization transaction completed in the third quarter of 2015. Refer to Footnote No. 9, “Debt,” to our Financial Statements for discussion of the terms of this securitization transaction and the purchase of additional vacation ownership notes receivable by the 2015-1 Trust.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Borrowings from / Repayments of Debt Related to Securitization Transactions</w:t>
      </w:r>
    </w:p>
    <w:p>
      <w:pPr>
        <w:spacing w:after="0" w:line="117"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w:t>
      </w:r>
    </w:p>
    <w:p>
      <w:pPr>
        <w:spacing w:after="0" w:line="79"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Repayments on the non-recourse debt associated with our vacation ownership notes receivable securitizations totaled $186.4 million (including $54.0 million for voluntary retirement clean-up calls) and $162.7 million (including $26.7 million for voluntary retirement clean-up calls) in the thirty-six weeks ended September 11, 2015 and September 12, 2014, respectively.</w:t>
      </w:r>
    </w:p>
    <w:p>
      <w:pPr>
        <w:spacing w:after="0" w:line="73"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In the thirty-six weeks ended September 11, 2015, we completed the securitization of a pool of $264.2 million of vacation ownership notes receivable. Approximately $211.4 million of the vacation ownership notes receivable were purchased on August 13, 2015 by the 2015-1 Trust, and we expect the remaining vacation ownership notes receivable to be purchased by the 2015-1 Trust prior to December 31, 2015. As of August 13, 2015, the 2015-1 Trust held $51.4 million of the proceeds, which will be released as the remaining vacation ownership notes receivable are purchased. On September 24, 2015, subsequent to the third quarter of 2015, the 2015-1 Trust purchased $31.5 million of the remaining vacation ownership notes receivable and $30.4 million was released from restricted cash. Any funds not used to purchase vacation ownership notes receivable will be returned to the investors. In connection with the securitization, investors purchased in a private placement $255.0 million in vacation ownership loan backed notes from the 2015-1 Trust. Two classes of vacation ownership loan backed notes were issued by the 2015-1 Trust: $233.2 million of Class A Notes and $21.8 million of Class B Notes. The Class A Notes have an interest rate of 2.52 percent and the Class B Notes have an interest rate of 2.96 percent, for an overall weighted average interest rate of 2.56 percent.</w:t>
      </w:r>
    </w:p>
    <w:p>
      <w:pPr>
        <w:spacing w:after="0" w:line="8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In the thirty-six weeks ended September 12, 2014, we completed the securitization of a pool of $23.6 million primarily highly-seasoned vacation ownership notes receivable that we previously classified as not being eligible for securitization. In connection with the securitization, investors purchased in a private placement $22.6 million in vacation ownership loan backed notes from the Kyuka Owner Trust 2014-A with an interest rate of 6.25 percent. The securitized loans previously were classified as not eligible for securitization using criteria applicable to then current securitization transactions in the ABS market because they did not meet certain representation criteria required in such securitizations, or because of other factors that may have reflected investor demand in a securitization transaction.</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Proceeds from Vacation Ownership Inventory Arrangement</w:t>
      </w:r>
    </w:p>
    <w:p>
      <w:pPr>
        <w:spacing w:after="0" w:line="117"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In connection with our initiative of pursuing growth opportunities in ways that optimize the timing of our capital investments, including working with third-party partners to develop new inventory or convert previously built units to be sold to us close to when we need such inventory for sale, we sold real property located in Marco Island, Florida during the first quarter of 2015 to a third-party developer. Pursuant to this transaction, we are obligated to repurchase the completed property from the developer contingent upon the property meeting our brand standards and provided that the third-party developer has not sold the property to another party. As discussed in Footnote No. 5, “Acquisitions and Dispositions,” to our Financial Statements, we received cash proceeds of $5.4 million upon the sale of this real property. In accordance with the authoritative guidance on accounting for sales of real estate, our conditional obligation to repurchase the property constitutes continuing involvement and thus we were unable to account for this transaction as a sale, and as such have recorded these proceeds as a financing activity.</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During the thirty-six weeks ended September 11, 2015, we repurchased 1,297,338 shares of our common stock at an average price of $81.79 per share for a total of $106.1 million (including $30.0 million under an accelerated share repurchase program pursuant to which we repurchased 370,065 shares). See Footnote No. 11, “Shareholders’ Equity,” to our Financial Statements for further information related to our share repurchase program.</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On February 12, 2015, our Board of Directors declared a quarterly dividend of $0.25 per share to shareholders of record as of February 26, 2015, which we paid on March 11, 2015. On June 4, 2015, our Board of Directors declared a quarterly dividend of $0.25 per share to shareholders of record as of June 18, 2015, which we paid on July 2, 2015. On September 10, 2015 our Board of Directors declared a quarterly dividend of $0.25 per share to shareholders of record as of September 24, 2015, which we paid on October 8, 2015. Any future dividend payments will be subject to Board approval, and there can be no assurance that we will pay dividends in the future.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17"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There have been no significant changes to our “Contractual Obligations and Off-Balance Sheet Arrangements” as reported in “Management’s Discussion and Analysis of Financial Condition and Results of Operations,” in our Annual Report on Form 10-K for the year ended January 2, 2015, other than those discussed below. As of September 11, 2015, debt, net increased by $66.7 million to $769.7 million compared to $703.0 million at January 2, 2015, of which $68.6 million related to a decrease in non-recourse gross debt associated with vacation ownership notes receivable securitizations, partially offset by $2.1 million of debt issuance cost amortization. As of September 11, 2015, future debt payments to be paid out of collections from our vacation ownership notes receivable, including principal and interest, totaled $865.1 million and are due as follows: $41.1 million in 2015; $131.5 million in 2016; $121.9 million in 2017; $105.5 million in 2018; $91.7 million in 2019; and $373.4 million thereafter.</w:t>
      </w:r>
    </w:p>
    <w:p>
      <w:pPr>
        <w:spacing w:after="0" w:line="70"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We have a commitment of $137.1 million to purchase vacation ownership units located in Marco Island, Florida, as discussed in Footnote No. 5, “Acquisitions and Dispositions,” to our Financial Statements, of which we expect $33.3 million, $50.0 million and $53.8 million will be paid in 2017, 2018 and 2019, respectively.</w:t>
      </w:r>
    </w:p>
    <w:p>
      <w:pPr>
        <w:spacing w:after="0" w:line="7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have historically issued guarantees to certain lenders in connection with the provision of third-party financing for our sales of vacation ownership products. The terms of these guarantees generally require us to fund if the purchaser fails to pay under the terms of its note payable. We are entitled to recover any payments we make to third-party lenders under these guarantees through reacquisition and resale of the vacation ownership product. Our commitments under these guarantees expire as the underlying notes mature or are repaid. Our maximum exposure under such guarantees as of September 11, 2015 in the Asia Pacific and North America segments was $5.8 million and $2.8 million, respectively. The terms of the underlying debt to third-party lenders extend to 2022.</w:t>
      </w:r>
    </w:p>
    <w:p>
      <w:pPr>
        <w:spacing w:after="0" w:line="85"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For additional information on these guarantees and the circumstances under which they were entered into, see the “Guarantees” caption within Footnote No. 8, “Contingencies and Commitments,” to our Financial Statements.</w:t>
      </w:r>
    </w:p>
    <w:p>
      <w:pPr>
        <w:spacing w:after="0" w:line="62"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In the normal course of our resort management business, we enter into purchase commitments with property owners’ associations to manage the daily operating needs of our resorts. Since we are reimbursed for these commitments from the cash flows of the resorts, these obligations have minimal impact on our net income and cash flow.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consolidated results of operations or financial condition.</w:t>
      </w:r>
    </w:p>
    <w:p>
      <w:pPr>
        <w:spacing w:after="0" w:line="79"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financial position or results of operations. We have discussed those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exposure to market risk has not changed materially from that disclosed in our Annual Report on Form 10-K for the year ended January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No. 8,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There have been no material changes from the risk factors disclosed in Part I, Item 1A of our Annual Report on Form 10-K for the fiscal year ended January 2, 2015.</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620" w:type="dxa"/>
            <w:vAlign w:val="bottom"/>
            <w:gridSpan w:val="2"/>
          </w:tcPr>
          <w:p>
            <w:pPr>
              <w:ind w:left="40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5620" w:type="dxa"/>
            <w:vAlign w:val="bottom"/>
            <w:gridSpan w:val="2"/>
          </w:tcPr>
          <w:p>
            <w:pPr>
              <w:ind w:left="180"/>
              <w:spacing w:after="0"/>
              <w:rPr>
                <w:sz w:val="20"/>
                <w:szCs w:val="20"/>
                <w:color w:val="auto"/>
              </w:rPr>
            </w:pPr>
            <w:r>
              <w:rPr>
                <w:rFonts w:ascii="Arial" w:cs="Arial" w:eastAsia="Arial" w:hAnsi="Arial"/>
                <w:sz w:val="18"/>
                <w:szCs w:val="18"/>
                <w:i w:val="1"/>
                <w:iCs w:val="1"/>
                <w:color w:val="auto"/>
              </w:rPr>
              <w:t>Issuer Purchases of Equity Securities</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400" w:type="dxa"/>
            <w:vAlign w:val="bottom"/>
          </w:tcPr>
          <w:p>
            <w:pPr>
              <w:spacing w:after="0"/>
              <w:rPr>
                <w:sz w:val="12"/>
                <w:szCs w:val="12"/>
                <w:color w:val="auto"/>
              </w:rPr>
            </w:pPr>
          </w:p>
        </w:tc>
        <w:tc>
          <w:tcPr>
            <w:tcW w:w="13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4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420" w:type="dxa"/>
            <w:vAlign w:val="bottom"/>
          </w:tcPr>
          <w:p>
            <w:pPr>
              <w:spacing w:after="0"/>
              <w:rPr>
                <w:sz w:val="12"/>
                <w:szCs w:val="12"/>
                <w:color w:val="auto"/>
              </w:rPr>
            </w:pP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400" w:type="dxa"/>
            <w:vAlign w:val="bottom"/>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400" w:type="dxa"/>
            <w:vAlign w:val="bottom"/>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5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Plans or</w:t>
            </w:r>
          </w:p>
        </w:tc>
        <w:tc>
          <w:tcPr>
            <w:tcW w:w="400" w:type="dxa"/>
            <w:vAlign w:val="bottom"/>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740" w:type="dxa"/>
            <w:vAlign w:val="bottom"/>
            <w:vMerge w:val="continue"/>
          </w:tcPr>
          <w:p>
            <w:pPr>
              <w:spacing w:after="0"/>
              <w:rPr>
                <w:sz w:val="14"/>
                <w:szCs w:val="14"/>
                <w:color w:val="auto"/>
              </w:rPr>
            </w:pPr>
          </w:p>
        </w:tc>
        <w:tc>
          <w:tcPr>
            <w:tcW w:w="5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420" w:type="dxa"/>
            <w:vAlign w:val="bottom"/>
          </w:tcPr>
          <w:p>
            <w:pPr>
              <w:spacing w:after="0"/>
              <w:rPr>
                <w:sz w:val="14"/>
                <w:szCs w:val="14"/>
                <w:color w:val="auto"/>
              </w:rPr>
            </w:pPr>
          </w:p>
        </w:tc>
        <w:tc>
          <w:tcPr>
            <w:tcW w:w="10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per Share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12"/>
                <w:szCs w:val="12"/>
                <w:b w:val="1"/>
                <w:bCs w:val="1"/>
                <w:color w:val="auto"/>
                <w:w w:val="92"/>
              </w:rPr>
              <w:t>(1)</w:t>
            </w:r>
          </w:p>
        </w:tc>
        <w:tc>
          <w:tcPr>
            <w:tcW w:w="40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10"/>
        </w:trPr>
        <w:tc>
          <w:tcPr>
            <w:tcW w:w="6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June 20, 2015 – July 17, 2015</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54,707</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89.11</w:t>
            </w:r>
          </w:p>
        </w:tc>
        <w:tc>
          <w:tcPr>
            <w:tcW w:w="4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8"/>
                <w:szCs w:val="18"/>
                <w:color w:val="auto"/>
              </w:rPr>
              <w:t>54,707</w:t>
            </w:r>
          </w:p>
        </w:tc>
        <w:tc>
          <w:tcPr>
            <w:tcW w:w="4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2,030,842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3"/>
          </w:tcPr>
          <w:p>
            <w:pPr>
              <w:spacing w:after="0"/>
              <w:rPr>
                <w:sz w:val="20"/>
                <w:szCs w:val="20"/>
                <w:color w:val="auto"/>
              </w:rPr>
            </w:pPr>
            <w:r>
              <w:rPr>
                <w:rFonts w:ascii="Arial" w:cs="Arial" w:eastAsia="Arial" w:hAnsi="Arial"/>
                <w:sz w:val="18"/>
                <w:szCs w:val="18"/>
                <w:color w:val="auto"/>
              </w:rPr>
              <w:t>July 18, 2015 – August 14, 2015</w:t>
            </w:r>
          </w:p>
        </w:tc>
        <w:tc>
          <w:tcPr>
            <w:tcW w:w="860" w:type="dxa"/>
            <w:vAlign w:val="bottom"/>
          </w:tcPr>
          <w:p>
            <w:pPr>
              <w:jc w:val="right"/>
              <w:ind w:right="98"/>
              <w:spacing w:after="0"/>
              <w:rPr>
                <w:sz w:val="20"/>
                <w:szCs w:val="20"/>
                <w:color w:val="auto"/>
              </w:rPr>
            </w:pPr>
            <w:r>
              <w:rPr>
                <w:rFonts w:ascii="Arial" w:cs="Arial" w:eastAsia="Arial" w:hAnsi="Arial"/>
                <w:sz w:val="18"/>
                <w:szCs w:val="18"/>
                <w:color w:val="auto"/>
              </w:rPr>
              <w:t>424,905</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82.37</w:t>
            </w:r>
          </w:p>
        </w:tc>
        <w:tc>
          <w:tcPr>
            <w:tcW w:w="420" w:type="dxa"/>
            <w:vAlign w:val="bottom"/>
          </w:tcPr>
          <w:p>
            <w:pPr>
              <w:spacing w:after="0"/>
              <w:rPr>
                <w:sz w:val="18"/>
                <w:szCs w:val="18"/>
                <w:color w:val="auto"/>
              </w:rPr>
            </w:pPr>
          </w:p>
        </w:tc>
        <w:tc>
          <w:tcPr>
            <w:tcW w:w="1040" w:type="dxa"/>
            <w:vAlign w:val="bottom"/>
          </w:tcPr>
          <w:p>
            <w:pPr>
              <w:jc w:val="right"/>
              <w:ind w:right="201"/>
              <w:spacing w:after="0"/>
              <w:rPr>
                <w:sz w:val="20"/>
                <w:szCs w:val="20"/>
                <w:color w:val="auto"/>
              </w:rPr>
            </w:pPr>
            <w:r>
              <w:rPr>
                <w:rFonts w:ascii="Arial" w:cs="Arial" w:eastAsia="Arial" w:hAnsi="Arial"/>
                <w:sz w:val="18"/>
                <w:szCs w:val="18"/>
                <w:color w:val="auto"/>
              </w:rPr>
              <w:t>424,905</w:t>
            </w:r>
          </w:p>
        </w:tc>
        <w:tc>
          <w:tcPr>
            <w:tcW w:w="162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1,605,937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15, 2015 – September 11, 2015</w:t>
            </w:r>
          </w:p>
        </w:tc>
        <w:tc>
          <w:tcPr>
            <w:tcW w:w="8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89"/>
              </w:rPr>
              <w:t>1,605,937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20"/>
                <w:szCs w:val="20"/>
                <w:color w:val="auto"/>
              </w:rPr>
            </w:pPr>
            <w:r>
              <w:rPr>
                <w:rFonts w:ascii="Arial" w:cs="Arial" w:eastAsia="Arial" w:hAnsi="Arial"/>
                <w:sz w:val="18"/>
                <w:szCs w:val="18"/>
                <w:color w:val="auto"/>
              </w:rPr>
              <w:t>Total</w:t>
            </w:r>
          </w:p>
        </w:tc>
        <w:tc>
          <w:tcPr>
            <w:tcW w:w="5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479,612</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83.14</w:t>
            </w:r>
          </w:p>
        </w:tc>
        <w:tc>
          <w:tcPr>
            <w:tcW w:w="420" w:type="dxa"/>
            <w:vAlign w:val="bottom"/>
          </w:tcPr>
          <w:p>
            <w:pPr>
              <w:spacing w:after="0"/>
              <w:rPr>
                <w:sz w:val="19"/>
                <w:szCs w:val="19"/>
                <w:color w:val="auto"/>
              </w:rPr>
            </w:pPr>
          </w:p>
        </w:tc>
        <w:tc>
          <w:tcPr>
            <w:tcW w:w="1040" w:type="dxa"/>
            <w:vAlign w:val="bottom"/>
            <w:tcBorders>
              <w:bottom w:val="single" w:sz="8" w:color="auto"/>
            </w:tcBorders>
          </w:tcPr>
          <w:p>
            <w:pPr>
              <w:jc w:val="right"/>
              <w:ind w:right="201"/>
              <w:spacing w:after="0"/>
              <w:rPr>
                <w:sz w:val="20"/>
                <w:szCs w:val="20"/>
                <w:color w:val="auto"/>
              </w:rPr>
            </w:pPr>
            <w:r>
              <w:rPr>
                <w:rFonts w:ascii="Arial" w:cs="Arial" w:eastAsia="Arial" w:hAnsi="Arial"/>
                <w:sz w:val="18"/>
                <w:szCs w:val="18"/>
                <w:color w:val="auto"/>
              </w:rPr>
              <w:t>479,612</w:t>
            </w:r>
          </w:p>
        </w:tc>
        <w:tc>
          <w:tcPr>
            <w:tcW w:w="162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1,605,937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576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68" w:lineRule="exact"/>
        <w:rPr>
          <w:sz w:val="20"/>
          <w:szCs w:val="20"/>
          <w:color w:val="auto"/>
        </w:rPr>
      </w:pPr>
    </w:p>
    <w:p>
      <w:pPr>
        <w:jc w:val="both"/>
        <w:ind w:left="460" w:right="140" w:hanging="452"/>
        <w:spacing w:after="0" w:line="312" w:lineRule="auto"/>
        <w:tabs>
          <w:tab w:leader="none" w:pos="460" w:val="left"/>
        </w:tabs>
        <w:numPr>
          <w:ilvl w:val="0"/>
          <w:numId w:val="37"/>
        </w:numPr>
        <w:rPr>
          <w:rFonts w:ascii="Arial" w:cs="Arial" w:eastAsia="Arial" w:hAnsi="Arial"/>
          <w:sz w:val="14"/>
          <w:szCs w:val="14"/>
          <w:color w:val="auto"/>
        </w:rPr>
      </w:pPr>
      <w:r>
        <w:rPr>
          <w:rFonts w:ascii="Arial" w:cs="Arial" w:eastAsia="Arial" w:hAnsi="Arial"/>
          <w:sz w:val="16"/>
          <w:szCs w:val="16"/>
          <w:color w:val="auto"/>
        </w:rPr>
        <w:t>On October 12, 2015, our Board of Directors approved the repurchase of up to an additional 2,000,000 shares of our common stock under our existing share repurchase program and extended the termination date of the program to March 24, 2017. Prior to that authorization, our Board of Directors had authorized the repurchase of up to 6,900,000 shares of our common stock prior to March 26, 2016 under the share repurchase program.</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Exhibits filed or furnished as a part of this Quarterly Report on Form 10-Q are listed on the Index to Exhibits on page E-1, which is incorporated by reference herein.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MARRIOTT VACATIONS WORLDWIDE CORPORATION</w:t>
      </w:r>
    </w:p>
    <w:p>
      <w:pPr>
        <w:spacing w:after="0" w:line="225"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October 15, 2015</w:t>
      </w:r>
      <w:r>
        <w:rPr>
          <w:sz w:val="20"/>
          <w:szCs w:val="20"/>
          <w:color w:val="auto"/>
        </w:rPr>
        <w:tab/>
      </w:r>
      <w:r>
        <w:rPr>
          <w:rFonts w:ascii="Arial" w:cs="Arial" w:eastAsia="Arial" w:hAnsi="Arial"/>
          <w:sz w:val="15"/>
          <w:szCs w:val="15"/>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340"/>
          </w:cols>
          <w:pgMar w:left="240" w:top="459" w:right="319" w:bottom="1440" w:gutter="0" w:footer="0" w:header="0"/>
        </w:sectPr>
      </w:pPr>
    </w:p>
    <w:p>
      <w:pPr>
        <w:spacing w:after="0" w:line="248" w:lineRule="exact"/>
        <w:rPr>
          <w:sz w:val="20"/>
          <w:szCs w:val="20"/>
          <w:color w:val="auto"/>
        </w:rPr>
      </w:pPr>
    </w:p>
    <w:p>
      <w:pPr>
        <w:jc w:val="center"/>
        <w:ind w:left="10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800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66465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9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Restated Certificate of Incorporation of Marriott Vacations Worldwide Corporation, incorporated by reference to Exhibit 3.1 of our Current Report on Form 8-K filed on November 22, 2011.</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Restated Bylaws of Marriott Vacations Worldwide Corporation, incorporated by reference to Exhibit 3.2 of our Current Report on Form 8-K filed on November 22, 2011.</w:t>
      </w:r>
    </w:p>
    <w:p>
      <w:pPr>
        <w:spacing w:after="0" w:line="62" w:lineRule="exact"/>
        <w:rPr>
          <w:sz w:val="20"/>
          <w:szCs w:val="20"/>
          <w:color w:val="auto"/>
        </w:rPr>
      </w:pPr>
    </w:p>
    <w:p>
      <w:pPr>
        <w:sectPr>
          <w:pgSz w:w="11900" w:h="16838" w:orient="portrait"/>
          <w:cols w:equalWidth="0" w:num="2">
            <w:col w:w="680" w:space="280"/>
            <w:col w:w="10380"/>
          </w:cols>
          <w:pgMar w:left="240" w:top="459" w:right="319" w:bottom="1440" w:gutter="0" w:footer="0" w:header="0"/>
          <w:type w:val="continuous"/>
        </w:sectPr>
      </w:pPr>
    </w:p>
    <w:tbl>
      <w:tblPr>
        <w:tblLayout w:type="fixed"/>
        <w:tblInd w:w="80" w:type="dxa"/>
        <w:tblCellMar>
          <w:top w:w="0" w:type="dxa"/>
          <w:left w:w="0" w:type="dxa"/>
          <w:bottom w:w="0" w:type="dxa"/>
          <w:right w:w="0" w:type="dxa"/>
        </w:tblCellMar>
      </w:tblPr>
      <w:tr>
        <w:trPr>
          <w:trHeight w:val="230"/>
        </w:trPr>
        <w:tc>
          <w:tcPr>
            <w:tcW w:w="780" w:type="dxa"/>
            <w:vAlign w:val="bottom"/>
          </w:tcPr>
          <w:p>
            <w:pPr>
              <w:jc w:val="right"/>
              <w:ind w:right="90"/>
              <w:spacing w:after="0"/>
              <w:rPr>
                <w:sz w:val="20"/>
                <w:szCs w:val="20"/>
                <w:color w:val="auto"/>
              </w:rPr>
            </w:pPr>
            <w:r>
              <w:rPr>
                <w:rFonts w:ascii="Arial" w:cs="Arial" w:eastAsia="Arial" w:hAnsi="Arial"/>
                <w:sz w:val="18"/>
                <w:szCs w:val="18"/>
                <w:color w:val="auto"/>
              </w:rPr>
              <w:t>31.1</w:t>
            </w:r>
          </w:p>
        </w:tc>
        <w:tc>
          <w:tcPr>
            <w:tcW w:w="8760" w:type="dxa"/>
            <w:vAlign w:val="bottom"/>
          </w:tcPr>
          <w:p>
            <w:pPr>
              <w:ind w:left="10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324"/>
        </w:trPr>
        <w:tc>
          <w:tcPr>
            <w:tcW w:w="780" w:type="dxa"/>
            <w:vAlign w:val="bottom"/>
          </w:tcPr>
          <w:p>
            <w:pPr>
              <w:jc w:val="right"/>
              <w:ind w:right="90"/>
              <w:spacing w:after="0"/>
              <w:rPr>
                <w:sz w:val="20"/>
                <w:szCs w:val="20"/>
                <w:color w:val="auto"/>
              </w:rPr>
            </w:pPr>
            <w:r>
              <w:rPr>
                <w:rFonts w:ascii="Arial" w:cs="Arial" w:eastAsia="Arial" w:hAnsi="Arial"/>
                <w:sz w:val="18"/>
                <w:szCs w:val="18"/>
                <w:color w:val="auto"/>
              </w:rPr>
              <w:t>31.2</w:t>
            </w:r>
          </w:p>
        </w:tc>
        <w:tc>
          <w:tcPr>
            <w:tcW w:w="8760" w:type="dxa"/>
            <w:vAlign w:val="bottom"/>
          </w:tcPr>
          <w:p>
            <w:pPr>
              <w:ind w:left="10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324"/>
        </w:trPr>
        <w:tc>
          <w:tcPr>
            <w:tcW w:w="780" w:type="dxa"/>
            <w:vAlign w:val="bottom"/>
          </w:tcPr>
          <w:p>
            <w:pPr>
              <w:jc w:val="right"/>
              <w:ind w:right="90"/>
              <w:spacing w:after="0"/>
              <w:rPr>
                <w:sz w:val="20"/>
                <w:szCs w:val="20"/>
                <w:color w:val="auto"/>
              </w:rPr>
            </w:pPr>
            <w:r>
              <w:rPr>
                <w:rFonts w:ascii="Arial" w:cs="Arial" w:eastAsia="Arial" w:hAnsi="Arial"/>
                <w:sz w:val="18"/>
                <w:szCs w:val="18"/>
                <w:color w:val="auto"/>
              </w:rPr>
              <w:t>32.1</w:t>
            </w:r>
          </w:p>
        </w:tc>
        <w:tc>
          <w:tcPr>
            <w:tcW w:w="8760" w:type="dxa"/>
            <w:vAlign w:val="bottom"/>
          </w:tcPr>
          <w:p>
            <w:pPr>
              <w:ind w:left="100"/>
              <w:spacing w:after="0"/>
              <w:rPr>
                <w:sz w:val="20"/>
                <w:szCs w:val="20"/>
                <w:color w:val="auto"/>
              </w:rPr>
            </w:pPr>
            <w:r>
              <w:rPr>
                <w:rFonts w:ascii="Arial" w:cs="Arial" w:eastAsia="Arial" w:hAnsi="Arial"/>
                <w:sz w:val="18"/>
                <w:szCs w:val="18"/>
                <w:color w:val="auto"/>
                <w:w w:val="91"/>
              </w:rPr>
              <w:t>Certification of Chief Executive Officer pursuant to Rule 13a-14(b) and Section 906 of the Sarbanes-Oxley Act of 2002.</w:t>
            </w:r>
          </w:p>
        </w:tc>
      </w:tr>
      <w:tr>
        <w:trPr>
          <w:trHeight w:val="324"/>
        </w:trPr>
        <w:tc>
          <w:tcPr>
            <w:tcW w:w="780" w:type="dxa"/>
            <w:vAlign w:val="bottom"/>
          </w:tcPr>
          <w:p>
            <w:pPr>
              <w:jc w:val="right"/>
              <w:ind w:right="90"/>
              <w:spacing w:after="0"/>
              <w:rPr>
                <w:sz w:val="20"/>
                <w:szCs w:val="20"/>
                <w:color w:val="auto"/>
              </w:rPr>
            </w:pPr>
            <w:r>
              <w:rPr>
                <w:rFonts w:ascii="Arial" w:cs="Arial" w:eastAsia="Arial" w:hAnsi="Arial"/>
                <w:sz w:val="18"/>
                <w:szCs w:val="18"/>
                <w:color w:val="auto"/>
              </w:rPr>
              <w:t>32.2</w:t>
            </w:r>
          </w:p>
        </w:tc>
        <w:tc>
          <w:tcPr>
            <w:tcW w:w="8760" w:type="dxa"/>
            <w:vAlign w:val="bottom"/>
          </w:tcPr>
          <w:p>
            <w:pPr>
              <w:ind w:left="100"/>
              <w:spacing w:after="0"/>
              <w:rPr>
                <w:sz w:val="20"/>
                <w:szCs w:val="20"/>
                <w:color w:val="auto"/>
              </w:rPr>
            </w:pPr>
            <w:r>
              <w:rPr>
                <w:rFonts w:ascii="Arial" w:cs="Arial" w:eastAsia="Arial" w:hAnsi="Arial"/>
                <w:sz w:val="18"/>
                <w:szCs w:val="18"/>
                <w:color w:val="auto"/>
                <w:w w:val="92"/>
              </w:rPr>
              <w:t>Certification of Chief Financial Officer pursuant to Rule 13a-14(b) and Section 906 of the Sarbanes-Oxley Act of 2002.</w:t>
            </w:r>
          </w:p>
        </w:tc>
      </w:tr>
      <w:tr>
        <w:trPr>
          <w:trHeight w:val="324"/>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101.INS</w:t>
            </w:r>
          </w:p>
        </w:tc>
        <w:tc>
          <w:tcPr>
            <w:tcW w:w="876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324"/>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0"/>
              </w:rPr>
              <w:t>101.SCH</w:t>
            </w:r>
          </w:p>
        </w:tc>
        <w:tc>
          <w:tcPr>
            <w:tcW w:w="876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4"/>
              </w:rPr>
              <w:t>101.CAL</w:t>
            </w:r>
          </w:p>
        </w:tc>
        <w:tc>
          <w:tcPr>
            <w:tcW w:w="8760" w:type="dxa"/>
            <w:vAlign w:val="bottom"/>
          </w:tcPr>
          <w:p>
            <w:pPr>
              <w:ind w:left="10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2"/>
              </w:rPr>
              <w:t>101.DEF</w:t>
            </w:r>
          </w:p>
        </w:tc>
        <w:tc>
          <w:tcPr>
            <w:tcW w:w="876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5"/>
              </w:rPr>
              <w:t>101.LAB</w:t>
            </w:r>
          </w:p>
        </w:tc>
        <w:tc>
          <w:tcPr>
            <w:tcW w:w="8760" w:type="dxa"/>
            <w:vAlign w:val="bottom"/>
          </w:tcPr>
          <w:p>
            <w:pPr>
              <w:ind w:left="10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1"/>
              </w:rPr>
              <w:t>101.PRE</w:t>
            </w:r>
          </w:p>
        </w:tc>
        <w:tc>
          <w:tcPr>
            <w:tcW w:w="8760" w:type="dxa"/>
            <w:vAlign w:val="bottom"/>
          </w:tcPr>
          <w:p>
            <w:pPr>
              <w:ind w:left="10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have attached the following documents formatted in XBRL (Extensible Business Reporting Language) as Exhibit 101 to this report: (i) the Interim Consolidated Statements of Income for the twelve and thirty-six weeks ended September 11, 2015 and September 12, 2014, respectively; (ii) the Interim Consolidated Statements of Comprehensive Income for the twelve and thirty-six weeks ended September 11, 2015 and September 12, 2014, respectively;</w:t>
      </w:r>
    </w:p>
    <w:p>
      <w:pPr>
        <w:ind w:firstLine="8"/>
        <w:spacing w:after="0" w:line="261" w:lineRule="auto"/>
        <w:tabs>
          <w:tab w:leader="none" w:pos="3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Interim Consolidated Balance Sheets at September 11, 2015 and January 2, 2015; and (iv) the Interim Consolidated Statements of Cash Flows for the thirty-six weeks ended September 11, 2015 and September 12, 2014, respectively.</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340"/>
          </w:cols>
          <w:pgMar w:left="240" w:top="459" w:right="319" w:bottom="1440" w:gutter="0" w:footer="0" w:header="0"/>
          <w:type w:val="continuous"/>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31"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15, 2015</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131"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15,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131" w:lineRule="exact"/>
        <w:rPr>
          <w:sz w:val="20"/>
          <w:szCs w:val="20"/>
          <w:color w:val="auto"/>
        </w:rPr>
      </w:pPr>
    </w:p>
    <w:p>
      <w:pPr>
        <w:ind w:left="460" w:right="64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11, 2015 (the “Quarterly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460" w:right="62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October 15,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John E. Geller, Jr., Executive Vice President and Chief Financial Officer of Marriott Vacations Worldwide Corporation (the “Company”) certify that:</w:t>
      </w:r>
    </w:p>
    <w:p>
      <w:pPr>
        <w:spacing w:after="0" w:line="154" w:lineRule="exact"/>
        <w:rPr>
          <w:sz w:val="20"/>
          <w:szCs w:val="20"/>
          <w:color w:val="auto"/>
        </w:rPr>
      </w:pPr>
    </w:p>
    <w:p>
      <w:pPr>
        <w:ind w:left="460" w:right="640" w:hanging="45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11, 2015 (the “Quarterly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460" w:right="620" w:hanging="45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October 15,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4"/>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lowerRoman"/>
      <w:start w:val="3"/>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2019-12-29T15:13:44Z</dcterms:created>
  <dcterms:modified xsi:type="dcterms:W3CDTF">2019-12-29T15:13:44Z</dcterms:modified>
</cp:coreProperties>
</file>