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7"/>
          <w:szCs w:val="27"/>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6"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FORM 10-K</w:t>
      </w:r>
    </w:p>
    <w:p>
      <w:pPr>
        <w:spacing w:after="0" w:line="47" w:lineRule="exact"/>
        <w:rPr>
          <w:sz w:val="24"/>
          <w:szCs w:val="24"/>
          <w:color w:val="auto"/>
        </w:rPr>
      </w:pPr>
    </w:p>
    <w:p>
      <w:pPr>
        <w:ind w:left="460" w:hanging="444"/>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42" w:lineRule="exact"/>
        <w:rPr>
          <w:sz w:val="24"/>
          <w:szCs w:val="24"/>
          <w:color w:val="auto"/>
        </w:rPr>
      </w:pPr>
    </w:p>
    <w:p>
      <w:pPr>
        <w:ind w:left="460" w:hanging="444"/>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120" w:type="dxa"/>
            <w:vAlign w:val="bottom"/>
            <w:gridSpan w:val="3"/>
          </w:tcPr>
          <w:p>
            <w:pPr>
              <w:ind w:left="400"/>
              <w:spacing w:after="0"/>
              <w:rPr>
                <w:sz w:val="20"/>
                <w:szCs w:val="20"/>
                <w:color w:val="auto"/>
              </w:rPr>
            </w:pPr>
            <w:r>
              <w:rPr>
                <w:rFonts w:ascii="Arial" w:cs="Arial" w:eastAsia="Arial" w:hAnsi="Arial"/>
                <w:sz w:val="13"/>
                <w:szCs w:val="13"/>
                <w:b w:val="1"/>
                <w:bCs w:val="1"/>
                <w:color w:val="auto"/>
                <w:w w:val="93"/>
              </w:rPr>
              <w:t>For the transition period from</w:t>
            </w:r>
          </w:p>
        </w:tc>
        <w:tc>
          <w:tcPr>
            <w:tcW w:w="400" w:type="dxa"/>
            <w:vAlign w:val="bottom"/>
            <w:tcBorders>
              <w:bottom w:val="single" w:sz="8" w:color="auto"/>
            </w:tcBorders>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w w:val="97"/>
              </w:rPr>
              <w:t>to</w:t>
            </w:r>
          </w:p>
        </w:tc>
        <w:tc>
          <w:tcPr>
            <w:tcW w:w="400" w:type="dxa"/>
            <w:vAlign w:val="bottom"/>
            <w:tcBorders>
              <w:bottom w:val="single" w:sz="8" w:color="auto"/>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69"/>
        </w:trPr>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7"/>
          </w:tcPr>
          <w:p>
            <w:pPr>
              <w:jc w:val="center"/>
              <w:ind w:right="600"/>
              <w:spacing w:after="0"/>
              <w:rPr>
                <w:sz w:val="20"/>
                <w:szCs w:val="20"/>
                <w:color w:val="auto"/>
              </w:rPr>
            </w:pPr>
            <w:r>
              <w:rPr>
                <w:rFonts w:ascii="Arial" w:cs="Arial" w:eastAsia="Arial" w:hAnsi="Arial"/>
                <w:sz w:val="13"/>
                <w:szCs w:val="13"/>
                <w:b w:val="1"/>
                <w:bCs w:val="1"/>
                <w:color w:val="auto"/>
                <w:w w:val="91"/>
              </w:rPr>
              <w:t>Commission File No. 001-35219</w:t>
            </w:r>
          </w:p>
        </w:tc>
        <w:tc>
          <w:tcPr>
            <w:tcW w:w="21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84"/>
        </w:trPr>
        <w:tc>
          <w:tcPr>
            <w:tcW w:w="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2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gridSpan w:val="4"/>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gridSpan w:val="3"/>
          </w:tcPr>
          <w:p>
            <w:pPr>
              <w:spacing w:after="0"/>
              <w:rPr>
                <w:sz w:val="7"/>
                <w:szCs w:val="7"/>
                <w:color w:val="auto"/>
              </w:rPr>
            </w:pPr>
          </w:p>
        </w:tc>
        <w:tc>
          <w:tcPr>
            <w:tcW w:w="1780" w:type="dxa"/>
            <w:vAlign w:val="bottom"/>
          </w:tcPr>
          <w:p>
            <w:pPr>
              <w:spacing w:after="0"/>
              <w:rPr>
                <w:sz w:val="7"/>
                <w:szCs w:val="7"/>
                <w:color w:val="auto"/>
              </w:rPr>
            </w:pPr>
          </w:p>
        </w:tc>
      </w:tr>
      <w:tr>
        <w:trPr>
          <w:trHeight w:val="532"/>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760"/>
              <w:spacing w:after="0"/>
              <w:rPr>
                <w:sz w:val="20"/>
                <w:szCs w:val="20"/>
                <w:color w:val="auto"/>
              </w:rPr>
            </w:pPr>
            <w:r>
              <w:rPr>
                <w:rFonts w:ascii="Arial" w:cs="Arial" w:eastAsia="Arial" w:hAnsi="Arial"/>
                <w:sz w:val="30"/>
                <w:szCs w:val="30"/>
                <w:b w:val="1"/>
                <w:bCs w:val="1"/>
                <w:color w:val="auto"/>
                <w:w w:val="92"/>
              </w:rPr>
              <w:t>Marriott Vacations Worldwide Corporation</w:t>
            </w:r>
          </w:p>
        </w:tc>
      </w:tr>
      <w:tr>
        <w:trPr>
          <w:trHeight w:val="172"/>
        </w:trPr>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60" w:type="dxa"/>
            <w:vAlign w:val="bottom"/>
            <w:gridSpan w:val="9"/>
          </w:tcPr>
          <w:p>
            <w:pPr>
              <w:jc w:val="center"/>
              <w:ind w:left="150"/>
              <w:spacing w:after="0"/>
              <w:rPr>
                <w:sz w:val="20"/>
                <w:szCs w:val="20"/>
                <w:color w:val="auto"/>
              </w:rPr>
            </w:pPr>
            <w:r>
              <w:rPr>
                <w:rFonts w:ascii="Arial" w:cs="Arial" w:eastAsia="Arial" w:hAnsi="Arial"/>
                <w:sz w:val="13"/>
                <w:szCs w:val="13"/>
                <w:b w:val="1"/>
                <w:bCs w:val="1"/>
                <w:color w:val="auto"/>
                <w:w w:val="91"/>
              </w:rPr>
              <w:t>(Exact name of registrant as specified in its charter)</w:t>
            </w:r>
          </w:p>
        </w:tc>
        <w:tc>
          <w:tcPr>
            <w:tcW w:w="2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09"/>
        </w:trPr>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2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r>
      <w:tr>
        <w:trPr>
          <w:trHeight w:val="445"/>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0" w:type="dxa"/>
            <w:vAlign w:val="bottom"/>
            <w:gridSpan w:val="5"/>
          </w:tcPr>
          <w:p>
            <w:pPr>
              <w:jc w:val="center"/>
              <w:ind w:right="1100"/>
              <w:spacing w:after="0"/>
              <w:rPr>
                <w:sz w:val="20"/>
                <w:szCs w:val="20"/>
                <w:color w:val="auto"/>
              </w:rPr>
            </w:pPr>
            <w:r>
              <w:rPr>
                <w:rFonts w:ascii="Arial" w:cs="Arial" w:eastAsia="Arial" w:hAnsi="Arial"/>
                <w:sz w:val="17"/>
                <w:szCs w:val="17"/>
                <w:b w:val="1"/>
                <w:bCs w:val="1"/>
                <w:color w:val="auto"/>
                <w:w w:val="88"/>
              </w:rPr>
              <w:t>Delaware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964"/>
              <w:spacing w:after="0"/>
              <w:rPr>
                <w:sz w:val="20"/>
                <w:szCs w:val="20"/>
                <w:color w:val="auto"/>
              </w:rPr>
            </w:pPr>
            <w:r>
              <w:rPr>
                <w:rFonts w:ascii="Arial" w:cs="Arial" w:eastAsia="Arial" w:hAnsi="Arial"/>
                <w:sz w:val="17"/>
                <w:szCs w:val="17"/>
                <w:b w:val="1"/>
                <w:bCs w:val="1"/>
                <w:color w:val="auto"/>
              </w:rPr>
              <w:t>45-2598330</w:t>
            </w:r>
          </w:p>
        </w:tc>
        <w:tc>
          <w:tcPr>
            <w:tcW w:w="1780" w:type="dxa"/>
            <w:vAlign w:val="bottom"/>
          </w:tcPr>
          <w:p>
            <w:pPr>
              <w:spacing w:after="0"/>
              <w:rPr>
                <w:sz w:val="24"/>
                <w:szCs w:val="24"/>
                <w:color w:val="auto"/>
              </w:rPr>
            </w:pPr>
          </w:p>
        </w:tc>
      </w:tr>
      <w:tr>
        <w:trPr>
          <w:trHeight w:val="172"/>
        </w:trPr>
        <w:tc>
          <w:tcPr>
            <w:tcW w:w="240" w:type="dxa"/>
            <w:vAlign w:val="bottom"/>
          </w:tcPr>
          <w:p>
            <w:pPr>
              <w:spacing w:after="0"/>
              <w:rPr>
                <w:sz w:val="14"/>
                <w:szCs w:val="14"/>
                <w:color w:val="auto"/>
              </w:rPr>
            </w:pPr>
          </w:p>
        </w:tc>
        <w:tc>
          <w:tcPr>
            <w:tcW w:w="6160" w:type="dxa"/>
            <w:vAlign w:val="bottom"/>
            <w:gridSpan w:val="6"/>
          </w:tcPr>
          <w:p>
            <w:pPr>
              <w:jc w:val="center"/>
              <w:ind w:left="588"/>
              <w:spacing w:after="0"/>
              <w:rPr>
                <w:sz w:val="20"/>
                <w:szCs w:val="20"/>
                <w:color w:val="auto"/>
              </w:rPr>
            </w:pPr>
            <w:r>
              <w:rPr>
                <w:rFonts w:ascii="Arial" w:cs="Arial" w:eastAsia="Arial" w:hAnsi="Arial"/>
                <w:sz w:val="13"/>
                <w:szCs w:val="13"/>
                <w:b w:val="1"/>
                <w:bCs w:val="1"/>
                <w:color w:val="auto"/>
                <w:w w:val="93"/>
              </w:rPr>
              <w:t>(State or other jurisdiction of incorporation or organization)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80" w:type="dxa"/>
            <w:vAlign w:val="bottom"/>
            <w:gridSpan w:val="5"/>
          </w:tcPr>
          <w:p>
            <w:pPr>
              <w:ind w:left="60"/>
              <w:spacing w:after="0"/>
              <w:rPr>
                <w:sz w:val="20"/>
                <w:szCs w:val="20"/>
                <w:color w:val="auto"/>
              </w:rPr>
            </w:pPr>
            <w:r>
              <w:rPr>
                <w:rFonts w:ascii="Arial" w:cs="Arial" w:eastAsia="Arial" w:hAnsi="Arial"/>
                <w:sz w:val="13"/>
                <w:szCs w:val="13"/>
                <w:b w:val="1"/>
                <w:bCs w:val="1"/>
                <w:color w:val="auto"/>
              </w:rPr>
              <w:t>(I.R.S. Employer Identification No.)</w:t>
            </w:r>
          </w:p>
        </w:tc>
      </w:tr>
      <w:tr>
        <w:trPr>
          <w:trHeight w:val="263"/>
        </w:trPr>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80" w:type="dxa"/>
            <w:vAlign w:val="bottom"/>
          </w:tcPr>
          <w:p>
            <w:pPr>
              <w:ind w:left="180"/>
              <w:spacing w:after="0"/>
              <w:rPr>
                <w:sz w:val="20"/>
                <w:szCs w:val="20"/>
                <w:color w:val="auto"/>
              </w:rPr>
            </w:pPr>
            <w:r>
              <w:rPr>
                <w:rFonts w:ascii="Arial" w:cs="Arial" w:eastAsia="Arial" w:hAnsi="Arial"/>
                <w:sz w:val="17"/>
                <w:szCs w:val="17"/>
                <w:b w:val="1"/>
                <w:bCs w:val="1"/>
                <w:color w:val="auto"/>
                <w:w w:val="94"/>
              </w:rPr>
              <w:t>9002 San Marco Court</w:t>
            </w:r>
          </w:p>
        </w:tc>
        <w:tc>
          <w:tcPr>
            <w:tcW w:w="2520" w:type="dxa"/>
            <w:vAlign w:val="bottom"/>
            <w:gridSpan w:val="4"/>
          </w:tcPr>
          <w:p>
            <w:pPr>
              <w:ind w:left="80"/>
              <w:spacing w:after="0"/>
              <w:rPr>
                <w:sz w:val="20"/>
                <w:szCs w:val="20"/>
                <w:color w:val="auto"/>
              </w:rPr>
            </w:pPr>
            <w:r>
              <w:rPr>
                <w:rFonts w:ascii="Arial" w:cs="Arial" w:eastAsia="Arial" w:hAnsi="Arial"/>
                <w:sz w:val="17"/>
                <w:szCs w:val="17"/>
                <w:b w:val="1"/>
                <w:bCs w:val="1"/>
                <w:color w:val="auto"/>
              </w:rPr>
              <w:t>Orlando  FL</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144"/>
              <w:spacing w:after="0"/>
              <w:rPr>
                <w:sz w:val="20"/>
                <w:szCs w:val="20"/>
                <w:color w:val="auto"/>
              </w:rPr>
            </w:pPr>
            <w:r>
              <w:rPr>
                <w:rFonts w:ascii="Arial" w:cs="Arial" w:eastAsia="Arial" w:hAnsi="Arial"/>
                <w:sz w:val="17"/>
                <w:szCs w:val="17"/>
                <w:b w:val="1"/>
                <w:bCs w:val="1"/>
                <w:color w:val="auto"/>
              </w:rPr>
              <w:t>32819</w:t>
            </w:r>
          </w:p>
        </w:tc>
        <w:tc>
          <w:tcPr>
            <w:tcW w:w="1780" w:type="dxa"/>
            <w:vAlign w:val="bottom"/>
          </w:tcPr>
          <w:p>
            <w:pPr>
              <w:spacing w:after="0"/>
              <w:rPr>
                <w:sz w:val="22"/>
                <w:szCs w:val="22"/>
                <w:color w:val="auto"/>
              </w:rPr>
            </w:pPr>
          </w:p>
        </w:tc>
      </w:tr>
      <w:tr>
        <w:trPr>
          <w:trHeight w:val="172"/>
        </w:trPr>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0" w:type="dxa"/>
            <w:vAlign w:val="bottom"/>
            <w:gridSpan w:val="5"/>
          </w:tcPr>
          <w:p>
            <w:pPr>
              <w:jc w:val="center"/>
              <w:ind w:right="1100"/>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80" w:type="dxa"/>
            <w:vAlign w:val="bottom"/>
            <w:gridSpan w:val="2"/>
          </w:tcPr>
          <w:p>
            <w:pPr>
              <w:jc w:val="right"/>
              <w:ind w:right="2900"/>
              <w:spacing w:after="0"/>
              <w:rPr>
                <w:sz w:val="20"/>
                <w:szCs w:val="20"/>
                <w:color w:val="auto"/>
              </w:rPr>
            </w:pPr>
            <w:r>
              <w:rPr>
                <w:rFonts w:ascii="Arial" w:cs="Arial" w:eastAsia="Arial" w:hAnsi="Arial"/>
                <w:sz w:val="13"/>
                <w:szCs w:val="13"/>
                <w:b w:val="1"/>
                <w:bCs w:val="1"/>
                <w:color w:val="auto"/>
              </w:rPr>
              <w:t>(Zip Code)</w:t>
            </w:r>
          </w:p>
        </w:tc>
      </w:tr>
      <w:tr>
        <w:trPr>
          <w:trHeight w:val="365"/>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780"/>
              <w:spacing w:after="0"/>
              <w:rPr>
                <w:sz w:val="20"/>
                <w:szCs w:val="20"/>
                <w:color w:val="auto"/>
              </w:rPr>
            </w:pPr>
            <w:r>
              <w:rPr>
                <w:rFonts w:ascii="Arial" w:cs="Arial" w:eastAsia="Arial" w:hAnsi="Arial"/>
                <w:sz w:val="15"/>
                <w:szCs w:val="15"/>
                <w:b w:val="1"/>
                <w:bCs w:val="1"/>
                <w:color w:val="auto"/>
                <w:w w:val="90"/>
              </w:rPr>
              <w:t>Registrant’s Telephone Number, Including Area Code (407) 206-6000</w:t>
            </w:r>
          </w:p>
        </w:tc>
      </w:tr>
      <w:tr>
        <w:trPr>
          <w:trHeight w:val="257"/>
        </w:trPr>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7140" w:type="dxa"/>
            <w:vAlign w:val="bottom"/>
            <w:gridSpan w:val="11"/>
          </w:tcPr>
          <w:p>
            <w:pPr>
              <w:jc w:val="center"/>
              <w:ind w:right="3660"/>
              <w:spacing w:after="0"/>
              <w:rPr>
                <w:sz w:val="20"/>
                <w:szCs w:val="20"/>
                <w:color w:val="auto"/>
              </w:rPr>
            </w:pPr>
            <w:r>
              <w:rPr>
                <w:rFonts w:ascii="Arial" w:cs="Arial" w:eastAsia="Arial" w:hAnsi="Arial"/>
                <w:sz w:val="13"/>
                <w:szCs w:val="13"/>
                <w:b w:val="1"/>
                <w:bCs w:val="1"/>
                <w:color w:val="auto"/>
                <w:w w:val="90"/>
              </w:rPr>
              <w:t>Securities registered pursuant to Section 12(b) of the Act:</w:t>
            </w:r>
          </w:p>
        </w:tc>
      </w:tr>
      <w:tr>
        <w:trPr>
          <w:trHeight w:val="281"/>
        </w:trPr>
        <w:tc>
          <w:tcPr>
            <w:tcW w:w="240" w:type="dxa"/>
            <w:vAlign w:val="bottom"/>
          </w:tcPr>
          <w:p>
            <w:pPr>
              <w:spacing w:after="0"/>
              <w:rPr>
                <w:sz w:val="24"/>
                <w:szCs w:val="24"/>
                <w:color w:val="auto"/>
              </w:rPr>
            </w:pPr>
          </w:p>
        </w:tc>
        <w:tc>
          <w:tcPr>
            <w:tcW w:w="3640" w:type="dxa"/>
            <w:vAlign w:val="bottom"/>
            <w:tcBorders>
              <w:bottom w:val="single" w:sz="8" w:color="auto"/>
            </w:tcBorders>
            <w:gridSpan w:val="2"/>
          </w:tcPr>
          <w:p>
            <w:pPr>
              <w:jc w:val="center"/>
              <w:ind w:left="688"/>
              <w:spacing w:after="0"/>
              <w:rPr>
                <w:sz w:val="20"/>
                <w:szCs w:val="20"/>
                <w:color w:val="auto"/>
              </w:rPr>
            </w:pPr>
            <w:r>
              <w:rPr>
                <w:rFonts w:ascii="Arial" w:cs="Arial" w:eastAsia="Arial" w:hAnsi="Arial"/>
                <w:sz w:val="15"/>
                <w:szCs w:val="15"/>
                <w:b w:val="1"/>
                <w:bCs w:val="1"/>
                <w:color w:val="auto"/>
                <w:w w:val="89"/>
              </w:rPr>
              <w:t>Title of Each Class</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5"/>
                <w:szCs w:val="15"/>
                <w:b w:val="1"/>
                <w:bCs w:val="1"/>
                <w:color w:val="auto"/>
                <w:w w:val="91"/>
              </w:rPr>
              <w:t>Trading Symbol(s)</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89"/>
              </w:rPr>
              <w:t>Name of Each Exchange on Which Registered</w:t>
            </w:r>
          </w:p>
        </w:tc>
      </w:tr>
      <w:tr>
        <w:trPr>
          <w:trHeight w:val="189"/>
        </w:trPr>
        <w:tc>
          <w:tcPr>
            <w:tcW w:w="240" w:type="dxa"/>
            <w:vAlign w:val="bottom"/>
          </w:tcPr>
          <w:p>
            <w:pPr>
              <w:spacing w:after="0"/>
              <w:rPr>
                <w:sz w:val="16"/>
                <w:szCs w:val="16"/>
                <w:color w:val="auto"/>
              </w:rPr>
            </w:pPr>
          </w:p>
        </w:tc>
        <w:tc>
          <w:tcPr>
            <w:tcW w:w="3640" w:type="dxa"/>
            <w:vAlign w:val="bottom"/>
            <w:gridSpan w:val="2"/>
          </w:tcPr>
          <w:p>
            <w:pPr>
              <w:jc w:val="center"/>
              <w:ind w:left="688"/>
              <w:spacing w:after="0"/>
              <w:rPr>
                <w:sz w:val="20"/>
                <w:szCs w:val="20"/>
                <w:color w:val="auto"/>
              </w:rPr>
            </w:pPr>
            <w:r>
              <w:rPr>
                <w:rFonts w:ascii="Arial" w:cs="Arial" w:eastAsia="Arial" w:hAnsi="Arial"/>
                <w:sz w:val="15"/>
                <w:szCs w:val="15"/>
                <w:color w:val="auto"/>
                <w:w w:val="89"/>
              </w:rPr>
              <w:t>Common Stock, $0.01 Par Value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left="268"/>
              <w:spacing w:after="0"/>
              <w:rPr>
                <w:sz w:val="20"/>
                <w:szCs w:val="20"/>
                <w:color w:val="auto"/>
              </w:rPr>
            </w:pPr>
            <w:r>
              <w:rPr>
                <w:rFonts w:ascii="Arial" w:cs="Arial" w:eastAsia="Arial" w:hAnsi="Arial"/>
                <w:sz w:val="15"/>
                <w:szCs w:val="15"/>
                <w:color w:val="auto"/>
                <w:w w:val="97"/>
              </w:rPr>
              <w:t>VAC</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2"/>
          </w:tcPr>
          <w:p>
            <w:pPr>
              <w:jc w:val="center"/>
              <w:ind w:right="340"/>
              <w:spacing w:after="0"/>
              <w:rPr>
                <w:sz w:val="20"/>
                <w:szCs w:val="20"/>
                <w:color w:val="auto"/>
              </w:rPr>
            </w:pPr>
            <w:r>
              <w:rPr>
                <w:rFonts w:ascii="Arial" w:cs="Arial" w:eastAsia="Arial" w:hAnsi="Arial"/>
                <w:sz w:val="15"/>
                <w:szCs w:val="15"/>
                <w:color w:val="auto"/>
                <w:w w:val="91"/>
              </w:rPr>
              <w:t>New York Stock Exchange</w:t>
            </w:r>
          </w:p>
        </w:tc>
      </w:tr>
      <w:tr>
        <w:trPr>
          <w:trHeight w:val="282"/>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800"/>
              <w:spacing w:after="0"/>
              <w:rPr>
                <w:sz w:val="20"/>
                <w:szCs w:val="20"/>
                <w:color w:val="auto"/>
              </w:rPr>
            </w:pPr>
            <w:r>
              <w:rPr>
                <w:rFonts w:ascii="Arial" w:cs="Arial" w:eastAsia="Arial" w:hAnsi="Arial"/>
                <w:sz w:val="13"/>
                <w:szCs w:val="13"/>
                <w:b w:val="1"/>
                <w:bCs w:val="1"/>
                <w:color w:val="auto"/>
                <w:w w:val="91"/>
              </w:rPr>
              <w:t>Securities registered pursuant to Section 12(g) of the Act: NONE</w:t>
            </w:r>
          </w:p>
        </w:tc>
      </w:tr>
      <w:tr>
        <w:trPr>
          <w:trHeight w:val="72"/>
        </w:trPr>
        <w:tc>
          <w:tcPr>
            <w:tcW w:w="2000" w:type="dxa"/>
            <w:vAlign w:val="bottom"/>
            <w:gridSpan w:val="2"/>
          </w:tcPr>
          <w:p>
            <w:pPr>
              <w:spacing w:after="0"/>
              <w:rPr>
                <w:sz w:val="6"/>
                <w:szCs w:val="6"/>
                <w:color w:val="auto"/>
              </w:rPr>
            </w:pPr>
          </w:p>
        </w:tc>
        <w:tc>
          <w:tcPr>
            <w:tcW w:w="5140" w:type="dxa"/>
            <w:vAlign w:val="bottom"/>
            <w:tcBorders>
              <w:bottom w:val="single" w:sz="8" w:color="auto"/>
            </w:tcBorders>
            <w:gridSpan w:val="10"/>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r>
      <w:tr>
        <w:trPr>
          <w:trHeight w:val="305"/>
        </w:trPr>
        <w:tc>
          <w:tcPr>
            <w:tcW w:w="7140" w:type="dxa"/>
            <w:vAlign w:val="bottom"/>
            <w:gridSpan w:val="12"/>
          </w:tcPr>
          <w:p>
            <w:pPr>
              <w:spacing w:after="0"/>
              <w:rPr>
                <w:sz w:val="20"/>
                <w:szCs w:val="20"/>
                <w:color w:val="auto"/>
              </w:rPr>
            </w:pPr>
            <w:r>
              <w:rPr>
                <w:rFonts w:ascii="Arial" w:cs="Arial" w:eastAsia="Arial" w:hAnsi="Arial"/>
                <w:sz w:val="15"/>
                <w:szCs w:val="15"/>
                <w:color w:val="auto"/>
                <w:w w:val="91"/>
              </w:rPr>
              <w:t>Indicate by check mark if the registrant is a well-known seasoned issuer, as defined in Rule 405 of the Securities Act.</w:t>
            </w:r>
          </w:p>
        </w:tc>
        <w:tc>
          <w:tcPr>
            <w:tcW w:w="3880" w:type="dxa"/>
            <w:vAlign w:val="bottom"/>
            <w:gridSpan w:val="2"/>
          </w:tcPr>
          <w:p>
            <w:pPr>
              <w:jc w:val="right"/>
              <w:ind w:right="290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r>
        <w:trPr>
          <w:trHeight w:val="233"/>
        </w:trPr>
        <w:tc>
          <w:tcPr>
            <w:tcW w:w="7140" w:type="dxa"/>
            <w:vAlign w:val="bottom"/>
            <w:gridSpan w:val="12"/>
          </w:tcPr>
          <w:p>
            <w:pPr>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3880" w:type="dxa"/>
            <w:vAlign w:val="bottom"/>
            <w:gridSpan w:val="2"/>
          </w:tcPr>
          <w:p>
            <w:pPr>
              <w:ind w:left="1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bl>
    <w:p>
      <w:pPr>
        <w:spacing w:after="0" w:line="31" w:lineRule="exact"/>
        <w:rPr>
          <w:sz w:val="24"/>
          <w:szCs w:val="24"/>
          <w:color w:val="auto"/>
        </w:rPr>
      </w:pPr>
    </w:p>
    <w:p>
      <w:pPr>
        <w:ind w:right="140"/>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60"/>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spacing w:after="0" w:line="29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800" w:type="dxa"/>
            <w:vAlign w:val="bottom"/>
            <w:vMerge w:val="restart"/>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tcPr>
          <w:p>
            <w:pPr>
              <w:ind w:left="2340"/>
              <w:spacing w:after="0"/>
              <w:rPr>
                <w:sz w:val="20"/>
                <w:szCs w:val="20"/>
                <w:color w:val="auto"/>
              </w:rPr>
            </w:pPr>
            <w:r>
              <w:rPr>
                <w:rFonts w:ascii="Arial" w:cs="Arial" w:eastAsia="Arial" w:hAnsi="Arial"/>
                <w:sz w:val="15"/>
                <w:szCs w:val="15"/>
                <w:color w:val="auto"/>
              </w:rPr>
              <w:t>Accelerated filer</w:t>
            </w: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16"/>
        </w:trPr>
        <w:tc>
          <w:tcPr>
            <w:tcW w:w="1660" w:type="dxa"/>
            <w:vAlign w:val="bottom"/>
            <w:vMerge w:val="restart"/>
          </w:tcPr>
          <w:p>
            <w:pPr>
              <w:spacing w:after="0"/>
              <w:rPr>
                <w:sz w:val="20"/>
                <w:szCs w:val="20"/>
                <w:color w:val="auto"/>
              </w:rPr>
            </w:pPr>
            <w:r>
              <w:rPr>
                <w:rFonts w:ascii="Arial" w:cs="Arial" w:eastAsia="Arial" w:hAnsi="Arial"/>
                <w:sz w:val="15"/>
                <w:szCs w:val="15"/>
                <w:color w:val="auto"/>
              </w:rPr>
              <w:t>Non-accelerated filer</w:t>
            </w:r>
          </w:p>
        </w:tc>
        <w:tc>
          <w:tcPr>
            <w:tcW w:w="280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Arial" w:cs="Arial" w:eastAsia="Arial" w:hAnsi="Arial"/>
                <w:sz w:val="15"/>
                <w:szCs w:val="15"/>
                <w:color w:val="auto"/>
              </w:rPr>
              <w:t>Smaller reporting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2800" w:type="dxa"/>
            <w:vAlign w:val="bottom"/>
            <w:vMerge w:val="restart"/>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Arial" w:cs="Arial" w:eastAsia="Arial" w:hAnsi="Arial"/>
                <w:sz w:val="15"/>
                <w:szCs w:val="15"/>
                <w:color w:val="auto"/>
              </w:rPr>
              <w:t>Emerging growth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right="140"/>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3" w:lineRule="exact"/>
        <w:rPr>
          <w:sz w:val="24"/>
          <w:szCs w:val="24"/>
          <w:color w:val="auto"/>
        </w:rPr>
      </w:pPr>
    </w:p>
    <w:p>
      <w:pPr>
        <w:ind w:right="80"/>
        <w:spacing w:after="0" w:line="19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40"/>
        <w:spacing w:after="0" w:line="196"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0" w:lineRule="exact"/>
        <w:rPr>
          <w:sz w:val="24"/>
          <w:szCs w:val="24"/>
          <w:color w:val="auto"/>
        </w:rPr>
      </w:pPr>
    </w:p>
    <w:p>
      <w:pPr>
        <w:ind w:right="440"/>
        <w:spacing w:after="0" w:line="196"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280" w:val="left"/>
          <w:tab w:leader="none" w:pos="68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0" w:lineRule="exact"/>
        <w:rPr>
          <w:sz w:val="24"/>
          <w:szCs w:val="24"/>
          <w:color w:val="auto"/>
        </w:rPr>
      </w:pPr>
    </w:p>
    <w:p>
      <w:pPr>
        <w:ind w:right="280"/>
        <w:spacing w:after="0" w:line="282" w:lineRule="auto"/>
        <w:rPr>
          <w:sz w:val="20"/>
          <w:szCs w:val="20"/>
          <w:color w:val="auto"/>
        </w:rPr>
      </w:pPr>
      <w:r>
        <w:rPr>
          <w:rFonts w:ascii="Arial" w:cs="Arial" w:eastAsia="Arial" w:hAnsi="Arial"/>
          <w:sz w:val="15"/>
          <w:szCs w:val="15"/>
          <w:color w:val="auto"/>
        </w:rPr>
        <w:t>The aggregate market value of shares of common stock held by non-affiliates at June 30, 2022, was $4,614,664,893. There were 37,235,447 shares of common stock outstanding as of February 22, 2023.</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Proxy Statement prepared for the 2023 Annual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349250</wp:posOffset>
            </wp:positionV>
            <wp:extent cx="716851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 w:name="page2"/>
    <w:bookmarkEnd w:id="1"/>
    <w:tbl>
      <w:tblPr>
        <w:tblLayout w:type="fixed"/>
        <w:tblInd w:w="34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gridSpan w:val="12"/>
          </w:tcPr>
          <w:p>
            <w:pPr>
              <w:ind w:left="220"/>
              <w:spacing w:after="0"/>
              <w:rPr>
                <w:sz w:val="20"/>
                <w:szCs w:val="20"/>
                <w:color w:val="auto"/>
              </w:rPr>
            </w:pPr>
            <w:r>
              <w:rPr>
                <w:rFonts w:ascii="Arial" w:cs="Arial" w:eastAsia="Arial" w:hAnsi="Arial"/>
                <w:sz w:val="17"/>
                <w:szCs w:val="17"/>
                <w:b w:val="1"/>
                <w:bCs w:val="1"/>
                <w:color w:val="auto"/>
              </w:rPr>
              <w:t>TABLE OF CONTENTS</w:t>
            </w:r>
          </w:p>
        </w:tc>
      </w:tr>
      <w:tr>
        <w:trPr>
          <w:trHeight w:val="821"/>
        </w:trPr>
        <w:tc>
          <w:tcPr>
            <w:tcW w:w="1200" w:type="dxa"/>
            <w:vAlign w:val="bottom"/>
            <w:gridSpan w:val="9"/>
          </w:tcPr>
          <w:p>
            <w:pPr>
              <w:spacing w:after="0"/>
              <w:rPr>
                <w:sz w:val="20"/>
                <w:szCs w:val="20"/>
                <w:color w:val="auto"/>
              </w:rPr>
            </w:pPr>
            <w:r>
              <w:rPr>
                <w:rFonts w:ascii="Arial" w:cs="Arial" w:eastAsia="Arial" w:hAnsi="Arial"/>
                <w:sz w:val="17"/>
                <w:szCs w:val="17"/>
                <w:color w:val="0000FF"/>
              </w:rPr>
              <w:t>Part 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1.</w:t>
            </w:r>
          </w:p>
        </w:tc>
        <w:tc>
          <w:tcPr>
            <w:tcW w:w="440" w:type="dxa"/>
            <w:vAlign w:val="bottom"/>
            <w:gridSpan w:val="3"/>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Business</w:t>
            </w:r>
          </w:p>
        </w:tc>
      </w:tr>
      <w:tr>
        <w:trPr>
          <w:trHeight w:val="20"/>
        </w:trPr>
        <w:tc>
          <w:tcPr>
            <w:tcW w:w="3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5"/>
              </w:rPr>
              <w:t>Item 1A.</w:t>
            </w: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Risk Factors</w:t>
            </w:r>
          </w:p>
        </w:tc>
      </w:tr>
      <w:tr>
        <w:trPr>
          <w:trHeight w:val="20"/>
        </w:trPr>
        <w:tc>
          <w:tcPr>
            <w:tcW w:w="3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5"/>
              </w:rPr>
              <w:t>Item 1B.</w:t>
            </w: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Unresolved Staff Comments</w:t>
            </w:r>
          </w:p>
        </w:tc>
      </w:tr>
      <w:tr>
        <w:trPr>
          <w:trHeight w:val="20"/>
        </w:trPr>
        <w:tc>
          <w:tcPr>
            <w:tcW w:w="3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2.</w:t>
            </w:r>
          </w:p>
        </w:tc>
        <w:tc>
          <w:tcPr>
            <w:tcW w:w="1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Properties</w:t>
            </w: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3.</w:t>
            </w:r>
          </w:p>
        </w:tc>
        <w:tc>
          <w:tcPr>
            <w:tcW w:w="440" w:type="dxa"/>
            <w:vAlign w:val="bottom"/>
            <w:gridSpan w:val="3"/>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Legal Proceedings</w:t>
            </w: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4.</w:t>
            </w:r>
          </w:p>
        </w:tc>
        <w:tc>
          <w:tcPr>
            <w:tcW w:w="440" w:type="dxa"/>
            <w:vAlign w:val="bottom"/>
            <w:gridSpan w:val="3"/>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Mine Safety Disclosures</w:t>
            </w:r>
          </w:p>
        </w:tc>
      </w:tr>
      <w:tr>
        <w:trPr>
          <w:trHeight w:val="20"/>
        </w:trPr>
        <w:tc>
          <w:tcPr>
            <w:tcW w:w="3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4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7"/>
              </w:rPr>
              <w:t>Part II.</w:t>
            </w:r>
          </w:p>
        </w:tc>
        <w:tc>
          <w:tcPr>
            <w:tcW w:w="7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300" w:type="dxa"/>
            <w:vAlign w:val="bottom"/>
          </w:tcPr>
          <w:p>
            <w:pPr>
              <w:spacing w:after="0"/>
              <w:rPr>
                <w:sz w:val="16"/>
                <w:szCs w:val="16"/>
                <w:color w:val="auto"/>
              </w:rPr>
            </w:pPr>
          </w:p>
        </w:tc>
        <w:tc>
          <w:tcPr>
            <w:tcW w:w="900" w:type="dxa"/>
            <w:vAlign w:val="bottom"/>
            <w:gridSpan w:val="8"/>
          </w:tcPr>
          <w:p>
            <w:pPr>
              <w:spacing w:after="0" w:line="192" w:lineRule="exact"/>
              <w:rPr>
                <w:sz w:val="20"/>
                <w:szCs w:val="20"/>
                <w:color w:val="auto"/>
              </w:rPr>
            </w:pPr>
            <w:r>
              <w:rPr>
                <w:rFonts w:ascii="Arial" w:cs="Arial" w:eastAsia="Arial" w:hAnsi="Arial"/>
                <w:sz w:val="17"/>
                <w:szCs w:val="17"/>
                <w:color w:val="0000FF"/>
              </w:rPr>
              <w:t>Item 5.</w:t>
            </w:r>
          </w:p>
        </w:tc>
        <w:tc>
          <w:tcPr>
            <w:tcW w:w="6260" w:type="dxa"/>
            <w:vAlign w:val="bottom"/>
            <w:gridSpan w:val="23"/>
          </w:tcPr>
          <w:p>
            <w:pPr>
              <w:spacing w:after="0" w:line="192" w:lineRule="exact"/>
              <w:rPr>
                <w:sz w:val="20"/>
                <w:szCs w:val="20"/>
                <w:color w:val="auto"/>
              </w:rPr>
            </w:pPr>
            <w:r>
              <w:rPr>
                <w:rFonts w:ascii="Arial" w:cs="Arial" w:eastAsia="Arial" w:hAnsi="Arial"/>
                <w:sz w:val="17"/>
                <w:szCs w:val="17"/>
                <w:color w:val="0000FF"/>
                <w:w w:val="88"/>
              </w:rPr>
              <w:t>Market for Registrant’s Common Equity, Related Stockholder Matters and Issuer Purchases of</w:t>
            </w:r>
          </w:p>
        </w:tc>
      </w:tr>
      <w:tr>
        <w:trPr>
          <w:trHeight w:val="142"/>
        </w:trPr>
        <w:tc>
          <w:tcPr>
            <w:tcW w:w="30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w w:val="92"/>
              </w:rPr>
              <w:t>Equity Securities</w:t>
            </w:r>
          </w:p>
        </w:tc>
        <w:tc>
          <w:tcPr>
            <w:tcW w:w="51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6.</w:t>
            </w:r>
          </w:p>
        </w:tc>
        <w:tc>
          <w:tcPr>
            <w:tcW w:w="440" w:type="dxa"/>
            <w:vAlign w:val="bottom"/>
            <w:gridSpan w:val="3"/>
          </w:tcPr>
          <w:p>
            <w:pPr>
              <w:spacing w:after="0"/>
              <w:rPr>
                <w:sz w:val="18"/>
                <w:szCs w:val="18"/>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Reserved</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7.</w:t>
            </w:r>
          </w:p>
        </w:tc>
        <w:tc>
          <w:tcPr>
            <w:tcW w:w="440" w:type="dxa"/>
            <w:vAlign w:val="bottom"/>
            <w:gridSpan w:val="3"/>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w w:val="93"/>
              </w:rPr>
              <w:t>Management’s Discussion and Analysis of Financial Condition and Results of Operations</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5"/>
              </w:rPr>
              <w:t>Item 7A.</w:t>
            </w: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Quantitative and Qualitative Disclosures About Market Risk</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8.</w:t>
            </w:r>
          </w:p>
        </w:tc>
        <w:tc>
          <w:tcPr>
            <w:tcW w:w="1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Financial Statements and Supplementary Data</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7"/>
                <w:szCs w:val="17"/>
                <w:color w:val="0000FF"/>
                <w:w w:val="80"/>
              </w:rPr>
              <w:t>Item 9.</w:t>
            </w:r>
          </w:p>
        </w:tc>
        <w:tc>
          <w:tcPr>
            <w:tcW w:w="440" w:type="dxa"/>
            <w:vAlign w:val="bottom"/>
            <w:gridSpan w:val="3"/>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w w:val="92"/>
              </w:rPr>
              <w:t>Changes in and Disagreements with Accountants on Accounting and Financial Disclosure</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5"/>
              </w:rPr>
              <w:t>Item 9A.</w:t>
            </w: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Controls and Procedures</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5"/>
              </w:rPr>
              <w:t>Item 9B.</w:t>
            </w: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Other Information</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3"/>
              </w:rPr>
              <w:t>Item 9C.</w:t>
            </w: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52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1"/>
              </w:rPr>
              <w:t>Part III.</w:t>
            </w:r>
          </w:p>
        </w:tc>
        <w:tc>
          <w:tcPr>
            <w:tcW w:w="68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300" w:type="dxa"/>
            <w:vAlign w:val="bottom"/>
          </w:tcPr>
          <w:p>
            <w:pPr>
              <w:spacing w:after="0"/>
              <w:rPr>
                <w:sz w:val="16"/>
                <w:szCs w:val="16"/>
                <w:color w:val="auto"/>
              </w:rPr>
            </w:pPr>
          </w:p>
        </w:tc>
        <w:tc>
          <w:tcPr>
            <w:tcW w:w="540" w:type="dxa"/>
            <w:vAlign w:val="bottom"/>
            <w:gridSpan w:val="6"/>
          </w:tcPr>
          <w:p>
            <w:pPr>
              <w:spacing w:after="0" w:line="192" w:lineRule="exact"/>
              <w:rPr>
                <w:sz w:val="20"/>
                <w:szCs w:val="20"/>
                <w:color w:val="auto"/>
              </w:rPr>
            </w:pPr>
            <w:r>
              <w:rPr>
                <w:rFonts w:ascii="Arial" w:cs="Arial" w:eastAsia="Arial" w:hAnsi="Arial"/>
                <w:sz w:val="17"/>
                <w:szCs w:val="17"/>
                <w:color w:val="0000FF"/>
                <w:w w:val="81"/>
              </w:rPr>
              <w:t>Item 10.</w:t>
            </w:r>
          </w:p>
        </w:tc>
        <w:tc>
          <w:tcPr>
            <w:tcW w:w="360" w:type="dxa"/>
            <w:vAlign w:val="bottom"/>
            <w:gridSpan w:val="2"/>
          </w:tcPr>
          <w:p>
            <w:pPr>
              <w:spacing w:after="0"/>
              <w:rPr>
                <w:sz w:val="16"/>
                <w:szCs w:val="16"/>
                <w:color w:val="auto"/>
              </w:rPr>
            </w:pPr>
          </w:p>
        </w:tc>
        <w:tc>
          <w:tcPr>
            <w:tcW w:w="6260" w:type="dxa"/>
            <w:vAlign w:val="bottom"/>
            <w:gridSpan w:val="23"/>
          </w:tcPr>
          <w:p>
            <w:pPr>
              <w:spacing w:after="0" w:line="192" w:lineRule="exact"/>
              <w:rPr>
                <w:sz w:val="20"/>
                <w:szCs w:val="20"/>
                <w:color w:val="auto"/>
              </w:rPr>
            </w:pPr>
            <w:r>
              <w:rPr>
                <w:rFonts w:ascii="Arial" w:cs="Arial" w:eastAsia="Arial" w:hAnsi="Arial"/>
                <w:sz w:val="17"/>
                <w:szCs w:val="17"/>
                <w:color w:val="0000FF"/>
              </w:rPr>
              <w:t>Directors, Executive Officers and Corporate Governance</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40" w:type="dxa"/>
            <w:vAlign w:val="bottom"/>
            <w:gridSpan w:val="6"/>
          </w:tcPr>
          <w:p>
            <w:pPr>
              <w:spacing w:after="0"/>
              <w:rPr>
                <w:sz w:val="20"/>
                <w:szCs w:val="20"/>
                <w:color w:val="auto"/>
              </w:rPr>
            </w:pPr>
            <w:r>
              <w:rPr>
                <w:rFonts w:ascii="Arial" w:cs="Arial" w:eastAsia="Arial" w:hAnsi="Arial"/>
                <w:sz w:val="17"/>
                <w:szCs w:val="17"/>
                <w:color w:val="0000FF"/>
                <w:w w:val="81"/>
              </w:rPr>
              <w:t>Item 11.</w:t>
            </w:r>
          </w:p>
        </w:tc>
        <w:tc>
          <w:tcPr>
            <w:tcW w:w="360" w:type="dxa"/>
            <w:vAlign w:val="bottom"/>
            <w:gridSpan w:val="2"/>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Executive Compensation</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900" w:type="dxa"/>
            <w:vAlign w:val="bottom"/>
            <w:gridSpan w:val="8"/>
          </w:tcPr>
          <w:p>
            <w:pPr>
              <w:spacing w:after="0"/>
              <w:rPr>
                <w:sz w:val="20"/>
                <w:szCs w:val="20"/>
                <w:color w:val="auto"/>
              </w:rPr>
            </w:pPr>
            <w:r>
              <w:rPr>
                <w:rFonts w:ascii="Arial" w:cs="Arial" w:eastAsia="Arial" w:hAnsi="Arial"/>
                <w:sz w:val="17"/>
                <w:szCs w:val="17"/>
                <w:color w:val="0000FF"/>
              </w:rPr>
              <w:t>Item 12.</w:t>
            </w:r>
          </w:p>
        </w:tc>
        <w:tc>
          <w:tcPr>
            <w:tcW w:w="6260" w:type="dxa"/>
            <w:vAlign w:val="bottom"/>
            <w:gridSpan w:val="23"/>
          </w:tcPr>
          <w:p>
            <w:pPr>
              <w:spacing w:after="0"/>
              <w:rPr>
                <w:sz w:val="20"/>
                <w:szCs w:val="20"/>
                <w:color w:val="auto"/>
              </w:rPr>
            </w:pPr>
            <w:r>
              <w:rPr>
                <w:rFonts w:ascii="Arial" w:cs="Arial" w:eastAsia="Arial" w:hAnsi="Arial"/>
                <w:sz w:val="17"/>
                <w:szCs w:val="17"/>
                <w:color w:val="0000FF"/>
                <w:w w:val="89"/>
              </w:rPr>
              <w:t>Security Ownership of Certain Beneficial Owners and Management and Related Stockholder</w:t>
            </w:r>
          </w:p>
        </w:tc>
      </w:tr>
      <w:tr>
        <w:trPr>
          <w:trHeight w:val="142"/>
        </w:trPr>
        <w:tc>
          <w:tcPr>
            <w:tcW w:w="30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6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Matters</w:t>
            </w:r>
          </w:p>
        </w:tc>
        <w:tc>
          <w:tcPr>
            <w:tcW w:w="100" w:type="dxa"/>
            <w:vAlign w:val="bottom"/>
            <w:gridSpan w:val="2"/>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7"/>
              </w:rPr>
              <w:t>Item 13.</w:t>
            </w:r>
          </w:p>
        </w:tc>
        <w:tc>
          <w:tcPr>
            <w:tcW w:w="320" w:type="dxa"/>
            <w:vAlign w:val="bottom"/>
          </w:tcPr>
          <w:p>
            <w:pPr>
              <w:spacing w:after="0"/>
              <w:rPr>
                <w:sz w:val="18"/>
                <w:szCs w:val="18"/>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40" w:type="dxa"/>
            <w:vAlign w:val="bottom"/>
            <w:gridSpan w:val="6"/>
          </w:tcPr>
          <w:p>
            <w:pPr>
              <w:spacing w:after="0"/>
              <w:rPr>
                <w:sz w:val="20"/>
                <w:szCs w:val="20"/>
                <w:color w:val="auto"/>
              </w:rPr>
            </w:pPr>
            <w:r>
              <w:rPr>
                <w:rFonts w:ascii="Arial" w:cs="Arial" w:eastAsia="Arial" w:hAnsi="Arial"/>
                <w:sz w:val="17"/>
                <w:szCs w:val="17"/>
                <w:color w:val="0000FF"/>
                <w:w w:val="81"/>
              </w:rPr>
              <w:t>Item 14.</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Principal Accountant Fees and Services</w:t>
            </w:r>
          </w:p>
        </w:tc>
      </w:tr>
      <w:tr>
        <w:trPr>
          <w:trHeight w:val="20"/>
        </w:trPr>
        <w:tc>
          <w:tcPr>
            <w:tcW w:w="3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200" w:type="dxa"/>
            <w:vAlign w:val="bottom"/>
            <w:gridSpan w:val="9"/>
          </w:tcPr>
          <w:p>
            <w:pPr>
              <w:spacing w:after="0"/>
              <w:rPr>
                <w:sz w:val="20"/>
                <w:szCs w:val="20"/>
                <w:color w:val="auto"/>
              </w:rPr>
            </w:pPr>
            <w:r>
              <w:rPr>
                <w:rFonts w:ascii="Arial" w:cs="Arial" w:eastAsia="Arial" w:hAnsi="Arial"/>
                <w:sz w:val="17"/>
                <w:szCs w:val="17"/>
                <w:color w:val="0000FF"/>
              </w:rPr>
              <w:t>Part IV.</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80" w:type="dxa"/>
            <w:vAlign w:val="bottom"/>
            <w:gridSpan w:val="7"/>
          </w:tcPr>
          <w:p>
            <w:pPr>
              <w:spacing w:after="0"/>
              <w:rPr>
                <w:sz w:val="20"/>
                <w:szCs w:val="20"/>
                <w:color w:val="auto"/>
              </w:rPr>
            </w:pPr>
            <w:r>
              <w:rPr>
                <w:rFonts w:ascii="Arial" w:cs="Arial" w:eastAsia="Arial" w:hAnsi="Arial"/>
                <w:sz w:val="17"/>
                <w:szCs w:val="17"/>
                <w:color w:val="0000FF"/>
                <w:w w:val="87"/>
              </w:rPr>
              <w:t>Item 15.</w:t>
            </w: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Exhibits and Financial Statement Schedules</w:t>
            </w:r>
          </w:p>
        </w:tc>
      </w:tr>
      <w:tr>
        <w:trPr>
          <w:trHeight w:val="20"/>
        </w:trPr>
        <w:tc>
          <w:tcPr>
            <w:tcW w:w="300" w:type="dxa"/>
            <w:vAlign w:val="bottom"/>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540" w:type="dxa"/>
            <w:vAlign w:val="bottom"/>
            <w:gridSpan w:val="6"/>
          </w:tcPr>
          <w:p>
            <w:pPr>
              <w:spacing w:after="0"/>
              <w:rPr>
                <w:sz w:val="20"/>
                <w:szCs w:val="20"/>
                <w:color w:val="auto"/>
              </w:rPr>
            </w:pPr>
            <w:r>
              <w:rPr>
                <w:rFonts w:ascii="Arial" w:cs="Arial" w:eastAsia="Arial" w:hAnsi="Arial"/>
                <w:sz w:val="17"/>
                <w:szCs w:val="17"/>
                <w:color w:val="0000FF"/>
                <w:w w:val="81"/>
              </w:rPr>
              <w:t>Item 16.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Form 10-K Summary</w:t>
            </w: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860" w:type="dxa"/>
            <w:vAlign w:val="bottom"/>
            <w:gridSpan w:val="15"/>
          </w:tcPr>
          <w:p>
            <w:pPr>
              <w:spacing w:after="0" w:line="20" w:lineRule="exact"/>
              <w:rPr>
                <w:sz w:val="1"/>
                <w:szCs w:val="1"/>
                <w:color w:val="auto"/>
              </w:rPr>
            </w:pPr>
          </w:p>
        </w:tc>
      </w:tr>
      <w:tr>
        <w:trPr>
          <w:trHeight w:val="279"/>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60" w:type="dxa"/>
            <w:vAlign w:val="bottom"/>
            <w:gridSpan w:val="23"/>
          </w:tcPr>
          <w:p>
            <w:pPr>
              <w:spacing w:after="0"/>
              <w:rPr>
                <w:sz w:val="20"/>
                <w:szCs w:val="20"/>
                <w:color w:val="auto"/>
              </w:rPr>
            </w:pPr>
            <w:r>
              <w:rPr>
                <w:rFonts w:ascii="Arial" w:cs="Arial" w:eastAsia="Arial" w:hAnsi="Arial"/>
                <w:sz w:val="17"/>
                <w:szCs w:val="17"/>
                <w:color w:val="0000FF"/>
              </w:rPr>
              <w:t>Signatures</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840740</wp:posOffset>
            </wp:positionV>
            <wp:extent cx="716851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41910</wp:posOffset>
            </wp:positionV>
            <wp:extent cx="5137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3715" cy="7620"/>
                    </a:xfrm>
                    <a:prstGeom prst="rect">
                      <a:avLst/>
                    </a:prstGeom>
                    <a:noFill/>
                  </pic:spPr>
                </pic:pic>
              </a:graphicData>
            </a:graphic>
          </wp:anchor>
        </w:drawing>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0000FF"/>
        </w:rPr>
        <w:t>3</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25</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38</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38</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38</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38</w:t>
      </w: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39</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40</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41</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66</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0000FF"/>
        </w:rPr>
        <w:t>67</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131</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131</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131</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131</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132</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132</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132</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132</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132</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133</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137</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138</w:t>
      </w:r>
    </w:p>
    <w:p>
      <w:pPr>
        <w:sectPr>
          <w:pgSz w:w="11900" w:h="16838" w:orient="portrait"/>
          <w:cols w:equalWidth="0" w:num="2">
            <w:col w:w="7780" w:space="340"/>
            <w:col w:w="899"/>
          </w:cols>
          <w:pgMar w:left="1440" w:top="1019" w:right="1440" w:bottom="1440" w:gutter="0" w:footer="0" w:header="0"/>
        </w:sectPr>
      </w:pPr>
    </w:p>
    <w:bookmarkStart w:id="2" w:name="page3"/>
    <w:bookmarkEnd w:id="2"/>
    <w:p>
      <w:pPr>
        <w:spacing w:after="0" w:line="264" w:lineRule="auto"/>
        <w:rPr>
          <w:sz w:val="20"/>
          <w:szCs w:val="20"/>
          <w:color w:val="auto"/>
        </w:rPr>
      </w:pPr>
      <w:r>
        <w:rPr>
          <w:rFonts w:ascii="Arial" w:cs="Arial" w:eastAsia="Arial" w:hAnsi="Arial"/>
          <w:sz w:val="17"/>
          <w:szCs w:val="17"/>
          <w:color w:val="auto"/>
        </w:rPr>
        <w:t>Throughout this Annual Report on Form 10-K (this “Annual Report”), we refer to Marriott Vacations Worldwide Corporation, together with its consolidated subsidiaries, as “Marriott Vacations Worldwide,” “MVW,” “we,” “us,” or “the Company.”</w:t>
      </w:r>
    </w:p>
    <w:p>
      <w:pPr>
        <w:spacing w:after="0" w:line="6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order to make this Annual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(the “U.S.”), Mexico, Central America, and the Caribbean as “North America.”</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Additionally, throughout this Annual Report, we refer to brands that we own, as well as those brands that we license, as our brands. All brand names, trademarks, service marks and trade names cited in this Annual Report are the property of their respective owners, including those of other companies and organizations. Solely for convenience, trademarks, trade names and service marks referred to in this Annual Report may appear without the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w:t>
      </w:r>
      <w:r>
        <w:rPr>
          <w:rFonts w:ascii="Arial" w:cs="Arial" w:eastAsia="Arial" w:hAnsi="Arial"/>
          <w:sz w:val="8"/>
          <w:szCs w:val="8"/>
          <w:color w:val="auto"/>
        </w:rPr>
        <w:t>TM</w:t>
      </w:r>
      <w:r>
        <w:rPr>
          <w:rFonts w:ascii="Arial" w:cs="Arial" w:eastAsia="Arial" w:hAnsi="Arial"/>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89"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Brand names, trademarks, service marks and trade names that we own or license from Marriott International, Inc. or its affiliates (“Marriott International”) include Marriott Vacation Club</w:t>
      </w:r>
      <w:r>
        <w:rPr>
          <w:rFonts w:ascii="Arial" w:cs="Arial" w:eastAsia="Arial" w:hAnsi="Arial"/>
          <w:sz w:val="20"/>
          <w:szCs w:val="20"/>
          <w:color w:val="auto"/>
          <w:vertAlign w:val="superscript"/>
        </w:rPr>
        <w:t>®</w:t>
      </w:r>
      <w:r>
        <w:rPr>
          <w:rFonts w:ascii="Arial" w:cs="Arial" w:eastAsia="Arial" w:hAnsi="Arial"/>
          <w:sz w:val="16"/>
          <w:szCs w:val="16"/>
          <w:color w:val="auto"/>
        </w:rPr>
        <w:t>, Marriott Vacation Club Destinations</w:t>
      </w:r>
      <w:r>
        <w:rPr>
          <w:rFonts w:ascii="Arial" w:cs="Arial" w:eastAsia="Arial" w:hAnsi="Arial"/>
          <w:sz w:val="8"/>
          <w:szCs w:val="8"/>
          <w:color w:val="auto"/>
        </w:rPr>
        <w:t>TM</w:t>
      </w:r>
      <w:r>
        <w:rPr>
          <w:rFonts w:ascii="Arial" w:cs="Arial" w:eastAsia="Arial" w:hAnsi="Arial"/>
          <w:sz w:val="12"/>
          <w:szCs w:val="12"/>
          <w:color w:val="auto"/>
        </w:rPr>
        <w:t>,</w:t>
      </w:r>
      <w:r>
        <w:rPr>
          <w:rFonts w:ascii="Arial" w:cs="Arial" w:eastAsia="Arial" w:hAnsi="Arial"/>
          <w:sz w:val="16"/>
          <w:szCs w:val="16"/>
          <w:color w:val="auto"/>
        </w:rPr>
        <w:t xml:space="preserve"> Marriott Vacation Club Pulse</w:t>
      </w:r>
      <w:r>
        <w:rPr>
          <w:rFonts w:ascii="Arial" w:cs="Arial" w:eastAsia="Arial" w:hAnsi="Arial"/>
          <w:sz w:val="8"/>
          <w:szCs w:val="8"/>
          <w:color w:val="auto"/>
        </w:rPr>
        <w:t>SM</w:t>
      </w:r>
      <w:r>
        <w:rPr>
          <w:rFonts w:ascii="Arial" w:cs="Arial" w:eastAsia="Arial" w:hAnsi="Arial"/>
          <w:sz w:val="16"/>
          <w:szCs w:val="16"/>
          <w:color w:val="auto"/>
        </w:rPr>
        <w:t>, Marriott Grand Residence Club</w:t>
      </w:r>
      <w:r>
        <w:rPr>
          <w:rFonts w:ascii="Arial" w:cs="Arial" w:eastAsia="Arial" w:hAnsi="Arial"/>
          <w:sz w:val="20"/>
          <w:szCs w:val="20"/>
          <w:color w:val="auto"/>
          <w:vertAlign w:val="superscript"/>
        </w:rPr>
        <w:t>®</w:t>
      </w:r>
      <w:r>
        <w:rPr>
          <w:rFonts w:ascii="Arial" w:cs="Arial" w:eastAsia="Arial" w:hAnsi="Arial"/>
          <w:sz w:val="16"/>
          <w:szCs w:val="16"/>
          <w:color w:val="auto"/>
        </w:rPr>
        <w:t>, Grand Residences by Marriott</w:t>
      </w:r>
      <w:r>
        <w:rPr>
          <w:rFonts w:ascii="Arial" w:cs="Arial" w:eastAsia="Arial" w:hAnsi="Arial"/>
          <w:sz w:val="20"/>
          <w:szCs w:val="20"/>
          <w:color w:val="auto"/>
          <w:vertAlign w:val="superscript"/>
        </w:rPr>
        <w:t>®</w:t>
      </w:r>
      <w:r>
        <w:rPr>
          <w:rFonts w:ascii="Arial" w:cs="Arial" w:eastAsia="Arial" w:hAnsi="Arial"/>
          <w:sz w:val="16"/>
          <w:szCs w:val="16"/>
          <w:color w:val="auto"/>
        </w:rPr>
        <w:t>, The Ritz-Carlton Destination Club</w:t>
      </w:r>
      <w:r>
        <w:rPr>
          <w:rFonts w:ascii="Arial" w:cs="Arial" w:eastAsia="Arial" w:hAnsi="Arial"/>
          <w:sz w:val="20"/>
          <w:szCs w:val="20"/>
          <w:color w:val="auto"/>
          <w:vertAlign w:val="superscript"/>
        </w:rPr>
        <w:t>®</w:t>
      </w:r>
      <w:r>
        <w:rPr>
          <w:rFonts w:ascii="Arial" w:cs="Arial" w:eastAsia="Arial" w:hAnsi="Arial"/>
          <w:sz w:val="16"/>
          <w:szCs w:val="16"/>
          <w:color w:val="auto"/>
        </w:rPr>
        <w:t>, Westin</w:t>
      </w:r>
      <w:r>
        <w:rPr>
          <w:rFonts w:ascii="Arial" w:cs="Arial" w:eastAsia="Arial" w:hAnsi="Arial"/>
          <w:sz w:val="20"/>
          <w:szCs w:val="20"/>
          <w:color w:val="auto"/>
          <w:vertAlign w:val="superscript"/>
        </w:rPr>
        <w:t>®</w:t>
      </w:r>
      <w:r>
        <w:rPr>
          <w:rFonts w:ascii="Arial" w:cs="Arial" w:eastAsia="Arial" w:hAnsi="Arial"/>
          <w:sz w:val="16"/>
          <w:szCs w:val="16"/>
          <w:color w:val="auto"/>
        </w:rPr>
        <w:t>, Sheraton</w:t>
      </w:r>
      <w:r>
        <w:rPr>
          <w:rFonts w:ascii="Arial" w:cs="Arial" w:eastAsia="Arial" w:hAnsi="Arial"/>
          <w:sz w:val="20"/>
          <w:szCs w:val="20"/>
          <w:color w:val="auto"/>
          <w:vertAlign w:val="superscript"/>
        </w:rPr>
        <w:t>®</w:t>
      </w:r>
      <w:r>
        <w:rPr>
          <w:rFonts w:ascii="Arial" w:cs="Arial" w:eastAsia="Arial" w:hAnsi="Arial"/>
          <w:sz w:val="16"/>
          <w:szCs w:val="16"/>
          <w:color w:val="auto"/>
        </w:rPr>
        <w:t>, and (to a limited extent) St. Regis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The Luxury Collection</w:t>
      </w:r>
      <w:r>
        <w:rPr>
          <w:rFonts w:ascii="Arial" w:cs="Arial" w:eastAsia="Arial" w:hAnsi="Arial"/>
          <w:sz w:val="20"/>
          <w:szCs w:val="20"/>
          <w:color w:val="auto"/>
          <w:vertAlign w:val="superscript"/>
        </w:rPr>
        <w:t>®</w:t>
      </w:r>
      <w:r>
        <w:rPr>
          <w:rFonts w:ascii="Arial" w:cs="Arial" w:eastAsia="Arial" w:hAnsi="Arial"/>
          <w:sz w:val="16"/>
          <w:szCs w:val="16"/>
          <w:color w:val="auto"/>
        </w:rPr>
        <w:t>. Marriott International’s affiliates include Starwood Hotels and Resorts Worldwide, Inc. (“Starwood”) and The Ritz-Carlton Hotel Company, L.L.C. (“The Ritz-Carlton Hotel Company”). We also refer to Marriott International’s Marriott Bonvoy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customer loyalty program as “Marriott Bonvoy.” “Hyatt Vacation Ownership” business refers to our group of businesses using the Hyatt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in the vacation ownership business pursuant to an exclusive, global master license agreement with a subsidiary of Hyatt Hotels Corporation (“Hyatt”). We also refer to Hyatt’s World of Hyatt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customer loyalty program as “World of Hyatt.”</w:t>
      </w:r>
    </w:p>
    <w:p>
      <w:pPr>
        <w:spacing w:after="0" w:line="2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early 2020, the World Health Organization declared the coronavirus outbreak a global pandemic (“COVID-19,” “the COVID-19 pandemic,” “the pandemic,” or “the virus”). The COVID-19 pandemic caused significant disruptions in international and U.S. economies and markets, and also had an unprecedented impact on the travel and hospitality industries, as well as our business and results of operations. Although COVID-19’s negative impact on our business significantly decreased during 2022, the ongoing impact is uncertain and our financial results may not be indicative of long-term future performance.</w:t>
      </w:r>
    </w:p>
    <w:p>
      <w:pPr>
        <w:spacing w:after="0" w:line="6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On April 1, 2021, we completed the acquisition of Welk Hospitality Group, Inc. (“Welk”) through a series of transactions (the “Welk Acquisition”), after which Welk became our indirect wholly-owned subsidiary. The Financial Statements in this Annual Report for fiscal year 2021 include Welk’s results of operations for the last three quarters of 2021, and reflect the financial position of our combined company at December 31, 2021. We refer to the business and brand that we acquired from Welk as “Legacy-Welk.” In addition, as part of the Welk Acquisition, we acquired a short-term license to use the Welk brand in connection with the continued operations of the Welk business through March 31, 2022. We plan to rebrand all Legacy-Welk resorts as Hyatt-branded resorts in 2023.</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The businesses acquired from ILG that we currently operate as part of our Vacation Ownership business include Vistana Signature Experiences (“Vistana”), which includes vacation ownership products branded as Sheraton or Westin, and Hyatt Vacation Ownership. The businesses acquired from ILG that we currently operate as part of our Exchange &amp; Third-Party Management business include Interval International and Aqua-Aston Hospitality (“Aqua-Aston”). As part of the ILG Acquisition, we also acquired the Vacation Resorts International (“VRI”) and Trading Places International (“TPI”) businesses (together, the “VRI Americas” business). We disposed of VRI Americas during the second quarter of 2022, after determining that this business was not a core component of our future growth strategy and operating model. The results of VRI Americas are included in our Exchange and Third-Party Management segment through the date of the sale.</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By referring to our corporate website, www.marriottvacationsworldwide.com, or any other website, we do not incorporate any such website or its contents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t>SPECIAL NOTE ABOUT FORWARD-LOOKING STATEMENTS</w:t>
      </w:r>
    </w:p>
    <w:p>
      <w:pPr>
        <w:spacing w:after="0" w:line="107"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financial condition and leverage; dividend payments; business strategies, such as our plans to continue to increase our focus on sales of vacation ownership products to first-time buyers and our expectations that we will continue to offer financing incentives; our plans to increase our use of new marketing channels, including digital and social media marketing; financing plans; competitive position; potential growth opportunities; potential operating performance improvements, including the expectations that contract sales, resort management, and resort occupancies will continue to remain strong in 2023 and that interest income will increase in 2023; our expectations regarding availability of inventory for Getaways and exchange transactions; indemnification, taxes including relating to treatment of hedges, dilution related to convertible notes, customer satisfaction and our ability to leverage it, our ability to securitize consumer loans, inventory spending;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5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the continuing effects of the COVID-19 pandemic or future health crises, including quarantines or other government-imposed travel or health-related restrictions; the length and severity of the COVID-19 pandemic or future health crises, including short and longer-term impact on consumer confidence and demand for travel, and the pace of recovery following the COVID-19 pandemic or future health crises, or as effective treatments or vaccines against variants of the COVID-19 pandemic or future health crises become widely available; variations in demand for vacation ownership and exchange products and services; worker absenteeism; price inflation; global supply chain disruptions; volatility in the international and national economy and credit markets, including as a result of the COVID-19 pandemic or future health crises, and the ongoing conflict between Russia and Ukraine and related sanctions and other measures; our ability to attract and retain our global workforce; competitive conditions; the availability of capital to finance growth; the impact of rising interest rates; the effects of steps we have taken and may continue to take to reduce operating costs and/or enhance health and cleanliness protocols at our resorts due to the COVID-19 pandemic or future health crises; political or social strife; and other matters referred to under the heading “Risk Factors” contained herein. We do not undertake any obligation to publicly update or revise any forward-looking statement, whether as a result of new information, future events, or otherwise. You should not put undue reliance on any forward-looking statements in this Annual Report. We do not have any intention or obligation to update forward-looking statements after the date of this Annual Report, except as required by law.</w:t>
      </w:r>
    </w:p>
    <w:p>
      <w:pPr>
        <w:spacing w:after="0" w:line="6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risk factors discussed in “Risk Factors” in this Annual Report could cause actual results to differ materially from those expressed or implied in forward-looking statements in this Annual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PART I</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are a leading global vacation company that offers vacation ownership, exchange, rental and resort and property management, along with related businesses, products and services. As the first hospitality-branded vacation ownership company, Marriott Vacations Worldwide helped establish the industry and was the first major pure-play independent, public company in the field. Today we are more than a vacation ownership company; we are about vacation experiences. We have been an independent public company since our November 2011 spin-off from Marriott International.</w:t>
      </w:r>
    </w:p>
    <w:p>
      <w:pPr>
        <w:spacing w:after="0" w:line="78"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We are a global leader in vacation ownership with some of the most iconic brands in the industry.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of the Marriott Vacation Club brand. We are also the exclusive worldwide developer, marketer and seller of vacation ownership and related products under The Ritz-Carlton Destination Club brand, and have the non-exclusive right to develop, market and sell whole ownership residential products under The Ritz-Carlton Residences brand. We have a license to use the St. Regis brand for specified fractional ownership products. In addition, as part of our acquisition of Welk, we plan to rebrand all Legacy-Welk resorts as Hyatt-branded in 2023. Interval International is our high-quality membership brand that serves as the gateway to unparalleled vacation experiences around the world, including access to its affiliated resorts. Our Aqua-Aston business provides management services for resorts, hotels, and other third-party vacation property owners.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Our business operates in two reportable segments: Vacation Ownership and Exchange &amp; Third-Party Management.</w:t>
      </w:r>
    </w:p>
    <w:p>
      <w:pPr>
        <w:spacing w:after="0" w:line="79" w:lineRule="exact"/>
        <w:rPr>
          <w:sz w:val="20"/>
          <w:szCs w:val="20"/>
          <w:color w:val="auto"/>
        </w:rPr>
      </w:pPr>
    </w:p>
    <w:tbl>
      <w:tblPr>
        <w:tblLayout w:type="fixed"/>
        <w:tblInd w:w="226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2022</w:t>
            </w:r>
          </w:p>
        </w:tc>
        <w:tc>
          <w:tcPr>
            <w:tcW w:w="1560" w:type="dxa"/>
            <w:vAlign w:val="bottom"/>
            <w:tcBorders>
              <w:bottom w:val="single" w:sz="8" w:color="auto"/>
            </w:tcBorders>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Pr>
          <w:p>
            <w:pPr>
              <w:spacing w:after="0"/>
              <w:rPr>
                <w:sz w:val="18"/>
                <w:szCs w:val="18"/>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w w:val="92"/>
              </w:rPr>
              <w:t>Segment Revenue</w:t>
            </w:r>
          </w:p>
        </w:tc>
        <w:tc>
          <w:tcPr>
            <w:tcW w:w="1560" w:type="dxa"/>
            <w:vAlign w:val="bottom"/>
          </w:tcPr>
          <w:p>
            <w:pPr>
              <w:spacing w:after="0"/>
              <w:rPr>
                <w:sz w:val="20"/>
                <w:szCs w:val="20"/>
                <w:color w:val="auto"/>
              </w:rPr>
            </w:pPr>
            <w:r>
              <w:rPr>
                <w:rFonts w:ascii="Arial" w:cs="Arial" w:eastAsia="Arial" w:hAnsi="Arial"/>
                <w:sz w:val="15"/>
                <w:szCs w:val="15"/>
                <w:b w:val="1"/>
                <w:bCs w:val="1"/>
                <w:color w:val="auto"/>
                <w:w w:val="92"/>
              </w:rPr>
              <w:t>% of Segment Revenue</w:t>
            </w:r>
          </w:p>
        </w:tc>
      </w:tr>
      <w:tr>
        <w:trPr>
          <w:trHeight w:val="232"/>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Vacation Ownership</w:t>
            </w: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4,342</w:t>
            </w: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94%</w:t>
            </w:r>
          </w:p>
        </w:tc>
      </w:tr>
      <w:tr>
        <w:trPr>
          <w:trHeight w:val="249"/>
        </w:trPr>
        <w:tc>
          <w:tcPr>
            <w:tcW w:w="3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Exchange &amp; Third-Party Management</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9"/>
              </w:rPr>
              <w:t>6%</w:t>
            </w:r>
          </w:p>
        </w:tc>
      </w:tr>
      <w:tr>
        <w:trPr>
          <w:trHeight w:val="229"/>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Segment Revenue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100%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Vacation Ownership Industry</w:t>
      </w:r>
    </w:p>
    <w:p>
      <w:pPr>
        <w:spacing w:after="0" w:line="107"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a deeded real estate interest in a specified accommodation unit, an undivided interest in a building or an entire resort, or a beneficial interest in a trust that owns one or more resort properties. By purchasing a VOI,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 and because they are interested in buying a lifetime of vacations.</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Typically, developers sell VOIs for a fixed purchase price that is paid in full at closing or financed with a loan. Many vacation ownership companies provide financing or facilitate access to third-party bank financing for customers. Vacation ownership resorts are often operated by a not-for-profit owners’ association of which owners of the VOIs are members. Most owners’ associations are governed by a board of directors that includes owners and which may include representatives of the developer. Some vacation ownership resorts are held through a trust structure in which a trustee holds title and manages the property. The board of the owners’ association, or trustee, as applicable, typically delegates much of the responsibility for managing the resort to a management company, which is often affiliated with the developer.</w:t>
      </w:r>
    </w:p>
    <w:p>
      <w:pPr>
        <w:spacing w:after="0" w:line="53"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After the initial purchase, most vacation ownership programs require the owner of the VOI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5" w:name="page6"/>
    <w:bookmarkEnd w:id="5"/>
    <w:p>
      <w:pPr>
        <w:ind w:right="180"/>
        <w:spacing w:after="0" w:line="277" w:lineRule="auto"/>
        <w:rPr>
          <w:sz w:val="20"/>
          <w:szCs w:val="20"/>
          <w:color w:val="auto"/>
        </w:rPr>
      </w:pPr>
      <w:r>
        <w:rPr>
          <w:rFonts w:ascii="Arial" w:cs="Arial" w:eastAsia="Arial" w:hAnsi="Arial"/>
          <w:sz w:val="16"/>
          <w:szCs w:val="16"/>
          <w:color w:val="auto"/>
        </w:rPr>
        <w:t>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VOI specifies fixed usage dates and a particular unit every year.</w:t>
      </w:r>
    </w:p>
    <w:p>
      <w:pPr>
        <w:spacing w:after="0" w:line="6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VOIs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8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accommodations at other resorts in the exchange service provider’s broader network of properties. The two leading exchange service providers are our subsidiary Interval International, and RCI, LLC, a subsidiary of Travel + Leisure Co. (“RCI”). Interval International’s network includes more than 3,200 affiliated resorts, and RCI’s network includes over 4,200 affiliated resorts, as identified on RCI’s website.</w:t>
      </w:r>
    </w:p>
    <w:p>
      <w:pPr>
        <w:spacing w:after="0" w:line="8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According to the American Resort Development Association (“ARDA”), a trade association representing the vacation ownership and resort development industries, as of December 31, 2021, the U.S. vacation ownership community was comprised of over 1,500 resorts, representing more than 200,000 units. According to ARDA, sales in the U.S. market were approximately $8.1 billion in 2021. We believe there is considerable potential for further growth in the industry both in the U.S. and globally.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 and Intellectual Property</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Our long-term license agreements include a License, Services, and Development Agreement (the “Marriott License Agreement”) with Marriott International and a License, Services, and Development Agreement (the “Ritz-Carlton License Agreement”) with The Ritz-Carlton Hotel Company, a subsidiary of Marriott International. Under these long-term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5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are also the exclusive licensee for the Sheraton and Westin brands in vacation ownership. Our license agreements for these brands grant us the exclusive right, for the term of the license agreement, to use certain Sheraton and Westin marks and intellectual property in our vacation ownership business, and the right to use the St. Regis brand for specified fractional ownership products. In addition, we are party to a license agreement with Hyatt that grants us the exclusive global use of the Hyatt brand in connection with the Hyatt Vacation Ownership business.</w:t>
      </w:r>
    </w:p>
    <w:p>
      <w:pPr>
        <w:spacing w:after="0" w:line="78"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As part of the Welk Acquisition, we acquired a short-term license to use the Welk brand in connection with the continued operations of the Welk business through March 31, 2022. We plan to rebrand all Legacy-Welk resorts as Hyatt-branded resorts in 2023.</w:t>
      </w:r>
    </w:p>
    <w:p>
      <w:pPr>
        <w:spacing w:after="0" w:line="6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operate in a highly competitive industry and our brand names, trademarks, service marks, trade names and logos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Licensor Customer Loyalty Programs</w:t>
      </w:r>
    </w:p>
    <w:p>
      <w:pPr>
        <w:spacing w:after="0" w:line="103" w:lineRule="exact"/>
        <w:rPr>
          <w:sz w:val="20"/>
          <w:szCs w:val="20"/>
          <w:color w:val="auto"/>
        </w:rPr>
      </w:pPr>
    </w:p>
    <w:p>
      <w:pPr>
        <w:ind w:right="100"/>
        <w:spacing w:after="0" w:line="399" w:lineRule="auto"/>
        <w:rPr>
          <w:sz w:val="20"/>
          <w:szCs w:val="20"/>
          <w:color w:val="auto"/>
        </w:rPr>
      </w:pPr>
      <w:r>
        <w:rPr>
          <w:rFonts w:ascii="Arial" w:cs="Arial" w:eastAsia="Arial" w:hAnsi="Arial"/>
          <w:sz w:val="13"/>
          <w:szCs w:val="13"/>
          <w:color w:val="auto"/>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program.</w:t>
      </w:r>
    </w:p>
    <w:p>
      <w:pPr>
        <w:spacing w:after="0" w:line="1"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program.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Business Strategy</w:t>
      </w:r>
    </w:p>
    <w:p>
      <w:pPr>
        <w:spacing w:after="0" w:line="10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Our strategic goal is to strengthen our leadership position in the vacation industry by further enhancing the vacation experience to help our members and owners live their lives to the fullest. Our core strategies are as follows: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Drive profitable revenue growth</w:t>
      </w:r>
    </w:p>
    <w:p>
      <w:pPr>
        <w:spacing w:after="0" w:line="10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intend to leverage our powerful mix of trusted hospitality brands and membership programs to continue to generate owner and member growth, and to drive growth in vacation ownership sales, by targeting high-quality inventory that allows us to add desirable new destinations to our systems with new on-site sales locations. We expect to continue to generate growth through our integrated platform that provides exclusive access to the world-class loyalty programs of Marriott International and Hyatt. We will also continue to focus on our approximately 700,000 owner families around the world. We are concentrating on growing our tour flow cost effectively as we seek to grow first-time buyer tours through our strategy that emphasizes new sales locations and new marketing channels, including digital and social media marketing. We also see the use of virtual sales presentations continuing to be a large part of our sales process.</w:t>
      </w:r>
    </w:p>
    <w:p>
      <w:pPr>
        <w:spacing w:after="0" w:line="71"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We also plan to grow our recurring revenues which tend to be less capital intensive than sales of VOIs. Our recurring revenues include management of resorts and owners’ associations, financing revenues, and membership, club and other revenues in both our Vacation Ownership and Exchange &amp; Third-Party Management segments. These revenues generally grow as we add new resorts and are more predictable due to the relatively fixed nature of resort operating expenses and, in the case of management and exchange revenues, contractual agreements that typically span many years and are often automatically renewable. Financing revenues are relatively stable as the majority of these revenues generated in any given year come from prior year note originations.</w:t>
      </w:r>
    </w:p>
    <w:p>
      <w:pPr>
        <w:spacing w:after="0" w:line="53" w:lineRule="exact"/>
        <w:rPr>
          <w:sz w:val="20"/>
          <w:szCs w:val="20"/>
          <w:color w:val="auto"/>
        </w:rPr>
      </w:pPr>
    </w:p>
    <w:p>
      <w:pPr>
        <w:ind w:right="220"/>
        <w:spacing w:after="0" w:line="304" w:lineRule="auto"/>
        <w:rPr>
          <w:sz w:val="20"/>
          <w:szCs w:val="20"/>
          <w:color w:val="auto"/>
        </w:rPr>
      </w:pPr>
      <w:r>
        <w:rPr>
          <w:rFonts w:ascii="Arial" w:cs="Arial" w:eastAsia="Arial" w:hAnsi="Arial"/>
          <w:sz w:val="15"/>
          <w:szCs w:val="15"/>
          <w:color w:val="auto"/>
        </w:rPr>
        <w:t>We seek to continuously evolve and expand our core product offerings, as demonstrated by the launch of the Marriott Vacation Club Destinations (“MVCD”) points product in 2010 and Abound by Marriott Vacations program in 2022, and through the integration of the Legacy-Welk and Hyatt businesses. Additionally, we intend to drive revenue growth in part by targeting a wider array of vacationers through new membership programs and products in adjacent market spaces.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Maximize cash flow by selectively pursuing capital efficient vacation ownership deal structures and business models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Through the use of our points-based products, we are able to more closely match inventory investment with sales pace, thereby generating strong cash flows over time. Limiting the amount of completed inventory on hand and pursuing capital efficient vacation ownership inventory arrangements enable us to reduce the maintenance fees that we pay on unsold inventory and improve returns on invested capital and liquidity. In addition, we reacquire previously sold VOIs at lower costs than would be required to develop new inventory, which increases margins on our sales of VOIs. Our business model is designed to deliver steady, consistent cash flow, which is driven in part by our “asset-light” capital efficient framework as we expect to maintain an attractive leverage profile. We believe our access to capital markets and credit facilities will enable us to maintain an attractive leverage profile and level of liquidity that provides financial flexibility, giving us the ability to pursue strategic growth opportunities, withstand potential future economic downturns, optimize our cost of capital, and pursue strategies for returning excess capital to shareholders.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Enhance digital capabilities and data analytics</w:t>
      </w:r>
    </w:p>
    <w:p>
      <w:pPr>
        <w:spacing w:after="0" w:line="103" w:lineRule="exact"/>
        <w:rPr>
          <w:sz w:val="20"/>
          <w:szCs w:val="20"/>
          <w:color w:val="auto"/>
        </w:rPr>
      </w:pPr>
    </w:p>
    <w:p>
      <w:pPr>
        <w:jc w:val="both"/>
        <w:ind w:right="300"/>
        <w:spacing w:after="0" w:line="290" w:lineRule="auto"/>
        <w:rPr>
          <w:sz w:val="20"/>
          <w:szCs w:val="20"/>
          <w:color w:val="auto"/>
        </w:rPr>
      </w:pPr>
      <w:r>
        <w:rPr>
          <w:rFonts w:ascii="Arial" w:cs="Arial" w:eastAsia="Arial" w:hAnsi="Arial"/>
          <w:sz w:val="15"/>
          <w:szCs w:val="15"/>
          <w:color w:val="auto"/>
        </w:rPr>
        <w:t>A key area of focus for us is the expansion of digital tools to drive more efficient digital marketing and enhance user experience for our owners and members of our exchange and other membership programs. We believe there is much more innovation and growth to come, and we intend to build efficiencies in our cost of service delivery and to facilitate access to our portfolio of brands with new digital tools. We are actively building and enhancing customer facing digital platforms to support existing and future products by enabling customers to transact online across all of our brands with respect to all of our products. In addition, we are focused on using data to facilitate the use of advanced analytics to improve efficiency, enhance customer experiences, improve targeted marketing, and increase profitability.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Focus on the satisfaction of our owners, members, and guests as well as the engagement of our associates</w:t>
      </w:r>
    </w:p>
    <w:p>
      <w:pPr>
        <w:spacing w:after="0" w:line="103"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We provide high-quality vacation experiences to our owners, members, and guests around the world and we believe that maintaining a high level of engagement across all of our customer groups is key to our success. We intend to maintain and improve their satisfaction with our products and services, which drives incremental sales as customers choose to spend more time at our resorts. Because our owners, members, and guests are our most cost-effective vacation ownership sales channels, we intend to continue to leverage our strong customer satisfaction to drive higher margin sales volumes. We seek to continue delivering operational excellence while remaining focused on core customer expectations, which we believe will drive growth and efficiency. As part of the integration of the ILG and Legacy-Welk businesses, the improved customer experience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from self-service tools and the streamlining of our business processes through technology, we are able to provide enhanced owner and member experiences.</w:t>
      </w:r>
    </w:p>
    <w:p>
      <w:pPr>
        <w:spacing w:after="0" w:line="11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From our earliest days, we have sought to create an inclusive culture that emphasizes warm and welcoming customer service and authentic care for our associates. We believe these characteristics give meaning to our vision of helping our customers and associates live their lives to the fullest. Our core belief is that developing and retaining top talent will foster an innovative culture and strengthen our leadership pipeline, while enabling business growth. We believe our caring culture unites our associates across a wide range of backgrounds, geographies and experiences. It is this very diversity that make us “Better Together” and that has allowed us to grow and prosper over the years.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Selectively pursue compelling new business opportunities</w:t>
      </w:r>
    </w:p>
    <w:p>
      <w:pPr>
        <w:spacing w:after="0" w:line="10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We are positioned to explore new business opportunities, such as the continued enhancement of our exchange programs, new management affiliations, acquisitions of existing vacation ownership and related businesses, and the creation of new innovative travel-related products that are complementary to our core vacation ownership and exchange company offerings. We intend to selectively pursue these types of opportunities, focusing on those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culture and competencies.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leading global vacation ownership and exchange company</w:t>
      </w:r>
    </w:p>
    <w:p>
      <w:pPr>
        <w:spacing w:after="0" w:line="10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We are one of the world’s largest vacation ownership companies, based on number of owners, members, number of resorts and revenues. Since becoming a standalone public company in 2011, our vacation ownership business has nearly doubled in size, from 64 vacation ownership resorts and approximately 420,000 owners to over 120 vacation ownership resorts and approximately 700,000 owner families as of the end of 2022. Our exchange networks and membership programs are comprised of more than 3,200 affiliated resorts and over 1.6 million members, and we also provide management services to over 25 other resorts and lodging properties, as of the end of 2022. We believe our scale and global reach, coupled with our renowned brands and development, marketing, sales, exchange and management expertise, help us achieve operational efficiencies and support future growth opportunities. Our size allows us to provide owners, members, and guests with the flexibility of a wide variety of experiences within our high-quality resort portfolio, coupled with the ease and certainty of working with a single trusted provider. We also believe our size helps us obtain better financing terms from lenders, achieve operational cost savings from our increased scale, and attract talented management and associates. In the exchange arena, Interval International is the high-quality membership brand that serves as the gateway to premium vacation experiences. Our Interval International network includes members and resorts from our Marriott, Westin, Sheraton and Hyatt products, as well as other high quality branded and independent resorts, that can attract developers and owners’ associations to affiliate with the network and provide exchange opportunities for their owners.</w:t>
      </w:r>
    </w:p>
    <w:p>
      <w:pPr>
        <w:spacing w:after="0" w:line="60" w:lineRule="exact"/>
        <w:rPr>
          <w:sz w:val="20"/>
          <w:szCs w:val="20"/>
          <w:color w:val="auto"/>
        </w:rPr>
      </w:pPr>
    </w:p>
    <w:p>
      <w:pPr>
        <w:jc w:val="both"/>
        <w:ind w:right="100"/>
        <w:spacing w:after="0" w:line="304" w:lineRule="auto"/>
        <w:rPr>
          <w:sz w:val="20"/>
          <w:szCs w:val="20"/>
          <w:color w:val="auto"/>
        </w:rPr>
      </w:pPr>
      <w:r>
        <w:rPr>
          <w:rFonts w:ascii="Arial" w:cs="Arial" w:eastAsia="Arial" w:hAnsi="Arial"/>
          <w:sz w:val="15"/>
          <w:szCs w:val="15"/>
          <w:color w:val="auto"/>
        </w:rPr>
        <w:t>The breadth and depth of our operations enable us to offer a variety of products and to continue to evolve our products to address the changing needs and preferences of our existing and future customers. For example, the tapestry of vacation experiences we offer includes not only traditional resort experiences but also urban experiences at our Marriott Vacation Club Pulse locations, which are unique properties that embrace the spirit and culture of their urban locations.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Premier global brands with access to expansive customer bases</w:t>
      </w:r>
    </w:p>
    <w:p>
      <w:pPr>
        <w:spacing w:after="0" w:line="10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believe that each of our owned or licensed brands - from Marriott Vacation Club to Hyatt Residence Club, from Interval International to Aqua-Aston, from Sheraton Vacation Club to Westin Vacation Club - is a highly respected and widely trusted leader in the travel and hospitality industry. We are creating distinct lanes for our brands to grow within. This careful segmentation is designed to allow each of our brands to reach its full potential, while also giving us diverse paths to growth. Each brand has a unique history and heritage that has enriched our Company immeasurably and that we are building upon to better serve our owners, members, guests, and associates. Through the brands we license from Marriott International for use in vacation ownership, we benefit from exclusive long-term access to members in the Marriott Bonvoy loyalty program, which includes over 177 million members as of December 31, 2022. Similarly, through our relationship with Hyatt, we benefit from access to members of Hyatt’s award-winning guest loyalty program, the World of Hyatt, which includes approximately 36 million members as of December 31, 2022. We believe our access to guests with an affinity for our brands aids our marketing efforts and significantly enhances our ability to drive future sales, as we predominantly generate VOI sales through brand loyalty-affiliated sales channels. We expect to continue to leverage our exclusive call transfer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 w:name="page9"/>
    <w:bookmarkEnd w:id="8"/>
    <w:p>
      <w:pPr>
        <w:ind w:right="60"/>
        <w:spacing w:after="0" w:line="264" w:lineRule="auto"/>
        <w:rPr>
          <w:sz w:val="20"/>
          <w:szCs w:val="20"/>
          <w:color w:val="auto"/>
        </w:rPr>
      </w:pPr>
      <w:r>
        <w:rPr>
          <w:rFonts w:ascii="Arial" w:cs="Arial" w:eastAsia="Arial" w:hAnsi="Arial"/>
          <w:sz w:val="17"/>
          <w:szCs w:val="17"/>
          <w:color w:val="auto"/>
        </w:rPr>
        <w:t>arrangements, on-site marketing at Marriott and Hyatt branded hotels, and use of certain exclusive marketing rights to increase sales across all of our Marriott-affiliated and Hyatt-affiliated vacation ownership properties,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Loyal, highly satisfied customers</w:t>
      </w:r>
    </w:p>
    <w:p>
      <w:pPr>
        <w:spacing w:after="0" w:line="103"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We have a large, highly satisfied customer base. Owner and member satisfaction is evidenced both by positive historical survey responses, high levels of engagement that we see in the many customer and associate care stories shared on social media sites, and higher than industry average historical resort occupancy for our Vacation Ownership segment. We believe that strong customer satisfaction and brand loyalty result in more frequent use of our products, increase in member retention, and encourage owners to purchase additional products and to recommend our products to friends and family, which in turn helps generate higher revenues.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efficient business model providing strong free cash flow and financial flexibility</w:t>
      </w:r>
    </w:p>
    <w:p>
      <w:pPr>
        <w:spacing w:after="0" w:line="103" w:lineRule="exact"/>
        <w:rPr>
          <w:sz w:val="20"/>
          <w:szCs w:val="20"/>
          <w:color w:val="auto"/>
        </w:rPr>
      </w:pPr>
    </w:p>
    <w:p>
      <w:pPr>
        <w:ind w:right="80"/>
        <w:spacing w:after="0" w:line="352" w:lineRule="auto"/>
        <w:rPr>
          <w:sz w:val="20"/>
          <w:szCs w:val="20"/>
          <w:color w:val="auto"/>
        </w:rPr>
      </w:pPr>
      <w:r>
        <w:rPr>
          <w:rFonts w:ascii="Arial" w:cs="Arial" w:eastAsia="Arial" w:hAnsi="Arial"/>
          <w:sz w:val="13"/>
          <w:szCs w:val="13"/>
          <w:color w:val="auto"/>
        </w:rPr>
        <w:t>We believe that our scale, recurring revenue fee streams and enhanced margin profile will enable us to maintain flexibility for continued organic growth, strategic acquisitions, debt repayment, and return of capital to shareholders. Our total revenue excluding cost reimbursements derived from sources other than the sale of VOIs has increased and is expected to continue to increase. Our Exchange &amp; Third-Party Management businesses also create ample opportunities to realize recurring higher-margin, fee-based revenue streams with modest required capital expenditures, which we believe will enhance our margins and free cash flow generation over time.</w:t>
      </w:r>
    </w:p>
    <w:p>
      <w:pPr>
        <w:spacing w:after="0" w:line="1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were also among the first of the major hospitality brands to move from a fixed-week, fixed-unit operating model to a points-based system. This critical transition responded directly to consumer demand for greater flexibility and allowed us to tap into the broader membership opportunity afforded by the industry’s exchange businesses. Our points-based vacation ownership products allow us to utilize capital efficient structures and maintain long-term sales locations without the need to construct additional units at each location. We are able to better manage our inventory needs, while achieving top line growth without a need to significantly increase inventory investments. Our disciplined inventory approach and use of capital efficient vacation ownership transaction structures, including working with third parties that develop new inventory or convert previously built units that are sold to us close to when such inventory is needed to support sales, is expected to support strong and stable free cash flow generation.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Long-standing track record, experienced management and engaged associates</w:t>
      </w:r>
    </w:p>
    <w:p>
      <w:pPr>
        <w:spacing w:after="0" w:line="10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We have been a pioneer in the vacation ownership industry since 1984, when Marriott International became the first company to introduce a lodging-branded vacation ownership product. The story of Marriott Vacations Worldwide is one of growth driven by innovation and exceptional vitality. Since our early days, we have sought to create a culture that emphasizes authentic care for associates. Stephen P. Weisz, who served as our President from 1996 until 2021 and as our Chief Executive Officer since our spin-off from Marriott International in 2011, retired on December 31, 2022 after a combined 50 years with Marriott International and Marriott Vacations Worldwide. As of January 1, 2023, our seasoned management team is led by John E. Geller, Jr., President and Chief Executive Officer. Mr. Geller has served as our President since 2021, and served as our Chief Financial Officer from our spin-off from Marriott International in 2011 until 2021. William J. Shaw, the Chairman of our Board of Directors, is the former Vice Chairman, President and Chief Operating Officer of Marriott International and spent nearly 37 years with Marriott International. Our ten executive officers as of January 1, 2023 have an average of approximately 26 years of total combined experience at Marriott Vacations Worldwide, our subsidiary companies, and Marriott International. We believe our management team’s extensive public company and vacation ownership and hospitality industry experience has enabled us to achieve solid operating results and will enable us to continue to respond quickly and effectively to changing market conditions and consumer trends. Our management team’s experience in the highly regulated vacation ownership industry also provides us with a competitive advantage in expanding existing product forms and developing new ones.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Engaged associates delivering high levels of customer service driving repeat customers</w:t>
      </w:r>
    </w:p>
    <w:p>
      <w:pPr>
        <w:spacing w:after="0" w:line="10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We believe that our associates provide superior customer service and this dedication to serving the customer enhances our competitive position. A significant portion of our vacation ownership contract sales are historically to existing owners, which enables them to enjoy longer stays and have greater flexibility in their vacation choices. Sales to existing owners typically have significantly lower sales and marketing costs than sales to new owners. We leverage high levels of associate engagement and a strong corporate culture to deliver positive customer experiences in sales, marketing, exchange, management, and resort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122" w:right="399" w:bottom="1440" w:gutter="0" w:footer="0" w:header="0"/>
        </w:sectPr>
      </w:pPr>
    </w:p>
    <w:bookmarkStart w:id="9" w:name="page10"/>
    <w:bookmarkEnd w:id="9"/>
    <w:p>
      <w:pPr>
        <w:ind w:right="380"/>
        <w:spacing w:after="0" w:line="331" w:lineRule="auto"/>
        <w:rPr>
          <w:sz w:val="20"/>
          <w:szCs w:val="20"/>
          <w:color w:val="auto"/>
        </w:rPr>
      </w:pPr>
      <w:r>
        <w:rPr>
          <w:rFonts w:ascii="Arial" w:cs="Arial" w:eastAsia="Arial" w:hAnsi="Arial"/>
          <w:sz w:val="15"/>
          <w:szCs w:val="15"/>
          <w:color w:val="auto"/>
        </w:rPr>
        <w:t>We use an external third-party service provider to regularly survey our associates for feedback. We use the results of our annual engagement surveys to improve the associate experience and to further develop a caring culture that contributes to the long tenure of associates at both leadership and operational levels.</w:t>
      </w:r>
    </w:p>
    <w:p>
      <w:pPr>
        <w:spacing w:after="0" w:line="2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2022, we were recognized as a Kincentric Best Employer globally as part of Kincentric’s robust assessment that measures associate engagement and identifies organizations that have implemented people practices that drive better business results. As part of the Kincentric Best Employers 2022 assessment, we conducted an associate survey that achieved a 91% response rate, which demonstrated a strong level of overall associate engagement. The survey identified several areas of strength, including inclusion and diversity, department/team leadership, and sustainability (modeling socially and environmentally responsible efforts). We believe that our distinction as a Kincentric Best Employer and our identified strengths demonstrate the incredible care we have for each other and for the associate experience, leading to recognition by current and potential future associates as an employer of choice.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 SEGMENT</w:t>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Vacation Ownership segment develops, markets, sells, finances,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65"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As of December 31, 2022, our Vacation Ownership segment had over 120 resorts and approximately 700,000 owner families. The Vacation Ownership segment represented 93% of our consolidated revenue for 2022.</w:t>
      </w:r>
    </w:p>
    <w:p>
      <w:pPr>
        <w:spacing w:after="0" w:line="20" w:lineRule="exact"/>
        <w:rPr>
          <w:sz w:val="20"/>
          <w:szCs w:val="20"/>
          <w:color w:val="auto"/>
        </w:rPr>
      </w:pPr>
    </w:p>
    <w:tbl>
      <w:tblPr>
        <w:tblLayout w:type="fixed"/>
        <w:tblInd w:w="2320" w:type="dxa"/>
        <w:tblCellMar>
          <w:top w:w="0" w:type="dxa"/>
          <w:left w:w="0" w:type="dxa"/>
          <w:bottom w:w="0" w:type="dxa"/>
          <w:right w:w="0" w:type="dxa"/>
        </w:tblCellMar>
      </w:tblPr>
      <w:tr>
        <w:trPr>
          <w:trHeight w:val="172"/>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ind w:right="80"/>
              <w:spacing w:after="0"/>
              <w:rPr>
                <w:sz w:val="20"/>
                <w:szCs w:val="20"/>
                <w:color w:val="auto"/>
              </w:rPr>
            </w:pPr>
            <w:r>
              <w:rPr>
                <w:rFonts w:ascii="Arial" w:cs="Arial" w:eastAsia="Arial" w:hAnsi="Arial"/>
                <w:sz w:val="15"/>
                <w:szCs w:val="15"/>
                <w:b w:val="1"/>
                <w:bCs w:val="1"/>
                <w:color w:val="auto"/>
                <w:w w:val="89"/>
              </w:rPr>
              <w:t>2022</w:t>
            </w:r>
          </w:p>
        </w:tc>
      </w:tr>
      <w:tr>
        <w:trPr>
          <w:trHeight w:val="149"/>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ind w:right="80"/>
              <w:spacing w:after="0" w:line="149" w:lineRule="exact"/>
              <w:rPr>
                <w:sz w:val="20"/>
                <w:szCs w:val="20"/>
                <w:color w:val="auto"/>
              </w:rPr>
            </w:pPr>
            <w:r>
              <w:rPr>
                <w:rFonts w:ascii="Arial" w:cs="Arial" w:eastAsia="Arial" w:hAnsi="Arial"/>
                <w:sz w:val="15"/>
                <w:szCs w:val="15"/>
                <w:b w:val="1"/>
                <w:bCs w:val="1"/>
                <w:color w:val="auto"/>
                <w:w w:val="90"/>
              </w:rPr>
              <w:t>Vacation Ownership</w:t>
            </w:r>
          </w:p>
        </w:tc>
      </w:tr>
      <w:tr>
        <w:trPr>
          <w:trHeight w:val="196"/>
        </w:trPr>
        <w:tc>
          <w:tcPr>
            <w:tcW w:w="48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w w:val="85"/>
              </w:rPr>
              <w:t>Segment Revenues</w:t>
            </w:r>
          </w:p>
        </w:tc>
      </w:tr>
      <w:tr>
        <w:trPr>
          <w:trHeight w:val="232"/>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r>
      <w:tr>
        <w:trPr>
          <w:trHeight w:val="249"/>
        </w:trPr>
        <w:tc>
          <w:tcPr>
            <w:tcW w:w="4880" w:type="dxa"/>
            <w:vAlign w:val="bottom"/>
          </w:tcPr>
          <w:p>
            <w:pPr>
              <w:ind w:left="200"/>
              <w:spacing w:after="0"/>
              <w:rPr>
                <w:sz w:val="20"/>
                <w:szCs w:val="20"/>
                <w:color w:val="auto"/>
              </w:rPr>
            </w:pPr>
            <w:r>
              <w:rPr>
                <w:rFonts w:ascii="Arial" w:cs="Arial" w:eastAsia="Arial" w:hAnsi="Arial"/>
                <w:sz w:val="17"/>
                <w:szCs w:val="17"/>
                <w:color w:val="auto"/>
              </w:rPr>
              <w:t>Resort management and other services</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534</w:t>
            </w:r>
          </w:p>
        </w:tc>
      </w:tr>
      <w:tr>
        <w:trPr>
          <w:trHeight w:val="249"/>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Rental</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r>
      <w:tr>
        <w:trPr>
          <w:trHeight w:val="249"/>
        </w:trPr>
        <w:tc>
          <w:tcPr>
            <w:tcW w:w="4880" w:type="dxa"/>
            <w:vAlign w:val="bottom"/>
          </w:tcPr>
          <w:p>
            <w:pPr>
              <w:ind w:left="200"/>
              <w:spacing w:after="0"/>
              <w:rPr>
                <w:sz w:val="20"/>
                <w:szCs w:val="20"/>
                <w:color w:val="auto"/>
              </w:rPr>
            </w:pPr>
            <w:r>
              <w:rPr>
                <w:rFonts w:ascii="Arial" w:cs="Arial" w:eastAsia="Arial" w:hAnsi="Arial"/>
                <w:sz w:val="17"/>
                <w:szCs w:val="17"/>
                <w:color w:val="auto"/>
              </w:rPr>
              <w:t>Financing</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293</w:t>
            </w:r>
          </w:p>
        </w:tc>
      </w:tr>
      <w:tr>
        <w:trPr>
          <w:trHeight w:val="249"/>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r>
      <w:tr>
        <w:trPr>
          <w:trHeight w:val="204"/>
        </w:trPr>
        <w:tc>
          <w:tcPr>
            <w:tcW w:w="4880" w:type="dxa"/>
            <w:vAlign w:val="bottom"/>
          </w:tcPr>
          <w:p>
            <w:pPr>
              <w:ind w:left="200"/>
              <w:spacing w:after="0"/>
              <w:rPr>
                <w:sz w:val="20"/>
                <w:szCs w:val="20"/>
                <w:color w:val="auto"/>
              </w:rPr>
            </w:pPr>
            <w:r>
              <w:rPr>
                <w:rFonts w:ascii="Arial" w:cs="Arial" w:eastAsia="Arial" w:hAnsi="Arial"/>
                <w:sz w:val="17"/>
                <w:szCs w:val="17"/>
                <w:b w:val="1"/>
                <w:bCs w:val="1"/>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4,342</w:t>
            </w: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Brands</w:t>
      </w:r>
    </w:p>
    <w:p>
      <w:pPr>
        <w:spacing w:after="0" w:line="107" w:lineRule="exact"/>
        <w:rPr>
          <w:sz w:val="20"/>
          <w:szCs w:val="20"/>
          <w:color w:val="auto"/>
        </w:rPr>
      </w:pPr>
    </w:p>
    <w:p>
      <w:pPr>
        <w:jc w:val="both"/>
        <w:ind w:right="400"/>
        <w:spacing w:after="0" w:line="304" w:lineRule="auto"/>
        <w:rPr>
          <w:sz w:val="20"/>
          <w:szCs w:val="20"/>
          <w:color w:val="auto"/>
        </w:rPr>
      </w:pPr>
      <w:r>
        <w:rPr>
          <w:rFonts w:ascii="Arial" w:cs="Arial" w:eastAsia="Arial" w:hAnsi="Arial"/>
          <w:sz w:val="15"/>
          <w:szCs w:val="15"/>
          <w:color w:val="auto"/>
        </w:rPr>
        <w:t>Built upon a single hospitality brand at the time of our founding, Marriott Vacations Worldwide has grown into a multi-branded organization with a broad, diverse portfolio of immersive vacation and leisure destinations. Our portfolio includes a rich tapestry of some of the world’s most iconic, widely recognized and respected hospitality and travel brands. We design, build, manage and maintain properties at upper upscale and luxury levels primarily under the following brands:</w:t>
      </w:r>
    </w:p>
    <w:p>
      <w:pPr>
        <w:spacing w:after="0" w:line="3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color w:val="auto"/>
        </w:rPr>
        <w:t xml:space="preserve">Marriott Vacation Club </w:t>
      </w:r>
      <w:r>
        <w:rPr>
          <w:rFonts w:ascii="Arial" w:cs="Arial" w:eastAsia="Arial" w:hAnsi="Arial"/>
          <w:sz w:val="17"/>
          <w:szCs w:val="17"/>
          <w:color w:val="auto"/>
        </w:rPr>
        <w:t>is a collection of upper upscale vacation ownership resorts featuring timeshare villas and other accommodations throughout the U.S.,</w:t>
      </w:r>
      <w:r>
        <w:rPr>
          <w:rFonts w:ascii="Arial" w:cs="Arial" w:eastAsia="Arial" w:hAnsi="Arial"/>
          <w:sz w:val="17"/>
          <w:szCs w:val="17"/>
          <w:b w:val="1"/>
          <w:bCs w:val="1"/>
          <w:color w:val="auto"/>
        </w:rPr>
        <w:t xml:space="preserve"> </w:t>
      </w:r>
      <w:r>
        <w:rPr>
          <w:rFonts w:ascii="Arial" w:cs="Arial" w:eastAsia="Arial" w:hAnsi="Arial"/>
          <w:sz w:val="17"/>
          <w:szCs w:val="17"/>
          <w:color w:val="auto"/>
        </w:rPr>
        <w:t>Caribbean, Europe, Asia, and Australia. It’s about vacations with a sense of place and belonging, providing owners and their families with the flexibility to enjoy a wide variety of vacation experiences that are characterized by the consistent high quality and warm hospitality for which the Marriott name is known. Marriott Vacation Club Pulse, a brand extension of Marriott Vacation Club, offers properties in the heart of vibrant cities, including San Francisco and New York City, among others. Because of their urban locations, Marriott Vacation Club Pulse properties typically offer limited on-site amenities and may include smaller guest rooms without separate living areas and kitchens.</w:t>
      </w:r>
    </w:p>
    <w:p>
      <w:pPr>
        <w:spacing w:after="0" w:line="77"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b w:val="1"/>
          <w:bCs w:val="1"/>
          <w:color w:val="auto"/>
        </w:rPr>
        <w:t xml:space="preserve">Sheraton Vacation Club </w:t>
      </w:r>
      <w:r>
        <w:rPr>
          <w:rFonts w:ascii="Arial" w:cs="Arial" w:eastAsia="Arial" w:hAnsi="Arial"/>
          <w:sz w:val="15"/>
          <w:szCs w:val="15"/>
          <w:color w:val="auto"/>
        </w:rPr>
        <w:t>provides enriching and unexpected vacation experiences in fun family destinations like Florida, South Carolina and Colorado, with activities</w:t>
      </w:r>
      <w:r>
        <w:rPr>
          <w:rFonts w:ascii="Arial" w:cs="Arial" w:eastAsia="Arial" w:hAnsi="Arial"/>
          <w:sz w:val="15"/>
          <w:szCs w:val="15"/>
          <w:b w:val="1"/>
          <w:bCs w:val="1"/>
          <w:color w:val="auto"/>
        </w:rPr>
        <w:t xml:space="preserve"> </w:t>
      </w:r>
      <w:r>
        <w:rPr>
          <w:rFonts w:ascii="Arial" w:cs="Arial" w:eastAsia="Arial" w:hAnsi="Arial"/>
          <w:sz w:val="15"/>
          <w:szCs w:val="15"/>
          <w:color w:val="auto"/>
        </w:rPr>
        <w:t>that emphasize building and strengthening relationships. This collection of vacation ownership resorts builds on an iconic legacy of trusted hospitality, and brings to life a warm, energetic haven for families to gather and nurture their most precious relationships by allowing owners and guests to relax, play and experience what the world has to offer. Sheraton Vacation Club upper upscale vacation ownership resorts are part of the Vistana Signature Network (“VSN”).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0" w:name="page11"/>
    <w:bookmarkEnd w:id="10"/>
    <w:p>
      <w:pPr>
        <w:ind w:right="200"/>
        <w:spacing w:after="0" w:line="280" w:lineRule="auto"/>
        <w:rPr>
          <w:sz w:val="20"/>
          <w:szCs w:val="20"/>
          <w:color w:val="auto"/>
        </w:rPr>
      </w:pPr>
      <w:r>
        <w:rPr>
          <w:rFonts w:ascii="Arial" w:cs="Arial" w:eastAsia="Arial" w:hAnsi="Arial"/>
          <w:sz w:val="16"/>
          <w:szCs w:val="16"/>
          <w:b w:val="1"/>
          <w:bCs w:val="1"/>
          <w:color w:val="auto"/>
        </w:rPr>
        <w:t xml:space="preserve">Westin Vacation Club </w:t>
      </w:r>
      <w:r>
        <w:rPr>
          <w:rFonts w:ascii="Arial" w:cs="Arial" w:eastAsia="Arial" w:hAnsi="Arial"/>
          <w:sz w:val="16"/>
          <w:szCs w:val="16"/>
          <w:color w:val="auto"/>
        </w:rPr>
        <w:t>is a collection of vacation ownership resorts located in some of the most sought-after destinations and designed with living well in mind.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world-renowned Heavenly Bed to an energizing WestinWORKOUT and revitalizing experiences, every element of a vacation stay is created to leave owners and guests feeling better than when they arrived. Westin Vacation Club upper upscale vacation ownership resorts are part of VSN.</w:t>
      </w:r>
    </w:p>
    <w:p>
      <w:pPr>
        <w:spacing w:after="0" w:line="53"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 xml:space="preserve">Grand Residences by Marriott </w:t>
      </w:r>
      <w:r>
        <w:rPr>
          <w:rFonts w:ascii="Arial" w:cs="Arial" w:eastAsia="Arial" w:hAnsi="Arial"/>
          <w:sz w:val="17"/>
          <w:szCs w:val="17"/>
          <w:color w:val="auto"/>
        </w:rPr>
        <w:t>provides vacation ownership through fractional real estate and whole ownership offerings. Grand Residences by Marriott is dedicated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carefree property ownership. The accommodations for this brand are similar to those we offer under the Marriott Vacation Club brand, but the duration of the VOI is longer, ranging between three and thirteen weeks.</w:t>
      </w:r>
    </w:p>
    <w:p>
      <w:pPr>
        <w:spacing w:after="0" w:line="71"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b w:val="1"/>
          <w:bCs w:val="1"/>
          <w:color w:val="auto"/>
        </w:rPr>
        <w:t xml:space="preserve">The Ritz-Carlton Destination Club </w:t>
      </w:r>
      <w:r>
        <w:rPr>
          <w:rFonts w:ascii="Arial" w:cs="Arial" w:eastAsia="Arial" w:hAnsi="Arial"/>
          <w:sz w:val="15"/>
          <w:szCs w:val="15"/>
          <w:color w:val="auto"/>
        </w:rPr>
        <w:t>is a collection of vacation ownership resorts that provide luxurious vacation experiences for members and their families</w:t>
      </w:r>
      <w:r>
        <w:rPr>
          <w:rFonts w:ascii="Arial" w:cs="Arial" w:eastAsia="Arial" w:hAnsi="Arial"/>
          <w:sz w:val="15"/>
          <w:szCs w:val="15"/>
          <w:b w:val="1"/>
          <w:bCs w:val="1"/>
          <w:color w:val="auto"/>
        </w:rPr>
        <w:t xml:space="preserve"> </w:t>
      </w:r>
      <w:r>
        <w:rPr>
          <w:rFonts w:ascii="Arial" w:cs="Arial" w:eastAsia="Arial" w:hAnsi="Arial"/>
          <w:sz w:val="15"/>
          <w:szCs w:val="15"/>
          <w:color w:val="auto"/>
        </w:rPr>
        <w:t>commensurate with the legacy of The Ritz-Carlton brand. The Ritz-Carlton Destination Club resorts include luxury villas and resort amenities that offer inspirational vacation lifestyles tailored to every member’s needs and expectations. The Ritz-Carlton Destination Club resorts typically feature two, three and four bedroom units that usually include marble foyers, walk-in closets, custom kitchen cabinetry and luxury resort amenities such as large feature swimming pools and access to full service restaurants and bars. On-site management and services, which usually include daily housekeeping service, valet, in-residence dining, and access to fitness facilities as well as spa and sports facilities as appropriate for each destination, are provided by The Ritz-Carlton Hotel Company.</w:t>
      </w:r>
    </w:p>
    <w:p>
      <w:pPr>
        <w:spacing w:after="0" w:line="48"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b w:val="1"/>
          <w:bCs w:val="1"/>
          <w:color w:val="auto"/>
        </w:rPr>
        <w:t xml:space="preserve">The Ritz-Carlton Residences </w:t>
      </w:r>
      <w:r>
        <w:rPr>
          <w:rFonts w:ascii="Arial" w:cs="Arial" w:eastAsia="Arial" w:hAnsi="Arial"/>
          <w:sz w:val="15"/>
          <w:szCs w:val="15"/>
          <w:color w:val="auto"/>
        </w:rPr>
        <w:t>is a luxury tier whole ownership residence brand. The Ritz-Carlton Residences includes whole ownership luxury residential</w:t>
      </w:r>
      <w:r>
        <w:rPr>
          <w:rFonts w:ascii="Arial" w:cs="Arial" w:eastAsia="Arial" w:hAnsi="Arial"/>
          <w:sz w:val="15"/>
          <w:szCs w:val="15"/>
          <w:b w:val="1"/>
          <w:bCs w:val="1"/>
          <w:color w:val="auto"/>
        </w:rPr>
        <w:t xml:space="preserve"> </w:t>
      </w:r>
      <w:r>
        <w:rPr>
          <w:rFonts w:ascii="Arial" w:cs="Arial" w:eastAsia="Arial" w:hAnsi="Arial"/>
          <w:sz w:val="15"/>
          <w:szCs w:val="15"/>
          <w:color w:val="auto"/>
        </w:rPr>
        <w:t>condominiums co-located with The Ritz-Carlton Destination Club resorts. Owners can typically purchase condominiums that vary in size from one 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42"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color w:val="auto"/>
        </w:rPr>
        <w:t xml:space="preserve">St. Regis Residence Club </w:t>
      </w:r>
      <w:r>
        <w:rPr>
          <w:rFonts w:ascii="Arial" w:cs="Arial" w:eastAsia="Arial" w:hAnsi="Arial"/>
          <w:sz w:val="17"/>
          <w:szCs w:val="17"/>
          <w:color w:val="auto"/>
        </w:rPr>
        <w:t>and</w:t>
      </w:r>
      <w:r>
        <w:rPr>
          <w:rFonts w:ascii="Arial" w:cs="Arial" w:eastAsia="Arial" w:hAnsi="Arial"/>
          <w:sz w:val="17"/>
          <w:szCs w:val="17"/>
          <w:b w:val="1"/>
          <w:bCs w:val="1"/>
          <w:color w:val="auto"/>
        </w:rPr>
        <w:t xml:space="preserve"> The Luxury Collection </w:t>
      </w:r>
      <w:r>
        <w:rPr>
          <w:rFonts w:ascii="Arial" w:cs="Arial" w:eastAsia="Arial" w:hAnsi="Arial"/>
          <w:sz w:val="17"/>
          <w:szCs w:val="17"/>
          <w:color w:val="auto"/>
        </w:rPr>
        <w:t>offer fractional interests in luxury real estate and distinctive privileges to members who embrace the art of living</w:t>
      </w:r>
      <w:r>
        <w:rPr>
          <w:rFonts w:ascii="Arial" w:cs="Arial" w:eastAsia="Arial" w:hAnsi="Arial"/>
          <w:sz w:val="17"/>
          <w:szCs w:val="17"/>
          <w:b w:val="1"/>
          <w:bCs w:val="1"/>
          <w:color w:val="auto"/>
        </w:rPr>
        <w:t xml:space="preserve"> </w:t>
      </w:r>
      <w:r>
        <w:rPr>
          <w:rFonts w:ascii="Arial" w:cs="Arial" w:eastAsia="Arial" w:hAnsi="Arial"/>
          <w:sz w:val="17"/>
          <w:szCs w:val="17"/>
          <w:color w:val="auto"/>
        </w:rPr>
        <w:t>in unforgettable destinations. For connoisseurs who desire the finest in luxury living, magnificent residences exude the timeless grandeur and glamour synonymous with the illustrious past of the St. Regis brand</w:t>
      </w:r>
      <w:r>
        <w:rPr>
          <w:rFonts w:ascii="Arial" w:cs="Arial" w:eastAsia="Arial" w:hAnsi="Arial"/>
          <w:sz w:val="17"/>
          <w:szCs w:val="17"/>
          <w:b w:val="1"/>
          <w:bCs w:val="1"/>
          <w:color w:val="auto"/>
        </w:rPr>
        <w:t>.</w:t>
      </w:r>
    </w:p>
    <w:p>
      <w:pPr>
        <w:spacing w:after="0" w:line="71"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color w:val="auto"/>
        </w:rPr>
        <w:t xml:space="preserve">Hyatt Residence Club </w:t>
      </w:r>
      <w:r>
        <w:rPr>
          <w:rFonts w:ascii="Arial" w:cs="Arial" w:eastAsia="Arial" w:hAnsi="Arial"/>
          <w:sz w:val="17"/>
          <w:szCs w:val="17"/>
          <w:color w:val="auto"/>
        </w:rPr>
        <w:t>is a collection of vacation ownership resorts with a diverse portfolio of boutique upper upscale residential-style retreats. Set in unique</w:t>
      </w:r>
      <w:r>
        <w:rPr>
          <w:rFonts w:ascii="Arial" w:cs="Arial" w:eastAsia="Arial" w:hAnsi="Arial"/>
          <w:sz w:val="17"/>
          <w:szCs w:val="17"/>
          <w:b w:val="1"/>
          <w:bCs w:val="1"/>
          <w:color w:val="auto"/>
        </w:rPr>
        <w:t xml:space="preserve"> </w:t>
      </w:r>
      <w:r>
        <w:rPr>
          <w:rFonts w:ascii="Arial" w:cs="Arial" w:eastAsia="Arial" w:hAnsi="Arial"/>
          <w:sz w:val="17"/>
          <w:szCs w:val="17"/>
          <w:color w:val="auto"/>
        </w:rPr>
        <w:t>destinations from Maui, Carmel and Aspen to Sedona, San Antonio and Key West, Hyatt Residence Club resorts deliver genuine Hyatt care. In addition, as part of the Welk Acquisition, we plan to rebrand all Legacy-Welk resorts as Hyatt-branded resorts in 2023. The Legacy-Welk resorts are located in highly desirable vacation destinations, including California, Colorado, Missouri, New Mexico and Cabo San Lucas, Mexico, and feature unique sets of amenities and special touches that are designed to make the vacation experience even more meaningful.</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Points-Based Vacation Ownership Products</w:t>
      </w:r>
    </w:p>
    <w:p>
      <w:pPr>
        <w:spacing w:after="0" w:line="10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sell the majority of our products through points-based ownership programs, including Marriott Vacation Club Destinations, Sheraton Flex, Westin Flex, Westin Aventuras, the Hyatt Residence Club Portfolio Program, and the Hyatt Vacation Club Platinum Program. Our points-based systems and exchange networks enable owners and members to access a large variety of different vacation experiences.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Owners who are members of our points-based programs typically pay annual fees in exchange for the ability to participate in the program. In addition to points-based ownership programs that allow owners to access multiple destinations within a single program, we offer points programs at certain resorts, such as in St. John and Hawaii, that allow owners to access that particular single site using points in a similar use fashion to the other points-based products.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1" w:name="page12"/>
    <w:bookmarkEnd w:id="11"/>
    <w:p>
      <w:pPr>
        <w:ind w:right="20"/>
        <w:spacing w:after="0" w:line="266" w:lineRule="auto"/>
        <w:rPr>
          <w:sz w:val="20"/>
          <w:szCs w:val="20"/>
          <w:color w:val="auto"/>
        </w:rPr>
      </w:pPr>
      <w:r>
        <w:rPr>
          <w:rFonts w:ascii="Arial" w:cs="Arial" w:eastAsia="Arial" w:hAnsi="Arial"/>
          <w:sz w:val="16"/>
          <w:szCs w:val="16"/>
          <w:color w:val="auto"/>
        </w:rPr>
        <w:t>Our points programs allow owners to bank and borrow their annual point allotments, access other locations through the applicable internal exchange programs that we operate, and access Interval International’s network of more than 3,200 affiliated resorts. Owners can trade their vacation ownership usage rights for Marriott Bonvoy points or World of Hyatt points, as applicable, which can be used to access participating hotels or redeemed for airline miles or other merchandise offered through such customer loyalty program. Through our points systems and exchange networks, owners can also use points toward vacation experiences such as a bicycle tour, a culinary journey, an adventure cruise or a once-in-a-lifetime trip to a major sporting event. Our points-based products offer usage in perpetuity or for a term of years and may consist of real estate interests or a contractual right-to-use.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Weeks-Based Vacation Ownership Products</w:t>
      </w:r>
    </w:p>
    <w:p>
      <w:pPr>
        <w:spacing w:after="0" w:line="103"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We continue to sell Marriott-, Westin-, Sheraton- and Hyatt-branded weeks-based vacation ownership products in select markets, including in countries where legal and tax constraints currently limit our ability to include those locations in one of our existing points-based programs. Our products include multi-week VOIs in specific Grand Residences by Marriott, St. Regis Residence Club, The Luxury Collection Residence Club, and The Ritz-Carlton Destination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VOIs as a contractual right-to-use product subject to a finite term in Asia Pacific and Europe.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Exchange Opportunities</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Most of our vacation ownership products, including our Marriott-, Sheraton-, Westin-, and Hyatt-branded products, are affiliated with the Interval International network, the high-quality membership brand that serves as the gateway to premium vacation experiences.</w:t>
      </w:r>
    </w:p>
    <w:p>
      <w:pPr>
        <w:spacing w:after="0" w:line="6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offer our existing Marriott Vacation Club owners who hold weeks-based products the opportunity to participate, on a voluntary basis, in MVCD, an exchange program through which many of MVCD’s vacation experiences are offered. All existing owners, whether or not they elect to participate in the MVCD exchange program, retain their existing rights and privileges of vacation ownership. Owners who elect to participate in the exchange program receive the ability to trade their weeks-based interval usage for vacation club points usage each year, typically subject to payment of an initial enrollment fee and annual club dues. As of December 31, 2022, approximately 176,000 weeks-based owners have enrolled approximately 275,000 weeks in MVCD’s exchange program, with approximately 247,000 total owners able to use points.</w:t>
      </w:r>
    </w:p>
    <w:p>
      <w:pPr>
        <w:spacing w:after="0" w:line="82"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VSN provides Westin Vacation Club and Sheraton Vacation Club owners access to its affiliated resorts as well as the opportunity to exchange their points through the Marriott Bonvoy program to Marriott resorts, through the Interval International network, or for a cruise. Based on the point value of the home resort interest owned, customers can choose other VSN affiliated resorts, the type of villa, the date of travel and the length of stay. VSN members have a priority period in which they have exclusive reservation rights for the related resort or points program without competition from other network members. During this home resort period, they can reserve occupancy based on the season and unit type purchased. As of December 31, 2022, VSN included more than 185,000 members.</w:t>
      </w:r>
    </w:p>
    <w:p>
      <w:pPr>
        <w:spacing w:after="0" w:line="53"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 August 2022, we launched Abound by Marriott Vacations, a new owner benefit and exchange program which affiliates the Marriott, Sheraton and Westin vacation ownership brands to offer similar benefits to owners of our products under these brands. Under this program, owners of Marriott-, Sheraton- and Westin-branded VOIs can access over 90 resorts under the Marriott Vacation Club, Sheraton Vacation Club and Westin Vacation Club brands using a common currency. The program also harmonizes fee structures and owner benefit levels and allows us to transition most of our Legacy-ILG sales galleries to sell our Marriott Vacation Club Destinations product, which includes certain Sheraton- and Westin-branded VOIs.</w:t>
      </w:r>
    </w:p>
    <w:p>
      <w:pPr>
        <w:spacing w:after="0" w:line="81"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Hyatt Residence Club provides its owners internal exchange rights among Hyatt Residence Club resorts as well as the opportunity to trade their club points for World of Hyatt points which may be redeemed at participating Hyatt branded properties and the ability to exchange their points through the Interval International network. Owners will receive Hyatt Residence Club points if they have not reserved at their home resort or through its points program during their allotted preference period or if they elect to convert to points earlier. As of December 31, 2022, this points-based membership exchange system served more than 28,000 owners.</w:t>
      </w:r>
    </w:p>
    <w:p>
      <w:pPr>
        <w:spacing w:after="0" w:line="48"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Hyatt Vacation Club provides its owners exchange rights through Interval International. Eligible members may also redeem their club points for World of Hyatt points, which may be redeemed at participating Hyatt-branded properties.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Sources of Revenue</w:t>
      </w:r>
    </w:p>
    <w:p>
      <w:pPr>
        <w:spacing w:after="0" w:line="107"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We generate most of our revenues from four primary sources: (1) selling vacation ownership products; (2) managing vacation ownership resorts, clubs, and owners’ associations; (3) financing consumer purchases of vacation ownership products; and (4) renting vacation ownership inventory.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Vacation Ownership Products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 of revenue is the sale of VOIs.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Resort Management and Other Services</w:t>
      </w:r>
    </w:p>
    <w:p>
      <w:pPr>
        <w:spacing w:after="0" w:line="10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generate revenue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external exchange service providers with which we are associated.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w:t>
      </w:r>
    </w:p>
    <w:p>
      <w:pPr>
        <w:spacing w:after="0" w:line="10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We earn interest income on loans that we provide to purchasers of our VOIs, as well as loan servicing and other fees. We offer financing to qualified customers for the purchase of most types of our vacation ownership products.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w:t>
      </w:r>
    </w:p>
    <w:p>
      <w:pPr>
        <w:spacing w:after="0" w:line="103"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who may already have an affinity for and loyalty to the Marriott, Sheraton, Westin and Ritz-Carlton brands and introduce them to our products. Similarly, by using Hyatt.com and other direct booking channels to rent available inventory, we are able to reach potential new members who may already have an affinity for and loyalty to the Hyatt brand and introduce them to our products.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 Activities</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We sell our upper upscale tier vacation ownership products under our brands primarily through our worldwide network of resort-based sales centers and certain off-site sales locations. Our VOIs are currently marketed for sale throughout the United States and in over 30 countries and territories around the world, targeting customers who vacation regularly with a focus on family, relaxation and recreational activities. In 2022, over 90% of our vacation ownership contract sales originated at sales centers that are co-located with one of our resorts. We maintain a range of different off-site sales centers, including our central telesales organization based in Orlando and our network of third-party brokers in Latin America and Europe. We have more than 90 global sales locations focused on the sale of VOIs. We utilize a number of marketing channels to attract qualified customers to our sales locations, including digital and social media marketing.</w:t>
      </w:r>
    </w:p>
    <w:p>
      <w:pPr>
        <w:spacing w:after="0" w:line="57"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Palm Springs, California. In 2022, approximately 70% of our vacation ownership contract sales were to our existing owners. In addition, we are concentrating on growing our tour flow cost effectively as we seek to generate more first-time buyer tours through our strategy that emphasizes adding new sales locations and new marketing channels, including digital and social media marketing.</w:t>
      </w:r>
    </w:p>
    <w:p>
      <w:pPr>
        <w:spacing w:after="0" w:line="8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also market to existing Marriott and Hyatt customer loyalty program members and travelers who are staying in locations where we have resorts that are affiliated with those brands. We market extensively to guests in Marriott International or Hyatt hotels that are located near one of our sales locations. We also market through call transfer arrangements with Marriott International pursuant to which callers to certain of its reservation centers are asked if they would like to be transferred to one of our representatives who can tell them about our products. In addition, we operate other local marketing venues in various high-traffic areas. A significant part of our direct marketing activities is focused on prospects in the Marriott and Hyatt customer loyalty program databases and our in-house databases of qualified prospects. We offer guests who do not buy a VOI during their initial tour the opportunity to purchase a return package for a future stay at our resorts. These return guests are nearly twice as likely to purchase as a first-time visitor.</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One of our key areas of focus is expanding our use of social media and digital marketing channels. We are focused on building stronger brand reputation associations via social media audience growth and data driven content marketing.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sectPr>
      </w:pPr>
    </w:p>
    <w:bookmarkStart w:id="13" w:name="page14"/>
    <w:bookmarkEnd w:id="13"/>
    <w:p>
      <w:pPr>
        <w:ind w:right="20"/>
        <w:spacing w:after="0" w:line="247" w:lineRule="auto"/>
        <w:rPr>
          <w:sz w:val="20"/>
          <w:szCs w:val="20"/>
          <w:color w:val="auto"/>
        </w:rPr>
      </w:pPr>
      <w:r>
        <w:rPr>
          <w:rFonts w:ascii="Arial" w:cs="Arial" w:eastAsia="Arial" w:hAnsi="Arial"/>
          <w:sz w:val="17"/>
          <w:szCs w:val="17"/>
          <w:color w:val="auto"/>
        </w:rPr>
        <w:t>Our sales tours are designed to provide our guests with an overview of our company and our products, as well as a customized presentation to explain how our products and services can meet their vacationing needs. From a single week at a fixed location to today’s abundance of getaway options, the range of vacation experiences we offer has undergone a remarkable metamorphosis. The vacation experience we provide today isn’t just about a visit to a resort. It can be a bicycle tour, a culinary journey, an adventure cruise, or a once-in-a-lifetime trip to a major sporting event. That’s why our sales force is highly trained in a consultative sales approach designed to enable us to meet customers’ needs on an individual basis. We hire our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8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believe consumers place a great deal of trust in the Marriott, Westin, Sheraton, Ritz-Carlton and Hyatt brands and the strength of these brands is important to our ability to attract qualified prospects in the marketplace. We maintain a prominent presence on the www.marriott.com, www.ritzcarlton.com and www.hyatt.com websites. Our proprietary sites include www.marriottvacationsworldwide.com, www.marriottvacationclub.com, www.ritzcarltonclub.com, www.vistana.com, www.theresidenceclub.com, www.hyattvacationclub.com, and www.hyattresidenceclub.com.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 and Development Activities</w:t>
      </w:r>
    </w:p>
    <w:p>
      <w:pPr>
        <w:spacing w:after="0" w:line="107" w:lineRule="exact"/>
        <w:rPr>
          <w:sz w:val="20"/>
          <w:szCs w:val="20"/>
          <w:color w:val="auto"/>
        </w:rPr>
      </w:pPr>
    </w:p>
    <w:p>
      <w:pPr>
        <w:ind w:right="280"/>
        <w:spacing w:after="0" w:line="295" w:lineRule="auto"/>
        <w:rPr>
          <w:sz w:val="20"/>
          <w:szCs w:val="20"/>
          <w:color w:val="auto"/>
        </w:rPr>
      </w:pPr>
      <w:r>
        <w:rPr>
          <w:rFonts w:ascii="Arial" w:cs="Arial" w:eastAsia="Arial" w:hAnsi="Arial"/>
          <w:sz w:val="15"/>
          <w:szCs w:val="15"/>
          <w:color w:val="auto"/>
        </w:rPr>
        <w:t>We secure inventory by developing or acquiring inventory at resorts in strategic markets, reacquiring previously sold inventory in the secondary market, reacquiring inventory as a result of owner loan or maintenance fee defaults, or building additional phases at our existing resorts. We proactively buy back previously sold VOIs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4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We intend to continue to selectively pursue growth opportunities primarily in North America by targeting high-quality inventory that allows us to add desirable new destinations to our system with new on-site sales locations in ways that optimize the timing of our capital investments. These capital efficient vacation ownership transaction structures may include working with third parties to develop new inventory or to convert previously built units to be sold to us close to when we need such inventory.</w:t>
      </w:r>
    </w:p>
    <w:p>
      <w:pPr>
        <w:spacing w:after="0" w:line="7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Approximately 20% of our Vacation Ownership segment resorts are co-located with same-branded or affiliated hotel properties. Co-location of our resorts with same-branded or affiliated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71"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Co-located resorts require cooperation and coordination among all parties and are subject to cost sharing and integration agreements among us, the applicable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Owners generally can offer their VOIs for resale on the secondary market, which can create pricing pressure on the sale of developer inventory. However, owners who purchase VOIs on the secondary market typically do not receive all of the benefits that owners who purchase products directly from us receive. When an owner purchases a VOI directly from us or a resale on the secondary market, the owner receives certain entitlements that are tied to the underlying VOI, such as the right to reserve a resort unit that underlies their VOI in order to occupy that unit or exchange its use for use of a unit at another resort through an external exchange service provider, as well as benefits that are incidental to the purchase of the VOI. However, the purchaser on the secondary market may not be entitled to receive certain ancillary benefits such as full access to our internal exchange programs or the right to trade their usage rights for customer loyalty program points. Additionally, many of our VOIs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owners’ association, as well as any exchange service membership dues or service fees.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Management Activities</w:t>
      </w:r>
    </w:p>
    <w:p>
      <w:pPr>
        <w:spacing w:after="0" w:line="107" w:lineRule="exact"/>
        <w:rPr>
          <w:sz w:val="20"/>
          <w:szCs w:val="20"/>
          <w:color w:val="auto"/>
        </w:rPr>
      </w:pPr>
    </w:p>
    <w:p>
      <w:pPr>
        <w:ind w:right="220"/>
        <w:spacing w:after="0" w:line="287" w:lineRule="auto"/>
        <w:rPr>
          <w:sz w:val="20"/>
          <w:szCs w:val="20"/>
          <w:color w:val="auto"/>
        </w:rPr>
      </w:pPr>
      <w:r>
        <w:rPr>
          <w:rFonts w:ascii="Arial" w:cs="Arial" w:eastAsia="Arial" w:hAnsi="Arial"/>
          <w:sz w:val="15"/>
          <w:szCs w:val="15"/>
          <w:color w:val="auto"/>
        </w:rPr>
        <w:t>We enter into a management agreement with the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which are principally payroll-related costs at the locations where we employ the associates providing on-site services, and costs associated with property refurbishments. Cost reimbursements consist of actual expenses with no added margin.</w:t>
      </w:r>
    </w:p>
    <w:p>
      <w:pPr>
        <w:spacing w:after="0" w:line="57"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the brand and trademarks. The owners at such resorts also lose their ability to trade their vacation ownership usage rights for customer loyalty program points and to access other resorts through one of our internal exchange programs.</w:t>
      </w:r>
    </w:p>
    <w:p>
      <w:pPr>
        <w:spacing w:after="0" w:line="4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Ritz-Carlton Hotel Company manages the on-site operations for The Ritz-Carlton Destination Club and The Ritz-Carlton Residences properties in our portfolio under separate management agreements with us. We provide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brand and trademarks. The owners at such resorts also lose their ability to access other usage benefits, such as the ability to exchange occupancy for customer loyalty program points, access to accommodations at other The Ritz-Carlton Destination Club resorts, preferential access to Ritz-Carlton hotels worldwide and access to our internal exchange and vacation travel options.</w:t>
      </w:r>
    </w:p>
    <w:p>
      <w:pPr>
        <w:spacing w:after="0" w:line="73"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Each management agreement requires the owners’ association, trust association or other governing body to provide sufficient funds to pay for the vacation ownership program and operating costs. To satisfy this requirement, owners of VOIs pay an annual maintenance fee. This fee represents the owner’s allocable share of the costs of operating and maintaining the resorts or interests in the timeshare plan in which they hold a VOI,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We may enter into subsidy agreements with the owners’ associations under which we agree to pay costs that otherwise would be covered by annual maintenance fees associated with VOIs or units that have not yet been built or committed to a timeshare plan.</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If an owner defaults in payment of maintenance fees or other assessments, the owners’ association typically has the right to foreclose on or revoke the defaulting owner’s VOI. We have arrangements with several owners’ associations to assist in reselling foreclosed or revoked VOIs in exchange for a fee, or to reacquire such foreclosed or revoked VOIs from the owners’ associations.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Consumer Financing</w:t>
      </w:r>
    </w:p>
    <w:p>
      <w:pPr>
        <w:spacing w:after="0" w:line="107"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We offer purchase money financing for purchasers of our vacation ownership products who meet our underwriting guidelines. By offering or eliminating financing incentives and modifying underwriting standards, we have been able to increase or decrease the volume of our financing activities depending on market conditions. We are not providing financing to buyers of our residential products. We generally do not face competition in our consumer financing business to finance sales of vacation ownership products.</w:t>
      </w:r>
    </w:p>
    <w:p>
      <w:pPr>
        <w:spacing w:after="0" w:line="78" w:lineRule="exact"/>
        <w:rPr>
          <w:sz w:val="20"/>
          <w:szCs w:val="20"/>
          <w:color w:val="auto"/>
        </w:rPr>
      </w:pPr>
    </w:p>
    <w:p>
      <w:pPr>
        <w:ind w:right="100"/>
        <w:spacing w:after="0" w:line="344" w:lineRule="auto"/>
        <w:rPr>
          <w:sz w:val="20"/>
          <w:szCs w:val="20"/>
          <w:color w:val="auto"/>
        </w:rPr>
      </w:pPr>
      <w:r>
        <w:rPr>
          <w:rFonts w:ascii="Arial" w:cs="Arial" w:eastAsia="Arial" w:hAnsi="Arial"/>
          <w:sz w:val="13"/>
          <w:szCs w:val="13"/>
          <w:color w:val="auto"/>
        </w:rPr>
        <w:t>In 2022, our financing propensity was 54% and the average loan originated by us for vacation ownership products totaled approximately $28,400, which represented 77% of the average purchase price. For financing on the majority of our VOIs, we require a minimum down payment of 10% of the purchase price, although down payments and interest rates are typically higher for applicants with credit scores below certain levels and for purchasers who do not have credit scores, such as non-U.S. purchasers. The average interest rate for originated loans in 2022 was 13.4% and the average term was 12 years. Interest rates are fixed and a loan fully amortizes over the life of the loan. The average monthly mortgage payment for an owner who received a loan in 2022 was $511. We do not impose any prepayment penalties.</w:t>
      </w:r>
    </w:p>
    <w:p>
      <w:pPr>
        <w:spacing w:after="0" w:line="24"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In our vacation ownership business, in many of our markets,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2022, the average FICO score of our customers who were U.S. citizens or residents who financed a vacation ownership purchase was 734; 71% had a credit score of over 700, 89% had a credit score of over 650 and 97% had a credit score of over 600.</w:t>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68"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In the event of a default, we generally have the right to foreclose on or revoke the defaulting owner’s VOI. We typically resell interests that we reacquire through foreclosure or revocation or place such interests into one of our points-based programs.</w:t>
      </w:r>
    </w:p>
    <w:p>
      <w:pPr>
        <w:spacing w:after="0" w:line="68"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securitize the majority of the consumer loans we originate in support of our vacation ownership business. Historically, we have sold these loans to institutional investors in the asset-backed securities (“ABS”) market on a non-recourse basis. These vacation ownership notes receivable securitizations provide funding for us at interest rates similar to those available to companies with investment grade credit ratings, and transfer the economic risks and a significant portion of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During 2022, we completed two securitization transactions, which are discussed in detail in Footnote 15 “Securitized Debt” to our Financial Statements. On an ongoing basis, we have the ability to use our Warehouse Credit Facility to securitize eligible consumer loans derived from certain branded vacation ownership sales. Those loans may later be transferred to term securitization transactions in the ABS market, which we intend to continue to complete at least once per year. Since 2000, we have issued approximately $8.1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Our Resorts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December 31, 2022, our vacation ownership portfolio consisted of over 120 properties with over 22,000 vacation ownership villas, also referred to as units, and over 31,000 keys in the following locations. A “key” is the lowest increment for reporting occupancy statistics based upon the mix of non-lock-off and lock-off villas. Lock-off villas represent two keys and non-lock-off villas represent one key.</w:t>
      </w:r>
    </w:p>
    <w:p>
      <w:pPr>
        <w:sectPr>
          <w:pgSz w:w="11900" w:h="16838" w:orient="portrait"/>
          <w:cols w:equalWidth="0" w:num="1">
            <w:col w:w="11020"/>
          </w:cols>
          <w:pgMar w:left="320" w:top="1119" w:right="55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Mainland U.S. and Hawaii</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82"/>
              </w:rPr>
              <w:t># of</w:t>
            </w:r>
          </w:p>
        </w:tc>
        <w:tc>
          <w:tcPr>
            <w:tcW w:w="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 of</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3"/>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4"/>
          </w:tcPr>
          <w:p>
            <w:pPr>
              <w:jc w:val="center"/>
              <w:ind w:right="200"/>
              <w:spacing w:after="0"/>
              <w:rPr>
                <w:sz w:val="20"/>
                <w:szCs w:val="20"/>
                <w:color w:val="auto"/>
              </w:rPr>
            </w:pPr>
            <w:r>
              <w:rPr>
                <w:rFonts w:ascii="Arial" w:cs="Arial" w:eastAsia="Arial" w:hAnsi="Arial"/>
                <w:sz w:val="15"/>
                <w:szCs w:val="15"/>
                <w:b w:val="1"/>
                <w:bCs w:val="1"/>
                <w:color w:val="auto"/>
                <w:w w:val="85"/>
              </w:rPr>
              <w:t>Resorts</w:t>
            </w:r>
          </w:p>
        </w:tc>
        <w:tc>
          <w:tcPr>
            <w:tcW w:w="60" w:type="dxa"/>
            <w:vAlign w:val="bottom"/>
          </w:tcPr>
          <w:p>
            <w:pPr>
              <w:spacing w:after="0"/>
              <w:rPr>
                <w:sz w:val="16"/>
                <w:szCs w:val="16"/>
                <w:color w:val="auto"/>
              </w:rPr>
            </w:pPr>
          </w:p>
        </w:tc>
        <w:tc>
          <w:tcPr>
            <w:tcW w:w="520" w:type="dxa"/>
            <w:vAlign w:val="bottom"/>
            <w:gridSpan w:val="2"/>
          </w:tcPr>
          <w:p>
            <w:pPr>
              <w:ind w:left="60"/>
              <w:spacing w:after="0"/>
              <w:rPr>
                <w:sz w:val="20"/>
                <w:szCs w:val="20"/>
                <w:color w:val="auto"/>
              </w:rPr>
            </w:pPr>
            <w:r>
              <w:rPr>
                <w:rFonts w:ascii="Arial" w:cs="Arial" w:eastAsia="Arial" w:hAnsi="Arial"/>
                <w:sz w:val="15"/>
                <w:szCs w:val="15"/>
                <w:b w:val="1"/>
                <w:bCs w:val="1"/>
                <w:color w:val="auto"/>
              </w:rPr>
              <w:t>Keys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5"/>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Arizona</w:t>
            </w:r>
          </w:p>
        </w:tc>
        <w:tc>
          <w:tcPr>
            <w:tcW w:w="58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rPr>
              <w:t>5</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89"/>
              </w:rPr>
              <w:t>1,189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Missouri</w:t>
            </w:r>
          </w:p>
        </w:tc>
      </w:tr>
      <w:tr>
        <w:trPr>
          <w:trHeight w:val="249"/>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California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4"/>
              </w:rPr>
              <w:t>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89"/>
              </w:rPr>
              <w:t>6,268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Nevada</w:t>
            </w:r>
          </w:p>
        </w:tc>
      </w:tr>
      <w:tr>
        <w:trPr>
          <w:trHeight w:val="249"/>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Colorado</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4"/>
              </w:rPr>
              <w:t>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89"/>
              </w:rPr>
              <w:t>1,036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New Jersey</w:t>
            </w:r>
          </w:p>
        </w:tc>
      </w:tr>
      <w:tr>
        <w:trPr>
          <w:trHeight w:val="249"/>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Florida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4"/>
              </w:rPr>
              <w:t>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89"/>
              </w:rPr>
              <w:t>7,989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New Mexico</w:t>
            </w:r>
          </w:p>
        </w:tc>
      </w:tr>
      <w:tr>
        <w:trPr>
          <w:trHeight w:val="249"/>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Hawaii</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4"/>
              </w:rPr>
              <w:t>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89"/>
              </w:rPr>
              <w:t>4,768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New York</w:t>
            </w:r>
          </w:p>
        </w:tc>
      </w:tr>
      <w:tr>
        <w:trPr>
          <w:trHeight w:val="249"/>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Massachusetts</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84"/>
              </w:rPr>
              <w:t>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South Carolina</w:t>
            </w:r>
          </w:p>
        </w:tc>
      </w:tr>
      <w:tr>
        <w:trPr>
          <w:trHeight w:val="398"/>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Caribbean and Mexico</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280"/>
              <w:spacing w:after="0"/>
              <w:rPr>
                <w:sz w:val="20"/>
                <w:szCs w:val="20"/>
                <w:color w:val="auto"/>
              </w:rPr>
            </w:pPr>
            <w:r>
              <w:rPr>
                <w:rFonts w:ascii="Arial" w:cs="Arial" w:eastAsia="Arial" w:hAnsi="Arial"/>
                <w:sz w:val="15"/>
                <w:szCs w:val="15"/>
                <w:b w:val="1"/>
                <w:bCs w:val="1"/>
                <w:color w:val="auto"/>
                <w:w w:val="89"/>
              </w:rPr>
              <w:t># of</w:t>
            </w:r>
          </w:p>
        </w:tc>
        <w:tc>
          <w:tcPr>
            <w:tcW w:w="60" w:type="dxa"/>
            <w:vAlign w:val="bottom"/>
          </w:tcPr>
          <w:p>
            <w:pPr>
              <w:spacing w:after="0"/>
              <w:rPr>
                <w:sz w:val="15"/>
                <w:szCs w:val="15"/>
                <w:color w:val="auto"/>
              </w:rPr>
            </w:pPr>
          </w:p>
        </w:tc>
        <w:tc>
          <w:tcPr>
            <w:tcW w:w="520" w:type="dxa"/>
            <w:vAlign w:val="bottom"/>
            <w:gridSpan w:val="2"/>
          </w:tcPr>
          <w:p>
            <w:pPr>
              <w:ind w:left="60"/>
              <w:spacing w:after="0"/>
              <w:rPr>
                <w:sz w:val="20"/>
                <w:szCs w:val="20"/>
                <w:color w:val="auto"/>
              </w:rPr>
            </w:pPr>
            <w:r>
              <w:rPr>
                <w:rFonts w:ascii="Arial" w:cs="Arial" w:eastAsia="Arial" w:hAnsi="Arial"/>
                <w:sz w:val="15"/>
                <w:szCs w:val="15"/>
                <w:b w:val="1"/>
                <w:bCs w:val="1"/>
                <w:color w:val="auto"/>
              </w:rPr>
              <w:t># of</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3"/>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85"/>
              </w:rPr>
              <w:t>Resorts</w:t>
            </w:r>
          </w:p>
        </w:tc>
        <w:tc>
          <w:tcPr>
            <w:tcW w:w="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89"/>
              </w:rPr>
              <w:t>Keys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2780" w:type="dxa"/>
            <w:vAlign w:val="bottom"/>
          </w:tcPr>
          <w:p>
            <w:pPr>
              <w:ind w:left="1460"/>
              <w:spacing w:after="0"/>
              <w:rPr>
                <w:sz w:val="20"/>
                <w:szCs w:val="20"/>
                <w:color w:val="auto"/>
              </w:rPr>
            </w:pPr>
            <w:r>
              <w:rPr>
                <w:rFonts w:ascii="Arial" w:cs="Arial" w:eastAsia="Arial" w:hAnsi="Arial"/>
                <w:sz w:val="17"/>
                <w:szCs w:val="17"/>
                <w:color w:val="auto"/>
              </w:rPr>
              <w:t>Aruba</w:t>
            </w: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84"/>
              </w:rPr>
              <w:t>1,211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rPr>
              <w:t>Puerto Rico</w:t>
            </w:r>
          </w:p>
        </w:tc>
      </w:tr>
      <w:tr>
        <w:trPr>
          <w:trHeight w:val="236"/>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Bahamas</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84"/>
              </w:rPr>
              <w:t>392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U.S. Virgin Islands</w:t>
            </w:r>
          </w:p>
        </w:tc>
      </w:tr>
      <w:tr>
        <w:trPr>
          <w:trHeight w:val="236"/>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Costa Rica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84"/>
              </w:rPr>
              <w:t>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rPr>
              <w:t>West Indies</w:t>
            </w:r>
          </w:p>
        </w:tc>
      </w:tr>
      <w:tr>
        <w:trPr>
          <w:trHeight w:val="398"/>
        </w:trPr>
        <w:tc>
          <w:tcPr>
            <w:tcW w:w="2820" w:type="dxa"/>
            <w:vAlign w:val="bottom"/>
            <w:gridSpan w:val="2"/>
          </w:tcPr>
          <w:p>
            <w:pPr>
              <w:spacing w:after="0"/>
              <w:rPr>
                <w:sz w:val="20"/>
                <w:szCs w:val="20"/>
                <w:color w:val="auto"/>
              </w:rPr>
            </w:pPr>
            <w:r>
              <w:rPr>
                <w:rFonts w:ascii="Arial" w:cs="Arial" w:eastAsia="Arial" w:hAnsi="Arial"/>
                <w:sz w:val="17"/>
                <w:szCs w:val="17"/>
                <w:i w:val="1"/>
                <w:iCs w:val="1"/>
                <w:color w:val="auto"/>
              </w:rPr>
              <w:t>Europe and Asia Pacific</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60"/>
              <w:spacing w:after="0"/>
              <w:rPr>
                <w:sz w:val="20"/>
                <w:szCs w:val="20"/>
                <w:color w:val="auto"/>
              </w:rPr>
            </w:pPr>
            <w:r>
              <w:rPr>
                <w:rFonts w:ascii="Arial" w:cs="Arial" w:eastAsia="Arial" w:hAnsi="Arial"/>
                <w:sz w:val="15"/>
                <w:szCs w:val="15"/>
                <w:b w:val="1"/>
                <w:bCs w:val="1"/>
                <w:color w:val="auto"/>
                <w:w w:val="82"/>
              </w:rPr>
              <w:t># of</w:t>
            </w:r>
          </w:p>
        </w:tc>
        <w:tc>
          <w:tcPr>
            <w:tcW w:w="60" w:type="dxa"/>
            <w:vAlign w:val="bottom"/>
          </w:tcPr>
          <w:p>
            <w:pPr>
              <w:spacing w:after="0"/>
              <w:rPr>
                <w:sz w:val="15"/>
                <w:szCs w:val="15"/>
                <w:color w:val="auto"/>
              </w:rPr>
            </w:pPr>
          </w:p>
        </w:tc>
        <w:tc>
          <w:tcPr>
            <w:tcW w:w="520" w:type="dxa"/>
            <w:vAlign w:val="bottom"/>
            <w:gridSpan w:val="2"/>
          </w:tcPr>
          <w:p>
            <w:pPr>
              <w:jc w:val="center"/>
              <w:ind w:left="5"/>
              <w:spacing w:after="0"/>
              <w:rPr>
                <w:sz w:val="20"/>
                <w:szCs w:val="20"/>
                <w:color w:val="auto"/>
              </w:rPr>
            </w:pPr>
            <w:r>
              <w:rPr>
                <w:rFonts w:ascii="Arial" w:cs="Arial" w:eastAsia="Arial" w:hAnsi="Arial"/>
                <w:sz w:val="15"/>
                <w:szCs w:val="15"/>
                <w:b w:val="1"/>
                <w:bCs w:val="1"/>
                <w:color w:val="auto"/>
                <w:w w:val="89"/>
              </w:rPr>
              <w:t># of</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3"/>
        </w:trPr>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5"/>
              </w:rPr>
              <w:t>Resorts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bottom w:val="single" w:sz="8" w:color="auto"/>
            </w:tcBorders>
            <w:gridSpan w:val="2"/>
          </w:tcPr>
          <w:p>
            <w:pPr>
              <w:jc w:val="center"/>
              <w:ind w:left="5"/>
              <w:spacing w:after="0"/>
              <w:rPr>
                <w:sz w:val="20"/>
                <w:szCs w:val="20"/>
                <w:color w:val="auto"/>
              </w:rPr>
            </w:pPr>
            <w:r>
              <w:rPr>
                <w:rFonts w:ascii="Arial" w:cs="Arial" w:eastAsia="Arial" w:hAnsi="Arial"/>
                <w:sz w:val="15"/>
                <w:szCs w:val="15"/>
                <w:b w:val="1"/>
                <w:bCs w:val="1"/>
                <w:color w:val="auto"/>
                <w:w w:val="89"/>
              </w:rPr>
              <w:t>Keys</w:t>
            </w:r>
          </w:p>
        </w:tc>
        <w:tc>
          <w:tcPr>
            <w:tcW w:w="10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35"/>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France</w:t>
            </w:r>
          </w:p>
        </w:tc>
        <w:tc>
          <w:tcPr>
            <w:tcW w:w="580" w:type="dxa"/>
            <w:vAlign w:val="bottom"/>
            <w:gridSpan w:val="2"/>
          </w:tcPr>
          <w:p>
            <w:pPr>
              <w:jc w:val="center"/>
              <w:ind w:left="78"/>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center"/>
              <w:ind w:left="97"/>
              <w:spacing w:after="0"/>
              <w:rPr>
                <w:sz w:val="20"/>
                <w:szCs w:val="20"/>
                <w:color w:val="auto"/>
              </w:rPr>
            </w:pPr>
            <w:r>
              <w:rPr>
                <w:rFonts w:ascii="Arial" w:cs="Arial" w:eastAsia="Arial" w:hAnsi="Arial"/>
                <w:sz w:val="17"/>
                <w:szCs w:val="17"/>
                <w:color w:val="auto"/>
                <w:w w:val="84"/>
              </w:rPr>
              <w:t>202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Indonesia</w:t>
            </w:r>
          </w:p>
        </w:tc>
      </w:tr>
      <w:tr>
        <w:trPr>
          <w:trHeight w:val="249"/>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Spain</w:t>
            </w:r>
          </w:p>
        </w:tc>
        <w:tc>
          <w:tcPr>
            <w:tcW w:w="580" w:type="dxa"/>
            <w:vAlign w:val="bottom"/>
            <w:gridSpan w:val="2"/>
          </w:tcPr>
          <w:p>
            <w:pPr>
              <w:jc w:val="center"/>
              <w:ind w:left="78"/>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ind w:left="97"/>
              <w:spacing w:after="0"/>
              <w:rPr>
                <w:sz w:val="20"/>
                <w:szCs w:val="20"/>
                <w:color w:val="auto"/>
              </w:rPr>
            </w:pPr>
            <w:r>
              <w:rPr>
                <w:rFonts w:ascii="Arial" w:cs="Arial" w:eastAsia="Arial" w:hAnsi="Arial"/>
                <w:sz w:val="17"/>
                <w:szCs w:val="17"/>
                <w:color w:val="auto"/>
                <w:w w:val="84"/>
              </w:rPr>
              <w:t>715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Thailand</w:t>
            </w:r>
          </w:p>
        </w:tc>
      </w:tr>
      <w:tr>
        <w:trPr>
          <w:trHeight w:val="249"/>
        </w:trPr>
        <w:tc>
          <w:tcPr>
            <w:tcW w:w="2820" w:type="dxa"/>
            <w:vAlign w:val="bottom"/>
            <w:gridSpan w:val="2"/>
          </w:tcPr>
          <w:p>
            <w:pPr>
              <w:ind w:left="1460"/>
              <w:spacing w:after="0"/>
              <w:rPr>
                <w:sz w:val="20"/>
                <w:szCs w:val="20"/>
                <w:color w:val="auto"/>
              </w:rPr>
            </w:pPr>
            <w:r>
              <w:rPr>
                <w:rFonts w:ascii="Arial" w:cs="Arial" w:eastAsia="Arial" w:hAnsi="Arial"/>
                <w:sz w:val="17"/>
                <w:szCs w:val="17"/>
                <w:color w:val="auto"/>
              </w:rPr>
              <w:t>United Kingdom</w:t>
            </w:r>
          </w:p>
        </w:tc>
        <w:tc>
          <w:tcPr>
            <w:tcW w:w="580" w:type="dxa"/>
            <w:vAlign w:val="bottom"/>
            <w:gridSpan w:val="2"/>
          </w:tcPr>
          <w:p>
            <w:pPr>
              <w:jc w:val="center"/>
              <w:ind w:left="78"/>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ind w:left="97"/>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160"/>
              <w:spacing w:after="0"/>
              <w:rPr>
                <w:sz w:val="20"/>
                <w:szCs w:val="20"/>
                <w:color w:val="auto"/>
              </w:rPr>
            </w:pPr>
            <w:r>
              <w:rPr>
                <w:rFonts w:ascii="Arial" w:cs="Arial" w:eastAsia="Arial" w:hAnsi="Arial"/>
                <w:sz w:val="17"/>
                <w:szCs w:val="17"/>
                <w:color w:val="auto"/>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-157480</wp:posOffset>
            </wp:positionV>
            <wp:extent cx="3674110" cy="158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74110" cy="158115"/>
                    </a:xfrm>
                    <a:prstGeom prst="rect">
                      <a:avLst/>
                    </a:prstGeom>
                    <a:noFill/>
                  </pic:spPr>
                </pic:pic>
              </a:graphicData>
            </a:graphic>
          </wp:anchor>
        </w:drawing>
        <w:drawing>
          <wp:anchor simplePos="0" relativeHeight="251657728" behindDoc="1" locked="0" layoutInCell="0" allowOverlap="1">
            <wp:simplePos x="0" y="0"/>
            <wp:positionH relativeFrom="column">
              <wp:posOffset>916305</wp:posOffset>
            </wp:positionH>
            <wp:positionV relativeFrom="paragraph">
              <wp:posOffset>-473710</wp:posOffset>
            </wp:positionV>
            <wp:extent cx="3674110" cy="158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74110" cy="15811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Brands</w:t>
      </w:r>
    </w:p>
    <w:p>
      <w:pPr>
        <w:spacing w:after="0" w:line="315"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Marriott Vacation Club</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Sheraton Vacation Club</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Westin Vacation Club</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Grand Residences by Marriott</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Ritz-Carlton Club</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St. Regis Residence Club and The Luxury Collection</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Hyatt Residence Club and Legacy-Welk</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Hotels</w:t>
      </w:r>
    </w:p>
    <w:p>
      <w:pPr>
        <w:spacing w:after="0" w:line="31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Sheraton Kauai Resort</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Westin Resort &amp; Spa, Cancun</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Hyatt Highlands Inn</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Branson Hillside Hotel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2"/>
        </w:trPr>
        <w:tc>
          <w:tcPr>
            <w:tcW w:w="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 of</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89"/>
              </w:rPr>
              <w:t># of</w:t>
            </w:r>
          </w:p>
        </w:tc>
        <w:tc>
          <w:tcPr>
            <w:tcW w:w="154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2"/>
              </w:rPr>
              <w:t># of</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89"/>
              </w:rPr>
              <w:t># of</w:t>
            </w:r>
          </w:p>
        </w:tc>
      </w:tr>
      <w:tr>
        <w:trPr>
          <w:trHeight w:val="193"/>
        </w:trPr>
        <w:tc>
          <w:tcPr>
            <w:tcW w:w="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5"/>
              </w:rPr>
              <w:t>Resorts</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89"/>
              </w:rPr>
              <w:t>Keys</w:t>
            </w:r>
          </w:p>
        </w:tc>
        <w:tc>
          <w:tcPr>
            <w:tcW w:w="154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Resorts</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89"/>
              </w:rPr>
              <w:t>Keys</w:t>
            </w:r>
          </w:p>
        </w:tc>
      </w:tr>
      <w:tr>
        <w:trPr>
          <w:trHeight w:val="235"/>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479</w:t>
            </w:r>
          </w:p>
        </w:tc>
        <w:tc>
          <w:tcPr>
            <w:tcW w:w="1540" w:type="dxa"/>
            <w:vAlign w:val="bottom"/>
          </w:tcPr>
          <w:p>
            <w:pPr>
              <w:ind w:left="160"/>
              <w:spacing w:after="0"/>
              <w:rPr>
                <w:sz w:val="20"/>
                <w:szCs w:val="20"/>
                <w:color w:val="auto"/>
              </w:rPr>
            </w:pPr>
            <w:r>
              <w:rPr>
                <w:rFonts w:ascii="Arial" w:cs="Arial" w:eastAsia="Arial" w:hAnsi="Arial"/>
                <w:sz w:val="17"/>
                <w:szCs w:val="17"/>
                <w:color w:val="auto"/>
              </w:rPr>
              <w:t>Texas</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195</w:t>
            </w:r>
          </w:p>
        </w:tc>
      </w:tr>
      <w:tr>
        <w:trPr>
          <w:trHeight w:val="249"/>
        </w:trPr>
        <w:tc>
          <w:tcPr>
            <w:tcW w:w="62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1,172</w:t>
            </w:r>
          </w:p>
        </w:tc>
        <w:tc>
          <w:tcPr>
            <w:tcW w:w="1540" w:type="dxa"/>
            <w:vAlign w:val="bottom"/>
          </w:tcPr>
          <w:p>
            <w:pPr>
              <w:ind w:left="160"/>
              <w:spacing w:after="0"/>
              <w:rPr>
                <w:sz w:val="20"/>
                <w:szCs w:val="20"/>
                <w:color w:val="auto"/>
              </w:rPr>
            </w:pPr>
            <w:r>
              <w:rPr>
                <w:rFonts w:ascii="Arial" w:cs="Arial" w:eastAsia="Arial" w:hAnsi="Arial"/>
                <w:sz w:val="17"/>
                <w:szCs w:val="17"/>
                <w:color w:val="auto"/>
              </w:rPr>
              <w:t>Utah</w:t>
            </w:r>
          </w:p>
        </w:tc>
        <w:tc>
          <w:tcPr>
            <w:tcW w:w="620" w:type="dxa"/>
            <w:vAlign w:val="bottom"/>
          </w:tcPr>
          <w:p>
            <w:pPr>
              <w:jc w:val="center"/>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634</w:t>
            </w:r>
          </w:p>
        </w:tc>
      </w:tr>
      <w:tr>
        <w:trPr>
          <w:trHeight w:val="249"/>
        </w:trPr>
        <w:tc>
          <w:tcPr>
            <w:tcW w:w="6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180</w:t>
            </w:r>
          </w:p>
        </w:tc>
        <w:tc>
          <w:tcPr>
            <w:tcW w:w="1540" w:type="dxa"/>
            <w:vAlign w:val="bottom"/>
          </w:tcPr>
          <w:p>
            <w:pPr>
              <w:ind w:left="160"/>
              <w:spacing w:after="0"/>
              <w:rPr>
                <w:sz w:val="20"/>
                <w:szCs w:val="20"/>
                <w:color w:val="auto"/>
              </w:rPr>
            </w:pPr>
            <w:r>
              <w:rPr>
                <w:rFonts w:ascii="Arial" w:cs="Arial" w:eastAsia="Arial" w:hAnsi="Arial"/>
                <w:sz w:val="17"/>
                <w:szCs w:val="17"/>
                <w:color w:val="auto"/>
              </w:rPr>
              <w:t>Virginia</w:t>
            </w:r>
          </w:p>
        </w:tc>
        <w:tc>
          <w:tcPr>
            <w:tcW w:w="620" w:type="dxa"/>
            <w:vAlign w:val="bottom"/>
          </w:tcPr>
          <w:p>
            <w:pPr>
              <w:jc w:val="center"/>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276</w:t>
            </w:r>
          </w:p>
        </w:tc>
      </w:tr>
      <w:tr>
        <w:trPr>
          <w:trHeight w:val="249"/>
        </w:trPr>
        <w:tc>
          <w:tcPr>
            <w:tcW w:w="6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w w:val="84"/>
              </w:rPr>
              <w:t>16</w:t>
            </w:r>
          </w:p>
        </w:tc>
        <w:tc>
          <w:tcPr>
            <w:tcW w:w="1540" w:type="dxa"/>
            <w:vAlign w:val="bottom"/>
          </w:tcPr>
          <w:p>
            <w:pPr>
              <w:ind w:left="160"/>
              <w:spacing w:after="0"/>
              <w:rPr>
                <w:sz w:val="20"/>
                <w:szCs w:val="20"/>
                <w:color w:val="auto"/>
              </w:rPr>
            </w:pPr>
            <w:r>
              <w:rPr>
                <w:rFonts w:ascii="Arial" w:cs="Arial" w:eastAsia="Arial" w:hAnsi="Arial"/>
                <w:sz w:val="17"/>
                <w:szCs w:val="17"/>
                <w:color w:val="auto"/>
              </w:rPr>
              <w:t>Washington, D.C.</w:t>
            </w:r>
          </w:p>
        </w:tc>
        <w:tc>
          <w:tcPr>
            <w:tcW w:w="620" w:type="dxa"/>
            <w:vAlign w:val="bottom"/>
          </w:tcPr>
          <w:p>
            <w:pPr>
              <w:jc w:val="center"/>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-631825</wp:posOffset>
            </wp:positionV>
            <wp:extent cx="5302250" cy="158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02250" cy="15811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-315595</wp:posOffset>
            </wp:positionV>
            <wp:extent cx="5302250" cy="15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02250" cy="15811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0</wp:posOffset>
            </wp:positionV>
            <wp:extent cx="5302250" cy="158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02250" cy="158115"/>
                    </a:xfrm>
                    <a:prstGeom prst="rect">
                      <a:avLst/>
                    </a:prstGeom>
                    <a:noFill/>
                  </pic:spPr>
                </pic:pic>
              </a:graphicData>
            </a:graphic>
          </wp:anchor>
        </w:drawing>
      </w:r>
    </w:p>
    <w:p>
      <w:pPr>
        <w:spacing w:after="0" w:line="17" w:lineRule="exact"/>
        <w:rPr>
          <w:sz w:val="20"/>
          <w:szCs w:val="20"/>
          <w:color w:val="auto"/>
        </w:rPr>
      </w:pPr>
    </w:p>
    <w:p>
      <w:pPr>
        <w:ind w:left="920" w:hanging="645"/>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228</w:t>
      </w:r>
    </w:p>
    <w:p>
      <w:pPr>
        <w:spacing w:after="0" w:line="53"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1,864</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 of</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89"/>
              </w:rPr>
              <w:t># of</w:t>
            </w:r>
          </w:p>
        </w:tc>
        <w:tc>
          <w:tcPr>
            <w:tcW w:w="15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 of</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89"/>
              </w:rPr>
              <w:t># of</w:t>
            </w:r>
          </w:p>
        </w:tc>
      </w:tr>
      <w:tr>
        <w:trPr>
          <w:trHeight w:val="193"/>
        </w:trPr>
        <w:tc>
          <w:tcPr>
            <w:tcW w:w="7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5"/>
              </w:rPr>
              <w:t>Resorts</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89"/>
              </w:rPr>
              <w:t>Keys</w:t>
            </w:r>
          </w:p>
        </w:tc>
        <w:tc>
          <w:tcPr>
            <w:tcW w:w="150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5"/>
              </w:rPr>
              <w:t>Resorts</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89"/>
              </w:rPr>
              <w:t>Keys</w:t>
            </w:r>
          </w:p>
        </w:tc>
      </w:tr>
      <w:tr>
        <w:trPr>
          <w:trHeight w:val="222"/>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164</w:t>
            </w:r>
          </w:p>
        </w:tc>
        <w:tc>
          <w:tcPr>
            <w:tcW w:w="1500" w:type="dxa"/>
            <w:vAlign w:val="bottom"/>
          </w:tcPr>
          <w:p>
            <w:pPr>
              <w:ind w:left="160"/>
              <w:spacing w:after="0"/>
              <w:rPr>
                <w:sz w:val="20"/>
                <w:szCs w:val="20"/>
                <w:color w:val="auto"/>
              </w:rPr>
            </w:pPr>
            <w:r>
              <w:rPr>
                <w:rFonts w:ascii="Arial" w:cs="Arial" w:eastAsia="Arial" w:hAnsi="Arial"/>
                <w:sz w:val="17"/>
                <w:szCs w:val="17"/>
                <w:color w:val="auto"/>
              </w:rPr>
              <w:t>Mexico</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1,281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-149860</wp:posOffset>
            </wp:positionV>
            <wp:extent cx="5302250" cy="149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02250" cy="149860"/>
                    </a:xfrm>
                    <a:prstGeom prst="rect">
                      <a:avLst/>
                    </a:prstGeom>
                    <a:noFill/>
                  </pic:spPr>
                </pic:pic>
              </a:graphicData>
            </a:graphic>
          </wp:anchor>
        </w:drawing>
      </w:r>
    </w:p>
    <w:p>
      <w:pPr>
        <w:spacing w:after="0" w:line="5" w:lineRule="exact"/>
        <w:rPr>
          <w:sz w:val="20"/>
          <w:szCs w:val="20"/>
          <w:color w:val="auto"/>
        </w:rPr>
      </w:pPr>
    </w:p>
    <w:p>
      <w:pPr>
        <w:ind w:left="900" w:hanging="63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10160</wp:posOffset>
            </wp:positionV>
            <wp:extent cx="5302250" cy="149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02250" cy="149860"/>
                    </a:xfrm>
                    <a:prstGeom prst="rect">
                      <a:avLst/>
                    </a:prstGeom>
                    <a:noFill/>
                  </pic:spPr>
                </pic:pic>
              </a:graphicData>
            </a:graphic>
          </wp:anchor>
        </w:drawing>
      </w:r>
    </w:p>
    <w:p>
      <w:pPr>
        <w:spacing w:after="0" w:line="21" w:lineRule="exact"/>
        <w:rPr>
          <w:sz w:val="20"/>
          <w:szCs w:val="20"/>
          <w:color w:val="auto"/>
        </w:rPr>
      </w:pPr>
    </w:p>
    <w:p>
      <w:pPr>
        <w:ind w:left="940" w:hanging="677"/>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88</w:t>
      </w: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of</w:t>
      </w:r>
    </w:p>
    <w:p>
      <w:pPr>
        <w:ind w:left="340"/>
        <w:spacing w:after="0"/>
        <w:tabs>
          <w:tab w:leader="none" w:pos="1000" w:val="left"/>
        </w:tabs>
        <w:rPr>
          <w:sz w:val="20"/>
          <w:szCs w:val="20"/>
          <w:color w:val="auto"/>
        </w:rPr>
      </w:pPr>
      <w:r>
        <w:rPr>
          <w:rFonts w:ascii="Arial" w:cs="Arial" w:eastAsia="Arial" w:hAnsi="Arial"/>
          <w:sz w:val="15"/>
          <w:szCs w:val="15"/>
          <w:b w:val="1"/>
          <w:bCs w:val="1"/>
          <w:color w:val="auto"/>
        </w:rPr>
        <w:t>Resorts</w:t>
        <w:tab/>
        <w:t># of Keys</w:t>
      </w:r>
    </w:p>
    <w:p>
      <w:pPr>
        <w:spacing w:after="0" w:line="48" w:lineRule="exact"/>
        <w:rPr>
          <w:sz w:val="20"/>
          <w:szCs w:val="20"/>
          <w:color w:val="auto"/>
        </w:rPr>
      </w:pPr>
    </w:p>
    <w:p>
      <w:pPr>
        <w:ind w:left="1200" w:hanging="664"/>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161</w:t>
      </w:r>
    </w:p>
    <w:p>
      <w:pPr>
        <w:spacing w:after="0" w:line="53" w:lineRule="exact"/>
        <w:rPr>
          <w:sz w:val="20"/>
          <w:szCs w:val="20"/>
          <w:color w:val="auto"/>
        </w:rPr>
      </w:pPr>
    </w:p>
    <w:p>
      <w:pPr>
        <w:ind w:left="1200" w:hanging="66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332</w:t>
      </w:r>
    </w:p>
    <w:p>
      <w:pPr>
        <w:spacing w:after="0" w:line="53"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1</w:t>
      </w:r>
      <w:r>
        <w:rPr>
          <w:rFonts w:ascii="Arial" w:cs="Arial" w:eastAsia="Arial" w:hAnsi="Arial"/>
          <w:sz w:val="13"/>
          <w:szCs w:val="13"/>
          <w:color w:val="auto"/>
        </w:rPr>
        <w:t>88</w:t>
      </w:r>
    </w:p>
    <w:p>
      <w:pPr>
        <w:spacing w:after="0" w:line="200" w:lineRule="exact"/>
        <w:rPr>
          <w:sz w:val="20"/>
          <w:szCs w:val="20"/>
          <w:color w:val="auto"/>
        </w:rPr>
      </w:pPr>
    </w:p>
    <w:p>
      <w:pPr>
        <w:spacing w:after="0" w:line="277" w:lineRule="exact"/>
        <w:rPr>
          <w:sz w:val="20"/>
          <w:szCs w:val="20"/>
          <w:color w:val="auto"/>
        </w:rPr>
      </w:pPr>
    </w:p>
    <w:p>
      <w:pPr>
        <w:jc w:val="right"/>
        <w:ind w:right="1600"/>
        <w:spacing w:after="0"/>
        <w:tabs>
          <w:tab w:leader="none" w:pos="940" w:val="left"/>
        </w:tabs>
        <w:rPr>
          <w:sz w:val="20"/>
          <w:szCs w:val="20"/>
          <w:color w:val="auto"/>
        </w:rPr>
      </w:pPr>
      <w:r>
        <w:rPr>
          <w:rFonts w:ascii="Arial" w:cs="Arial" w:eastAsia="Arial" w:hAnsi="Arial"/>
          <w:sz w:val="15"/>
          <w:szCs w:val="15"/>
          <w:b w:val="1"/>
          <w:bCs w:val="1"/>
          <w:color w:val="auto"/>
        </w:rPr>
        <w:t># of Resorts</w:t>
      </w:r>
      <w:r>
        <w:rPr>
          <w:sz w:val="20"/>
          <w:szCs w:val="20"/>
          <w:color w:val="auto"/>
        </w:rPr>
        <w:tab/>
      </w:r>
      <w:r>
        <w:rPr>
          <w:rFonts w:ascii="Arial" w:cs="Arial" w:eastAsia="Arial" w:hAnsi="Arial"/>
          <w:sz w:val="13"/>
          <w:szCs w:val="13"/>
          <w:b w:val="1"/>
          <w:bCs w:val="1"/>
          <w:color w:val="auto"/>
        </w:rPr>
        <w:t># of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16510</wp:posOffset>
            </wp:positionV>
            <wp:extent cx="5309870" cy="158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44" w:lineRule="exact"/>
        <w:rPr>
          <w:sz w:val="20"/>
          <w:szCs w:val="20"/>
          <w:color w:val="auto"/>
        </w:rPr>
      </w:pPr>
    </w:p>
    <w:p>
      <w:pPr>
        <w:ind w:left="1980"/>
        <w:spacing w:after="0"/>
        <w:tabs>
          <w:tab w:leader="none" w:pos="32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18,913</w:t>
      </w:r>
    </w:p>
    <w:p>
      <w:pPr>
        <w:spacing w:after="0" w:line="53" w:lineRule="exact"/>
        <w:rPr>
          <w:sz w:val="20"/>
          <w:szCs w:val="20"/>
          <w:color w:val="auto"/>
        </w:rPr>
      </w:pPr>
    </w:p>
    <w:p>
      <w:pPr>
        <w:ind w:left="3340" w:hanging="1323"/>
        <w:spacing w:after="0"/>
        <w:tabs>
          <w:tab w:leader="none" w:pos="3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4,375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5309870" cy="158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33" w:lineRule="exact"/>
        <w:rPr>
          <w:sz w:val="20"/>
          <w:szCs w:val="20"/>
          <w:color w:val="auto"/>
        </w:rPr>
      </w:pPr>
    </w:p>
    <w:p>
      <w:pPr>
        <w:ind w:left="1980"/>
        <w:spacing w:after="0"/>
        <w:tabs>
          <w:tab w:leader="none" w:pos="33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4,308</w:t>
      </w:r>
    </w:p>
    <w:p>
      <w:pPr>
        <w:spacing w:after="0" w:line="53" w:lineRule="exact"/>
        <w:rPr>
          <w:sz w:val="20"/>
          <w:szCs w:val="20"/>
          <w:color w:val="auto"/>
        </w:rPr>
      </w:pPr>
    </w:p>
    <w:p>
      <w:pPr>
        <w:ind w:left="2020"/>
        <w:spacing w:after="0"/>
        <w:tabs>
          <w:tab w:leader="none" w:pos="33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5309870" cy="158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33" w:lineRule="exact"/>
        <w:rPr>
          <w:sz w:val="20"/>
          <w:szCs w:val="20"/>
          <w:color w:val="auto"/>
        </w:rPr>
      </w:pPr>
    </w:p>
    <w:p>
      <w:pPr>
        <w:ind w:left="2020"/>
        <w:spacing w:after="0"/>
        <w:tabs>
          <w:tab w:leader="none" w:pos="33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259</w:t>
      </w:r>
    </w:p>
    <w:p>
      <w:pPr>
        <w:spacing w:after="0" w:line="53" w:lineRule="exact"/>
        <w:rPr>
          <w:sz w:val="20"/>
          <w:szCs w:val="20"/>
          <w:color w:val="auto"/>
        </w:rPr>
      </w:pPr>
    </w:p>
    <w:p>
      <w:pPr>
        <w:ind w:left="2020"/>
        <w:spacing w:after="0"/>
        <w:tabs>
          <w:tab w:leader="none" w:pos="342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5309870" cy="158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33" w:lineRule="exact"/>
        <w:rPr>
          <w:sz w:val="20"/>
          <w:szCs w:val="20"/>
          <w:color w:val="auto"/>
        </w:rPr>
      </w:pPr>
    </w:p>
    <w:p>
      <w:pPr>
        <w:ind w:left="1980"/>
        <w:spacing w:after="0"/>
        <w:tabs>
          <w:tab w:leader="none" w:pos="33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2,836</w:t>
      </w:r>
    </w:p>
    <w:p>
      <w:pPr>
        <w:spacing w:after="0" w:line="53" w:lineRule="exact"/>
        <w:rPr>
          <w:sz w:val="20"/>
          <w:szCs w:val="20"/>
          <w:color w:val="auto"/>
        </w:rPr>
      </w:pPr>
    </w:p>
    <w:p>
      <w:pPr>
        <w:ind w:left="2020"/>
        <w:spacing w:after="0"/>
        <w:tabs>
          <w:tab w:leader="none" w:pos="338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5309870" cy="158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33" w:lineRule="exact"/>
        <w:rPr>
          <w:sz w:val="20"/>
          <w:szCs w:val="20"/>
          <w:color w:val="auto"/>
        </w:rPr>
      </w:pPr>
    </w:p>
    <w:p>
      <w:pPr>
        <w:ind w:left="1940"/>
        <w:spacing w:after="0"/>
        <w:tabs>
          <w:tab w:leader="none" w:pos="32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31,692</w:t>
      </w:r>
    </w:p>
    <w:p>
      <w:pPr>
        <w:spacing w:after="0" w:line="200" w:lineRule="exact"/>
        <w:rPr>
          <w:sz w:val="20"/>
          <w:szCs w:val="20"/>
          <w:color w:val="auto"/>
        </w:rPr>
      </w:pPr>
    </w:p>
    <w:p>
      <w:pPr>
        <w:spacing w:after="0" w:line="277" w:lineRule="exact"/>
        <w:rPr>
          <w:sz w:val="20"/>
          <w:szCs w:val="20"/>
          <w:color w:val="auto"/>
        </w:rPr>
      </w:pPr>
    </w:p>
    <w:p>
      <w:pPr>
        <w:ind w:left="2560"/>
        <w:spacing w:after="0"/>
        <w:rPr>
          <w:sz w:val="20"/>
          <w:szCs w:val="20"/>
          <w:color w:val="auto"/>
        </w:rPr>
      </w:pPr>
      <w:r>
        <w:rPr>
          <w:rFonts w:ascii="Arial" w:cs="Arial" w:eastAsia="Arial" w:hAnsi="Arial"/>
          <w:sz w:val="15"/>
          <w:szCs w:val="15"/>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16510</wp:posOffset>
            </wp:positionV>
            <wp:extent cx="5309870" cy="158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4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Kauai, HI</w:t>
      </w:r>
    </w:p>
    <w:p>
      <w:pPr>
        <w:spacing w:after="0" w:line="5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Cancun,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5309870"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Carmel, CA</w:t>
      </w:r>
    </w:p>
    <w:p>
      <w:pPr>
        <w:spacing w:after="0" w:line="5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Branson, MO</w:t>
      </w:r>
    </w:p>
    <w:p>
      <w:pPr>
        <w:spacing w:after="0" w:line="200" w:lineRule="exact"/>
        <w:rPr>
          <w:sz w:val="20"/>
          <w:szCs w:val="20"/>
          <w:color w:val="auto"/>
        </w:rPr>
      </w:pPr>
    </w:p>
    <w:p>
      <w:pPr>
        <w:sectPr>
          <w:pgSz w:w="11900" w:h="16838" w:orient="portrait"/>
          <w:cols w:equalWidth="0" w:num="2">
            <w:col w:w="5540" w:space="60"/>
            <w:col w:w="5420"/>
          </w:cols>
          <w:pgMar w:left="320" w:top="1119" w:right="55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020"/>
          </w:cols>
          <w:pgMar w:left="320" w:top="1119" w:right="5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EXCHANGE &amp; THIRD-PARTY MANAGEMENT SEGMENT</w:t>
      </w:r>
    </w:p>
    <w:p>
      <w:pPr>
        <w:spacing w:after="0" w:line="107"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color w:val="auto"/>
        </w:rPr>
        <w:t>Our Exchange &amp; Third-Party Management segment includes exchange networks and membership programs comprised of more than 3,200 affiliated resorts in over 90 countries and territories and over 1.6 million members, as well as provision of management services to over 25 other resorts and lodging properties. We provide these services through our Interval International and Aqua-Aston businesses. The segment revenue generally is fee-based and derived from membership, exchange and rental transactions, owners’ association management, and other related products and services. VRI Americas was part of the Exchange &amp; Third-Party Management segment through the date of sale in April 2022. The Exchange &amp; Third-Party Management segment represented 6% of our consolidated revenue for 2022.</w:t>
      </w:r>
    </w:p>
    <w:p>
      <w:pPr>
        <w:spacing w:after="0" w:line="5" w:lineRule="exact"/>
        <w:rPr>
          <w:sz w:val="20"/>
          <w:szCs w:val="20"/>
          <w:color w:val="auto"/>
        </w:rPr>
      </w:pPr>
    </w:p>
    <w:tbl>
      <w:tblPr>
        <w:tblLayout w:type="fixed"/>
        <w:tblInd w:w="176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Pr>
          <w:p>
            <w:pPr>
              <w:jc w:val="center"/>
              <w:ind w:right="41"/>
              <w:spacing w:after="0"/>
              <w:rPr>
                <w:sz w:val="20"/>
                <w:szCs w:val="20"/>
                <w:color w:val="auto"/>
              </w:rPr>
            </w:pPr>
            <w:r>
              <w:rPr>
                <w:rFonts w:ascii="Arial" w:cs="Arial" w:eastAsia="Arial" w:hAnsi="Arial"/>
                <w:sz w:val="15"/>
                <w:szCs w:val="15"/>
                <w:b w:val="1"/>
                <w:bCs w:val="1"/>
                <w:color w:val="auto"/>
                <w:w w:val="89"/>
              </w:rPr>
              <w:t>2022</w:t>
            </w: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tcPr>
          <w:p>
            <w:pPr>
              <w:jc w:val="center"/>
              <w:ind w:right="61"/>
              <w:spacing w:after="0" w:line="149" w:lineRule="exact"/>
              <w:rPr>
                <w:sz w:val="20"/>
                <w:szCs w:val="20"/>
                <w:color w:val="auto"/>
              </w:rPr>
            </w:pPr>
            <w:r>
              <w:rPr>
                <w:rFonts w:ascii="Arial" w:cs="Arial" w:eastAsia="Arial" w:hAnsi="Arial"/>
                <w:sz w:val="15"/>
                <w:szCs w:val="15"/>
                <w:b w:val="1"/>
                <w:bCs w:val="1"/>
                <w:color w:val="auto"/>
                <w:w w:val="93"/>
              </w:rPr>
              <w:t>Exchange &amp; Third-Party Management</w:t>
            </w:r>
          </w:p>
        </w:tc>
      </w:tr>
      <w:tr>
        <w:trPr>
          <w:trHeight w:val="196"/>
        </w:trPr>
        <w:tc>
          <w:tcPr>
            <w:tcW w:w="49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center"/>
              <w:ind w:right="61"/>
              <w:spacing w:after="0"/>
              <w:rPr>
                <w:sz w:val="20"/>
                <w:szCs w:val="20"/>
                <w:color w:val="auto"/>
              </w:rPr>
            </w:pPr>
            <w:r>
              <w:rPr>
                <w:rFonts w:ascii="Arial" w:cs="Arial" w:eastAsia="Arial" w:hAnsi="Arial"/>
                <w:sz w:val="15"/>
                <w:szCs w:val="15"/>
                <w:b w:val="1"/>
                <w:bCs w:val="1"/>
                <w:color w:val="auto"/>
                <w:w w:val="86"/>
              </w:rPr>
              <w:t>Segment Revenues</w:t>
            </w:r>
          </w:p>
        </w:tc>
      </w:tr>
      <w:tr>
        <w:trPr>
          <w:trHeight w:val="232"/>
        </w:trPr>
        <w:tc>
          <w:tcPr>
            <w:tcW w:w="4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7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226</w:t>
            </w:r>
          </w:p>
        </w:tc>
      </w:tr>
      <w:tr>
        <w:trPr>
          <w:trHeight w:val="249"/>
        </w:trPr>
        <w:tc>
          <w:tcPr>
            <w:tcW w:w="4900" w:type="dxa"/>
            <w:vAlign w:val="bottom"/>
          </w:tcPr>
          <w:p>
            <w:pPr>
              <w:ind w:left="200"/>
              <w:spacing w:after="0"/>
              <w:rPr>
                <w:sz w:val="20"/>
                <w:szCs w:val="20"/>
                <w:color w:val="auto"/>
              </w:rPr>
            </w:pPr>
            <w:r>
              <w:rPr>
                <w:rFonts w:ascii="Arial" w:cs="Arial" w:eastAsia="Arial" w:hAnsi="Arial"/>
                <w:sz w:val="17"/>
                <w:szCs w:val="17"/>
                <w:color w:val="auto"/>
              </w:rPr>
              <w:t>Rental</w:t>
            </w:r>
          </w:p>
        </w:tc>
        <w:tc>
          <w:tcPr>
            <w:tcW w:w="140" w:type="dxa"/>
            <w:vAlign w:val="bottom"/>
          </w:tcPr>
          <w:p>
            <w:pPr>
              <w:spacing w:after="0"/>
              <w:rPr>
                <w:sz w:val="21"/>
                <w:szCs w:val="21"/>
                <w:color w:val="auto"/>
              </w:rPr>
            </w:pPr>
          </w:p>
        </w:tc>
        <w:tc>
          <w:tcPr>
            <w:tcW w:w="2700" w:type="dxa"/>
            <w:vAlign w:val="bottom"/>
          </w:tcPr>
          <w:p>
            <w:pPr>
              <w:jc w:val="right"/>
              <w:ind w:right="1"/>
              <w:spacing w:after="0"/>
              <w:rPr>
                <w:sz w:val="20"/>
                <w:szCs w:val="20"/>
                <w:color w:val="auto"/>
              </w:rPr>
            </w:pPr>
            <w:r>
              <w:rPr>
                <w:rFonts w:ascii="Arial" w:cs="Arial" w:eastAsia="Arial" w:hAnsi="Arial"/>
                <w:sz w:val="17"/>
                <w:szCs w:val="17"/>
                <w:color w:val="auto"/>
              </w:rPr>
              <w:t>42</w:t>
            </w:r>
          </w:p>
        </w:tc>
      </w:tr>
      <w:tr>
        <w:trPr>
          <w:trHeight w:val="249"/>
        </w:trPr>
        <w:tc>
          <w:tcPr>
            <w:tcW w:w="4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140" w:type="dxa"/>
            <w:vAlign w:val="bottom"/>
            <w:tcBorders>
              <w:bottom w:val="single" w:sz="8" w:color="auto"/>
            </w:tcBorders>
            <w:shd w:val="clear" w:color="auto" w:fill="CCEEFF"/>
          </w:tcPr>
          <w:p>
            <w:pPr>
              <w:spacing w:after="0"/>
              <w:rPr>
                <w:sz w:val="21"/>
                <w:szCs w:val="21"/>
                <w:color w:val="auto"/>
              </w:rPr>
            </w:pPr>
          </w:p>
        </w:tc>
        <w:tc>
          <w:tcPr>
            <w:tcW w:w="2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w:t>
            </w:r>
          </w:p>
        </w:tc>
      </w:tr>
      <w:tr>
        <w:trPr>
          <w:trHeight w:val="204"/>
        </w:trPr>
        <w:tc>
          <w:tcPr>
            <w:tcW w:w="4900" w:type="dxa"/>
            <w:vAlign w:val="bottom"/>
          </w:tcPr>
          <w:p>
            <w:pPr>
              <w:ind w:left="200"/>
              <w:spacing w:after="0"/>
              <w:rPr>
                <w:sz w:val="20"/>
                <w:szCs w:val="20"/>
                <w:color w:val="auto"/>
              </w:rPr>
            </w:pPr>
            <w:r>
              <w:rPr>
                <w:rFonts w:ascii="Arial" w:cs="Arial" w:eastAsia="Arial" w:hAnsi="Arial"/>
                <w:sz w:val="17"/>
                <w:szCs w:val="17"/>
                <w:b w:val="1"/>
                <w:bCs w:val="1"/>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7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291</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Networks and Membership Programs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Interval International</w:t>
      </w:r>
    </w:p>
    <w:p>
      <w:pPr>
        <w:spacing w:after="0" w:line="10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Interval International is a membership-based exchange program which also provides a comprehensive package of value-added products and services to members and developers. Generally, individuals are enrolled by resort developers in connection with their purchase of VOIs from such resort developers, with initial membership fees being paid on behalf of members by the resort developers. Members may also enroll directly, for instance, when they purchase a VOI through resale or an owners’ association at a resort that participates in the Interval International network. Interval International has established multi-year relationships with resort developers, including leading independent developers and our branded vacation ownership programs, under exclusive affiliation agreements, which typically provide for continued resort participation following the agreement’s term.</w:t>
      </w:r>
    </w:p>
    <w:p>
      <w:pPr>
        <w:spacing w:after="0" w:line="7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traditional Interval International network members have the option, after their initial membership period ends, to renew their memberships for terms ranging from one to five years and by paying membership fees directly to us. Alternatively, some resort developers incorporate the Interval International network membership fee into certain annual fees they charge to owners of VOIs at their resorts or vacation ownership clubs. As a result, membership in the Interval International network and, where applicable, the Interval Gold, Club Interval, or Interval Platinum program (as described below), for these corporate members is automatically renewed through the period of their resort’s or club’s participation in the Interval International network. As of December 31, 2022, approximately 45% of total Interval International network members were traditional members and approximately 55% were corporate members.</w:t>
      </w:r>
    </w:p>
    <w:p>
      <w:pPr>
        <w:spacing w:after="0" w:line="7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Interval International recognizes certain of its eligible Interval International network resorts as either a “Select Resort,” a “Select Boutique Resort,” a “Premier Resort,” a “Premier Boutique Resort,” an “Elite Resort” or an “Elite Boutique Resort” based upon the satisfaction of qualifying criteria, inspection, member feedback, and other resort-specific factors. Over 40% of Interval International network resorts were recognized as a Select, Select Boutique, Premier, Premier Boutique, Elite or Elite Boutique Resort as of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Members are offered the ability to exchange usage rights in their VOI for accommodations which are generally of comparable trading value to those relinquished, based on factors including location, quality, seasonality, unit attributes and time of relinquishment prior to occupancy.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Getaways</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also offer additional vacation rental opportunities to members of the Interval International network and certain other membership or affinity programs at attractive rates through Getaways. Getaways allow members to rent resort accommodations for a fee, plus applicable taxes. Resort accommodations available as Getaways consist of seasonal oversupply of vacation ownership accommodations within the applicable exchange network, as well as resort accommodations we source specifically for use in Getaways.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color w:val="auto"/>
        </w:rPr>
        <w:t>Interval Gold and Interval Platinum</w:t>
      </w:r>
    </w:p>
    <w:p>
      <w:pPr>
        <w:spacing w:after="0" w:line="103"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Interval International network members may take advantage of one of our two enhanced membership tiers, Interval Gold or Interval Platinum, each of which provides value-added benefits and services for an additional fee. These benefits and services vary by country of residence, but generally consist of discounts on Getaways, a concierge service, a hotel discount program and Interval Options, a service that allows members to relinquish annual occupancy rights in their VOIs towards the purchase of various travel products, including hotel, cruise, golf and spa vacations. Members are enrolled in these programs either by resort developers in connection with the initial purchase of their VOIs or by upgrading their membership directly.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Club Interval</w:t>
      </w:r>
    </w:p>
    <w:p>
      <w:pPr>
        <w:spacing w:after="0" w:line="103"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color w:val="auto"/>
        </w:rPr>
        <w:t>This product gives owners of fixed or floating week VOIs the opportunity to use their resort week as points within the Interval International network. Club Interval members also receive all of the benefits of Interval Gold and can upgrade to Interval Platinum.</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Non-Exchange Products</w:t>
      </w:r>
    </w:p>
    <w:p>
      <w:pPr>
        <w:spacing w:after="0" w:line="103"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Interval International’s subsidiary, Worldwide Vacation &amp; Travel, offers two programs, Leisure Time Passport and Dream Vacation Week. Leisure Time Passport is a travel membership program which provides members with a variety of travel and leisure benefits, including savings on resort accommodations, hotel stays, cruise vacations and more. The Leisure Time Passport membership program is used by resort developers as a trial membership program for potential purchasers of vacation ownership products as well as by non-developer clients, as an addition to their own products, which provides ongoing value and customer engagement. Dream Vacation Week is a certificate program which provides the recipient with access to book discounted resort accommodations and is used as a marketing premium, sales incentive, or enhancement to an existing program.</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Support for Interval International Network Resorts</w:t>
      </w:r>
    </w:p>
    <w:p>
      <w:pPr>
        <w:spacing w:after="0" w:line="103" w:lineRule="exact"/>
        <w:rPr>
          <w:sz w:val="20"/>
          <w:szCs w:val="20"/>
          <w:color w:val="auto"/>
        </w:rPr>
      </w:pPr>
    </w:p>
    <w:p>
      <w:pPr>
        <w:jc w:val="both"/>
        <w:ind w:right="280"/>
        <w:spacing w:after="0" w:line="277" w:lineRule="auto"/>
        <w:rPr>
          <w:sz w:val="20"/>
          <w:szCs w:val="20"/>
          <w:color w:val="auto"/>
        </w:rPr>
      </w:pPr>
      <w:r>
        <w:rPr>
          <w:rFonts w:ascii="Arial" w:cs="Arial" w:eastAsia="Arial" w:hAnsi="Arial"/>
          <w:sz w:val="16"/>
          <w:szCs w:val="16"/>
          <w:color w:val="auto"/>
        </w:rPr>
        <w:t>Resort developers promote membership in our exchange programs and related value-added services as an important benefit of owning a VOI. We offer developers a selection of sales and marketing materials. These materials, many of which are available in multiple languages, include brochures, publications, sales-office displays, resort directories and Interval HD, an online video channel featuring resort and destination overviews.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Operational Support for Interval International Network Resorts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Interval International also makes available a comprehensive array of back-office servicing solutions to resort developers and resorts. For example, for an additional fee, we provide reservation services and billing and collection of maintenance fees and other amounts due to developers or owners’ associations. In addition, through consulting arrangements, we assist resort developers in the design of tailored vacation programs for owners of VOIs.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Development</w:t>
      </w:r>
    </w:p>
    <w:p>
      <w:pPr>
        <w:spacing w:after="0" w:line="107" w:lineRule="exact"/>
        <w:rPr>
          <w:sz w:val="20"/>
          <w:szCs w:val="20"/>
          <w:color w:val="auto"/>
        </w:rPr>
      </w:pPr>
    </w:p>
    <w:p>
      <w:pPr>
        <w:ind w:right="240"/>
        <w:spacing w:after="0" w:line="295" w:lineRule="auto"/>
        <w:rPr>
          <w:sz w:val="20"/>
          <w:szCs w:val="20"/>
          <w:color w:val="auto"/>
        </w:rPr>
      </w:pPr>
      <w:r>
        <w:rPr>
          <w:rFonts w:ascii="Arial" w:cs="Arial" w:eastAsia="Arial" w:hAnsi="Arial"/>
          <w:sz w:val="15"/>
          <w:szCs w:val="15"/>
          <w:color w:val="auto"/>
        </w:rPr>
        <w:t>Our exchange businesses maintain corporate and consumer business development departments that are responsible for affiliating new resorts, resort developers, and other businesses with Interval International and implementing marketing strategies. We also develop materials to promote membership participation, exchange opportunities and other value-added services to existing members, as well as for the Interval International business to secure new relationships with resort developers, owners’ associations and resorts, to obtain and retain members, and with other affinity partners, to provide value added travel benefits to their customers.</w:t>
      </w:r>
    </w:p>
    <w:p>
      <w:pPr>
        <w:spacing w:after="0" w:line="4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consumer marketing efforts revolve around the deepening of new and existing customer relationships and increasing engagement and loyalty of members through a number of channels, including digital distribution utilizing social media channels, to inspire vacations, share stories and promote the vacation ownership lifestyle, as well as direct mail and telemarketing.</w:t>
      </w:r>
    </w:p>
    <w:p>
      <w:pPr>
        <w:spacing w:after="0" w:line="7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Interval International also markets products and services to resort developers and other parties in the vacation ownership industry through a series of business development initiatives. Our sales and services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VOIs. In addition, we sponsor, participate in and attend numerous industry conferences around the world to provide potential and existing industry participants opportunities to network and learn more about vacation ownership.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Third-Party Management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provide management services for resorts, hotels, and other third-party vacation property owners through our Aqua-Aston business. Our services may include day-to-day operations of the resorts, maintenance of the resorts, preparation of reports, budgets, owners’ association administration, quality assurance and employee training. As of December 31, 2022, we provided third-party management services to over 25 resorts and lodging properties.</w:t>
      </w:r>
    </w:p>
    <w:p>
      <w:pPr>
        <w:spacing w:after="0" w:line="60" w:lineRule="exact"/>
        <w:rPr>
          <w:sz w:val="20"/>
          <w:szCs w:val="20"/>
          <w:color w:val="auto"/>
        </w:rPr>
      </w:pPr>
    </w:p>
    <w:p>
      <w:pPr>
        <w:ind w:right="80"/>
        <w:spacing w:after="0" w:line="200" w:lineRule="exact"/>
        <w:rPr>
          <w:sz w:val="20"/>
          <w:szCs w:val="20"/>
          <w:color w:val="auto"/>
        </w:rPr>
      </w:pPr>
      <w:r>
        <w:rPr>
          <w:rFonts w:ascii="Arial" w:cs="Arial" w:eastAsia="Arial" w:hAnsi="Arial"/>
          <w:sz w:val="15"/>
          <w:szCs w:val="15"/>
          <w:color w:val="auto"/>
        </w:rPr>
        <w:t>Our Aqua-Aston business provides management and rental services for condominium owners, hotel owners, and owners’ associations. The condominium rental properties are generally investment properties, and, to a lesser extent, second homes, owned by individuals who contract with Aqua</w:t>
      </w:r>
      <w:r>
        <w:rPr>
          <w:rFonts w:ascii="MS PGothic" w:cs="MS PGothic" w:eastAsia="MS PGothic" w:hAnsi="MS PGothic"/>
          <w:sz w:val="15"/>
          <w:szCs w:val="15"/>
          <w:color w:val="auto"/>
        </w:rPr>
        <w:t>‑</w:t>
      </w:r>
      <w:r>
        <w:rPr>
          <w:rFonts w:ascii="Arial" w:cs="Arial" w:eastAsia="Arial" w:hAnsi="Arial"/>
          <w:sz w:val="15"/>
          <w:szCs w:val="15"/>
          <w:color w:val="auto"/>
        </w:rPr>
        <w:t>Aston directly to manage, market and rent their properties, generally pursuant to short</w:t>
      </w:r>
      <w:r>
        <w:rPr>
          <w:rFonts w:ascii="MS PGothic" w:cs="MS PGothic" w:eastAsia="MS PGothic" w:hAnsi="MS PGothic"/>
          <w:sz w:val="15"/>
          <w:szCs w:val="15"/>
          <w:color w:val="auto"/>
        </w:rPr>
        <w:t>‑</w:t>
      </w:r>
      <w:r>
        <w:rPr>
          <w:rFonts w:ascii="Arial" w:cs="Arial" w:eastAsia="Arial" w:hAnsi="Arial"/>
          <w:sz w:val="15"/>
          <w:szCs w:val="15"/>
          <w:color w:val="auto"/>
        </w:rPr>
        <w:t>term agreements. We also offer such owners a comprehensive package of marketing, management and rental services designed to enhance rental income and profitability. Generally, owners’ association management services, including administrative, fiscal and quality assurance services, are provided pursuant to exclusive agreements with terms typically ranging from one to ten years or more, many of which are automatically renewable. Revenue is derived principally from fees for management of the hotel, condominium resort, or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 sales and marketing, property accounting and information technology services.</w:t>
      </w:r>
    </w:p>
    <w:p>
      <w:pPr>
        <w:spacing w:after="0" w:line="93" w:lineRule="exact"/>
        <w:rPr>
          <w:sz w:val="20"/>
          <w:szCs w:val="20"/>
          <w:color w:val="auto"/>
        </w:rPr>
      </w:pPr>
    </w:p>
    <w:p>
      <w:pPr>
        <w:ind w:right="20"/>
        <w:spacing w:after="0" w:line="201" w:lineRule="exact"/>
        <w:rPr>
          <w:sz w:val="20"/>
          <w:szCs w:val="20"/>
          <w:color w:val="auto"/>
        </w:rPr>
      </w:pPr>
      <w:r>
        <w:rPr>
          <w:rFonts w:ascii="Arial" w:cs="Arial" w:eastAsia="Arial" w:hAnsi="Arial"/>
          <w:sz w:val="16"/>
          <w:szCs w:val="16"/>
          <w:color w:val="auto"/>
        </w:rPr>
        <w:t>The success and continued growth of the Aqua-Aston business, which is concentrated in Hawaii, depends largely on our ability to source vacationers interested in booking vacation properties made available through our rental services. Our in-market sales and marketing team utilizes a variety of sales, marketing, revenue management and digital marketing initiatives to attract consumers and additional properties to Aqua</w:t>
      </w:r>
      <w:r>
        <w:rPr>
          <w:rFonts w:ascii="MS PGothic" w:cs="MS PGothic" w:eastAsia="MS PGothic" w:hAnsi="MS PGothic"/>
          <w:sz w:val="16"/>
          <w:szCs w:val="16"/>
          <w:color w:val="auto"/>
        </w:rPr>
        <w:t>‑</w:t>
      </w:r>
      <w:r>
        <w:rPr>
          <w:rFonts w:ascii="Arial" w:cs="Arial" w:eastAsia="Arial" w:hAnsi="Arial"/>
          <w:sz w:val="16"/>
          <w:szCs w:val="16"/>
          <w:color w:val="auto"/>
        </w:rPr>
        <w:t>Aston. We utilize many channels of distribution, including traditional wholesale through tour operators and travel partners, online travel agencies and global distribution systems. In addition, Aqua</w:t>
      </w:r>
      <w:r>
        <w:rPr>
          <w:rFonts w:ascii="MS PGothic" w:cs="MS PGothic" w:eastAsia="MS PGothic" w:hAnsi="MS PGothic"/>
          <w:sz w:val="16"/>
          <w:szCs w:val="16"/>
          <w:color w:val="auto"/>
        </w:rPr>
        <w:t>‑</w:t>
      </w:r>
      <w:r>
        <w:rPr>
          <w:rFonts w:ascii="Arial" w:cs="Arial" w:eastAsia="Arial" w:hAnsi="Arial"/>
          <w:sz w:val="16"/>
          <w:szCs w:val="16"/>
          <w:color w:val="auto"/>
        </w:rPr>
        <w:t>Aston focuses on driving direct business through brand websites and our central reservations office. The sales team covers several market segments from corporate and government/military to travel agents and groups. We offer a variety of leisure accommodations to visitors from around the world through various consumer websites, including www.aquaaston.com, www.aquaresorts.com, www.mauicondo.com, and others.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 of VRI Americas</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On April 29, 2022, we disposed of the VRI Americas business after determining that this business was not a core component of our future growth strategy and operating model. VRI Americas was a component of our Exchange and Third-Party Management segment through the date of the sale. See Footnote 3 “Acquisitions and Dispositions” to our Financial Statements for further information regarding this disposition.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107"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relating to owners’ associations consolidated under the relevant accounting guidance (“Consolidated Property Owners’ Associations”), which are not included in operating segment resource allocation decision-making.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07"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color w:val="auto"/>
        </w:rPr>
        <w:t>Our revenue is influenced by the seasonal nature of travel. Within our Vacation Ownership segment, our sale of vacation ownership business experiences a modest impact from seasonality, with higher sales volumes during the traditional vacation periods. COVID-19 has impacted, and may continue to impact, our typical seasonal patterns. In addition, business at properties in some locations may experience a greater impact from seasonality than those in other locations.</w:t>
      </w:r>
    </w:p>
    <w:p>
      <w:pPr>
        <w:spacing w:after="0" w:line="4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Within our Exchange &amp; Third-Party Management segment, we recognize exchange and Getaways revenue based on confirmation of the vacation; revenue is generally higher in the first quarter and lower in the fourth quarter. Remaining rental revenue is recognized based on occupancy.</w:t>
      </w:r>
    </w:p>
    <w:p>
      <w:pPr>
        <w:spacing w:after="0" w:line="68"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Liquidity</w:t>
      </w:r>
      <w:r>
        <w:rPr>
          <w:rFonts w:ascii="Arial" w:cs="Arial" w:eastAsia="Arial" w:hAnsi="Arial"/>
          <w:sz w:val="17"/>
          <w:szCs w:val="17"/>
          <w:color w:val="auto"/>
        </w:rPr>
        <w:t xml:space="preserve"> within Part I, Item 7. “Management’s Discussion and Analysis of Financial Condition and Results of Operations” for information regarding the seasonality of our cash flow.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Competition</w:t>
      </w:r>
    </w:p>
    <w:p>
      <w:pPr>
        <w:spacing w:after="0" w:line="10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Competition in the vacation ownership industry is driven primarily by the quality, number and location of vacation ownership resorts, the quality and capability of the related property management program, trust in the brand, pricing of product offerings, cost of ownership (e.g., ongoing maintenance and other fees)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5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as well as alternative lodging marketplaces such as Airbnb, VRBO, and HomeAway, which offer rentals of homes and condominiums. Innovations that impact the industry may also lead to new products and services that could disrupt our business model and create new and stronger competitors.</w:t>
      </w:r>
    </w:p>
    <w:p>
      <w:pPr>
        <w:spacing w:after="0" w:line="8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81" w:lineRule="exact"/>
        <w:rPr>
          <w:sz w:val="20"/>
          <w:szCs w:val="20"/>
          <w:color w:val="auto"/>
        </w:rPr>
      </w:pPr>
    </w:p>
    <w:p>
      <w:pPr>
        <w:ind w:right="260"/>
        <w:spacing w:after="0" w:line="331" w:lineRule="auto"/>
        <w:rPr>
          <w:sz w:val="20"/>
          <w:szCs w:val="20"/>
          <w:color w:val="auto"/>
        </w:rPr>
      </w:pPr>
      <w:r>
        <w:rPr>
          <w:rFonts w:ascii="Arial" w:cs="Arial" w:eastAsia="Arial" w:hAnsi="Arial"/>
          <w:sz w:val="15"/>
          <w:szCs w:val="15"/>
          <w:color w:val="auto"/>
        </w:rPr>
        <w:t>Recent and potential future consolidation in the highly fragmented vacation ownership industry may increase competition. Consolidation may create competitors that enjoy significant advantages resulting from, among other things, a lower cost of, and greater access to, capital and enhanced operating efficiencies.</w:t>
      </w:r>
    </w:p>
    <w:p>
      <w:pPr>
        <w:spacing w:after="0" w:line="22" w:lineRule="exact"/>
        <w:rPr>
          <w:sz w:val="20"/>
          <w:szCs w:val="20"/>
          <w:color w:val="auto"/>
        </w:rPr>
      </w:pPr>
    </w:p>
    <w:p>
      <w:pPr>
        <w:ind w:right="100"/>
        <w:spacing w:after="0" w:line="202" w:lineRule="exact"/>
        <w:rPr>
          <w:sz w:val="20"/>
          <w:szCs w:val="20"/>
          <w:color w:val="auto"/>
        </w:rPr>
      </w:pPr>
      <w:r>
        <w:rPr>
          <w:rFonts w:ascii="Arial" w:cs="Arial" w:eastAsia="Arial" w:hAnsi="Arial"/>
          <w:sz w:val="17"/>
          <w:szCs w:val="17"/>
          <w:color w:val="auto"/>
        </w:rPr>
        <w:t>Our Interval International exchange business principally competes for developer and consumer market share with Travel + Leisure Co.’s subsidiary, RCI. This business also faces increasing competition from points</w:t>
      </w:r>
      <w:r>
        <w:rPr>
          <w:rFonts w:ascii="MS PGothic" w:cs="MS PGothic" w:eastAsia="MS PGothic" w:hAnsi="MS PGothic"/>
          <w:sz w:val="17"/>
          <w:szCs w:val="17"/>
          <w:color w:val="auto"/>
        </w:rPr>
        <w:t>‑</w:t>
      </w:r>
      <w:r>
        <w:rPr>
          <w:rFonts w:ascii="Arial" w:cs="Arial" w:eastAsia="Arial" w:hAnsi="Arial"/>
          <w:sz w:val="17"/>
          <w:szCs w:val="17"/>
          <w:color w:val="auto"/>
        </w:rPr>
        <w:t>based vacation clubs and large resort developers, which operate their own internal exchange systems to facilitate exchanges for owners of VOIs at their resorts as they increase in size and scope. Increased consolidation in the industry enhances this competition. In addition, vacation clubs and resort developers may have direct exchange relationships with other developers.</w:t>
      </w:r>
    </w:p>
    <w:p>
      <w:pPr>
        <w:spacing w:after="0" w:line="88"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0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business is heavily regulated and compliance with regulations has a significant impact on our results of operations. We are subject to a wide variety of complex international, national, federal, state and local laws, regulations and policies in jurisdictions around the world. We have proactively worked with industry trade associations, including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w:t>
      </w:r>
    </w:p>
    <w:p>
      <w:pPr>
        <w:spacing w:after="0" w:line="81"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Some laws, regulations and policies may impact multiple areas of our business, such as securities, anti-discrimination, anti-fraud, Americans with Disabilities Act, data protection and security, anti-corruption and bribery laws and regulations or government economic sanctions, including applicable regulations of the Consumer Financial Protection Bureau (the “CFPB”), the U.S. Department of the Treasury’s Office of Foreign Asset Control and the U.S. Foreign Corrupt Practices Act (the “FCPA”). The FCPA and similar anti-corruption and bribery laws in other jurisdictions generally prohibit companies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1" w:name="page22"/>
    <w:bookmarkEnd w:id="21"/>
    <w:p>
      <w:pPr>
        <w:ind w:right="160"/>
        <w:spacing w:after="0" w:line="295" w:lineRule="auto"/>
        <w:rPr>
          <w:sz w:val="20"/>
          <w:szCs w:val="20"/>
          <w:color w:val="auto"/>
        </w:rPr>
      </w:pPr>
      <w:r>
        <w:rPr>
          <w:rFonts w:ascii="Arial" w:cs="Arial" w:eastAsia="Arial" w:hAnsi="Arial"/>
          <w:sz w:val="15"/>
          <w:szCs w:val="15"/>
          <w:color w:val="auto"/>
        </w:rPr>
        <w:t>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laws and regulations enacted in the United States and other jurisdictions around the world. Other laws, regulations and policies primarily affect one of five areas of our business: real estate development activities; marketing and sales activities; lending activities; resort management activities; and exchange and travel activities.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Development Regulation</w:t>
      </w:r>
    </w:p>
    <w:p>
      <w:pPr>
        <w:spacing w:after="0" w:line="103"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Sales Regulation</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Many jurisdictions, including in the United States, Asia Pacific and Europe, require that we file detailed registration or offering statements with regulatory authorities disclosing certain information regarding the VOIs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 (1) 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73"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 Marriott Vacation Club Destinations, Australia points-based program is subject to regulation as a “managed investment scheme” by the Australian Securities &amp; Investments Commission. In some countries, our vacation ownership products are marketed by third-party brokers.</w:t>
      </w:r>
    </w:p>
    <w:p>
      <w:pPr>
        <w:spacing w:after="0" w:line="6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Laws in many jurisdictions in which we sell VOIs grant the purchaser of a VOI the right to cancel a purchase contract during a specified rescission period following the later of the date the contract was signed or the date the purchaser received the last of the documents required to be provided by us.</w:t>
      </w:r>
    </w:p>
    <w:p>
      <w:pPr>
        <w:spacing w:after="0" w:line="4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Regulators in many jurisdictions have increased regulations and enforcement actions related to telemarketing operations, including requiring adherence to the federal Telephone Consumer Protection Act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2" w:name="page23"/>
    <w:bookmarkEnd w:id="22"/>
    <w:p>
      <w:pPr>
        <w:ind w:right="540"/>
        <w:spacing w:after="0" w:line="366" w:lineRule="auto"/>
        <w:rPr>
          <w:sz w:val="20"/>
          <w:szCs w:val="20"/>
          <w:color w:val="auto"/>
        </w:rPr>
      </w:pPr>
      <w:r>
        <w:rPr>
          <w:rFonts w:ascii="Arial" w:cs="Arial" w:eastAsia="Arial" w:hAnsi="Arial"/>
          <w:sz w:val="17"/>
          <w:szCs w:val="17"/>
          <w:color w:val="auto"/>
        </w:rPr>
        <w:t xml:space="preserve">placed on federal or state “do not call” lists, including subscribing to the federal and certain state “do not call” lists, and maintaining an internal “do not call” list. </w:t>
      </w:r>
      <w:r>
        <w:rPr>
          <w:rFonts w:ascii="Arial" w:cs="Arial" w:eastAsia="Arial" w:hAnsi="Arial"/>
          <w:sz w:val="17"/>
          <w:szCs w:val="17"/>
          <w:i w:val="1"/>
          <w:iCs w:val="1"/>
          <w:color w:val="auto"/>
        </w:rPr>
        <w:t>Lending Regulation</w:t>
      </w:r>
    </w:p>
    <w:p>
      <w:pPr>
        <w:spacing w:after="0" w:line="1"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Our lending activities are subject to a number of laws and regulations, including those of applicable supervisory, regulatory and enforcement agencies such as, in the United States, the CFPB,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Resort Management Regulation</w:t>
      </w:r>
    </w:p>
    <w:p>
      <w:pPr>
        <w:spacing w:after="0" w:line="103"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Our resort management activities are subject to laws and regulations regarding community association management, timeshare and condominium management (including real estate broker licensing), public lodging, food and beverage services (including liquor licensing), labor, employment, health care, health and safety, accessibility, discrimination, immigration, gaming, certain communication devices, transient rentals, structural audits of improvements and reserve accounts associated with such improvements, and the environment (including climate change). In addition, many jurisdictions in which we manage our resorts have statutory provisions that limit the duration of the initial and renewal terms of our management agreements for owners’ associations or permit the owners’ association for a resort to terminate our management agreement under certain circumstances (for example, upon a super-majority vote of the owners), even if we are not in default under the agreement.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 and Travel Regulations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Many jurisdictions regulate businesses engaged in timeshare exchange activity, typically requiring annual filing of prescribed disclosures with regulatory agencies. Such disclosure must be provided to persons enrolling in a timeshare exchange program prior to completion of enrollment. The disclosure generally provides information on the terms and conditions of membership as well as audited key operating statistics of the exchange program.</w:t>
      </w:r>
    </w:p>
    <w:p>
      <w:pPr>
        <w:spacing w:after="0" w:line="60"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In connection with our exchange businesses, we also offer other travel-related products and services that are subject to regulation in certain jurisdictions, including requirements that we register as a “seller of travel” and comply with applicable bonding and disclosure requirements. Additionally, operation of our travel membership programs can trigger requirements that we register as a discount buying organization. Other products and services we offer (e.g., travel insurance) are subject to regulations imposed on our suppliers, and as a result we are subject to travel reseller requirements and licensing in certain jurisdictions.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Compliance and Awareness</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has not had a material impact on our capital expenditures, earnings or competitive position, nor do we anticipate that such compliance will have a material impact in the future.</w:t>
      </w:r>
    </w:p>
    <w:p>
      <w:pPr>
        <w:spacing w:after="0" w:line="53" w:lineRule="exact"/>
        <w:rPr>
          <w:sz w:val="20"/>
          <w:szCs w:val="20"/>
          <w:color w:val="auto"/>
        </w:rPr>
      </w:pPr>
    </w:p>
    <w:p>
      <w:pPr>
        <w:jc w:val="both"/>
        <w:ind w:right="360"/>
        <w:spacing w:after="0" w:line="277" w:lineRule="auto"/>
        <w:rPr>
          <w:sz w:val="20"/>
          <w:szCs w:val="20"/>
          <w:color w:val="auto"/>
        </w:rPr>
      </w:pPr>
      <w:r>
        <w:rPr>
          <w:rFonts w:ascii="Arial" w:cs="Arial" w:eastAsia="Arial" w:hAnsi="Arial"/>
          <w:sz w:val="16"/>
          <w:szCs w:val="16"/>
          <w:color w:val="auto"/>
        </w:rPr>
        <w:t>We do not exercise complete control over all resorts and properties that we manage; rather, our control over these properties is generally limited by the terms of the applicable management agreements. As a result, our ability to achieve some or all of our environmental, social, and governance (“ESG”) initiatives or goals may be limited without additional support or action by the owners of those resorts and properties we manage.</w:t>
      </w:r>
    </w:p>
    <w:p>
      <w:pPr>
        <w:spacing w:after="0" w:line="6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take our commitment to protecting the environment seriously. We have collaborated with Audubon International to further the “greening” of our Marriott Vacation Club resorts in the U.S. through the Audubon Green Leaf Eco-Rating Program for Hotels. The Audubon partnership is just one of several programs incorporated into our green initiatives. We have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23" w:name="page24"/>
    <w:bookmarkEnd w:id="23"/>
    <w:p>
      <w:pPr>
        <w:jc w:val="both"/>
        <w:ind w:right="240"/>
        <w:spacing w:after="0" w:line="277" w:lineRule="auto"/>
        <w:rPr>
          <w:sz w:val="20"/>
          <w:szCs w:val="20"/>
          <w:color w:val="auto"/>
        </w:rPr>
      </w:pPr>
      <w:r>
        <w:rPr>
          <w:rFonts w:ascii="Arial" w:cs="Arial" w:eastAsia="Arial" w:hAnsi="Arial"/>
          <w:sz w:val="16"/>
          <w:szCs w:val="16"/>
          <w:color w:val="auto"/>
        </w:rPr>
        <w:t>more than 20 years of energy conservation experience that we have put to use in implementing our environmental strategy across each of our segments. This strategy includes further reducing energy and water consumption, expanding our portfolio of green resorts, including LEED (Leadership in Energy &amp; Environmental Design) certification, educating and inspiring associates and guests to support the environment, and embracing innovation.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recognize that to remain a leader in our industry, we must recruit, motivate, and retain the talented associates who make up our global workforce. With that focus in mind, we implement programs and initiatives rooted in our Core Values: Caring Culture, Integrity First, Excellence Always, Customer Obsessed, and Better Together. Our approach is thoughtfully designed to attract, develop, retain, and engage our associates by:</w:t>
      </w:r>
    </w:p>
    <w:p>
      <w:pPr>
        <w:spacing w:after="0" w:line="26" w:lineRule="exact"/>
        <w:rPr>
          <w:sz w:val="20"/>
          <w:szCs w:val="20"/>
          <w:color w:val="auto"/>
        </w:rPr>
      </w:pPr>
    </w:p>
    <w:p>
      <w:pPr>
        <w:ind w:left="600" w:hanging="30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offering competitive, fair, and transparent compensation and benefits;</w:t>
      </w:r>
    </w:p>
    <w:p>
      <w:pPr>
        <w:spacing w:after="0" w:line="53" w:lineRule="exact"/>
        <w:rPr>
          <w:rFonts w:ascii="Arial" w:cs="Arial" w:eastAsia="Arial" w:hAnsi="Arial"/>
          <w:sz w:val="17"/>
          <w:szCs w:val="17"/>
          <w:color w:val="auto"/>
        </w:rPr>
      </w:pPr>
    </w:p>
    <w:p>
      <w:pPr>
        <w:ind w:left="600" w:hanging="30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supporting the overall well-being of our associates physically, mentally, and socially;</w:t>
      </w:r>
    </w:p>
    <w:p>
      <w:pPr>
        <w:spacing w:after="0" w:line="53" w:lineRule="exact"/>
        <w:rPr>
          <w:rFonts w:ascii="Arial" w:cs="Arial" w:eastAsia="Arial" w:hAnsi="Arial"/>
          <w:sz w:val="17"/>
          <w:szCs w:val="17"/>
          <w:color w:val="auto"/>
        </w:rPr>
      </w:pPr>
    </w:p>
    <w:p>
      <w:pPr>
        <w:ind w:left="600" w:hanging="30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creating opportunities for associate growth, development, recognition, training, and education; and</w:t>
      </w:r>
    </w:p>
    <w:p>
      <w:pPr>
        <w:spacing w:after="0" w:line="53" w:lineRule="exact"/>
        <w:rPr>
          <w:rFonts w:ascii="Arial" w:cs="Arial" w:eastAsia="Arial" w:hAnsi="Arial"/>
          <w:sz w:val="17"/>
          <w:szCs w:val="17"/>
          <w:color w:val="auto"/>
        </w:rPr>
      </w:pPr>
    </w:p>
    <w:p>
      <w:pPr>
        <w:ind w:left="600" w:right="380" w:hanging="302"/>
        <w:spacing w:after="0" w:line="264"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promoting an inclusive and diverse workplace, where all individuals are respected regardless of their age, race, national origin, gender, religion, disability, sexual orientation, or other lived experiences.</w:t>
      </w:r>
    </w:p>
    <w:p>
      <w:pPr>
        <w:spacing w:after="0" w:line="68"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As of December 31, 2022, we had a global workforce consisting of approximately 21,400 associates, of which approximately 17,400 (81%) were based in the United States and approximately 4,000 (19%) were based in international locations.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Inclusion and Diversity</w:t>
      </w:r>
    </w:p>
    <w:p>
      <w:pPr>
        <w:spacing w:after="0" w:line="10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As a leisure-focused company, we are in the business of bringing people together. Like our customers, our associates come from diverse backgrounds, offering invaluably distinct experiences and perspectives. Women comprise 54% of our worldwide workforce, and men comprise 46%. Within the United States, people of color comprise 50% of our management level positions and women comprise 49% of our management level positions. We continue to leverage recruiting efforts focused on placing women and people of color into management roles.</w:t>
      </w:r>
    </w:p>
    <w:p>
      <w:pPr>
        <w:spacing w:after="0" w:line="7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2022, our inclusion and diversity efforts focused on reinforcing our core values by championing an inclusive work environment for our associates and executing key initiatives, including through associate engagement events, feedback mechanisms, and associate training programs. We also continued our work toward increasing diverse representation within our leadership pipelines for executive and senior leadership roles.</w:t>
      </w:r>
    </w:p>
    <w:p>
      <w:pPr>
        <w:spacing w:after="0" w:line="7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Our highest rated dimension on our 2022 annual associate engagement survey was associates’ perceptions of inclusion and diversity at 87% based on their assessment of leaders’ support for inclusion and diversity, service to customers with diverse backgrounds, respect and well-being of all people comes first at MVW, a work environment that is accepting of diverse backgrounds and ways of thinking and all backgrounds are encouraged to pursue their career aspirations at MVW.</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In 2022, the Company adopted its inclusion and diversity commitment statement, which states:</w:t>
      </w:r>
    </w:p>
    <w:p>
      <w:pPr>
        <w:spacing w:after="0" w:line="103" w:lineRule="exact"/>
        <w:rPr>
          <w:sz w:val="20"/>
          <w:szCs w:val="20"/>
          <w:color w:val="auto"/>
        </w:rPr>
      </w:pPr>
    </w:p>
    <w:p>
      <w:pPr>
        <w:jc w:val="both"/>
        <w:ind w:left="300" w:right="100"/>
        <w:spacing w:after="0" w:line="254" w:lineRule="auto"/>
        <w:rPr>
          <w:sz w:val="20"/>
          <w:szCs w:val="20"/>
          <w:color w:val="auto"/>
        </w:rPr>
      </w:pPr>
      <w:r>
        <w:rPr>
          <w:rFonts w:ascii="Arial" w:cs="Arial" w:eastAsia="Arial" w:hAnsi="Arial"/>
          <w:sz w:val="17"/>
          <w:szCs w:val="17"/>
          <w:i w:val="1"/>
          <w:iCs w:val="1"/>
          <w:color w:val="auto"/>
        </w:rPr>
        <w:t>MVW is committed to advancing and cultivating inclusion and diversity in all aspects of our business. We provide treasured vacation experiences to our customers around the world, and foster an inclusive, diverse, and caring work environment for our associates. We support a life fulfilled for all individuals and embrace that we are better together.</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Associate Development</w:t>
      </w:r>
    </w:p>
    <w:p>
      <w:pPr>
        <w:spacing w:after="0" w:line="103"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We seek to cultivate a learning-rich environment where associates are prepared to succeed, are encouraged to grow their careers, and are motivated to serve our owners, members, and guests. Our Global Talent Management team develops and deploys programs and resources for all our associates. Our learning programs are one of the many features that make our Company a desirable place to start and cultivate a fulfilling career, with increased opportunities for growth.</w:t>
      </w:r>
    </w:p>
    <w:p>
      <w:pPr>
        <w:spacing w:after="0" w:line="41"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Our Global Talent Management team is also committed to providing our leaders with the opportunity to develop their leadership skills and equip leaders with the skills they need to create a positive work environment for all associates. We offer a leadership development program that provides associates with tools, resources, and practices that we believe are important to becoming successful leaders and strengthening our diverse talent pipeline. We also offer tuition reimbursement to our associates. We believe that these efforts help us continue to support leaders in building leadership skills for the future.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Collective Bargaining Agreements</w:t>
      </w:r>
    </w:p>
    <w:p>
      <w:pPr>
        <w:spacing w:after="0" w:line="103"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We are party to collective bargaining agreements in the United States, Spain, and Mexico, primarily with regard to employees working in food service, laundry, and hospitality and tourism.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2" w:right="37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Human Rights</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maintain a Human Rights Policy that aligns with government, business, and public concerns about issues such as human trafficking and the exploitation of children. We do not recruit child labor, and we support programs and partnerships that help at-risk youth and their families prepare for and find meaningful employment. Our Human Rights Policy is available on our website at (www.marriottvacationsworldwide.com) under the “Investor Relations” tab.</w:t>
      </w:r>
    </w:p>
    <w:p>
      <w:pPr>
        <w:spacing w:after="0" w:line="60" w:lineRule="exact"/>
        <w:rPr>
          <w:sz w:val="20"/>
          <w:szCs w:val="20"/>
          <w:color w:val="auto"/>
        </w:rPr>
      </w:pPr>
    </w:p>
    <w:p>
      <w:pPr>
        <w:ind w:right="240"/>
        <w:spacing w:after="0" w:line="304" w:lineRule="auto"/>
        <w:rPr>
          <w:sz w:val="20"/>
          <w:szCs w:val="20"/>
          <w:color w:val="auto"/>
        </w:rPr>
      </w:pPr>
      <w:r>
        <w:rPr>
          <w:rFonts w:ascii="Arial" w:cs="Arial" w:eastAsia="Arial" w:hAnsi="Arial"/>
          <w:sz w:val="15"/>
          <w:szCs w:val="15"/>
          <w:color w:val="auto"/>
        </w:rPr>
        <w:t>We also have a human trafficking awareness training course that promotes our Human Rights Policy and core values. We recognize the risks associated with human trafficking in our properties and have implemented training for our property-based associates to be able to recognize and report suspected cases of human trafficking. Our training in the U.S., U.S. Virgin Islands, and Puerto Rico was developed based upon best practices established by federal law enforcement agencies.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Our investor relations website address is www.ir.mvwc.com.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certain information with respect to our executive officers. The information set forth below is as of February 27, 2023, except where indicated.</w:t>
      </w:r>
    </w:p>
    <w:p>
      <w:pPr>
        <w:sectPr>
          <w:pgSz w:w="11900" w:h="16838" w:orient="portrait"/>
          <w:cols w:equalWidth="0" w:num="1">
            <w:col w:w="11200"/>
          </w:cols>
          <w:pgMar w:left="320" w:top="1122" w:right="379" w:bottom="1440" w:gutter="0" w:footer="0" w:header="0"/>
        </w:sectPr>
      </w:pPr>
    </w:p>
    <w:p>
      <w:pPr>
        <w:spacing w:after="0" w:line="152" w:lineRule="exact"/>
        <w:rPr>
          <w:sz w:val="20"/>
          <w:szCs w:val="20"/>
          <w:color w:val="auto"/>
        </w:rPr>
      </w:pPr>
    </w:p>
    <w:p>
      <w:pPr>
        <w:ind w:left="1460"/>
        <w:spacing w:after="0"/>
        <w:tabs>
          <w:tab w:leader="none" w:pos="3580" w:val="left"/>
        </w:tabs>
        <w:rPr>
          <w:sz w:val="20"/>
          <w:szCs w:val="20"/>
          <w:color w:val="auto"/>
        </w:rPr>
      </w:pPr>
      <w:r>
        <w:rPr>
          <w:rFonts w:ascii="Arial" w:cs="Arial" w:eastAsia="Arial" w:hAnsi="Arial"/>
          <w:sz w:val="15"/>
          <w:szCs w:val="15"/>
          <w:b w:val="1"/>
          <w:bCs w:val="1"/>
          <w:color w:val="auto"/>
        </w:rPr>
        <w:t>Name and Title</w:t>
      </w:r>
      <w:r>
        <w:rPr>
          <w:sz w:val="20"/>
          <w:szCs w:val="20"/>
          <w:color w:val="auto"/>
        </w:rPr>
        <w:tab/>
      </w:r>
      <w:r>
        <w:rPr>
          <w:rFonts w:ascii="Arial" w:cs="Arial" w:eastAsia="Arial" w:hAnsi="Arial"/>
          <w:sz w:val="13"/>
          <w:szCs w:val="13"/>
          <w:b w:val="1"/>
          <w:bCs w:val="1"/>
          <w:color w:val="auto"/>
        </w:rPr>
        <w:t>Age</w:t>
      </w:r>
    </w:p>
    <w:p>
      <w:pPr>
        <w:spacing w:after="0" w:line="200" w:lineRule="exact"/>
        <w:rPr>
          <w:sz w:val="20"/>
          <w:szCs w:val="20"/>
          <w:color w:val="auto"/>
        </w:rPr>
      </w:pPr>
    </w:p>
    <w:p>
      <w:pPr>
        <w:spacing w:after="0" w:line="367"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John E. Geller, Jr.</w:t>
      </w:r>
    </w:p>
    <w:p>
      <w:pPr>
        <w:ind w:left="1460"/>
        <w:spacing w:after="0" w:line="227" w:lineRule="auto"/>
        <w:tabs>
          <w:tab w:leader="none" w:pos="3620" w:val="left"/>
        </w:tabs>
        <w:rPr>
          <w:sz w:val="20"/>
          <w:szCs w:val="20"/>
          <w:color w:val="auto"/>
        </w:rPr>
      </w:pPr>
      <w:r>
        <w:rPr>
          <w:rFonts w:ascii="Arial" w:cs="Arial" w:eastAsia="Arial" w:hAnsi="Arial"/>
          <w:sz w:val="17"/>
          <w:szCs w:val="17"/>
          <w:color w:val="auto"/>
        </w:rPr>
        <w:t>President and Chief</w:t>
      </w:r>
      <w:r>
        <w:rPr>
          <w:sz w:val="20"/>
          <w:szCs w:val="20"/>
          <w:color w:val="auto"/>
        </w:rPr>
        <w:tab/>
      </w:r>
      <w:r>
        <w:rPr>
          <w:rFonts w:ascii="Arial" w:cs="Arial" w:eastAsia="Arial" w:hAnsi="Arial"/>
          <w:sz w:val="16"/>
          <w:szCs w:val="16"/>
          <w:color w:val="auto"/>
        </w:rPr>
        <w:t>55</w:t>
      </w:r>
    </w:p>
    <w:p>
      <w:pPr>
        <w:jc w:val="center"/>
        <w:ind w:left="240"/>
        <w:spacing w:after="0"/>
        <w:rPr>
          <w:sz w:val="20"/>
          <w:szCs w:val="20"/>
          <w:color w:val="auto"/>
        </w:rPr>
      </w:pPr>
      <w:r>
        <w:rPr>
          <w:rFonts w:ascii="Arial" w:cs="Arial" w:eastAsia="Arial" w:hAnsi="Arial"/>
          <w:sz w:val="15"/>
          <w:szCs w:val="15"/>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Anthony E. Terry</w:t>
      </w:r>
    </w:p>
    <w:p>
      <w:pPr>
        <w:ind w:left="1460"/>
        <w:spacing w:after="0" w:line="227" w:lineRule="auto"/>
        <w:tabs>
          <w:tab w:leader="none" w:pos="3620" w:val="left"/>
        </w:tabs>
        <w:rPr>
          <w:sz w:val="20"/>
          <w:szCs w:val="20"/>
          <w:color w:val="auto"/>
        </w:rPr>
      </w:pPr>
      <w:r>
        <w:rPr>
          <w:rFonts w:ascii="Arial" w:cs="Arial" w:eastAsia="Arial" w:hAnsi="Arial"/>
          <w:sz w:val="17"/>
          <w:szCs w:val="17"/>
          <w:color w:val="auto"/>
        </w:rPr>
        <w:t>Executive Vice President</w:t>
      </w:r>
      <w:r>
        <w:rPr>
          <w:sz w:val="20"/>
          <w:szCs w:val="20"/>
          <w:color w:val="auto"/>
        </w:rPr>
        <w:tab/>
      </w:r>
      <w:r>
        <w:rPr>
          <w:rFonts w:ascii="Arial" w:cs="Arial" w:eastAsia="Arial" w:hAnsi="Arial"/>
          <w:sz w:val="16"/>
          <w:szCs w:val="16"/>
          <w:color w:val="auto"/>
        </w:rPr>
        <w:t>55</w:t>
      </w:r>
    </w:p>
    <w:p>
      <w:pPr>
        <w:ind w:left="1460"/>
        <w:spacing w:after="0"/>
        <w:rPr>
          <w:sz w:val="20"/>
          <w:szCs w:val="20"/>
          <w:color w:val="auto"/>
        </w:rPr>
      </w:pPr>
      <w:r>
        <w:rPr>
          <w:rFonts w:ascii="Arial" w:cs="Arial" w:eastAsia="Arial" w:hAnsi="Arial"/>
          <w:sz w:val="17"/>
          <w:szCs w:val="17"/>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Stephanie S. Butera</w:t>
      </w:r>
    </w:p>
    <w:p>
      <w:pPr>
        <w:ind w:left="1460"/>
        <w:spacing w:after="0" w:line="213" w:lineRule="auto"/>
        <w:rPr>
          <w:sz w:val="20"/>
          <w:szCs w:val="20"/>
          <w:color w:val="auto"/>
        </w:rPr>
      </w:pPr>
      <w:r>
        <w:rPr>
          <w:rFonts w:ascii="Arial" w:cs="Arial" w:eastAsia="Arial" w:hAnsi="Arial"/>
          <w:sz w:val="17"/>
          <w:szCs w:val="17"/>
          <w:color w:val="auto"/>
        </w:rPr>
        <w:t>Executive Vice President</w:t>
      </w:r>
    </w:p>
    <w:p>
      <w:pPr>
        <w:ind w:left="1460"/>
        <w:spacing w:after="0" w:line="211" w:lineRule="auto"/>
        <w:tabs>
          <w:tab w:leader="none" w:pos="3620" w:val="left"/>
        </w:tabs>
        <w:rPr>
          <w:sz w:val="20"/>
          <w:szCs w:val="20"/>
          <w:color w:val="auto"/>
        </w:rPr>
      </w:pPr>
      <w:r>
        <w:rPr>
          <w:rFonts w:ascii="Arial" w:cs="Arial" w:eastAsia="Arial" w:hAnsi="Arial"/>
          <w:sz w:val="17"/>
          <w:szCs w:val="17"/>
          <w:color w:val="auto"/>
        </w:rPr>
        <w:t>and Chief Operating</w:t>
      </w:r>
      <w:r>
        <w:rPr>
          <w:sz w:val="20"/>
          <w:szCs w:val="20"/>
          <w:color w:val="auto"/>
        </w:rPr>
        <w:tab/>
      </w:r>
      <w:r>
        <w:rPr>
          <w:rFonts w:ascii="Arial" w:cs="Arial" w:eastAsia="Arial" w:hAnsi="Arial"/>
          <w:sz w:val="16"/>
          <w:szCs w:val="16"/>
          <w:color w:val="auto"/>
        </w:rPr>
        <w:t>51</w:t>
      </w:r>
    </w:p>
    <w:p>
      <w:pPr>
        <w:ind w:left="1460"/>
        <w:spacing w:after="0" w:line="199" w:lineRule="auto"/>
        <w:rPr>
          <w:sz w:val="20"/>
          <w:szCs w:val="20"/>
          <w:color w:val="auto"/>
        </w:rPr>
      </w:pPr>
      <w:r>
        <w:rPr>
          <w:rFonts w:ascii="Arial" w:cs="Arial" w:eastAsia="Arial" w:hAnsi="Arial"/>
          <w:sz w:val="17"/>
          <w:szCs w:val="17"/>
          <w:color w:val="auto"/>
        </w:rPr>
        <w:t>Officer, Hyatt Vacation</w:t>
      </w:r>
    </w:p>
    <w:p>
      <w:pPr>
        <w:ind w:left="1460"/>
        <w:spacing w:after="0"/>
        <w:rPr>
          <w:sz w:val="20"/>
          <w:szCs w:val="20"/>
          <w:color w:val="auto"/>
        </w:rPr>
      </w:pPr>
      <w:r>
        <w:rPr>
          <w:rFonts w:ascii="Arial" w:cs="Arial" w:eastAsia="Arial" w:hAnsi="Arial"/>
          <w:sz w:val="17"/>
          <w:szCs w:val="17"/>
          <w:color w:val="auto"/>
        </w:rPr>
        <w:t>Ownership</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420"/>
        <w:spacing w:after="0"/>
        <w:rPr>
          <w:sz w:val="20"/>
          <w:szCs w:val="20"/>
          <w:color w:val="auto"/>
        </w:rPr>
      </w:pPr>
      <w:r>
        <w:rPr>
          <w:rFonts w:ascii="Arial" w:cs="Arial" w:eastAsia="Arial" w:hAnsi="Arial"/>
          <w:sz w:val="15"/>
          <w:szCs w:val="15"/>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16510</wp:posOffset>
            </wp:positionV>
            <wp:extent cx="5309870" cy="1050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09870" cy="1050925"/>
                    </a:xfrm>
                    <a:prstGeom prst="rect">
                      <a:avLst/>
                    </a:prstGeom>
                    <a:noFill/>
                  </pic:spPr>
                </pic:pic>
              </a:graphicData>
            </a:graphic>
          </wp:anchor>
        </w:drawing>
      </w:r>
    </w:p>
    <w:p>
      <w:pPr>
        <w:spacing w:after="0" w:line="31" w:lineRule="exact"/>
        <w:rPr>
          <w:sz w:val="20"/>
          <w:szCs w:val="20"/>
          <w:color w:val="auto"/>
        </w:rPr>
      </w:pPr>
    </w:p>
    <w:p>
      <w:pPr>
        <w:ind w:right="1440"/>
        <w:spacing w:after="0" w:line="323" w:lineRule="auto"/>
        <w:rPr>
          <w:sz w:val="20"/>
          <w:szCs w:val="20"/>
          <w:color w:val="auto"/>
        </w:rPr>
      </w:pPr>
      <w:r>
        <w:rPr>
          <w:rFonts w:ascii="Arial" w:cs="Arial" w:eastAsia="Arial" w:hAnsi="Arial"/>
          <w:sz w:val="13"/>
          <w:szCs w:val="13"/>
          <w:color w:val="auto"/>
        </w:rPr>
        <w:t>John E. Geller, Jr. succeeded Mr. Weisz as our President and Chief Executive Officer effective January 1, 2023. Mr. Geller has served as our President since October 2021. From January 2021 to October 2021, he served as our President and Chief Financial Officer. From January 2018 to January 2021, he served as our Executive Vice President and Chief Financial and Administrative Officer. From 2009 to December 2017, he served as our Executive Vice President and Chief Financial Officer.</w:t>
      </w:r>
    </w:p>
    <w:p>
      <w:pPr>
        <w:ind w:right="1560"/>
        <w:spacing w:after="0" w:line="248" w:lineRule="auto"/>
        <w:rPr>
          <w:sz w:val="20"/>
          <w:szCs w:val="20"/>
          <w:color w:val="auto"/>
        </w:rPr>
      </w:pPr>
      <w:r>
        <w:rPr>
          <w:rFonts w:ascii="Arial" w:cs="Arial" w:eastAsia="Arial" w:hAnsi="Arial"/>
          <w:sz w:val="17"/>
          <w:szCs w:val="17"/>
          <w:color w:val="auto"/>
        </w:rPr>
        <w:t>Mr. Geller joined Marriott International in 2005 as Senior Vice President and Chief Audit Executive and Information Security Officer.</w:t>
      </w:r>
    </w:p>
    <w:p>
      <w:pPr>
        <w:spacing w:after="0" w:line="31" w:lineRule="exact"/>
        <w:rPr>
          <w:sz w:val="20"/>
          <w:szCs w:val="20"/>
          <w:color w:val="auto"/>
        </w:rPr>
      </w:pPr>
    </w:p>
    <w:p>
      <w:pPr>
        <w:ind w:right="1700"/>
        <w:spacing w:after="0" w:line="290" w:lineRule="auto"/>
        <w:rPr>
          <w:sz w:val="20"/>
          <w:szCs w:val="20"/>
          <w:color w:val="auto"/>
        </w:rPr>
      </w:pPr>
      <w:r>
        <w:rPr>
          <w:rFonts w:ascii="Arial" w:cs="Arial" w:eastAsia="Arial" w:hAnsi="Arial"/>
          <w:sz w:val="15"/>
          <w:szCs w:val="15"/>
          <w:color w:val="auto"/>
        </w:rPr>
        <w:t>Anthony E. Terry has served as our Executive Vice President and Chief Financial Officer since October 2021. From July 2005 to September 2021, he served as our Senior Vice President, Global Operational Finance. From October 2001 to June 2005, he served as our Vice President of Product Supply Management. Mr. Terry began his career with the Company in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-5080</wp:posOffset>
            </wp:positionV>
            <wp:extent cx="5309870" cy="1169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09870" cy="1169670"/>
                    </a:xfrm>
                    <a:prstGeom prst="rect">
                      <a:avLst/>
                    </a:prstGeom>
                    <a:noFill/>
                  </pic:spPr>
                </pic:pic>
              </a:graphicData>
            </a:graphic>
          </wp:anchor>
        </w:drawing>
      </w:r>
    </w:p>
    <w:p>
      <w:pPr>
        <w:ind w:right="1520"/>
        <w:spacing w:after="0" w:line="283" w:lineRule="auto"/>
        <w:rPr>
          <w:sz w:val="20"/>
          <w:szCs w:val="20"/>
          <w:color w:val="auto"/>
        </w:rPr>
      </w:pPr>
      <w:r>
        <w:rPr>
          <w:rFonts w:ascii="Arial" w:cs="Arial" w:eastAsia="Arial" w:hAnsi="Arial"/>
          <w:sz w:val="15"/>
          <w:szCs w:val="15"/>
          <w:color w:val="auto"/>
        </w:rPr>
        <w:t>Stephanie Sobeck Butera has served as our Executive Vice President and Chief Operating Officer, Hyatt Vacation Ownership since January 2023. She served as our Senior Vice President and Chief Operating Officer, Hyatt Vacation Ownership from April 2021 to December 2022. Prior to leading Hyatt Vacation Ownership, Ms. Sobeck Butera held a number of leadership positions with the Company, serving as Vice President, Asset Management for The Ritz-Carlton Destination Club from August 2014 to October 2018, before moving into the position of Senior Vice President, Vacation Ownership for the Americas, Florida, Mexico, and Caribbean from October 2018 to April 2021. Ms. Sobeck Butera joined the Company in 1999.</w:t>
      </w:r>
    </w:p>
    <w:p>
      <w:pPr>
        <w:spacing w:after="0" w:line="200" w:lineRule="exact"/>
        <w:rPr>
          <w:sz w:val="20"/>
          <w:szCs w:val="20"/>
          <w:color w:val="auto"/>
        </w:rPr>
      </w:pPr>
    </w:p>
    <w:p>
      <w:pPr>
        <w:sectPr>
          <w:pgSz w:w="11900" w:h="16838" w:orient="portrait"/>
          <w:cols w:equalWidth="0" w:num="2">
            <w:col w:w="3860" w:space="260"/>
            <w:col w:w="7080"/>
          </w:cols>
          <w:pgMar w:left="320" w:top="1122" w:right="37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85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2" w:right="37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 and Title</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Age</w:t>
            </w:r>
          </w:p>
        </w:tc>
        <w:tc>
          <w:tcPr>
            <w:tcW w:w="140" w:type="dxa"/>
            <w:vAlign w:val="bottom"/>
          </w:tcPr>
          <w:p>
            <w:pPr>
              <w:spacing w:after="0"/>
              <w:rPr>
                <w:sz w:val="17"/>
                <w:szCs w:val="17"/>
                <w:color w:val="auto"/>
              </w:rPr>
            </w:pPr>
          </w:p>
        </w:tc>
        <w:tc>
          <w:tcPr>
            <w:tcW w:w="5700" w:type="dxa"/>
            <w:vAlign w:val="bottom"/>
            <w:tcBorders>
              <w:bottom w:val="single" w:sz="8" w:color="auto"/>
            </w:tcBorders>
          </w:tcPr>
          <w:p>
            <w:pPr>
              <w:ind w:left="2200"/>
              <w:spacing w:after="0"/>
              <w:rPr>
                <w:sz w:val="20"/>
                <w:szCs w:val="20"/>
                <w:color w:val="auto"/>
              </w:rPr>
            </w:pPr>
            <w:r>
              <w:rPr>
                <w:rFonts w:ascii="Arial" w:cs="Arial" w:eastAsia="Arial" w:hAnsi="Arial"/>
                <w:sz w:val="15"/>
                <w:szCs w:val="15"/>
                <w:b w:val="1"/>
                <w:bCs w:val="1"/>
                <w:color w:val="auto"/>
              </w:rPr>
              <w:t>Business Experience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Lori Gustafson joined the company in November 2020 and serves as our Executive</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Vice President and Chief Brand and Digital Officer. From May 2019 to November</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2020, she served as Senior Vice President, Global Brands &amp; Digital for Wyndham</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Destinations, where she was responsible for brand management and digital</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marketing. From January 2018 to May 2019, she served as Vice President, Brand</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7"/>
                <w:szCs w:val="17"/>
                <w:color w:val="auto"/>
              </w:rPr>
              <w:t>Lori M. Gustafson</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Marketing, where she was responsible for brand management, campaign</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4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development and advertising. From July 2017 to January 2018, she served as</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2060" w:type="dxa"/>
            <w:vAlign w:val="bottom"/>
            <w:gridSpan w:val="2"/>
          </w:tcPr>
          <w:p>
            <w:pPr>
              <w:ind w:left="20"/>
              <w:spacing w:after="0" w:line="124" w:lineRule="exact"/>
              <w:rPr>
                <w:sz w:val="20"/>
                <w:szCs w:val="20"/>
                <w:color w:val="auto"/>
              </w:rPr>
            </w:pPr>
            <w:r>
              <w:rPr>
                <w:rFonts w:ascii="Arial" w:cs="Arial" w:eastAsia="Arial" w:hAnsi="Arial"/>
                <w:sz w:val="13"/>
                <w:szCs w:val="13"/>
                <w:color w:val="auto"/>
              </w:rPr>
              <w:t>Executive Vice President</w:t>
            </w:r>
          </w:p>
        </w:tc>
        <w:tc>
          <w:tcPr>
            <w:tcW w:w="460" w:type="dxa"/>
            <w:vAlign w:val="bottom"/>
            <w:vMerge w:val="restart"/>
          </w:tcPr>
          <w:p>
            <w:pPr>
              <w:jc w:val="center"/>
              <w:spacing w:after="0"/>
              <w:rPr>
                <w:sz w:val="20"/>
                <w:szCs w:val="20"/>
                <w:color w:val="auto"/>
              </w:rPr>
            </w:pPr>
            <w:r>
              <w:rPr>
                <w:rFonts w:ascii="Arial" w:cs="Arial" w:eastAsia="Arial" w:hAnsi="Arial"/>
                <w:sz w:val="17"/>
                <w:szCs w:val="17"/>
                <w:color w:val="auto"/>
                <w:w w:val="94"/>
              </w:rPr>
              <w:t>39</w:t>
            </w:r>
          </w:p>
        </w:tc>
        <w:tc>
          <w:tcPr>
            <w:tcW w:w="140" w:type="dxa"/>
            <w:vAlign w:val="bottom"/>
          </w:tcPr>
          <w:p>
            <w:pPr>
              <w:spacing w:after="0"/>
              <w:rPr>
                <w:sz w:val="10"/>
                <w:szCs w:val="10"/>
                <w:color w:val="auto"/>
              </w:rPr>
            </w:pPr>
          </w:p>
        </w:tc>
        <w:tc>
          <w:tcPr>
            <w:tcW w:w="7140" w:type="dxa"/>
            <w:vAlign w:val="bottom"/>
            <w:gridSpan w:val="2"/>
            <w:vMerge w:val="restart"/>
          </w:tcPr>
          <w:p>
            <w:pPr>
              <w:ind w:left="20"/>
              <w:spacing w:after="0"/>
              <w:rPr>
                <w:sz w:val="20"/>
                <w:szCs w:val="20"/>
                <w:color w:val="auto"/>
              </w:rPr>
            </w:pPr>
            <w:r>
              <w:rPr>
                <w:rFonts w:ascii="Arial" w:cs="Arial" w:eastAsia="Arial" w:hAnsi="Arial"/>
                <w:sz w:val="17"/>
                <w:szCs w:val="17"/>
                <w:color w:val="auto"/>
              </w:rPr>
              <w:t>Corporate Vice President of Digital, eCommerce, and Media at SeaWorld Parks &amp;</w:t>
            </w: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2060" w:type="dxa"/>
            <w:vAlign w:val="bottom"/>
            <w:gridSpan w:val="2"/>
            <w:vMerge w:val="restart"/>
          </w:tcPr>
          <w:p>
            <w:pPr>
              <w:ind w:left="20"/>
              <w:spacing w:after="0" w:line="162" w:lineRule="exact"/>
              <w:rPr>
                <w:sz w:val="20"/>
                <w:szCs w:val="20"/>
                <w:color w:val="auto"/>
              </w:rPr>
            </w:pPr>
            <w:r>
              <w:rPr>
                <w:rFonts w:ascii="Arial" w:cs="Arial" w:eastAsia="Arial" w:hAnsi="Arial"/>
                <w:sz w:val="17"/>
                <w:szCs w:val="17"/>
                <w:color w:val="auto"/>
                <w:w w:val="97"/>
              </w:rPr>
              <w:t>and Chief Brand and Digital</w:t>
            </w:r>
          </w:p>
        </w:tc>
        <w:tc>
          <w:tcPr>
            <w:tcW w:w="4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44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140" w:type="dxa"/>
            <w:vAlign w:val="bottom"/>
            <w:gridSpan w:val="2"/>
            <w:vMerge w:val="restart"/>
          </w:tcPr>
          <w:p>
            <w:pPr>
              <w:ind w:left="20"/>
              <w:spacing w:after="0"/>
              <w:rPr>
                <w:sz w:val="20"/>
                <w:szCs w:val="20"/>
                <w:color w:val="auto"/>
              </w:rPr>
            </w:pPr>
            <w:r>
              <w:rPr>
                <w:rFonts w:ascii="Arial" w:cs="Arial" w:eastAsia="Arial" w:hAnsi="Arial"/>
                <w:sz w:val="17"/>
                <w:szCs w:val="17"/>
                <w:color w:val="auto"/>
              </w:rPr>
              <w:t>Entertainment, where she led the U.S. team that oversaw the development of</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06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Officer</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14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eCommerce, digital marketing, social media, business intelligence and digital</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content. From 2015 until July 2017, she served as Senior Director, Digital Marketing</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at SeaWorld Parks &amp; Entertainment, where she was the executive leader for digital</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transformation initiatives, including websites, mobile and digital commerce</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improvements and the implementation of a data and analytics program related to</w:t>
            </w: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customer experience.</w:t>
            </w: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1440" w:type="dxa"/>
            <w:vAlign w:val="bottom"/>
          </w:tcPr>
          <w:p>
            <w:pPr>
              <w:spacing w:after="0"/>
              <w:rPr>
                <w:sz w:val="24"/>
                <w:szCs w:val="24"/>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James H Hunter, IV</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4"/>
              </w:rPr>
              <w:t>60</w:t>
            </w:r>
          </w:p>
        </w:tc>
        <w:tc>
          <w:tcPr>
            <w:tcW w:w="140" w:type="dxa"/>
            <w:vAlign w:val="bottom"/>
            <w:shd w:val="clear" w:color="auto" w:fill="CCEEFF"/>
          </w:tcPr>
          <w:p>
            <w:pPr>
              <w:spacing w:after="0"/>
              <w:rPr>
                <w:sz w:val="24"/>
                <w:szCs w:val="24"/>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James H Hunter, IV has served as our Executive Vice President and General Counsel</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20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7"/>
                <w:szCs w:val="17"/>
                <w:color w:val="auto"/>
              </w:rPr>
              <w:t>Executive Vice President</w:t>
            </w:r>
          </w:p>
        </w:tc>
        <w:tc>
          <w:tcPr>
            <w:tcW w:w="4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7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w w:val="88"/>
              </w:rPr>
              <w:t>since November 2011. Prior to that time, he had served as Senior Vice President and</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and General Counsel</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General Counsel since 2006. Mr. Hunter joined Marriott International in 1994.</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700" w:type="dxa"/>
            <w:vAlign w:val="bottom"/>
            <w:shd w:val="clear" w:color="auto" w:fill="CCEEFF"/>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Jeanette Marbert has served as our President, Exchange and Third-Party</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Management since October 2018. She served as President and Chief Executive</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auto"/>
              </w:rPr>
              <w:t>Jeanette E. Marbert</w:t>
            </w:r>
          </w:p>
        </w:tc>
        <w:tc>
          <w:tcPr>
            <w:tcW w:w="460" w:type="dxa"/>
            <w:vAlign w:val="bottom"/>
            <w:vMerge w:val="restart"/>
          </w:tcPr>
          <w:p>
            <w:pPr>
              <w:jc w:val="center"/>
              <w:spacing w:after="0"/>
              <w:rPr>
                <w:sz w:val="20"/>
                <w:szCs w:val="20"/>
                <w:color w:val="auto"/>
              </w:rPr>
            </w:pPr>
            <w:r>
              <w:rPr>
                <w:rFonts w:ascii="Arial" w:cs="Arial" w:eastAsia="Arial" w:hAnsi="Arial"/>
                <w:sz w:val="17"/>
                <w:szCs w:val="17"/>
                <w:color w:val="auto"/>
                <w:w w:val="94"/>
              </w:rPr>
              <w:t>66</w:t>
            </w: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Officer for the Exchange and Rental segment of ILG, Inc. from November 2017 until</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206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President, Exchange and</w:t>
            </w: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14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September 2018, and as Executive Vice President from June 2009 until November</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auto"/>
              </w:rPr>
              <w:t>Third-Party Management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2017. She was Chief Operating Officer of ILG, Inc. from August 2008 to November</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2017, and served as a Director of ILG, Inc. from February 2015 to May 2016. Ms.</w:t>
            </w: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Marbert joined Interval in 1984.</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Brian E. Miller has served as our President, Vacation Ownership since October 2020.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From October 2018 to September 2020, he served as our Executive Vice President</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Brian E. Miller</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140" w:type="dxa"/>
            <w:vAlign w:val="bottom"/>
            <w:shd w:val="clear" w:color="auto" w:fill="CCEEFF"/>
          </w:tcPr>
          <w:p>
            <w:pPr>
              <w:spacing w:after="0"/>
              <w:rPr>
                <w:sz w:val="17"/>
                <w:szCs w:val="17"/>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and Chief Marketing, Sales and Service Officer. From November 2011 to September</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20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7"/>
                <w:szCs w:val="17"/>
                <w:color w:val="auto"/>
              </w:rPr>
              <w:t>President, Vacation</w:t>
            </w:r>
          </w:p>
        </w:tc>
        <w:tc>
          <w:tcPr>
            <w:tcW w:w="4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7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w w:val="93"/>
              </w:rPr>
              <w:t>2018, he served as our Executive Vice President and Chief Sales and Marketing</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Ownership</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Officer. Prior to that time, he had served as our Senior Vice President, Sales and</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Marketing and Service Operations since 2007. Mr. Miller joined the Company in</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1991.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700" w:type="dxa"/>
            <w:vAlign w:val="bottom"/>
            <w:shd w:val="clear" w:color="auto" w:fill="CCEEFF"/>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4"/>
                <w:szCs w:val="24"/>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7"/>
                <w:szCs w:val="17"/>
                <w:color w:val="auto"/>
              </w:rPr>
              <w:t>Dwight D. Smith</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Dwight D. Smith has served as our Executive Vice President and Chief Information</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4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Officer since December 2011. Prior to that time, he served as our Senior Vice</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2060" w:type="dxa"/>
            <w:vAlign w:val="bottom"/>
            <w:gridSpan w:val="2"/>
          </w:tcPr>
          <w:p>
            <w:pPr>
              <w:ind w:left="20"/>
              <w:spacing w:after="0" w:line="124" w:lineRule="exact"/>
              <w:rPr>
                <w:sz w:val="20"/>
                <w:szCs w:val="20"/>
                <w:color w:val="auto"/>
              </w:rPr>
            </w:pPr>
            <w:r>
              <w:rPr>
                <w:rFonts w:ascii="Arial" w:cs="Arial" w:eastAsia="Arial" w:hAnsi="Arial"/>
                <w:sz w:val="13"/>
                <w:szCs w:val="13"/>
                <w:color w:val="auto"/>
              </w:rPr>
              <w:t>Executive Vice President</w:t>
            </w:r>
          </w:p>
        </w:tc>
        <w:tc>
          <w:tcPr>
            <w:tcW w:w="460" w:type="dxa"/>
            <w:vAlign w:val="bottom"/>
            <w:vMerge w:val="restart"/>
          </w:tcPr>
          <w:p>
            <w:pPr>
              <w:jc w:val="center"/>
              <w:spacing w:after="0"/>
              <w:rPr>
                <w:sz w:val="20"/>
                <w:szCs w:val="20"/>
                <w:color w:val="auto"/>
              </w:rPr>
            </w:pPr>
            <w:r>
              <w:rPr>
                <w:rFonts w:ascii="Arial" w:cs="Arial" w:eastAsia="Arial" w:hAnsi="Arial"/>
                <w:sz w:val="17"/>
                <w:szCs w:val="17"/>
                <w:color w:val="auto"/>
                <w:w w:val="94"/>
              </w:rPr>
              <w:t>62</w:t>
            </w:r>
          </w:p>
        </w:tc>
        <w:tc>
          <w:tcPr>
            <w:tcW w:w="140" w:type="dxa"/>
            <w:vAlign w:val="bottom"/>
          </w:tcPr>
          <w:p>
            <w:pPr>
              <w:spacing w:after="0"/>
              <w:rPr>
                <w:sz w:val="10"/>
                <w:szCs w:val="10"/>
                <w:color w:val="auto"/>
              </w:rPr>
            </w:pPr>
          </w:p>
        </w:tc>
        <w:tc>
          <w:tcPr>
            <w:tcW w:w="7140" w:type="dxa"/>
            <w:vAlign w:val="bottom"/>
            <w:gridSpan w:val="2"/>
            <w:vMerge w:val="restart"/>
          </w:tcPr>
          <w:p>
            <w:pPr>
              <w:ind w:left="20"/>
              <w:spacing w:after="0"/>
              <w:rPr>
                <w:sz w:val="20"/>
                <w:szCs w:val="20"/>
                <w:color w:val="auto"/>
              </w:rPr>
            </w:pPr>
            <w:r>
              <w:rPr>
                <w:rFonts w:ascii="Arial" w:cs="Arial" w:eastAsia="Arial" w:hAnsi="Arial"/>
                <w:sz w:val="17"/>
                <w:szCs w:val="17"/>
                <w:color w:val="auto"/>
              </w:rPr>
              <w:t>President and Chief Information Officer since 2006. Mr. Smith joined Marriott</w:t>
            </w: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2060" w:type="dxa"/>
            <w:vAlign w:val="bottom"/>
            <w:gridSpan w:val="2"/>
            <w:vMerge w:val="restart"/>
          </w:tcPr>
          <w:p>
            <w:pPr>
              <w:ind w:left="20"/>
              <w:spacing w:after="0" w:line="162" w:lineRule="exact"/>
              <w:rPr>
                <w:sz w:val="20"/>
                <w:szCs w:val="20"/>
                <w:color w:val="auto"/>
              </w:rPr>
            </w:pPr>
            <w:r>
              <w:rPr>
                <w:rFonts w:ascii="Arial" w:cs="Arial" w:eastAsia="Arial" w:hAnsi="Arial"/>
                <w:sz w:val="17"/>
                <w:szCs w:val="17"/>
                <w:color w:val="auto"/>
              </w:rPr>
              <w:t>and Chief Information</w:t>
            </w:r>
          </w:p>
        </w:tc>
        <w:tc>
          <w:tcPr>
            <w:tcW w:w="4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44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140" w:type="dxa"/>
            <w:vAlign w:val="bottom"/>
            <w:gridSpan w:val="2"/>
            <w:vMerge w:val="restart"/>
          </w:tcPr>
          <w:p>
            <w:pPr>
              <w:ind w:left="20"/>
              <w:spacing w:after="0"/>
              <w:rPr>
                <w:sz w:val="20"/>
                <w:szCs w:val="20"/>
                <w:color w:val="auto"/>
              </w:rPr>
            </w:pPr>
            <w:r>
              <w:rPr>
                <w:rFonts w:ascii="Arial" w:cs="Arial" w:eastAsia="Arial" w:hAnsi="Arial"/>
                <w:sz w:val="17"/>
                <w:szCs w:val="17"/>
                <w:color w:val="auto"/>
              </w:rPr>
              <w:t>International in 1988. Mr. Smith has announced his decision to retire as our</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06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Officer</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Arial" w:cs="Arial" w:eastAsia="Arial" w:hAnsi="Arial"/>
                <w:sz w:val="17"/>
                <w:szCs w:val="17"/>
                <w:color w:val="auto"/>
              </w:rPr>
              <w:t>Executive Vice President and Chief Information Officer later in 2023.</w:t>
            </w: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Michael E. Yonker</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Michael E. Yonker has served as our Executive Vice President and Chief Human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20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7"/>
                <w:szCs w:val="17"/>
                <w:color w:val="auto"/>
              </w:rPr>
              <w:t>Executive Vice President</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4"/>
              </w:rPr>
              <w:t>64</w:t>
            </w:r>
          </w:p>
        </w:tc>
        <w:tc>
          <w:tcPr>
            <w:tcW w:w="140" w:type="dxa"/>
            <w:vAlign w:val="bottom"/>
            <w:shd w:val="clear" w:color="auto" w:fill="CCEEFF"/>
          </w:tcPr>
          <w:p>
            <w:pPr>
              <w:spacing w:after="0"/>
              <w:rPr>
                <w:sz w:val="15"/>
                <w:szCs w:val="15"/>
                <w:color w:val="auto"/>
              </w:rPr>
            </w:pPr>
          </w:p>
        </w:tc>
        <w:tc>
          <w:tcPr>
            <w:tcW w:w="57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w w:val="91"/>
              </w:rPr>
              <w:t>Resources Officer since December 2011. Prior to that time, he served as our Chief</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206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7"/>
                <w:szCs w:val="17"/>
                <w:color w:val="auto"/>
              </w:rPr>
              <w:t>and Chief Human</w:t>
            </w:r>
          </w:p>
        </w:tc>
        <w:tc>
          <w:tcPr>
            <w:tcW w:w="4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700" w:type="dxa"/>
            <w:vAlign w:val="bottom"/>
            <w:vMerge w:val="restart"/>
            <w:shd w:val="clear" w:color="auto" w:fill="CCEEFF"/>
          </w:tcPr>
          <w:p>
            <w:pPr>
              <w:ind w:left="20"/>
              <w:spacing w:after="0" w:line="174" w:lineRule="exact"/>
              <w:rPr>
                <w:sz w:val="20"/>
                <w:szCs w:val="20"/>
                <w:color w:val="auto"/>
              </w:rPr>
            </w:pPr>
            <w:r>
              <w:rPr>
                <w:rFonts w:ascii="Arial" w:cs="Arial" w:eastAsia="Arial" w:hAnsi="Arial"/>
                <w:sz w:val="17"/>
                <w:szCs w:val="17"/>
                <w:color w:val="auto"/>
                <w:w w:val="93"/>
              </w:rPr>
              <w:t>Human Resources Officer since 2010. Mr. Yonker joined Marriott International in</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440" w:type="dxa"/>
            <w:vAlign w:val="bottom"/>
          </w:tcPr>
          <w:p>
            <w:pPr>
              <w:spacing w:after="0"/>
              <w:rPr>
                <w:sz w:val="4"/>
                <w:szCs w:val="4"/>
                <w:color w:val="auto"/>
              </w:rPr>
            </w:pPr>
          </w:p>
        </w:tc>
        <w:tc>
          <w:tcPr>
            <w:tcW w:w="2060" w:type="dxa"/>
            <w:vAlign w:val="bottom"/>
            <w:gridSpan w:val="2"/>
            <w:vMerge w:val="continue"/>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700" w:type="dxa"/>
            <w:vAlign w:val="bottom"/>
            <w:vMerge w:val="continue"/>
            <w:shd w:val="clear" w:color="auto" w:fill="CCEEFF"/>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Resources Officer</w:t>
            </w: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1983.</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700" w:type="dxa"/>
            <w:vAlign w:val="bottom"/>
            <w:shd w:val="clear" w:color="auto" w:fill="CCEEFF"/>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3"/>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tcPr>
          <w:p>
            <w:pPr>
              <w:ind w:left="1440"/>
              <w:spacing w:after="0"/>
              <w:rPr>
                <w:sz w:val="20"/>
                <w:szCs w:val="20"/>
                <w:color w:val="auto"/>
              </w:rPr>
            </w:pPr>
            <w:r>
              <w:rPr>
                <w:rFonts w:ascii="Arial" w:cs="Arial" w:eastAsia="Arial" w:hAnsi="Arial"/>
                <w:sz w:val="17"/>
                <w:szCs w:val="17"/>
                <w:color w:val="auto"/>
              </w:rPr>
              <w:t>24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44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7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6" w:name="page27"/>
    <w:bookmarkEnd w:id="26"/>
    <w:p>
      <w:pPr>
        <w:spacing w:after="0"/>
        <w:tabs>
          <w:tab w:leader="none" w:pos="7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COVID-19 global or regional health concerns, outbreaks, and pandemics.</w:t>
      </w:r>
    </w:p>
    <w:p>
      <w:pPr>
        <w:spacing w:after="0" w:line="10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b w:val="1"/>
          <w:bCs w:val="1"/>
          <w:i w:val="1"/>
          <w:iCs w:val="1"/>
          <w:color w:val="auto"/>
        </w:rPr>
        <w:t>The COVID-19 pandemic has had, and may continue to have, serious adverse effects on our business, financial condition, cash flows, and results of operations for an unknown period of time and we may face similar health crises in the future.</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COVID-19 pandemic has caused and may continue to cause significant disruptions in international and U.S. economies and markets and has had an unprecedented impact on participants in the travel and hospitality industries, including our Company. In the future, COVID-19 or other outbreaks/pandemics could materially and adversely impact global travel, resulting in declines in our cash flows and results of operations. As the spread of COVID-19 variants continues, both in the U.S. and globally, there has been and continues to be significant volatility in global economies and financial markets. The severity, magnitude and duration of the COVID-19 pandemic is uncertain, hard to predict, and can change rapidly. Uncertainties related to health concerns, outbreaks and pandemics include, but are not limited to, an increase in the disruptive effect of the health crisis on the global, regional and local economies, supply chains, business partners, our workforce, traveler sentiment, resort occupancy and periodic mandates from governmental authorities to stay home, avoid non-essential contact and gatherings, self-quarantine or restricting travel to or from particular locations.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In 2020, we saw marked declines in occupancy, rentals, and contract sales because of the temporary closure of nearly all of our sales centers, the temporary closure of many of our resorts, the temporary closure of our branded North America vacation ownership resorts for rental stays, and the reduction in operations and amenities at all of our resorts based on government mandates and advisories. Protocols adopted to combat the COVID-19 pandemic, such as canceling, or implementing alternatives or modifications to, in-person sales tours and customized presentations, and reductions in amenities at our resorts, have resulted, and similar measures implemented in the future as a result of regional or global health concerns, outbreaks, or pandemics could result, in less effective customer-associate interaction and diminished customer satisfaction, which could adversely impact our financial condition. Extended or further closures in the future may be required nationally, regionally, or in specific locations in the event of a resurgence of coronavirus, new strains, or another widespread or regional health crisis.</w:t>
      </w:r>
    </w:p>
    <w:p>
      <w:pPr>
        <w:spacing w:after="0" w:line="54" w:lineRule="exact"/>
        <w:rPr>
          <w:sz w:val="20"/>
          <w:szCs w:val="20"/>
          <w:color w:val="auto"/>
        </w:rPr>
      </w:pPr>
    </w:p>
    <w:p>
      <w:pPr>
        <w:ind w:right="40"/>
        <w:spacing w:after="0" w:line="329" w:lineRule="auto"/>
        <w:rPr>
          <w:sz w:val="20"/>
          <w:szCs w:val="20"/>
          <w:color w:val="auto"/>
        </w:rPr>
      </w:pPr>
      <w:r>
        <w:rPr>
          <w:rFonts w:ascii="Arial" w:cs="Arial" w:eastAsia="Arial" w:hAnsi="Arial"/>
          <w:sz w:val="13"/>
          <w:szCs w:val="13"/>
          <w:color w:val="auto"/>
        </w:rPr>
        <w:t>The success of our business and our financial results depend, in substantial part, upon the health of the travel industry, which has been materially adversely affected by the COVID-19 pandemic. As new variants of the coronavirus or other health crises make headlines from time to time, consumer fear about contracting COVID-19 or other illnesses and recommendations or mandates from governmental authorities to avoid large gatherings of people or self-quarantine, may increase. These recommendations and mandates have affected, and may affect in the future, resort occupancies. A substantial amount of our sales activity occurs at our resorts, and the number of prospective and current owners who visit our resorts impacts sales volume. Our rental revenue is also substantially impacted by the desire and ability of vacationers to travel. Fear of exposure to the COVID-19 virus or other illnesses, government restrictions on travel, including quarantine requirements, low vaccination rates in some parts of the world and variants of COVID-19 that may be resistant to available vaccines have caused travelers to cancel or delay plans to travel to our resorts. These changes in vacation and travel patterns have adversely affected our cash flows, revenues, and results of operations, and may continue to do so, particularly for our international operations, such as those in the Asia-Pacific region. Moreover, when travel advisories and restrictions have been lifted, there has been a resurgence of the virus, and as a result, travel demand is unpredictable and could remain so for a significant period. Adverse changes in the perceived or actual economic climate, including higher unemployment rates, declines in income levels, inflation, recession and loss of personal wealth resulting from the impact of the COVID-19 pandemic may negatively affect travel demand for a prolonged period. Any future health crises may also adversely affect our business in a similar or more severe manner.</w:t>
      </w:r>
    </w:p>
    <w:p>
      <w:pPr>
        <w:spacing w:after="0" w:line="234"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onset of the COVID-19 pandemic led to an increase in payment delinquencies and defaults for our vacation ownership notes receivable. The number of delinquencies may increase again as the pandemic continues or its effect on economic conditions and the ability and desire to travel continues and could lead to defaults on financing that we provide to purchasers of our products in excess of our estimates. Future health crises may also have such adverse effects.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27" w:name="page28"/>
    <w:bookmarkEnd w:id="27"/>
    <w:p>
      <w:pPr>
        <w:ind w:right="640"/>
        <w:spacing w:after="0" w:line="264" w:lineRule="auto"/>
        <w:rPr>
          <w:sz w:val="20"/>
          <w:szCs w:val="20"/>
          <w:color w:val="auto"/>
        </w:rPr>
      </w:pPr>
      <w:r>
        <w:rPr>
          <w:rFonts w:ascii="Arial" w:cs="Arial" w:eastAsia="Arial" w:hAnsi="Arial"/>
          <w:sz w:val="17"/>
          <w:szCs w:val="17"/>
          <w:color w:val="auto"/>
        </w:rPr>
        <w:t>performance requirements related to default and delinquency rates, which, if not met, would result in loss or disruption of cash flow until portfolio performance sufficiently improves to satisfy the requirements.</w:t>
      </w:r>
    </w:p>
    <w:p>
      <w:pPr>
        <w:spacing w:after="0" w:line="68"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auto"/>
        </w:rPr>
        <w:t>The duration and extent of the impact of the COVID-19 pandemic or a future health crisis on our business and financial results will largely depend on future developments, including the duration and spread of the pandemic or other health crisis, the extent and severity of any resurgences of the pandemic or other health crisis in the future, the response by all levels of government in their efforts to contain the pandemic or other health crisis to mitigate the economic disruptions, the related impact on consumer confidence and spending, and how quickly economies and demand for our products and services recover after the pandemic or other health crisis subsides, all of which are highly uncertain, can rapidly change and cannot be predicted. Such impacts could adversely affect our results of operations, cash flows, and capital resources for a significant period. Further, the COVID-19 pandemic or a future health crisis may also adversely affect our cash flows and operating and financial results in a manner that is not presently known to us or that we currently do not consider to present significant risks to our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adversely affected by factors that disrupt or deter travel.</w:t>
      </w:r>
    </w:p>
    <w:p>
      <w:pPr>
        <w:spacing w:after="0" w:line="103"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Our success and results of operations depend, in substantial part, upon the health of the worldwide vacation ownership and leisure travel industries, and may be adversely affected by a number of factors that can disrupt or deter travel. A substantial amount of our sales activity occurs at our resorts, and sales volume is affected by the number of visitors at our resorts. Fear of exposure to contagious illnesses, such as COVID-19 or other diseases, or natural or man-made disasters, and the physical effects of climate change, such as more frequent or severe storms, droughts, hurricanes, erosion and flooding, have caused and may continue to cause travelers to delay or cancel travel plans, including sales tours at our resorts, with greater frequency. Other factors such as weakened consumer confidence, limited availability or increased costs of consumer credit and damage to infrastructure caused by natural or man-made disasters or other causes that impede travel have caused, and may in the future cause, travelers to delay or cancel plans to tour or visit our resorts. For example, hurricanes have caused a number of Interval International exchange network resorts and our managed vacation ownership resorts to close for prolonged periods. At times, beach access at our resorts and our managed resorts has been impeded by weather conditions or due to the effects of erosion. Actual or threatened war, civil unrest and terrorist activity, as well as heightened travel security measures instituted in response to the same, could also interrupt or deter travel plans. In addition, demand for our products and services may decrease if the cost of travel, including the cost of transportation and fuel, increases, airlift to vacation destinations decreases, airline or airport disruptions, flight cancellations or unreliability of various modes of transportation increases, or if general economic conditions decline.</w:t>
      </w:r>
    </w:p>
    <w:p>
      <w:pPr>
        <w:spacing w:after="0" w:line="57"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Our ability to process exchanges for members and to find purchasers and renters for accommodations we market or manage, as well as the need for the vacation rental and property management services we provide, largely depends on the continued desirability of the key vacation destinations in which our branded, managed or exchange properties are concentrated. Changes in the desirability of the destinations where these resorts are located and changes in vacation and travel patterns may adversely affect our cash flows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be adversely affected by labor shortages, turnover and labor cost increases.</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 number of factors may adversely affect the labor force available or increase labor costs from time to time, such as high employment levels, federal unemployment subsidies, including unemployment benefits offered in response to the COVID-19 pandemic or other health crises, and other government actions. In 2021, we observed an overall tightening and increasingly competitive labor market. As a result, we had to temporarily close outlets (e.g., food and beverage) or reduce services (e.g., housekeeping performed fewer cleans throughout the week), and we may have to take these or similar steps in the future. Any such changes may harm our revenues, cash flows, profitability or customer satisfaction. We have also incurred, and may incur in the future, additional costs for overtime wages, increased wages, enhanced referral bonuses, increased use of sign on bonuses, and increased marketing for open positions. A sustained labor shortage or increased turnover rates within our employee base, whether due to the impact of COVID-19 global health concerns or as a result of general macroeconomic factors, could lead to increased costs, such as increased overtime to meet demand and increased wage rates to attract and retain employees, and could negatively affect our ability to efficiently operate our business. If we are unable to hire and retain employees capable of performing at a high level, our business, including our cash flows, results of operations, owner, guest and associate satisfaction and reputation,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Significant inflation, higher interest rates or deflation could adversely affect our business and financial results.</w:t>
      </w:r>
    </w:p>
    <w:p>
      <w:pPr>
        <w:spacing w:after="0" w:line="10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Inflation can adversely affect us by increasing the costs of carrying unsold inventory, development and other corporate capital expenditures, materials and labor, service contracts, insurance, technology and related hardware or equipment, and interest rates. All of these factors can have a negative impact on the affordability of our products and services. In a high inflationary environment, we may be unable to raise the price of our products and services in a proportional manner, which could reduce our operating margins, including in our financing business, and negatively impact our results or operations. In addition, an increase in the cost of capital, labor and materials could have an adverse impact on our business or financial results. Inflation could also have an indirect adverse impact on our business by making travel more expensive for consumers and reducing consumer discretionary income.</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Alternatively, deflation could cause an overall decrease in spending and borrowing capacity, which could lead to a deterioration of economic conditions and employment levels. Deflation could also cause the value of our products and services to decline. These, or other factors that increase the risk of significant deflation, could have a negative impact on our business or financial results.</w:t>
      </w:r>
    </w:p>
    <w:p>
      <w:pPr>
        <w:spacing w:after="0" w:line="7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finance more than half of our VOI sales. While we adjust interest rates on our financing programs from time to time, such changes are typically not made in lockstep with the timing and magnitude of changes in broader market rates. As a result, our financing profit margin has declined. Increasing our financing rates could negatively impact VOI sales and financing propensity. However, if we are unable to increase our financing rates at the same rate as our costs of funds, our financing profits will be negatively impacted.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extensively regulated, and any failure to comply with applicable laws could materially adversely affect our business.</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are subject to a wide variety of highly complex international, national, federal, state, and local laws, regulations and policies. The vacation ownership industry is subject to extensive regulation around the world. Each jurisdiction where we operate generally requires resort developers to follow a set of specific procedures to develop, market and sell VOIs. Our real estate development activities, marketing and sales activities, lending activities and resort management activities are also heavily regulated. In addition, a myriad of laws, regulations and policies impact multiple areas of our business, such as those regulating the sale and offer of securities, anti-discrimination, anti-fraud, data protection, anti-corruption and bribery or implementing government economic sanctions.</w:t>
      </w:r>
    </w:p>
    <w:p>
      <w:pPr>
        <w:spacing w:after="0" w:line="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Complying with the intricate and multifaceted regulatory structures applicable to our businesses across the globe is complicated, constantly evolving, time-consuming and costly. We may not be able to successfully comply with all laws, regulations and policies to which we are subject. Laws, regulations, policies, and case law precedent may change or be subject to different interpretation in the future, including in ways that could decrease demand for our products and services, increase costs, and subject us to additional liabilities. Failure to comply could have a material adverse effect on our business. For example, failure to comply with applicable law could result in the loss of licenses or registrations we must have in order to operate our business, render sales contracts for our products void or voidable, subject us to fines or other sanctions, and increase our exposure to litigation. Adverse action by governmental authorities or others alleging our failure to comply with applicable laws could adversely affect our business, financial condition, and reputation.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privacy laws could adversely affect our ability to market our products effectively.</w:t>
      </w:r>
    </w:p>
    <w:p>
      <w:pPr>
        <w:spacing w:after="0" w:line="10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rely on a variety of direct marketing techniques, including telemarketing, digital marketing and postal mailings. Adoption of new laws, or changes in existing laws, in any of the jurisdictions in which we operate regulating marketing and solicitation or data protection could adversely affect the effectiveness of our marketing strategies. For example, in the U.S., California enacted the California Consumer Privacy Act of 2018 (“CCPA”). The CCPA provides California consumers with certain access, deletion and opt-out rights related to their personal information, imposes civil penalties for violations and affords, in certain cases, a private right of action for data breaches. Similar legislation has been proposed or adopted in other states. In addition, foreign data protection, privacy, consumer protection, content regulation and other laws and regulations may be more restrictive or burdensome than those in the United States. For example, the European Union (“E.U.”) General Data Protection Regulation (“GDPR”) imposes significant obligations on businesses that sell products or services to E.U. customers or otherwise control or process personal data of E.U. residents. Complying with the GDPR, other international laws and regulation, and state and federal laws and regulation could subject us to increased costs; and our failure to comply with these laws and regulations could result in significant fines, litigation, losses, third-party damages and other liabilities, any of which may have a material adverse effect on our brands, marketing, reputation, business, financial condition and results of operations. The cost of compliance with privacy laws in the jurisdictions in which we operate has increased and may continue to increase as laws change and we expand into new jurisdictions and become subject to the privacy laws of such jurisdictions. If we are not able to develop adequate alternative marketing strategies, our sales may be adversely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29" w:name="page30"/>
    <w:bookmarkEnd w:id="29"/>
    <w:p>
      <w:pPr>
        <w:ind w:right="120"/>
        <w:spacing w:after="0" w:line="295" w:lineRule="auto"/>
        <w:rPr>
          <w:sz w:val="20"/>
          <w:szCs w:val="20"/>
          <w:color w:val="auto"/>
        </w:rPr>
      </w:pPr>
      <w:r>
        <w:rPr>
          <w:rFonts w:ascii="Arial" w:cs="Arial" w:eastAsia="Arial" w:hAnsi="Arial"/>
          <w:sz w:val="16"/>
          <w:szCs w:val="16"/>
          <w:color w:val="auto"/>
        </w:rPr>
        <w:t>affected. We also obtain access to potential customers from travel service providers and other companies with whom we have relationships. If our access to these third-party customer lists is prohibited or restricted, our ability to develop new customers and introduce our products to them could be impaired.</w:t>
      </w:r>
    </w:p>
    <w:p>
      <w:pPr>
        <w:spacing w:after="0" w:line="45"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i w:val="1"/>
          <w:iCs w:val="1"/>
          <w:color w:val="auto"/>
        </w:rPr>
        <w:t>Failure to maintain the integrity of internal or customer data or to protect our systems from cyber-attacks could disrupt our business, damage our reputation, and subject us to costs, fines or lawsuits.</w:t>
      </w:r>
    </w:p>
    <w:p>
      <w:pPr>
        <w:spacing w:after="0" w:line="6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collect large volumes of data, including social security numbers and other personally identifiable information of our customers and employees, and retain it in our information systems and those of our service providers. It is critical that we maintain the integrity of and protect this data, which we rely on to make business decisions and which our customers and employees expect that we will protect. The regulatory environment in the jurisdictions where we operate and the requirements imposed on us by the payment card industry regarding information, security and privacy is increasingly demanding. Many of the laws applicable to us in different jurisdictions vary from each other in significant ways and may not have the same effect, thus complicating compliance efforts. Our efforts to comply with these requirements may require significant additional resources and time and may not be successful.</w:t>
      </w:r>
    </w:p>
    <w:p>
      <w:pPr>
        <w:spacing w:after="0" w:line="71"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may be required to expend significant capital and other resources to enhance the security of our data. Our information systems and records, including those we maintain with our service providers or licensors, may be subject to security breaches, cyber-attack or cyber-intrusion, system failures, viruses, operator error or inadvertent releases of data. Data breaches have increased in recent years as the number, intensity and sophistication of attacks have increased. The techniques used to obtain unauthorized access, disable or degrade service, or sabotage systems change frequently and may be difficult to detect for long periods of time. Neither we nor our service providers may be able to prevent, detect and contain unauthorized activity and misuse or human errors compromising the efficacy of security measures. A breach in the security of our information systems or those of our service providers or licensors could lead to an interruption in the operation of our systems, resulting in operational inefficiencies and a negative impact to our results of operations. A significant cyber-attack or theft, loss, or fraudulent use of our customer, employee or company data could adversely impact our reputation and result in remedial and other expenses, fines or litigation.</w:t>
      </w:r>
    </w:p>
    <w:p>
      <w:pPr>
        <w:spacing w:after="0" w:line="59"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We and the companies we work with have experienced cyber security threats to our data and systems, including ransomware and other forms of malware and computer virus attacks, unauthorized access, systems failures and temporary disruptions. We have experienced cyber incidents in the past, and have previously disclosed those with material operational or financial implications to the Company or our stakeholders. Routinely, we partner with and use third-party service providers and products that host, manage, or control sensitive data. The failure of any such service providers or products to comply with our privacy policies or privacy laws and regulations, or any unauthorized release of personally identifiable information or other user data, could damage our reputation, discourage potential users from trying our products and services, breach certain agreements under which we have obligations with respect to network security, and result in fines and proceedings against us by governmental agencies, service providers and consumers. Any of the foregoing could materially adversely affect our business,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expose us to risks that could negatively impact our financial results or disrupt our business.</w:t>
      </w:r>
    </w:p>
    <w:p>
      <w:pPr>
        <w:spacing w:after="0" w:line="10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international operations expose us to a number of additional risks, any of which could negatively impact our results of operations or disrupt our business, such as: compliance with laws of non-U.S. jurisdictions, including foreign ownership restrictions, import and export controls, data privacy and usage, and trade restrictions, and U.S. laws affecting our activities outside of the U.S.; anti-American sentiment; war, political or civil unrest and terrorism; difficulties of managing operations in many different countries; local economic risks; foreign currency exchange risks; and uncertainty as to the enforceability of contract and intellectual property rights under local laws, which can change or be interpreted in ways that could negatively impact our business.</w:t>
      </w:r>
    </w:p>
    <w:p>
      <w:pPr>
        <w:spacing w:after="0" w:line="6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Inadequate or failed technologies could lead to interruptions in our operations and materially adversely affect our business, financial position, results of operations or cash flows.</w:t>
      </w:r>
    </w:p>
    <w:p>
      <w:pPr>
        <w:spacing w:after="0" w:line="68" w:lineRule="exact"/>
        <w:rPr>
          <w:sz w:val="20"/>
          <w:szCs w:val="20"/>
          <w:color w:val="auto"/>
        </w:rPr>
      </w:pPr>
    </w:p>
    <w:p>
      <w:pPr>
        <w:ind w:right="140"/>
        <w:spacing w:after="0" w:line="286" w:lineRule="auto"/>
        <w:rPr>
          <w:sz w:val="20"/>
          <w:szCs w:val="20"/>
          <w:color w:val="auto"/>
        </w:rPr>
      </w:pPr>
      <w:r>
        <w:rPr>
          <w:rFonts w:ascii="Arial" w:cs="Arial" w:eastAsia="Arial" w:hAnsi="Arial"/>
          <w:sz w:val="15"/>
          <w:szCs w:val="15"/>
          <w:color w:val="auto"/>
        </w:rPr>
        <w:t>Our operations and competitive position depend on our ability to maintain existing systems and implement new technologies. Our information technology systems and our databases are potentially susceptible to manmade and natural disasters, as well as power losses, computer and telecommunications failures, technological breakdowns, cyber-attacks, acts of war or terrorism and other events. System interruption, delays, obsolescence, loss of critical data and lack of 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is not sufficient for all eventualities. Projects to upgrade or replace our technologies may be extremely complex and require significant resources and time and may adversely affect our ability to provide services, operate websites, process and fulfill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30" w:name="page31"/>
    <w:bookmarkEnd w:id="30"/>
    <w:p>
      <w:pPr>
        <w:jc w:val="both"/>
        <w:ind w:right="60"/>
        <w:spacing w:after="0" w:line="369" w:lineRule="auto"/>
        <w:rPr>
          <w:sz w:val="20"/>
          <w:szCs w:val="20"/>
          <w:color w:val="auto"/>
        </w:rPr>
      </w:pPr>
      <w:r>
        <w:rPr>
          <w:rFonts w:ascii="Arial" w:cs="Arial" w:eastAsia="Arial" w:hAnsi="Arial"/>
          <w:sz w:val="13"/>
          <w:szCs w:val="13"/>
          <w:color w:val="auto"/>
        </w:rPr>
        <w:t>transactions, and respond to customer inquiries during the upgrade or replacement process. In addition, we may not have adequate insurance coverage to compensate for losses from a major interruption. If our information technology systems fail to adequately support our strategic, operational or compliance needs, our business, financial position, results of operations or cash flows, as well as our disclosure controls and procedures and internal control over financial reporting, may be adversely affected.</w:t>
      </w:r>
    </w:p>
    <w:p>
      <w:pPr>
        <w:spacing w:after="0" w:line="7"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b w:val="1"/>
          <w:bCs w:val="1"/>
          <w:i w:val="1"/>
          <w:iCs w:val="1"/>
          <w:color w:val="auto"/>
        </w:rPr>
        <w:t>Spanish court rulings voiding certain timeshare contracts have increased our exposure to litigation that may materially adversely affect our business and financial condition.</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 series of Spanish court rulings that, since 2015, have voided certain timeshare contracts has increased our exposure to litigation that may materially adversely affect our business and financial condition. These rulings voided certain timeshare contracts entered into after January 1999 related to certain resorts in Spain if a resort’s timeshare structure did not meet requirements prescribed by Spanish timeshare laws enacted in 1998, even if the structure was lawful prior to 1998 and adapted pursuant to mechanisms specified in the 1998 laws. These rulings have led to an increase in lawsuits by owners seeking to void timeshare contracts in Spain, including certain contracts at certain of our resorts in Spain. However, the Supreme Court of Spain has not yet substantively opined on the issue as it pertains to the Company’s timeshare contracts. If the Supreme Court of Spain rules adversely to us and determines that our timeshare contracts are voidable, that may materially adversely affect the results of operations of our Vacation Ownership segment, as well as our business and financial condition. Defending these lawsuits has required, and may continue to require, the Company to incur legal fees and reserve for judgments. If additional owners at our resorts in Spain file similar lawsuits, this may: void certain of those owners’ timeshare contracts; cause us to incur material litigation and other costs, including judgment or settlement payments; and materially adversely affect the results of operations of our Vacation Ownership segment, as well as our business and financial condition. The increased ability for owners of Spanish timeshares to void their contracts has negatively impacted other developers with resorts in Spain and led to a significant decrease in the number of resorts located in Spain in the Interval International network with active sales and the loss of members who own VOIs at those resorts.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industries in which our businesses operate are competitive, which may impact our ability to compete successfully.</w:t>
      </w:r>
    </w:p>
    <w:p>
      <w:pPr>
        <w:spacing w:after="0" w:line="103"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Our businesses will be adversely impacted if they cannot compete effectively in their respective industries, each of which is highly competitive. A number of highly competitive companies participate in the vacation ownership industry. Our brands compete with the vacation ownership brands of major hotel chains in national and international venues, as well as with the vacation rental options (such as hotels, resorts and condominium rentals) offered by the lodging industry. Our competitors may have greater access to capital resources and broader marketing, sales and distribution capabilities than we do. Competitive pressures may cause us to reduce our fee structure or potentially modify our business models, which could adversely affect our business, financial condition and results of operations.</w:t>
      </w:r>
    </w:p>
    <w:p>
      <w:pPr>
        <w:spacing w:after="0" w:line="53"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Our principal exchange network administered by Interval International included more than 3,200 resorts located in over 90 countries and territories as of December 31, 2022. Interval International’s primary competitor, RCI, has a greater number of affiliated resorts than we have. Through the resources of its corporate affiliates, particularly, Travel + Leisure Co., which is engaged in vacation ownership sales, RCI may have greater access to a significant segment of new vacation ownership purchasers and a broader platform for participating in industry consolidation. In addition, Interval International competes with developers that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networks. The effects of such competition on our exchange business are more pronounced as the proportion of vacation club corporate members in the Interval International network increases.</w:t>
      </w:r>
    </w:p>
    <w:p>
      <w:pPr>
        <w:spacing w:after="0" w:line="54"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Our businesses also compete for leisure travelers with other leisure lodging operators, including both independent and branded properties, as well as with alternative lodging marketplaces, which operate websites that market furnished, privately-owned residential properties throughout the world which can be rented on a nightly, weekly or monthly basis.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Negative public perception regarding our industry could have an adverse effect on our operations.</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Negative public perception regarding our industry resulting from, among other things, consumer complaints regarding sales and marketing practices, consumer financing arrangements, and restrictions on exit related to our products, as well as negative comments on social media, could result in increased regulatory scrutiny, which could result in reputational damage, more onerous laws, regulations, guidelines and enforcement interpretations in jurisdictions in which we operate. These actions may lead to operational delays or restrictions, as well as increased operating costs, regulatory burdens and risk of litigation.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Changes in tax regulations or their interpretation could negatively impact our cash flows and results of operations.</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Changes in tax and other revenue raising laws, regulations and policies in the jurisdictions where we do business could impose new restrictions, costs or prohibitions on our practices and negatively impact our results of operations. In addition, interpretation of tax regulations requires us to exercise our judgment and taxing authorities or our independent registered public accounting firm may reach conclusions about the application of such regulations that differ from our conclusions. Our effective tax rate reflects the fact that income earned and reinvested outside the U.S. is generally taxed at local rates that can be higher or lower than U.S. tax rates or based on a different tax base than U.S. jurisdictions, as well as our ability to carry forward losses in certain jurisdictions from prior years to offset future profits. Changes to U.S. or international tax laws, regulations or interpretations could impact the tax treatment of our earnings and adversely affect our cash flows and financial results. For example, if such changes significantly increase the tax rates on non-U.S. income, our effective tax rate could increase, our financial results and cash flows could be negatively impacted, and if such increases were a result of our status as a U.S. corporation, we could be placed at a disadvantage to our non-U.S. competitors that are subject to lower local tax rates.</w:t>
      </w:r>
    </w:p>
    <w:p>
      <w:pPr>
        <w:spacing w:after="0" w:line="70"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We are subject to audit in various jurisdictions, and these jurisdictions may assess additional taxes against us. Developments in an audit, litigation, or laws, regulations, administrative practices, principles, and interpretations could have a material effect on our operating results or cash flows. The final outcome of tax audits, investigations, and any related litigation could be materially different from our historical tax provisions and accruals.</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i w:val="1"/>
          <w:iCs w:val="1"/>
          <w:color w:val="auto"/>
        </w:rPr>
        <w:t>Concentration of some of our resorts, sales centers and exchange destinations in particular geographic areas exposes our business to the effects of severe weather and other regional events in these areas.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business is susceptible to the effects of natural or man-made disasters, including earthquakes, windstorms, tornadoes, hurricanes, typhoons, tsunamis, volcanic eruptions, floods, drought, fires, oil spills, erosion and nuclear incidents, in the areas where some of our resorts, sales centers and exchange destinations are concentrated, such as Florida, California, South Carolina and Hawaii. For example, properties in these markets have had to close in the past, including for extended periods, in order to repair damage caused by disasters. Depending on the severity of future disasters, the resulting damage could require closure of all or substantially all of our properties in one or more of these markets while we complete renovations. Our insurance may not cover all damages caused by any such event, including the loss of sales of VOIs at sales centers that are not fully operational. In addition, insurance costs may increase and coverage levels may decrease for properties in these areas as a result of the number and magnitude of recent natural disasters in these areas.</w:t>
      </w:r>
    </w:p>
    <w:p>
      <w:pPr>
        <w:spacing w:after="0" w:line="7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these geographic markets. Because of this geographic concentration of properties, we face a greater risk of a negative effect on our results of operations if these areas are affected by severe weather, man-made disasters or adverse economic and competitive conditions.</w:t>
      </w:r>
    </w:p>
    <w:p>
      <w:pPr>
        <w:spacing w:after="0" w:line="78"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b w:val="1"/>
          <w:bCs w:val="1"/>
          <w:i w:val="1"/>
          <w:iCs w:val="1"/>
          <w:color w:val="auto"/>
        </w:rPr>
        <w:t>If we are not able to successfully identify, finance, integrate and manage costs related to acquisitions, our business operations and financial position could be adversely affected.</w:t>
      </w:r>
    </w:p>
    <w:p>
      <w:pPr>
        <w:spacing w:after="0" w:line="68"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have expanded in part through acquisitions of other businesses and may continue to do so in the future. Our acquisition strategy depends on our ability to identify, and the availability of, suitable acquisition candidates. We may incur costs in connection with proposed acquisitions, but may ultimately be unable or unwilling to consummate any particular proposed transaction for various reasons. In addition, acquisitions involve numerous risks, including risks that we will not be able to: successfully integrate acquired businesses in an efficient and cost-effective manner; properly measure or identify all risks associated with the acquisition; achieve anticipated benefits of an acquisition, including expected synergies; control potential increases in operating costs; manage geographically remote operations; successfully expand our system of internal controls or our technological infrastructure to include an acquired business; avoid potential disruptions in ongoing operations during an acquisition process or integration efforts; successfully enter markets in which we have limited or no direct experience, including foreign markets whose practices or laws may pose increased risk; and retain key employees, clients, vendors and business partners of the acquired businesses. Failure to achieve the anticipated benefits of any acquisition may adversely affect our financial condition, operating results and prospects. Acquisitions may also significantly increase our debt or result in dilutive issuances of our equity securities, write-offs of goodwill or substantial amortization expenses associated with other intangible assets.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32" w:name="page33"/>
    <w:bookmarkEnd w:id="32"/>
    <w:p>
      <w:pPr>
        <w:ind w:right="20"/>
        <w:spacing w:after="0" w:line="399" w:lineRule="auto"/>
        <w:rPr>
          <w:sz w:val="20"/>
          <w:szCs w:val="20"/>
          <w:color w:val="auto"/>
        </w:rPr>
      </w:pPr>
      <w:r>
        <w:rPr>
          <w:rFonts w:ascii="Arial" w:cs="Arial" w:eastAsia="Arial" w:hAnsi="Arial"/>
          <w:sz w:val="13"/>
          <w:szCs w:val="13"/>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For example, in response to the COVID-19 pandemic, we increased our reserve for vacation ownership notes receivable due to higher default expectations and revised our estimates of the fair value of our reporting units, resulting in the impairment of goodwill.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growth of our business and execution of our business strategies depend on the services of our senior management and our associates.</w:t>
      </w:r>
    </w:p>
    <w:p>
      <w:pPr>
        <w:spacing w:after="0" w:line="11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business is based on successfully attracting and retaining talented associates. The market for highly skilled associates and leaders in our industry is extremely competitive. If we are less successful in our recruiting efforts, or if we are unable to retain management and other key associates, our ability to develop and deliver successful products and services may be adversely affected. Effective succession planning is also important to our long-term success. The departure of a key executive or associate or the failure to ensure an effective transfer of knowledge and a smooth transition upon such departure may be disruptive to the business and could hinder our strategic planning and execution.</w:t>
      </w:r>
    </w:p>
    <w:p>
      <w:pPr>
        <w:spacing w:after="0" w:line="81" w:lineRule="exact"/>
        <w:rPr>
          <w:sz w:val="20"/>
          <w:szCs w:val="20"/>
          <w:color w:val="auto"/>
        </w:rPr>
      </w:pPr>
    </w:p>
    <w:p>
      <w:pPr>
        <w:ind w:right="760"/>
        <w:spacing w:after="0" w:line="264" w:lineRule="auto"/>
        <w:rPr>
          <w:sz w:val="20"/>
          <w:szCs w:val="20"/>
          <w:color w:val="auto"/>
        </w:rPr>
      </w:pPr>
      <w:r>
        <w:rPr>
          <w:rFonts w:ascii="Arial" w:cs="Arial" w:eastAsia="Arial" w:hAnsi="Arial"/>
          <w:sz w:val="17"/>
          <w:szCs w:val="17"/>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68"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Companies are facing increasing and frequently evolving scrutiny globally from customers, regulators, investors, employees and other stakeholders related to their ESG practices and disclosure. Investor advocacy groups, investment funds and influential investors are also increasingly focused on these practices, especially as they relate to the environment, health and safety, board and workforce diversity, labor conditions, human rights, and cybersecurity and data privacy. Third parties have also developed proprietary ratings or analyses of companies based on certain ESG metrics. Increased ESG-related compliance costs could result in increases to our overall operational costs. Failure to adapt to or comply with regulatory requirements or investor or other stakeholder expectations and standards could negatively impact our reputation, ability to do business with certain partners, and stock price. New government regulations could also result in new or more stringent forms of ESG oversight and expanding mandatory and voluntary reporting, diligence, and disclosure. Our ESG initiatives and goals may be based on standards for measuring progress that are still developing, internal controls and processes that continue to evolve and assumptions that are subject to change in the future. As we report on our ESG initiatives or goals, we may be subject to heightened reputational and operational risk and compliance costs related to these matters. Also, we do not exercise complete control over all resorts and properties that we manage; rather, our control over these properties is generally limited by the terms of the applicable management agreements. As a result, our ability to achieve some or all of our ESG initiatives or goals may be limited without additional support or action by the owners’ associations of the vacation ownership resorts and properties we manage. Complying with increased regulations could increase our costs and adversely impact our results of operations. Our inability or failure to meet, or the perceived failure to meet, such stakeholders’ expectations, as well as adverse incidents, could negatively impact our stock price, results of operations, or reputation and increase our cost of capital.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vacation ownership business.</w:t>
      </w:r>
    </w:p>
    <w:p>
      <w:pPr>
        <w:spacing w:after="0" w:line="107"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b w:val="1"/>
          <w:bCs w:val="1"/>
          <w:i w:val="1"/>
          <w:iCs w:val="1"/>
          <w:color w:val="auto"/>
        </w:rPr>
        <w:t>The termination of our license agreements with Marriott International or Hyatt, or our rights to use their trademarks at our existing or future properties, could materially harm our business.</w:t>
      </w:r>
    </w:p>
    <w:p>
      <w:pPr>
        <w:spacing w:after="0" w:line="6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success depends, in part, on our relationships with Marriott International and Hyatt. These relationships are governed by various agreements, including long-term license agreements that expire between 2090 and 2095, subject to renewal. However, if we breach our obligations under a license agreement, the applicable licensor may be entitled to terminate the license agreement and our rights to use its brands in connection with our businesses. In addition, if any of our properties does not meet applicable brand standards, the applicable licensor can terminate our right to use its trademarks at the subject properties.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3" w:name="page34"/>
    <w:bookmarkEnd w:id="33"/>
    <w:p>
      <w:pPr>
        <w:spacing w:after="0" w:line="265" w:lineRule="auto"/>
        <w:rPr>
          <w:sz w:val="20"/>
          <w:szCs w:val="20"/>
          <w:color w:val="auto"/>
        </w:rPr>
      </w:pPr>
      <w:r>
        <w:rPr>
          <w:rFonts w:ascii="Arial" w:cs="Arial" w:eastAsia="Arial" w:hAnsi="Arial"/>
          <w:sz w:val="16"/>
          <w:szCs w:val="16"/>
          <w:color w:val="auto"/>
        </w:rPr>
        <w:t>The termination of our license agreements with Marriott International, Hyatt or their affiliates would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Sheraton, Westin, or Hyatt brands to attract qualified prospects in the marketplace would likely cause our results of operations to decline and our marketing and sales expenses to increase. Our inability to market to guests in hotels affiliated with our licensors that are located near one of our sales locations or maintain our marketing partnerships with Marriott International or Hyatt reservation centers would cause our sales to decline, which could adversely affect our financial condition and results of operations. In addition, we would not be able to use the brand websites as channels through which to rent available inventory, which would cause our rental revenue to decline materially.</w:t>
      </w:r>
    </w:p>
    <w:p>
      <w:pPr>
        <w:spacing w:after="0" w:line="71" w:lineRule="exact"/>
        <w:rPr>
          <w:sz w:val="20"/>
          <w:szCs w:val="20"/>
          <w:color w:val="auto"/>
        </w:rPr>
      </w:pPr>
    </w:p>
    <w:p>
      <w:pPr>
        <w:jc w:val="both"/>
        <w:ind w:right="420"/>
        <w:spacing w:after="0" w:line="254" w:lineRule="auto"/>
        <w:rPr>
          <w:sz w:val="20"/>
          <w:szCs w:val="20"/>
          <w:color w:val="auto"/>
        </w:rPr>
      </w:pPr>
      <w:r>
        <w:rPr>
          <w:rFonts w:ascii="Arial" w:cs="Arial" w:eastAsia="Arial" w:hAnsi="Arial"/>
          <w:sz w:val="17"/>
          <w:szCs w:val="17"/>
          <w:color w:val="auto"/>
        </w:rPr>
        <w:t>Our license agreements also allow us to offer points to members of the customer loyalty programs associated with the Marriott, Sheraton, Westin and Hyatt brands, which provides us with the opportunity to market directly to these members. The termination of the license agreements with Marriott International or Hyatt would eliminate this valuable marketing channel.</w:t>
      </w:r>
    </w:p>
    <w:p>
      <w:pPr>
        <w:spacing w:after="0" w:line="76" w:lineRule="exact"/>
        <w:rPr>
          <w:sz w:val="20"/>
          <w:szCs w:val="20"/>
          <w:color w:val="auto"/>
        </w:rPr>
      </w:pPr>
    </w:p>
    <w:p>
      <w:pPr>
        <w:jc w:val="both"/>
        <w:ind w:right="400"/>
        <w:spacing w:after="0" w:line="264" w:lineRule="auto"/>
        <w:rPr>
          <w:sz w:val="20"/>
          <w:szCs w:val="20"/>
          <w:color w:val="auto"/>
        </w:rPr>
      </w:pPr>
      <w:r>
        <w:rPr>
          <w:rFonts w:ascii="Arial" w:cs="Arial" w:eastAsia="Arial" w:hAnsi="Arial"/>
          <w:sz w:val="17"/>
          <w:szCs w:val="17"/>
          <w:color w:val="auto"/>
        </w:rPr>
        <w:t>We must also obtain the applicable licensor’s consent to use its trademarks in connection with properties we acquire or develop in the future. If our licensors do not consent to such use, our ability to expand our business and remain competitive may be materially adversely affected.</w:t>
      </w:r>
    </w:p>
    <w:p>
      <w:pPr>
        <w:spacing w:after="0" w:line="68" w:lineRule="exact"/>
        <w:rPr>
          <w:sz w:val="20"/>
          <w:szCs w:val="20"/>
          <w:color w:val="auto"/>
        </w:rPr>
      </w:pPr>
    </w:p>
    <w:p>
      <w:pPr>
        <w:ind w:right="600"/>
        <w:spacing w:after="0" w:line="264" w:lineRule="auto"/>
        <w:rPr>
          <w:sz w:val="20"/>
          <w:szCs w:val="20"/>
          <w:color w:val="auto"/>
        </w:rPr>
      </w:pPr>
      <w:r>
        <w:rPr>
          <w:rFonts w:ascii="Arial" w:cs="Arial" w:eastAsia="Arial" w:hAnsi="Arial"/>
          <w:sz w:val="17"/>
          <w:szCs w:val="17"/>
          <w:b w:val="1"/>
          <w:bCs w:val="1"/>
          <w:i w:val="1"/>
          <w:iCs w:val="1"/>
          <w:color w:val="auto"/>
        </w:rPr>
        <w:t>Deterioration in the quality or reputation of the brands associated with our portfolio could adversely affect our market share, reputation, business, financial condition and results of operations.</w:t>
      </w:r>
    </w:p>
    <w:p>
      <w:pPr>
        <w:spacing w:after="0" w:line="6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offer vacation ownership products and services under the Marriott, Sheraton, Westin, The Ritz-Carlton, and Hyatt brands. Our success depends in part on the continued success of Marriott International and Hyatt and their respective brands. If market recognition or the positive perception of Marriott International or Hyatt is reduced or compromised, the goodwill associated with these brands may be adversely affected, which may adversely affect our market share, reputation, business, financial condition or results of operations. The positioning and offerings of any of these brands or their related customer loyalty programs could change in a manner that adversely affects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Marriott International or Hyatt could compete with our vacation ownership business in the future.</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Under the license agreements with Marriott International, if other international hotel operators offer new products and services as part of their respective hotel businesses that may directly compete with our vacation ownership products and services, then Marriott International may also offer such new products and services, and use its trademarks in connection with such offers. Under the Hyatt license agreement, Hyatt may compete with us under certain circumstances, e.g., if we fail to meet certain performance standards or if Hyatt acquires a new hotel brand that Hyatt determines to license for timeshare and we are unsuccessful negotiating license rights pursuant to our right of first offer. If Marriott International or Hyatt offers new vacation ownership products and services under their trademarks, they may compete directly with our vacation ownership products and services, and we may not be able to distinguish our vacation ownership products and services from those offered by Marriott International or Hyatt.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70" w:lineRule="exact"/>
        <w:rPr>
          <w:sz w:val="20"/>
          <w:szCs w:val="20"/>
          <w:color w:val="auto"/>
        </w:rPr>
      </w:pPr>
    </w:p>
    <w:p>
      <w:pPr>
        <w:ind w:right="400"/>
        <w:spacing w:after="0" w:line="264" w:lineRule="auto"/>
        <w:rPr>
          <w:sz w:val="20"/>
          <w:szCs w:val="20"/>
          <w:color w:val="auto"/>
        </w:rPr>
      </w:pPr>
      <w:r>
        <w:rPr>
          <w:rFonts w:ascii="Arial" w:cs="Arial" w:eastAsia="Arial" w:hAnsi="Arial"/>
          <w:sz w:val="17"/>
          <w:szCs w:val="17"/>
          <w:b w:val="1"/>
          <w:bCs w:val="1"/>
          <w:i w:val="1"/>
          <w:iCs w:val="1"/>
          <w:color w:val="auto"/>
        </w:rPr>
        <w:t>If a branded hotel property co-located with one of our resorts ceases to be affiliated with the same brand as our resort or a related brand, our business could be harmed.</w:t>
      </w:r>
    </w:p>
    <w:p>
      <w:pPr>
        <w:spacing w:after="0" w:line="6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Approximately 20% of our Vacation Ownership segment resorts are co-located with same-branded or affiliated hotel properties. If a branded hotel property with which one of our resorts is co-located ceases to be operated by or affiliated with the same brand as our resort, which has happened in the past, we could lose benefits such as sharing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such resorts would increase. We could also lose our on-site access to hotel customers, including brand customer loyalty program members, at such resorts, which is a cost-effective marketing channel for our vacation ownership products, and our sales may decline.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We may not have inventory available for sale when needed or we may have excess inventory.</w:t>
      </w:r>
    </w:p>
    <w:p>
      <w:pPr>
        <w:spacing w:after="0" w:line="10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may enter into capital-efficient transactions to source inventory in which third parties agree to deliver completed units to us at pre-agreed prices in the future. These transactions expose us to additional risk as we will not control development activities or timing of development completion. If our counterparties default on their obligations, or exercise their right to sell inventory to a different buyer, we may not acquire the inventory we expect on time or at all, or it may not be within agreed upon specifications. If we cannot obtain inventory from alternative sources on a timely basis, we may not be able to achieve sales forecasts. Conversely, if we procure or commit to procure inventory based on an expected sales plan and fail to achieve that plan, we could have excess inventory, potentially negatively impacting our margins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VOIs in the secondary market by existing owners could cause our sales revenues, margins, and results of operations to decline.</w:t>
      </w:r>
    </w:p>
    <w:p>
      <w:pPr>
        <w:spacing w:after="0" w:line="11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Sales of VOIs by existing owners, which are typically at lower prices than the prices at which we would sell interests, can create pricing pressure on our sale of vacation ownership products and cause our sales revenues, margins and results of operations to decline. In addition, unlawful or deceptive third-party VOI resale schemes involving interests in our resorts could damage our reputation and brand value and adversely impact our sales revenues and results of operations. Development of a more robust secondary market may also cause the volume of lower-cost VOI inventory that we are able to repurchase to supplement our inventory needs to decline, which could adversely impact our development margin.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Borrower defaults on the vacation ownership notes receivable our business generates could reduce our results of operations and cash flows.</w:t>
      </w:r>
    </w:p>
    <w:p>
      <w:pPr>
        <w:spacing w:after="0" w:line="115"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In connection with our vacation ownership business, we provide loans to purchasers to finance their purchase of VOIs. Accordingly, we are subject to the risk that those borrowers may default on the financing that we provide. The risk of borrower defaults may increase due to man-made or natural disasters or a recession or other economic downturn, which cause financial hardship for borrowers. The risk of borrower defaults may also increase if we do not evaluate accurately the creditworthiness of the customers to whom we extend financing or due to the influence of timeshare relief firms. Borrower defaults have caused, and may continue to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have been required, and may in the future be required, to increase our reserve on vacation ownership notes receivable, which may reduce our earnings.</w:t>
      </w:r>
    </w:p>
    <w:p>
      <w:pPr>
        <w:spacing w:after="0" w:line="54"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If default rates increase beyond current projections and result in higher than expected foreclosure activity, our results of operations could be adversely affected. Borrower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Also, if a purchaser of a VOI defaults on the related loan during the early part of the amortization period, we may not have recovered the marketing, selling and general and administrative costs associated with the sale of that VOI. If we are unable to recover any of the principal amount of the loan from a defaulting borrower, or if the allowances for losses from such defaults are inadequate, the revenues and profits that we derive from the vacation ownership business could be reduced materially.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points-based product forms expose us to an increased risk of temporary inventory depletion.</w:t>
      </w:r>
    </w:p>
    <w:p>
      <w:pPr>
        <w:spacing w:after="0" w:line="10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Selling VOIs in a system of resorts under a points-based business model increases the risk of temporary inventory depletion. Currently, our VOI sales are made primarily through a limited number of trust entities that issue VOIs. These structures can lead to a temporary depletion of inventory available for sale caused by: (1) delayed delivery of inventory under construction by us or third parties; (2) delayed receipt of required governmental registrations of inventory for sale; or (3) significant unanticipated increases in sales pace. If the inventory available for sale for a particular trust were to be depleted before new inventory is added and available for sale, we would be required to temporarily suspend sales until inventory is replenished or shift to selling an alternative product which may increase marketing and sales costs and lower VPG.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depletion of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Our development activities expose us to project cost and completion risks.</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Our project development activities entail risks that may cause project delays or increased project costs and therefore may adversely impact our results of operations, cash flows and financial condition, including:</w:t>
      </w:r>
    </w:p>
    <w:p>
      <w:pPr>
        <w:spacing w:after="0" w:line="18" w:lineRule="exact"/>
        <w:rPr>
          <w:sz w:val="20"/>
          <w:szCs w:val="20"/>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construction delays or cost overruns;</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shortages of skilled labor;</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for construction defects, including claims by purchasers and owners’ associations;</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discovery of hazardous or toxic substances, or other environmental, culturally-sensitive, or related issues;</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inability to timely obtain required governmental permits and authorizations;</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compliance with zoning, building codes and other local regulations;</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by third parties involved in the financing and development of our projects;</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 or availability of raw materials; and</w:t>
      </w:r>
    </w:p>
    <w:p>
      <w:pPr>
        <w:spacing w:after="0" w:line="53" w:lineRule="exact"/>
        <w:rPr>
          <w:rFonts w:ascii="Arial" w:cs="Arial" w:eastAsia="Arial" w:hAnsi="Arial"/>
          <w:sz w:val="17"/>
          <w:szCs w:val="17"/>
          <w:color w:val="auto"/>
        </w:rPr>
      </w:pPr>
    </w:p>
    <w:p>
      <w:pPr>
        <w:ind w:left="900" w:hanging="303"/>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interference of weather-related, geological or other events, such as hurricanes, earthquakes, floods, tsunamis, fires, and volcanic eruptions.</w:t>
      </w:r>
    </w:p>
    <w:p>
      <w:pPr>
        <w:spacing w:after="0" w:line="115"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b w:val="1"/>
          <w:bCs w:val="1"/>
          <w:i w:val="1"/>
          <w:iCs w:val="1"/>
          <w:color w:val="auto"/>
        </w:rPr>
        <w:t>Our resort management business may be adversely affected by the loss of management contracts, failure of resorts to comply with brand standards, increased maintenance fees and disagreements with owners.</w:t>
      </w:r>
    </w:p>
    <w:p>
      <w:pPr>
        <w:spacing w:after="0" w:line="68"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Owners of our VOIs are required to pay maintenance fees to maintain and refurbish the vacation ownership properties and keep them in compliance with brand standards. If a resort fails to comply with applicable brand standards, the applicable licensor could terminate our rights to use its trademarks at the resort, which would result in the loss of management fees, decreased customer satisfaction, and impairment of our ability to market and sell our products at the non-compliant locations. Increases in maintenance fees to keep pace with maintenance and other costs may make our products less desirable, which could negatively impact sales and cause an increase in defaults on our vacation ownership notes receivable portfolio. If the owners’ associations that we manage are unable to collect sufficient maintenance fees to cover operating and maintenance costs, the related resorts may have to close or file for bankruptcy, which may result in termination of our management agreements. We may also lose resort management contracts if they are not renewed when they expire, or the contract terms may be renegotiated in a manner adverse to us. The loss or renegotiation of a significant number of our management contracts may adversely affect our cash flows and results of operations.</w:t>
      </w:r>
    </w:p>
    <w:p>
      <w:pPr>
        <w:spacing w:after="0" w:line="59"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From time to time, disagreements arise between us and the owners of VOIs and owners’ associations. For example, owners of our VOIs have disagreed, and may in the future disagree, with changes we make to our products or programs. Sometimes, disagreements with VOI owners and owners’ associations result in litigation and the loss of management contracts. If any such litigation results in a significant adverse judgment or settlement, we could suffer significant losses, our margins and results of operations could be reduced, our reputation could be harmed and our future ability to operate our business could be constrained.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Damage to, or other potential losses involving, properties that we own or manage may not be covered by insurance.</w:t>
      </w:r>
    </w:p>
    <w:p>
      <w:pPr>
        <w:spacing w:after="0" w:line="9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We procure insurance for general liability, property, business interruption, directors and officers liability, and other insurable risks with respect to our business operations and as customarily carried by companies in the hospitality industry. Market forces beyond our control may limit the scope, terms, and conditions of the insurance coverage we are able to obtain or our ability to obtain coverage at reasonable rates, which may affect our ability to maintain customary insurance coverages and deductibles at acceptable costs. Certain types of losses, generally of a catastrophic nature, such as earthquakes, hurricanes and floods, or terrorist acts, may be uninsurable or the price of coverage for such losses may be too expensive to justify obtaining insurance. The effects of climate change, such as increased storm intensity and rising temperatures or sea levels over time, may also increase the cost of property insurance and decrease our coverage levels. In addition, in the event of a substantial loss, the insurance coverage we carry may not be sufficient to pay the full market value or replacement cost of our lost property or property of owners of VOIs or third party liability. In some cases, insurance may not provide a recovery for any part of a loss due to deductibles/retentions, policy limits, coverage limitations, uninsured parts of a loss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 We may also incur liabilities or losses in the operation of our business that are only partially covered by insurance, or not covered at all. Any of these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Risks related to our exchange and third-party management business.</w:t>
      </w:r>
    </w:p>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i w:val="1"/>
          <w:iCs w:val="1"/>
          <w:color w:val="auto"/>
        </w:rPr>
        <w:t>Our Exchange &amp; Third-Party Management business depends on relationships with developers, members and others, and any adverse changes in these relationships could adversely affect our business, financial condition, and results of operations.</w:t>
      </w:r>
    </w:p>
    <w:p>
      <w:pPr>
        <w:spacing w:after="0" w:line="6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Our Interval International business depends on vacation ownership developers for new members and on members and participants to renew their existing memberships and otherwise engage in transactions. Developers and members also supply resort accommodations for use in exchanges and Getaways. Our third-party management business depends on relationships with vacation property and hotel owners.</w:t>
      </w:r>
    </w:p>
    <w:p>
      <w:pPr>
        <w:spacing w:after="0" w:line="7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we are unable to negotiate new affiliation agreements with resort developers or secure renewals with existing members or developers in our Interval International network, as has occurred in the past, the number of new and existing members, the supply of resort accommodations available through our exchange networks and related revenue could decrease. The failure to secure the renewal of affiliation agreements with developers with corporate member relationships, where the developer renews Interval International membership fees for all of its active owners, has a greater adverse effect. The loss or renegotiation on less favorable terms of several of our largest affiliation agreements could materially adversely impact our financial condition and results of operations. Our ability to maintain affiliation agreements with resort developers is also impacted by consolidation in the vacation ownership industry.</w:t>
      </w:r>
    </w:p>
    <w:p>
      <w:pPr>
        <w:spacing w:after="0" w:line="71"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In addition, we depend on third parties to make certain benefits available to members of the Interval International exchange network. The loss of such benefits could result in a decrease in the number of Interval International members, which could have a material adverse effect on our business, financial condition and results of operations.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Similarly, the failure of our third-party management business to maintain existing or negotiate new management agreements with vacation property and hotel owners, as a result of the sale of property to third parties, contract disputes or otherwise, or the failure of vacationers to book vacation rentals through our businesses would result in a decrease in related revenue, which would have an adverse effect on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Insufficient availability of exchange inventory may adversely affect our results of operations.</w:t>
      </w:r>
    </w:p>
    <w:p>
      <w:pPr>
        <w:spacing w:after="0" w:line="10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Our exchange network’s transaction levels depend on the supply of inventory in the system and demand for the available inventory. Exchange inventory is deposited in the system by members, or by developers on behalf of members, to support current or anticipated exchanges. Inventory supply and demand for specific regions and on a broader scope are influenced by a variety of factors, such as: economic conditions; health and safety concerns, including concerns and travel restrictions relating to health crises such as the COVID-19 pandemic; the occurrence or threat of natural disasters and severe weather; and owner decisions to travel to their home resort/vacation club system or otherwise not deposit exchange inventory. The factors that affect demand for specific destinations could significantly reduce the number of accommodations available in such areas for exchanges. The level of inventory in our system also depends on the number of developers whose resorts are in our exchange network, and the numbers of members of such resorts. The number of developers affiliated with our exchange network may decrease for a variety of reasons, such as consolidation and contraction in the industry and competition. If inventory supply and demand do not keep pace, transactions may decrease or we may purchase additional inventory to fulfill the demand, both of which could negatively affect our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indebtedness may restrict our operations.</w:t>
      </w:r>
    </w:p>
    <w:p>
      <w:pPr>
        <w:spacing w:after="0" w:line="10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of December 31, 2022, we had approximately $3.1 billion of total corporate indebtedness outstanding and could borrow an additional $749 million under the Revolving Corporate Credit Facility. The credit agreement that governs the Corporate Credit Facility and the indentures that govern our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All of these covenants and restrictions limit how we conduct our business. The Corporate Credit Facility also requires us to maintain a specified leverage ratio. These restrictions could restrict our flexibility to react to changes in our businesses, industries and economic conditions and increase borrowing costs.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must dedicate a portion of our cash flow from operations to debt servicing and repayment of debt, which reduces funds available for strategic initiatives and opportunities, dividends, share repurchases, working capital, and other general corporate needs. It also increases our vulnerability to the impact of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218" w:right="379" w:bottom="1440" w:gutter="0" w:footer="0" w:header="0"/>
        </w:sectPr>
      </w:pPr>
    </w:p>
    <w:bookmarkStart w:id="37" w:name="page38"/>
    <w:bookmarkEnd w:id="37"/>
    <w:p>
      <w:pPr>
        <w:ind w:right="20"/>
        <w:spacing w:after="0" w:line="264" w:lineRule="auto"/>
        <w:rPr>
          <w:sz w:val="20"/>
          <w:szCs w:val="20"/>
          <w:color w:val="auto"/>
        </w:rPr>
      </w:pPr>
      <w:r>
        <w:rPr>
          <w:rFonts w:ascii="Arial" w:cs="Arial" w:eastAsia="Arial" w:hAnsi="Arial"/>
          <w:sz w:val="17"/>
          <w:szCs w:val="17"/>
          <w:b w:val="1"/>
          <w:bCs w:val="1"/>
          <w:i w:val="1"/>
          <w:iCs w:val="1"/>
          <w:color w:val="auto"/>
        </w:rPr>
        <w:t>If we are unable to comply with our debt agreements, or to raise additional capital when needed, our business, cash flow, liquidity, and results of operations could be harmed.</w:t>
      </w:r>
    </w:p>
    <w:p>
      <w:pPr>
        <w:spacing w:after="0" w:line="68"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Our ability to make scheduled cash payments on and to refinance our indebtedness depends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4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obligations with respect to our capital efficient inventory acquisitions.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Failure to make scheduled cash payments on our existing debt, or to comply with the restrictive covenants and other requirements in our debt agreements, could result in an event of default, which, if not cured or waived, could result in acceleration of our debt repayment obligations. We may not have sufficient cash to repay any accelerated debt obligations, which would immediately and materially harm our business, results of operations and financial condition.</w:t>
      </w:r>
    </w:p>
    <w:p>
      <w:pPr>
        <w:spacing w:after="0" w:line="6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may be required to raise additional capital to refinance our existing debt, or to expand or support our operations.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adversely affect our ability to obtain additional financing. There is no guarantee that debt or equity financings will be available in the future on terms favorable to us or at all. If we are unable to access additional funds on acceptable terms, we may have to adjust our business operations, and our ability to acquire additional vacation ownership inventory, repurchase VOIs, or make other investments in our business could be impaired, any of which may adversely affect our cash flows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substantially more debt, which could exacerbate further the risks associated with our leverage.</w:t>
      </w:r>
    </w:p>
    <w:p>
      <w:pPr>
        <w:spacing w:after="0" w:line="103"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We and our subsidiaries may incur substantial additional indebtedness in the future, including secured indebtedness, as well as obligations that do not constitute indebtedness as defined in our debt agreements. To the extent that we and our subsidiaries incur additional indebtedness or such other obligations, the risks associated with our substantial indebtedness described above will increase.</w:t>
      </w:r>
    </w:p>
    <w:p>
      <w:pPr>
        <w:spacing w:after="0" w:line="7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68"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Our vacation ownership notes receivable portfolio performance and securitization program could be adversely affected if any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than those generally offered in the industry, our ability to securitize those loans may be adversely impacted. Instability in the credit markets may impact the timing and volume of the vacation ownership notes receivable that we are able to securitize, as well as the financial terms of such securitizations. If ABS issued in our securitization programs are downgraded by credit agencies in the future, our ability to complete securitization transactions on acceptable terms or at all could be jeopardized, and we could be forced to rely on other potentially more expensive and less attractive funding sources, to the extent available.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relating to our convertible notes.</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Holders of our convertible notes may convert the convertible notes after the occurrence of certain dates or events. See Footnote 16 “Debt” to our Financial Statements for additional information. If any holders elect to convert their convertible notes, we may elect to settle all or a portion of our conversion obligation through the payment of cash, which could adversely affect our liquidity.</w:t>
      </w:r>
    </w:p>
    <w:p>
      <w:pPr>
        <w:spacing w:after="0" w:line="76"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way we account for our convertible notes may impact our reported or future financial results and the market price of our common stock. For example, in 2022, we adopted a new accounting standard that requires the use of the “if-converted” method for calculating diluted earnings per share, which resulted in the reduction of our reported diluted earnings per share. See Footnote 16 “Debt” and Footnote 2 “Summary of Significant Accounting Policies” to our Financial Statements for additional information regarding the accounting for our convertible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We are subject to risks relating to our convertible note hedges and warrants.</w:t>
      </w:r>
    </w:p>
    <w:p>
      <w:pPr>
        <w:spacing w:after="0" w:line="103" w:lineRule="exact"/>
        <w:rPr>
          <w:sz w:val="20"/>
          <w:szCs w:val="20"/>
          <w:color w:val="auto"/>
        </w:rPr>
      </w:pPr>
    </w:p>
    <w:p>
      <w:pPr>
        <w:jc w:val="both"/>
        <w:ind w:right="80"/>
        <w:spacing w:after="0" w:line="295" w:lineRule="auto"/>
        <w:rPr>
          <w:sz w:val="20"/>
          <w:szCs w:val="20"/>
          <w:color w:val="auto"/>
        </w:rPr>
      </w:pPr>
      <w:r>
        <w:rPr>
          <w:rFonts w:ascii="Arial" w:cs="Arial" w:eastAsia="Arial" w:hAnsi="Arial"/>
          <w:sz w:val="15"/>
          <w:szCs w:val="15"/>
          <w:color w:val="auto"/>
        </w:rPr>
        <w:t>In connection with the convertible notes, we entered into privately negotiated convertible note hedges to reduce potential dilution to our common stock and offset cash payments we must make in excess of the principal amount, in each case, upon any conversion of convertible notes. We also issued warrants to the hedge counterparties. The warrants could have a dilutive effect on our shares of common stock to the extent that the market price per share exceeds the applicable strike price of the warrants on one or more of the applicable expiration dates. Alternatively, if settled in cash, the warrants could have a negative impact on cash flow and liquidity.</w:t>
      </w:r>
    </w:p>
    <w:p>
      <w:pPr>
        <w:spacing w:after="0" w:line="4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In connection with establishing their initial hedges of the convertible note hedges and the warrants, the hedge counterparties and their respective affiliates advised us that they expected to purchase shares of our common stock in secondary market transactions and enter into various derivative transactions with respect to our common stock. These parties may modify their hedge positions by entering into or unwinding various derivatives with respect to our common stock and buying or selling our common stock in the secondary market. Any of these activities could cause or prevent an increase or a decline in the market price of our common stock.</w:t>
      </w:r>
    </w:p>
    <w:p>
      <w:pPr>
        <w:spacing w:after="0" w:line="4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are subject to the risk that one or more of the hedge counterparties may default under the convertible note hedges.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07" w:lineRule="exact"/>
        <w:rPr>
          <w:sz w:val="20"/>
          <w:szCs w:val="20"/>
          <w:color w:val="auto"/>
        </w:rPr>
      </w:pPr>
    </w:p>
    <w:p>
      <w:pPr>
        <w:ind w:right="560"/>
        <w:spacing w:after="0" w:line="264" w:lineRule="auto"/>
        <w:rPr>
          <w:sz w:val="20"/>
          <w:szCs w:val="20"/>
          <w:color w:val="auto"/>
        </w:rPr>
      </w:pPr>
      <w:r>
        <w:rPr>
          <w:rFonts w:ascii="Arial" w:cs="Arial" w:eastAsia="Arial" w:hAnsi="Arial"/>
          <w:sz w:val="17"/>
          <w:szCs w:val="17"/>
          <w:b w:val="1"/>
          <w:bCs w:val="1"/>
          <w:i w:val="1"/>
          <w:iCs w:val="1"/>
          <w:color w:val="auto"/>
        </w:rPr>
        <w:t>Our share repurchase program may not enhance long-term shareholder value and could increase the volatility of the market price of our common stock and diminish our cash.</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share repurchase program does not obligate us to repurchase any shares of our common stock. The timing and amount of any repurchases depend upon several factors, including market conditions, business conditions, statutory and contractual restrictions, the trading price of our common stock and the nature of other investment opportunities available to us. In addition, repurchases of our common stock could affect our stock price and increase its volatility. The existence of a share repurchase program could cause our stock price to be higher than it would be absent the program and could reduce market liquidity for our stock. Use of our funds to repurchase shares could diminish our cash reserves, which may impact our ability to finance growth, pursue strategic opportunities, and discharge liabilities. Our share repurchases may not enhance shareholder value because the market price of our common stock may decline below the prices at which we repurchased shares and short-term stock price fluctuations could reduce the program’s effectiveness.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pay dividends on our stock is limited.</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may not declare or pay dividends in the future at any particular rate or at all. Our Board of Directors makes all decisions regarding our payment of dividends, subject to an evaluation of our financial condition, results of operations and capital requirements, as well as applicable law, regulatory and contractual constraints, industry practice and other business considerations that our Board of Directors considers relevant. Certain of the agreements governing our indebtedness restrict our ability and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and related warrants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in our organizational documents, Delaware law and in certain of our agreements could delay or prevent a change in control.</w:t>
      </w:r>
    </w:p>
    <w:p>
      <w:pPr>
        <w:spacing w:after="0" w:line="12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Provisions of our Charter and Bylaws, as well as provisions in the agreements with our licensors, may delay or prevent a merger or acquisition that a shareholder may consider favorable. For example, our Charter and Bylaws provide for a classified board, require advance notice for shareholder proposals and nominations, place limits on convening shareholder meetings and authorize our Board of Directors to issue one or more series of preferred stock. Delaware law also restricts some business combinations between any holder of 15% or more of our outstanding common stock and us. The fact that these provisions and statutory restrictions may discourage acquisition proposals or delay or prevent a change in control could harm our stock price. Delaware law also restricts some business combinations between any holder of 15% or more of our outstanding common stock and us.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3" w:right="359" w:bottom="1440" w:gutter="0" w:footer="0" w:header="0"/>
        </w:sectPr>
      </w:pPr>
    </w:p>
    <w:bookmarkStart w:id="39" w:name="page40"/>
    <w:bookmarkEnd w:id="39"/>
    <w:p>
      <w:pPr>
        <w:ind w:right="200"/>
        <w:spacing w:after="0" w:line="254" w:lineRule="auto"/>
        <w:rPr>
          <w:sz w:val="20"/>
          <w:szCs w:val="20"/>
          <w:color w:val="auto"/>
        </w:rPr>
      </w:pPr>
      <w:r>
        <w:rPr>
          <w:rFonts w:ascii="Arial" w:cs="Arial" w:eastAsia="Arial" w:hAnsi="Arial"/>
          <w:sz w:val="17"/>
          <w:szCs w:val="17"/>
          <w:color w:val="auto"/>
        </w:rPr>
        <w:t>Further, a change in control could result in an acceleration of our obligations under the Corporate Credit Facility or the indentures that govern our senior notes. The threat of our debt being accelerated in connection with a change in control could make it more difficult for us to attract potential buyers or to consummate a change in control transaction that would otherwise be beneficial to our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Vistana Spin-Off.</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ILG Acquisition could result in material liability if it causes the Vistana Spin-Off to be taxable.</w:t>
      </w:r>
    </w:p>
    <w:p>
      <w:pPr>
        <w:spacing w:after="0" w:line="10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In connection with Vistana’s spin-off from Starwood and acquisition by ILG (the “Vistana Spin-Off”), ILG and Vistana entered into a Tax Matters Agreement that restricts them from actions or omissions that would cause the Vistana Spin-Off to become taxable. Failure to adhere to these restrictions, including in certain circumstances that may be outside of our control, could result in tax being imposed on Starwood or its shareholders for which we may be obligated to indemnify Starwood. Even if we are not responsible for such tax liabilities under the Tax Matters Agreement, we may be liable under applicable tax law for such liabilities if Starwood fails to pay such taxes. For two years after the Vistana Spin-Off, the Tax Matters Agreement prohibited Vistana and ILG from taking certain actions involving their stock or Vistana’s assets because the Vistana Spin-Off would be taxable to Starwood (but not to Starwood shareholders) pursuant to Section 355(e) of the Internal Revenue Code if there was a direct or indirect 50% or greater change in Vistana’s ownership as part of a plan or series of related transactions including the Vistana Spin-Off. The Vistana acquisition was not expected to violate this rule because Starwood shareholders held over 50% by vote and value of ILG stock (and, thus, indirectly, of Vistana) immediately after the Vistana acquisition. However, the ILG Acquisition diluted the indirect ownership of Vistana by its former shareholders below 50%. We received an opinion from KPMG LLP that entering into the ILG Acquisition would not affect the tax-free status of the Vistana Spin-Off; however, this opinion does not bind the Internal Revenue Service ( the “IRS”) or any court. If the IRS asserts that the ILG Acquisition is part of a plan or series of related transactions including the Vistana Spin-Off and the Vistana acquisition, and this assertion is sustained, the Vistana Spin-Off would be subject to the application of Section 355(e) of the Code, and we would be liable to indemnify Starwood (or Marriott International) for any resulting tax liability pursuant to the Tax Matters Agreement.</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10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of December 31, 2022, our vacation ownership portfolio consisted of over 120 properties in the United States and thirteen other countries and territories. These properties are described in Part I, Item 1, “Business” of this Annual Report. Except as indicated in Part I, Item 1, “Business,” we own unsold inventory at these properties. We also own, manage or lease golf courses, fitness, spa and sports facilities, undeveloped and partially developed land and other common area assets at some of our resorts in our Vacation Ownership segment, including resort lobbies and food and beverage outlets.</w:t>
      </w:r>
    </w:p>
    <w:p>
      <w:pPr>
        <w:spacing w:after="0" w:line="65"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In addition, we own or lease our regional offices and sales centers, both in the United States and internationally. The leases for our current corporate headquarters in Orlando, Florida are set to expire in 2027. In 2020, we entered into a lease agreement, that was amended during 2021, for our new global headquarters office building in Orlando, Florida, which is expected to be substantially complete in the first half of 2023. See Footnote 14 “Leases” for additional information.</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107"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Currently, and from time to time, we are subject to claims in legal proceedings arising in the normal course of business, including, among others, the legal actions discussed under “Loss Contingencies” in Footnote 13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3" w:right="3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PART II</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Securities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and Dividends</w:t>
      </w:r>
    </w:p>
    <w:p>
      <w:pPr>
        <w:spacing w:after="0" w:line="10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any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On February 21, 2023, there were 23,506 holders of record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87"/>
              </w:rPr>
              <w:t>Average</w:t>
            </w:r>
          </w:p>
        </w:tc>
        <w:tc>
          <w:tcPr>
            <w:tcW w:w="1600" w:type="dxa"/>
            <w:vAlign w:val="bottom"/>
          </w:tcPr>
          <w:p>
            <w:pPr>
              <w:jc w:val="center"/>
              <w:spacing w:after="0"/>
              <w:rPr>
                <w:sz w:val="20"/>
                <w:szCs w:val="20"/>
                <w:color w:val="auto"/>
              </w:rPr>
            </w:pPr>
            <w:r>
              <w:rPr>
                <w:rFonts w:ascii="Arial" w:cs="Arial" w:eastAsia="Arial" w:hAnsi="Arial"/>
                <w:sz w:val="15"/>
                <w:szCs w:val="15"/>
                <w:b w:val="1"/>
                <w:bCs w:val="1"/>
                <w:color w:val="auto"/>
                <w:w w:val="89"/>
              </w:rPr>
              <w:t>Total Number of Shares</w:t>
            </w:r>
          </w:p>
        </w:tc>
        <w:tc>
          <w:tcPr>
            <w:tcW w:w="1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Maximum Dollar Amount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8"/>
              </w:rPr>
              <w:t>Purchased as Part of</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0"/>
              </w:rPr>
              <w:t>of Shares That May Yet Be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4"/>
              </w:rPr>
              <w:t>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90"/>
              </w:rPr>
              <w:t>Price Paid</w:t>
            </w:r>
          </w:p>
        </w:tc>
        <w:tc>
          <w:tcPr>
            <w:tcW w:w="16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8"/>
              </w:rPr>
              <w:t>Publicly Announced</w:t>
            </w:r>
          </w:p>
        </w:tc>
        <w:tc>
          <w:tcPr>
            <w:tcW w:w="120" w:type="dxa"/>
            <w:vAlign w:val="bottom"/>
          </w:tcPr>
          <w:p>
            <w:pPr>
              <w:spacing w:after="0"/>
              <w:rPr>
                <w:sz w:val="12"/>
                <w:szCs w:val="12"/>
                <w:color w:val="auto"/>
              </w:rPr>
            </w:pPr>
          </w:p>
        </w:tc>
        <w:tc>
          <w:tcPr>
            <w:tcW w:w="1800" w:type="dxa"/>
            <w:vAlign w:val="bottom"/>
            <w:gridSpan w:val="2"/>
          </w:tcPr>
          <w:p>
            <w:pPr>
              <w:ind w:left="40"/>
              <w:spacing w:after="0" w:line="149" w:lineRule="exact"/>
              <w:rPr>
                <w:sz w:val="20"/>
                <w:szCs w:val="20"/>
                <w:color w:val="auto"/>
              </w:rPr>
            </w:pPr>
            <w:r>
              <w:rPr>
                <w:rFonts w:ascii="Arial" w:cs="Arial" w:eastAsia="Arial" w:hAnsi="Arial"/>
                <w:sz w:val="15"/>
                <w:szCs w:val="15"/>
                <w:b w:val="1"/>
                <w:bCs w:val="1"/>
                <w:color w:val="auto"/>
                <w:w w:val="89"/>
              </w:rPr>
              <w:t>Purchased Under the Plans</w:t>
            </w:r>
          </w:p>
        </w:tc>
        <w:tc>
          <w:tcPr>
            <w:tcW w:w="0" w:type="dxa"/>
            <w:vAlign w:val="bottom"/>
          </w:tcPr>
          <w:p>
            <w:pPr>
              <w:spacing w:after="0"/>
              <w:rPr>
                <w:sz w:val="1"/>
                <w:szCs w:val="1"/>
                <w:color w:val="auto"/>
              </w:rPr>
            </w:pPr>
          </w:p>
        </w:tc>
      </w:tr>
      <w:tr>
        <w:trPr>
          <w:trHeight w:val="199"/>
        </w:trPr>
        <w:tc>
          <w:tcPr>
            <w:tcW w:w="2640" w:type="dxa"/>
            <w:vAlign w:val="bottom"/>
          </w:tcPr>
          <w:p>
            <w:pPr>
              <w:ind w:left="20"/>
              <w:spacing w:after="0"/>
              <w:rPr>
                <w:sz w:val="20"/>
                <w:szCs w:val="20"/>
                <w:color w:val="auto"/>
              </w:rPr>
            </w:pPr>
            <w:r>
              <w:rPr>
                <w:rFonts w:ascii="Arial" w:cs="Arial" w:eastAsia="Arial" w:hAnsi="Arial"/>
                <w:sz w:val="13"/>
                <w:szCs w:val="13"/>
                <w:b w:val="1"/>
                <w:bCs w:val="1"/>
                <w:color w:val="auto"/>
              </w:rPr>
              <w:t>Period</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5"/>
              </w:rPr>
              <w:t>Purchased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per Share</w:t>
            </w:r>
          </w:p>
        </w:tc>
        <w:tc>
          <w:tcPr>
            <w:tcW w:w="1600" w:type="dxa"/>
            <w:vAlign w:val="bottom"/>
          </w:tcPr>
          <w:p>
            <w:pPr>
              <w:jc w:val="center"/>
              <w:spacing w:after="0" w:line="199" w:lineRule="exact"/>
              <w:rPr>
                <w:sz w:val="20"/>
                <w:szCs w:val="20"/>
                <w:color w:val="auto"/>
              </w:rPr>
            </w:pPr>
            <w:r>
              <w:rPr>
                <w:rFonts w:ascii="Arial" w:cs="Arial" w:eastAsia="Arial" w:hAnsi="Arial"/>
                <w:sz w:val="15"/>
                <w:szCs w:val="15"/>
                <w:b w:val="1"/>
                <w:bCs w:val="1"/>
                <w:color w:val="auto"/>
                <w:w w:val="87"/>
              </w:rPr>
              <w:t>Plans or Programs</w:t>
            </w:r>
            <w:r>
              <w:rPr>
                <w:rFonts w:ascii="Arial" w:cs="Arial" w:eastAsia="Arial" w:hAnsi="Arial"/>
                <w:sz w:val="19"/>
                <w:szCs w:val="19"/>
                <w:b w:val="1"/>
                <w:bCs w:val="1"/>
                <w:color w:val="auto"/>
                <w:w w:val="87"/>
                <w:vertAlign w:val="superscript"/>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199"/>
              <w:spacing w:after="0" w:line="199" w:lineRule="exact"/>
              <w:rPr>
                <w:sz w:val="20"/>
                <w:szCs w:val="20"/>
                <w:color w:val="auto"/>
              </w:rPr>
            </w:pPr>
            <w:r>
              <w:rPr>
                <w:rFonts w:ascii="Arial" w:cs="Arial" w:eastAsia="Arial" w:hAnsi="Arial"/>
                <w:sz w:val="15"/>
                <w:szCs w:val="15"/>
                <w:b w:val="1"/>
                <w:bCs w:val="1"/>
                <w:color w:val="auto"/>
                <w:w w:val="87"/>
              </w:rPr>
              <w:t>or Programs</w:t>
            </w:r>
            <w:r>
              <w:rPr>
                <w:rFonts w:ascii="Arial" w:cs="Arial" w:eastAsia="Arial" w:hAnsi="Arial"/>
                <w:sz w:val="19"/>
                <w:szCs w:val="19"/>
                <w:b w:val="1"/>
                <w:bCs w:val="1"/>
                <w:color w:val="auto"/>
                <w:w w:val="87"/>
                <w:vertAlign w:val="superscript"/>
              </w:rPr>
              <w:t>(1)</w:t>
            </w:r>
          </w:p>
        </w:tc>
        <w:tc>
          <w:tcPr>
            <w:tcW w:w="0" w:type="dxa"/>
            <w:vAlign w:val="bottom"/>
          </w:tcPr>
          <w:p>
            <w:pPr>
              <w:spacing w:after="0"/>
              <w:rPr>
                <w:sz w:val="1"/>
                <w:szCs w:val="1"/>
                <w:color w:val="auto"/>
              </w:rPr>
            </w:pPr>
          </w:p>
        </w:tc>
      </w:tr>
      <w:tr>
        <w:trPr>
          <w:trHeight w:val="216"/>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5"/>
              </w:rPr>
              <w:t>October 1, 2022 – October 31, 2022</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387,544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135.84</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387,544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391,193,305</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Arial" w:cs="Arial" w:eastAsia="Arial" w:hAnsi="Arial"/>
                <w:sz w:val="17"/>
                <w:szCs w:val="17"/>
                <w:color w:val="auto"/>
                <w:w w:val="97"/>
              </w:rPr>
              <w:t>November 1, 2022 – November 30,</w:t>
            </w:r>
          </w:p>
        </w:tc>
        <w:tc>
          <w:tcPr>
            <w:tcW w:w="1020" w:type="dxa"/>
            <w:vAlign w:val="bottom"/>
            <w:vMerge w:val="restart"/>
          </w:tcPr>
          <w:p>
            <w:pPr>
              <w:jc w:val="right"/>
              <w:ind w:right="1"/>
              <w:spacing w:after="0"/>
              <w:rPr>
                <w:sz w:val="20"/>
                <w:szCs w:val="20"/>
                <w:color w:val="auto"/>
              </w:rPr>
            </w:pPr>
            <w:r>
              <w:rPr>
                <w:rFonts w:ascii="Arial" w:cs="Arial" w:eastAsia="Arial" w:hAnsi="Arial"/>
                <w:sz w:val="17"/>
                <w:szCs w:val="17"/>
                <w:color w:val="auto"/>
              </w:rPr>
              <w:t>312,283</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7"/>
                <w:szCs w:val="17"/>
                <w:color w:val="auto"/>
              </w:rPr>
              <w:t>142.93</w:t>
            </w:r>
          </w:p>
        </w:tc>
        <w:tc>
          <w:tcPr>
            <w:tcW w:w="120" w:type="dxa"/>
            <w:vAlign w:val="bottom"/>
          </w:tcPr>
          <w:p>
            <w:pPr>
              <w:spacing w:after="0"/>
              <w:rPr>
                <w:sz w:val="14"/>
                <w:szCs w:val="14"/>
                <w:color w:val="auto"/>
              </w:rPr>
            </w:pPr>
          </w:p>
        </w:tc>
        <w:tc>
          <w:tcPr>
            <w:tcW w:w="1600" w:type="dxa"/>
            <w:vAlign w:val="bottom"/>
            <w:vMerge w:val="restart"/>
          </w:tcPr>
          <w:p>
            <w:pPr>
              <w:jc w:val="right"/>
              <w:ind w:right="1"/>
              <w:spacing w:after="0"/>
              <w:rPr>
                <w:sz w:val="20"/>
                <w:szCs w:val="20"/>
                <w:color w:val="auto"/>
              </w:rPr>
            </w:pPr>
            <w:r>
              <w:rPr>
                <w:rFonts w:ascii="Arial" w:cs="Arial" w:eastAsia="Arial" w:hAnsi="Arial"/>
                <w:sz w:val="17"/>
                <w:szCs w:val="17"/>
                <w:color w:val="auto"/>
              </w:rPr>
              <w:t>312,283</w:t>
            </w:r>
          </w:p>
        </w:tc>
        <w:tc>
          <w:tcPr>
            <w:tcW w:w="40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346,558,043</w:t>
            </w:r>
          </w:p>
        </w:tc>
        <w:tc>
          <w:tcPr>
            <w:tcW w:w="0" w:type="dxa"/>
            <w:vAlign w:val="bottom"/>
          </w:tcPr>
          <w:p>
            <w:pPr>
              <w:spacing w:after="0"/>
              <w:rPr>
                <w:sz w:val="1"/>
                <w:szCs w:val="1"/>
                <w:color w:val="auto"/>
              </w:rPr>
            </w:pPr>
          </w:p>
        </w:tc>
      </w:tr>
      <w:tr>
        <w:trPr>
          <w:trHeight w:val="137"/>
        </w:trPr>
        <w:tc>
          <w:tcPr>
            <w:tcW w:w="2640" w:type="dxa"/>
            <w:vAlign w:val="bottom"/>
            <w:vMerge w:val="restart"/>
          </w:tcPr>
          <w:p>
            <w:pPr>
              <w:ind w:left="20"/>
              <w:spacing w:after="0"/>
              <w:rPr>
                <w:sz w:val="20"/>
                <w:szCs w:val="20"/>
                <w:color w:val="auto"/>
              </w:rPr>
            </w:pPr>
            <w:r>
              <w:rPr>
                <w:rFonts w:ascii="Arial" w:cs="Arial" w:eastAsia="Arial" w:hAnsi="Arial"/>
                <w:sz w:val="17"/>
                <w:szCs w:val="17"/>
                <w:color w:val="auto"/>
              </w:rPr>
              <w:t>2022</w:t>
            </w:r>
          </w:p>
        </w:tc>
        <w:tc>
          <w:tcPr>
            <w:tcW w:w="102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6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December 1, 2022 – December 31,</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539,270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141.06</w:t>
            </w:r>
          </w:p>
        </w:tc>
        <w:tc>
          <w:tcPr>
            <w:tcW w:w="1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539,270</w:t>
            </w:r>
          </w:p>
        </w:tc>
        <w:tc>
          <w:tcPr>
            <w:tcW w:w="40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270,489,176</w:t>
            </w:r>
          </w:p>
        </w:tc>
        <w:tc>
          <w:tcPr>
            <w:tcW w:w="0" w:type="dxa"/>
            <w:vAlign w:val="bottom"/>
          </w:tcPr>
          <w:p>
            <w:pPr>
              <w:spacing w:after="0"/>
              <w:rPr>
                <w:sz w:val="1"/>
                <w:szCs w:val="1"/>
                <w:color w:val="auto"/>
              </w:rPr>
            </w:pPr>
          </w:p>
        </w:tc>
      </w:tr>
      <w:tr>
        <w:trPr>
          <w:trHeight w:val="137"/>
        </w:trPr>
        <w:tc>
          <w:tcPr>
            <w:tcW w:w="26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40" w:type="dxa"/>
            <w:vAlign w:val="bottom"/>
            <w:vMerge w:val="continue"/>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1,239,097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139.90</w:t>
            </w: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1,239,097</w:t>
            </w:r>
          </w:p>
        </w:tc>
        <w:tc>
          <w:tcPr>
            <w:tcW w:w="4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270,489,176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hanging="300"/>
        <w:spacing w:after="0" w:line="252" w:lineRule="auto"/>
        <w:tabs>
          <w:tab w:leader="none" w:pos="289"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On September 13, 2021, our Board of Directors authorized a share repurchase program under which we were authorized to purchase shares of our common stock for an aggregate purchase price not to exceed $250 million, prior to December 31, 2022. On February 22, 2022, we announced that our Board of Directors authorized the repurchase of up to an additional $300 million of our common stock, and extended the term of our existing share repurchase program to March 31, 2023. On August 1, 2022, we announced that our Board of Directors authorized the repurchase of up to an additional $500 million of our common stock and extended the term of our existing share repurchase program to June 30, 2023.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76200</wp:posOffset>
            </wp:positionV>
            <wp:extent cx="4424680" cy="2686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24680" cy="268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above graph compares the relative performance of our common stock, the S&amp;P MidCap 400 Index (which has included our common stock since the acquisition of ILG), and the S&amp;P Composite 1500 Hotels, Resorts &amp; Cruise Lines Index. The graph assumes that $100 was invested in our common stock and each index on December 31, 2017. The stock price performance reflected above is not necessarily indicative of future stock price performance. The foregoing performance graph is being furnished as part of this Annual Report solely in accordance with the requirement under Rule 14a-3(b)(9) to furnish our shareholders with such information, and therefore, shall not be deemed to be filed or incorporated by reference into any filings by the Company under the Securities Act of 1933, as amended, or the Exchange Act.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3"/>
          <w:szCs w:val="13"/>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42" w:name="page43"/>
    <w:bookmarkEnd w:id="42"/>
    <w:p>
      <w:pPr>
        <w:spacing w:after="0"/>
        <w:tabs>
          <w:tab w:leader="none" w:pos="6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07"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You should read the following discussion of our results of operations and financial condition together with our audited historical consolidated financial statements and accompanying notes in Part II, “Item 8. Financial Statements and Supplementary Data,” and Part I, “Item 1. Business,” of this Annual Report.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8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76" w:lineRule="exact"/>
        <w:rPr>
          <w:sz w:val="20"/>
          <w:szCs w:val="20"/>
          <w:color w:val="auto"/>
        </w:rPr>
      </w:pPr>
    </w:p>
    <w:p>
      <w:pPr>
        <w:ind w:right="300"/>
        <w:spacing w:after="0" w:line="304" w:lineRule="auto"/>
        <w:rPr>
          <w:rFonts w:ascii="Arial" w:cs="Arial" w:eastAsia="Arial" w:hAnsi="Arial"/>
          <w:sz w:val="15"/>
          <w:szCs w:val="15"/>
          <w:i w:val="1"/>
          <w:iCs w:val="1"/>
          <w:color w:val="0000FF"/>
        </w:rPr>
      </w:pPr>
      <w:r>
        <w:rPr>
          <w:rFonts w:ascii="Arial" w:cs="Arial" w:eastAsia="Arial" w:hAnsi="Arial"/>
          <w:sz w:val="15"/>
          <w:szCs w:val="15"/>
          <w:i w:val="1"/>
          <w:iCs w:val="1"/>
          <w:color w:val="auto"/>
        </w:rPr>
        <w:t xml:space="preserve">Our discussion and analysis of fiscal year 2022 to fiscal year 2021 is included herein. Our discussion and analysis of fiscal year 2021 to fiscal year 2020 has been omitted from this Form 10-K and can be found in Part II, “Item 7. Management’s Discussion and Analysis of Financial Condition and Results of Operations” of our </w:t>
      </w:r>
      <w:hyperlink r:id="rId69">
        <w:r>
          <w:rPr>
            <w:rFonts w:ascii="Arial" w:cs="Arial" w:eastAsia="Arial" w:hAnsi="Arial"/>
            <w:sz w:val="15"/>
            <w:szCs w:val="15"/>
            <w:i w:val="1"/>
            <w:iCs w:val="1"/>
            <w:u w:val="single" w:color="auto"/>
            <w:color w:val="0000FF"/>
          </w:rPr>
          <w:t>Annual Report on Form 10-K for the fiscal year ended December 31, 2021</w:t>
        </w:r>
      </w:hyperlink>
      <w:r>
        <w:rPr>
          <w:rFonts w:ascii="Arial" w:cs="Arial" w:eastAsia="Arial" w:hAnsi="Arial"/>
          <w:sz w:val="15"/>
          <w:szCs w:val="15"/>
          <w:i w:val="1"/>
          <w:iCs w:val="1"/>
          <w:color w:val="000000"/>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which was filed with the Securities and Exchange Commission on March 1, 2022.</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0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7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4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Exchange &amp; Third-Party Management segment includes exchange networks and membership programs, as well as the provision of management services to other resorts and lodging properties. As of May 2022, we provided these services through our Interval International and Aqua-Aston businesses. Exchange &amp; Third-Party Management revenue generally is fee-based and derived from membership, exchange and rental transactions, property and association management, and other related products and services. In April 2022, we disposed of VRI Americas after determining that the business was not a core component of our future growth strategy and operating model. This business was a component of our Exchange and Third-Party Management segment through the date of the sale. See Footnote 3 “Acquisitions and Dispositions” to our Financial Statements for further information regarding this disposition.</w:t>
      </w:r>
    </w:p>
    <w:p>
      <w:pPr>
        <w:spacing w:after="0" w:line="71" w:lineRule="exact"/>
        <w:rPr>
          <w:sz w:val="20"/>
          <w:szCs w:val="20"/>
          <w:color w:val="auto"/>
        </w:rPr>
      </w:pPr>
    </w:p>
    <w:p>
      <w:pPr>
        <w:ind w:right="40"/>
        <w:spacing w:after="0" w:line="366" w:lineRule="auto"/>
        <w:rPr>
          <w:sz w:val="20"/>
          <w:szCs w:val="20"/>
          <w:color w:val="auto"/>
        </w:rPr>
      </w:pPr>
      <w:r>
        <w:rPr>
          <w:rFonts w:ascii="Arial" w:cs="Arial" w:eastAsia="Arial" w:hAnsi="Arial"/>
          <w:sz w:val="17"/>
          <w:szCs w:val="17"/>
          <w:color w:val="auto"/>
        </w:rPr>
        <w:t xml:space="preserve">Corporate and other represents that portion of our results that are not allocable to our segments, including those relating to Consolidated Property Owners’ Associations. </w:t>
      </w:r>
      <w:r>
        <w:rPr>
          <w:rFonts w:ascii="Arial" w:cs="Arial" w:eastAsia="Arial" w:hAnsi="Arial"/>
          <w:sz w:val="17"/>
          <w:szCs w:val="17"/>
          <w:i w:val="1"/>
          <w:iCs w:val="1"/>
          <w:color w:val="auto"/>
        </w:rPr>
        <w:t>Integration of Marriott-, Sheraton- and Westin- Branded Vacation Ownership Products</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Part of the rationale for our acquisition of ILG in 2018 was to achieve operating efficiencies and business growth by leveraging the brands licensed by Marriott International and its subsidiaries to us and to ILG. In 2016, Marriott International purchased Starwood Hotels and Resorts Worldwide, Inc., which at the time exclusively licensed the Sheraton and Westin vacation ownership brands to Legacy-ILG. In August 2022, we launched Abound by Marriott Vacations, a new owner benefit and exchange program which affiliates the Marriott, Sheraton and Westin vacation ownership brands to offer similar benefits to owners of our products under these brands. Under this program, owners of Marriott-, Sheraton- and Westin-branded VOIs can access over 90 resorts under the Marriott Vacation Club, Sheraton Vacation Club and Westin Vacation Club brands using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sectPr>
      </w:pPr>
    </w:p>
    <w:bookmarkStart w:id="43" w:name="page44"/>
    <w:bookmarkEnd w:id="43"/>
    <w:p>
      <w:pPr>
        <w:ind w:right="160"/>
        <w:spacing w:after="0" w:line="254" w:lineRule="auto"/>
        <w:rPr>
          <w:sz w:val="20"/>
          <w:szCs w:val="20"/>
          <w:color w:val="auto"/>
        </w:rPr>
      </w:pPr>
      <w:r>
        <w:rPr>
          <w:rFonts w:ascii="Arial" w:cs="Arial" w:eastAsia="Arial" w:hAnsi="Arial"/>
          <w:sz w:val="17"/>
          <w:szCs w:val="17"/>
          <w:color w:val="auto"/>
        </w:rPr>
        <w:t>a common currency. The program also harmonizes fee structures and owner benefit levels and allows us to transition most of our Legacy-ILG sales galleries to sell our Marriott Vacation Club Destinations product. Further, in late 2022, we added certain Sheraton- and Westin- branded VOIs to the Marriott Vacation Club Destinations product.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Welk</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On April 1, 2021, we completed the Welk Acquisition, after which Welk became our indirect wholly-owned subsidiary. In April 2022, we introduced the Hyatt Vacation Club and rebranded Legacy-Welk’s vacation ownership program as the Hyatt Vacation Club Platinum Program, enabling Legacy-Welk sales centers to sell a Hyatt-branded vacation ownership product. Most Legacy-Welk resorts are now available for rental stays through Hyatt.com.</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Accounting Policies Used in Describing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Vacation Ownership Products</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recognize revenues from the sale of vacation ownership products (also referred to as “VOIs”) when control of the vacation ownership product is transferred to the customer and the transaction price is deemed collectible. Based upon the different terms of our contracts with the customer and business practices, control of the vacation ownership product has historically transferred to the customer at different points in time for each brand of VOIs. In the third quarter of 2022, we aligned our business practices and contract terms, resulting in the prospective change in the timing of the transfer of control to the customer for Marriott-branded VOIs. Prior to these changes, control transfer occurred at closing for Marriott-branded vacation ownership products. Subsequent to this alignment, transfer of control of Marriott-branded vacation ownership products occurs at expiration of the statutory rescission period, consistent with the historical timing of Sheraton-, Westin- and Hyatt- branded transactions. Marriott-branded VOI sales contracts executed prior to these modifications have been accounted for with transfer of control of the VOI occurring at closing. Control transfer for Legacy-Welk VOIs continues to occur at closing.</w:t>
      </w:r>
    </w:p>
    <w:p>
      <w:pPr>
        <w:spacing w:after="0" w:line="73" w:lineRule="exact"/>
        <w:rPr>
          <w:sz w:val="20"/>
          <w:szCs w:val="20"/>
          <w:color w:val="auto"/>
        </w:rPr>
      </w:pPr>
    </w:p>
    <w:p>
      <w:pPr>
        <w:ind w:right="360"/>
        <w:spacing w:after="0" w:line="331" w:lineRule="auto"/>
        <w:rPr>
          <w:sz w:val="20"/>
          <w:szCs w:val="20"/>
          <w:color w:val="auto"/>
        </w:rPr>
      </w:pPr>
      <w:r>
        <w:rPr>
          <w:rFonts w:ascii="Arial" w:cs="Arial" w:eastAsia="Arial" w:hAnsi="Arial"/>
          <w:sz w:val="15"/>
          <w:szCs w:val="15"/>
          <w:color w:val="auto"/>
        </w:rPr>
        <w:t>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2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Plus points are redeemable for stays at our resorts or for use in other third-party offerings, generally up to two years from the date of issuance. Typically, sales incentives are only awarded if the sale is closed.</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Finally, as more fully described in “</w:t>
      </w:r>
      <w:r>
        <w:rPr>
          <w:rFonts w:ascii="Arial" w:cs="Arial" w:eastAsia="Arial" w:hAnsi="Arial"/>
          <w:sz w:val="17"/>
          <w:szCs w:val="17"/>
          <w:i w:val="1"/>
          <w:iCs w:val="1"/>
          <w:color w:val="auto"/>
        </w:rPr>
        <w:t>Financing</w:t>
      </w:r>
      <w:r>
        <w:rPr>
          <w:rFonts w:ascii="Arial" w:cs="Arial" w:eastAsia="Arial" w:hAnsi="Arial"/>
          <w:sz w:val="17"/>
          <w:szCs w:val="17"/>
          <w:color w:val="auto"/>
        </w:rPr>
        <w:t>” below, we record the difference between the contract receivable or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8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Cost of vacation ownership products includes costs to acquire,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44" w:name="page45"/>
    <w:bookmarkEnd w:id="44"/>
    <w:p>
      <w:pPr>
        <w:spacing w:after="0"/>
        <w:rPr>
          <w:sz w:val="20"/>
          <w:szCs w:val="20"/>
          <w:color w:val="auto"/>
        </w:rPr>
      </w:pPr>
      <w:r>
        <w:rPr>
          <w:rFonts w:ascii="Arial" w:cs="Arial" w:eastAsia="Arial" w:hAnsi="Arial"/>
          <w:sz w:val="15"/>
          <w:szCs w:val="15"/>
          <w:color w:val="auto"/>
        </w:rPr>
        <w:t>We refer to revenues from the sale of vacation ownership products less the cost of vacation ownership products and marketing and sales costs as Development profit.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Development profit margin is calculated by dividing Development profit by revenues from the Sale of vacation ownership products. We previously used the term</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Development margin to refer to revenues from the Sale of vacation ownership products less the Cost of vacation ownership products and marketing and sales costs.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and Exchange</w:t>
      </w:r>
    </w:p>
    <w:p>
      <w:pPr>
        <w:spacing w:after="0" w:line="103"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Our management and exchange revenues include revenues generated from fees we earn for managing each of our vacation ownership resorts, providing property management, owners’ association management and related services and fees we earn for providing rental services and related hotel, condominium resort, and owners’ association management services to vacation property owners.</w:t>
      </w:r>
    </w:p>
    <w:p>
      <w:pPr>
        <w:spacing w:after="0" w:line="76" w:lineRule="exact"/>
        <w:rPr>
          <w:sz w:val="20"/>
          <w:szCs w:val="20"/>
          <w:color w:val="auto"/>
        </w:rPr>
      </w:pPr>
    </w:p>
    <w:p>
      <w:pPr>
        <w:ind w:right="420"/>
        <w:spacing w:after="0" w:line="331" w:lineRule="auto"/>
        <w:rPr>
          <w:sz w:val="20"/>
          <w:szCs w:val="20"/>
          <w:color w:val="auto"/>
        </w:rPr>
      </w:pPr>
      <w:r>
        <w:rPr>
          <w:rFonts w:ascii="Arial" w:cs="Arial" w:eastAsia="Arial" w:hAnsi="Arial"/>
          <w:sz w:val="15"/>
          <w:szCs w:val="15"/>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22"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45" w:lineRule="exact"/>
        <w:rPr>
          <w:sz w:val="20"/>
          <w:szCs w:val="20"/>
          <w:color w:val="auto"/>
        </w:rPr>
      </w:pPr>
    </w:p>
    <w:p>
      <w:pPr>
        <w:ind w:right="580"/>
        <w:spacing w:after="0" w:line="366" w:lineRule="auto"/>
        <w:rPr>
          <w:sz w:val="20"/>
          <w:szCs w:val="20"/>
          <w:color w:val="auto"/>
        </w:rPr>
      </w:pPr>
      <w:r>
        <w:rPr>
          <w:rFonts w:ascii="Arial" w:cs="Arial" w:eastAsia="Arial" w:hAnsi="Arial"/>
          <w:sz w:val="17"/>
          <w:szCs w:val="17"/>
          <w:color w:val="auto"/>
        </w:rPr>
        <w:t xml:space="preserve">In our Vacation Ownership segment and Consolidated Property Owners’ Associations, we refer to these activities as “Resort Management and Other Services.” </w:t>
      </w:r>
      <w:r>
        <w:rPr>
          <w:rFonts w:ascii="Arial" w:cs="Arial" w:eastAsia="Arial" w:hAnsi="Arial"/>
          <w:sz w:val="17"/>
          <w:szCs w:val="17"/>
          <w:i w:val="1"/>
          <w:iCs w:val="1"/>
          <w:color w:val="auto"/>
        </w:rPr>
        <w:t>Financing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We offer financing to qualified customers for the purchase of most types of our vacation ownership products. The average FICO score of customers who were U.S.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citizens or residents who financed a vacation ownership purchase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Fiscal Years</w:t>
            </w:r>
          </w:p>
        </w:tc>
        <w:tc>
          <w:tcPr>
            <w:tcW w:w="1340" w:type="dxa"/>
            <w:vAlign w:val="bottom"/>
            <w:tcBorders>
              <w:bottom w:val="single" w:sz="8" w:color="auto"/>
            </w:tcBorders>
          </w:tcPr>
          <w:p>
            <w:pPr>
              <w:spacing w:after="0"/>
              <w:rPr>
                <w:sz w:val="17"/>
                <w:szCs w:val="17"/>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2020</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FICO score</w:t>
            </w:r>
          </w:p>
        </w:tc>
        <w:tc>
          <w:tcPr>
            <w:tcW w:w="1340" w:type="dxa"/>
            <w:vAlign w:val="bottom"/>
            <w:shd w:val="clear" w:color="auto" w:fill="CCEEFF"/>
          </w:tcPr>
          <w:p>
            <w:pPr>
              <w:jc w:val="right"/>
              <w:ind w:right="461"/>
              <w:spacing w:after="0"/>
              <w:rPr>
                <w:sz w:val="20"/>
                <w:szCs w:val="20"/>
                <w:color w:val="auto"/>
              </w:rPr>
            </w:pPr>
            <w:r>
              <w:rPr>
                <w:rFonts w:ascii="Arial" w:cs="Arial" w:eastAsia="Arial" w:hAnsi="Arial"/>
                <w:sz w:val="17"/>
                <w:szCs w:val="17"/>
                <w:color w:val="auto"/>
              </w:rPr>
              <w:t>734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83"/>
              <w:spacing w:after="0"/>
              <w:rPr>
                <w:sz w:val="20"/>
                <w:szCs w:val="20"/>
                <w:color w:val="auto"/>
              </w:rPr>
            </w:pPr>
            <w:r>
              <w:rPr>
                <w:rFonts w:ascii="Arial" w:cs="Arial" w:eastAsia="Arial" w:hAnsi="Arial"/>
                <w:sz w:val="17"/>
                <w:szCs w:val="17"/>
                <w:color w:val="auto"/>
              </w:rPr>
              <w:t>732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61"/>
              <w:spacing w:after="0"/>
              <w:rPr>
                <w:sz w:val="20"/>
                <w:szCs w:val="20"/>
                <w:color w:val="auto"/>
              </w:rPr>
            </w:pPr>
            <w:r>
              <w:rPr>
                <w:rFonts w:ascii="Arial" w:cs="Arial" w:eastAsia="Arial" w:hAnsi="Arial"/>
                <w:sz w:val="17"/>
                <w:szCs w:val="17"/>
                <w:color w:val="auto"/>
              </w:rPr>
              <w:t>730</w:t>
            </w:r>
          </w:p>
        </w:tc>
      </w:tr>
    </w:tbl>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to fifteen years. While we adjust interest rates on our financing programs from time to time, such changes are typically not made in lockstep with the timing and magnitude of changes in broader market rates. We may use incentives to encourage our customers to choose our financing. Included within our vacation ownership notes receivable are originated vacation ownership notes receivable and vacation ownership notes receivable acquired in connection with the ILG Acquisition and the Welk Acquisition.</w:t>
      </w:r>
    </w:p>
    <w:p>
      <w:pPr>
        <w:spacing w:after="0" w:line="6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originated in the period divided by contract sales volume of all contracts originated in the period. We do not include resales contract sales in the financing propensity calculation. Financing propensity was 54% in 2022 and 53% in 2021. We expect to continue offering financing incentive programs in 2023. Growing sales to first-time buyers, who are more likely to finance their purchases, remains an integral part of our overall marketing and sales strategy.</w:t>
      </w:r>
    </w:p>
    <w:p>
      <w:pPr>
        <w:spacing w:after="0" w:line="8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and the estimated value of collateral securing the acquired vacation ownership notes receivable. See Footnote 6 “Vacation Ownership Notes Receivable” to our Financial Statements for further information regarding the accounting for acquired vacation ownership notes receivable.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60"/>
          </w:cols>
          <w:pgMar w:left="320" w:top="1122" w:right="419" w:bottom="1440" w:gutter="0" w:footer="0" w:header="0"/>
        </w:sectPr>
      </w:pPr>
    </w:p>
    <w:bookmarkStart w:id="45" w:name="page46"/>
    <w:bookmarkEnd w:id="45"/>
    <w:p>
      <w:pPr>
        <w:ind w:right="80"/>
        <w:spacing w:after="0" w:line="290" w:lineRule="auto"/>
        <w:rPr>
          <w:sz w:val="20"/>
          <w:szCs w:val="20"/>
          <w:color w:val="auto"/>
        </w:rPr>
      </w:pPr>
      <w:r>
        <w:rPr>
          <w:rFonts w:ascii="Arial" w:cs="Arial" w:eastAsia="Arial" w:hAnsi="Arial"/>
          <w:sz w:val="15"/>
          <w:szCs w:val="15"/>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of variable consideration from the sale of vacation ownership products impact the reserve on originated vacation ownership notes receivable and can increase or decrease revenues. In contrast, for acquired vacation ownership notes receivable, we record changes to the reserve as an adjustment to Financing expenses on our Income Statements.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Historical default rates, which represent defaults as a percentage of each year’s beginning gross vacation ownership notes receivable balance,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Fiscal Years</w:t>
            </w:r>
          </w:p>
        </w:tc>
        <w:tc>
          <w:tcPr>
            <w:tcW w:w="1340" w:type="dxa"/>
            <w:vAlign w:val="bottom"/>
            <w:tcBorders>
              <w:bottom w:val="single" w:sz="8" w:color="auto"/>
            </w:tcBorders>
          </w:tcPr>
          <w:p>
            <w:pPr>
              <w:spacing w:after="0"/>
              <w:rPr>
                <w:sz w:val="17"/>
                <w:szCs w:val="17"/>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2020</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Historical default rates</w:t>
            </w: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23"/>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7"/>
                <w:szCs w:val="17"/>
                <w:color w:val="auto"/>
              </w:rPr>
              <w:t>6.3%</w:t>
            </w:r>
          </w:p>
        </w:tc>
      </w:tr>
    </w:tbl>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increased default rates in 2020 were predominantly due to the impact of the COVID-19 pandemic on the performance of our vacation ownership notes receivable portfolio. In 2021 and 2022, default rates decreased compared to 2020 and the performance of our notes receivable portfolio returned to pre-pandemic levels. As a result of the unification of our Marriott-, Sheraton- and Westin- branded vacation ownership products under the Abound by Marriott Vacations program and stabilization of the default rates, in the third quarter of 2022, we combined and aligned our reserve methodology for vacation ownership notes receivable for our Marriott, Sheraton and Westin brands. See Footnote 6 “Vacation Ownership Notes Receivable” to our Financial Statements for further information.</w:t>
      </w:r>
    </w:p>
    <w:p>
      <w:pPr>
        <w:spacing w:after="0" w:line="5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w:t>
      </w:r>
    </w:p>
    <w:p>
      <w:pPr>
        <w:spacing w:after="0" w:line="10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unregistered inventory and owned-hotel properties. We also recognize rental revenue from the utilization of plus points under our points-based products when the points are redeemed for rental stays at one of our resorts or other third-party offerings, or upon expiration of the points.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Accounting Standards Codification (“ASC”) Topic 978, “</w:t>
      </w:r>
      <w:r>
        <w:rPr>
          <w:rFonts w:ascii="Arial" w:cs="Arial" w:eastAsia="Arial" w:hAnsi="Arial"/>
          <w:sz w:val="15"/>
          <w:szCs w:val="15"/>
          <w:i w:val="1"/>
          <w:iCs w:val="1"/>
          <w:color w:val="auto"/>
        </w:rPr>
        <w:t>Real Estate - Time-Sharing Activities</w:t>
      </w:r>
      <w:r>
        <w:rPr>
          <w:rFonts w:ascii="Arial" w:cs="Arial" w:eastAsia="Arial" w:hAnsi="Arial"/>
          <w:sz w:val="15"/>
          <w:szCs w:val="15"/>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our Exchange &amp; Third-Party Management segment, we offer vacation rental opportunities at managed properties through our Aqua-Aston business, and for the period prior to its disposition in the second quarter of 2022, VRI Americas. We also offer vacation rental offers known as Getaways to members of the Interval International network and certain other membership programs. Getaways allows us to monetize excess availability of resort accommodations within the applicable exchange network, as well as provide additional vacation opportunities to members. Resort accommodations typically become available as Getaways as a result of seasonal oversupply or underutilized space in the applicable exchange program. We also source resort accommodations specifically for the Getaways program. Rental revenues associated with Getaways are reported net of related expenses.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3" w:right="37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Rental expenses include:</w:t>
      </w:r>
    </w:p>
    <w:p>
      <w:pPr>
        <w:spacing w:after="0" w:line="53" w:lineRule="exact"/>
        <w:rPr>
          <w:sz w:val="20"/>
          <w:szCs w:val="20"/>
          <w:color w:val="auto"/>
        </w:rPr>
      </w:pPr>
    </w:p>
    <w:p>
      <w:pPr>
        <w:ind w:left="600" w:hanging="30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Maintenance and other fees on unsold inventory;</w:t>
      </w:r>
    </w:p>
    <w:p>
      <w:pPr>
        <w:spacing w:after="0" w:line="53" w:lineRule="exact"/>
        <w:rPr>
          <w:rFonts w:ascii="Arial" w:cs="Arial" w:eastAsia="Arial" w:hAnsi="Arial"/>
          <w:sz w:val="17"/>
          <w:szCs w:val="17"/>
          <w:color w:val="auto"/>
        </w:rPr>
      </w:pPr>
    </w:p>
    <w:p>
      <w:pPr>
        <w:ind w:left="600" w:right="80" w:hanging="302"/>
        <w:spacing w:after="0" w:line="264" w:lineRule="auto"/>
        <w:tabs>
          <w:tab w:leader="none" w:pos="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to provide alternative usage options, including Marriott Bonvoy points, World of Hyatt points, and offerings available as part of third-party offerings, for owners who elect to exchange their inventory; and</w:t>
      </w:r>
    </w:p>
    <w:p>
      <w:pPr>
        <w:spacing w:after="0" w:line="17" w:lineRule="exact"/>
        <w:rPr>
          <w:rFonts w:ascii="Arial" w:cs="Arial" w:eastAsia="Arial" w:hAnsi="Arial"/>
          <w:sz w:val="17"/>
          <w:szCs w:val="17"/>
          <w:color w:val="auto"/>
        </w:rPr>
      </w:pPr>
    </w:p>
    <w:p>
      <w:pPr>
        <w:ind w:left="600" w:right="160" w:hanging="302"/>
        <w:spacing w:after="0" w:line="264" w:lineRule="auto"/>
        <w:tabs>
          <w:tab w:leader="none" w:pos="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Marketing costs and direct operating and related expenses in connection with the rental business (such as housekeeping, labor costs, credit card expenses, and reservation services).</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unsold inventory on hand and keys allocated for preview stays.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primary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Reimbursements</w:t>
      </w:r>
    </w:p>
    <w:p>
      <w:pPr>
        <w:spacing w:after="0" w:line="103"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Cost reimbursements include direct and indirect costs that are reimbursed to us by owners’ associations and customers under management contracts. All costs reimbursed to us by owners’ associations and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consists of all interest expense other than consumer financing interest expense, which is included within Financing expense.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and Integration Costs</w:t>
      </w:r>
    </w:p>
    <w:p>
      <w:pPr>
        <w:spacing w:after="0" w:line="103" w:lineRule="exact"/>
        <w:rPr>
          <w:sz w:val="20"/>
          <w:szCs w:val="20"/>
          <w:color w:val="auto"/>
        </w:rPr>
      </w:pPr>
    </w:p>
    <w:p>
      <w:pPr>
        <w:jc w:val="both"/>
        <w:ind w:right="220"/>
        <w:spacing w:after="0" w:line="277" w:lineRule="auto"/>
        <w:rPr>
          <w:sz w:val="20"/>
          <w:szCs w:val="20"/>
          <w:color w:val="auto"/>
        </w:rPr>
      </w:pPr>
      <w:r>
        <w:rPr>
          <w:rFonts w:ascii="Arial" w:cs="Arial" w:eastAsia="Arial" w:hAnsi="Arial"/>
          <w:sz w:val="16"/>
          <w:szCs w:val="16"/>
          <w:color w:val="auto"/>
        </w:rPr>
        <w:t>Transaction and integration costs primarily include fees paid to change-management consultants, technology-related costs associated with the integration of ILG and Welk and charges for employee retention, severance and other termination-related benefits. Transaction and integration costs also include costs related to the ILG and Welk Acquisitions, primarily for financial advisory, legal, and other professional service fees, as well as certain tax-related accruals.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Items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measure operating performance using the key metrics described below:</w:t>
      </w:r>
    </w:p>
    <w:p>
      <w:pPr>
        <w:spacing w:after="0" w:line="103" w:lineRule="exact"/>
        <w:rPr>
          <w:sz w:val="20"/>
          <w:szCs w:val="20"/>
          <w:color w:val="auto"/>
        </w:rPr>
      </w:pPr>
    </w:p>
    <w:p>
      <w:pPr>
        <w:ind w:left="440" w:hanging="142"/>
        <w:spacing w:after="0"/>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Contract sales from the sale of vacation ownership products</w:t>
      </w:r>
      <w:r>
        <w:rPr>
          <w:rFonts w:ascii="Arial" w:cs="Arial" w:eastAsia="Arial" w:hAnsi="Arial"/>
          <w:sz w:val="17"/>
          <w:szCs w:val="17"/>
          <w:color w:val="auto"/>
        </w:rPr>
        <w:t>:</w:t>
      </w:r>
    </w:p>
    <w:p>
      <w:pPr>
        <w:spacing w:after="0" w:line="103" w:lineRule="exact"/>
        <w:rPr>
          <w:rFonts w:ascii="Arial" w:cs="Arial" w:eastAsia="Arial" w:hAnsi="Arial"/>
          <w:sz w:val="17"/>
          <w:szCs w:val="17"/>
          <w:color w:val="auto"/>
        </w:rPr>
      </w:pPr>
    </w:p>
    <w:p>
      <w:pPr>
        <w:ind w:left="740" w:hanging="143"/>
        <w:spacing w:after="0"/>
        <w:tabs>
          <w:tab w:leader="none" w:pos="7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Total contract sales include contract sales from the sale of vacation ownership products including joint ventures. and</w:t>
      </w:r>
    </w:p>
    <w:p>
      <w:pPr>
        <w:spacing w:after="0" w:line="103" w:lineRule="exact"/>
        <w:rPr>
          <w:rFonts w:ascii="Arial" w:cs="Arial" w:eastAsia="Arial" w:hAnsi="Arial"/>
          <w:sz w:val="17"/>
          <w:szCs w:val="17"/>
          <w:color w:val="auto"/>
        </w:rPr>
      </w:pPr>
    </w:p>
    <w:p>
      <w:pPr>
        <w:ind w:left="600" w:right="1660" w:hanging="3"/>
        <w:spacing w:after="0" w:line="415" w:lineRule="auto"/>
        <w:tabs>
          <w:tab w:leader="none" w:pos="745" w:val="left"/>
        </w:tabs>
        <w:numPr>
          <w:ilvl w:val="1"/>
          <w:numId w:val="13"/>
        </w:numPr>
        <w:rPr>
          <w:rFonts w:ascii="Arial" w:cs="Arial" w:eastAsia="Arial" w:hAnsi="Arial"/>
          <w:sz w:val="15"/>
          <w:szCs w:val="15"/>
          <w:color w:val="auto"/>
        </w:rPr>
      </w:pPr>
      <w:r>
        <w:rPr>
          <w:rFonts w:ascii="Arial" w:cs="Arial" w:eastAsia="Arial" w:hAnsi="Arial"/>
          <w:sz w:val="15"/>
          <w:szCs w:val="15"/>
          <w:color w:val="auto"/>
        </w:rPr>
        <w:t>Consolidated contract sales exclude contracts sales from the sale of vacation ownership products for non-consolidated joint ventures. We consider contract sales to be an important operating measure because it reflects the pace of sales in our business.</w:t>
      </w:r>
    </w:p>
    <w:p>
      <w:pPr>
        <w:ind w:left="440" w:hanging="142"/>
        <w:spacing w:after="0"/>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Development profit margin;</w:t>
      </w:r>
    </w:p>
    <w:p>
      <w:pPr>
        <w:spacing w:after="0" w:line="103" w:lineRule="exact"/>
        <w:rPr>
          <w:rFonts w:ascii="Arial" w:cs="Arial" w:eastAsia="Arial" w:hAnsi="Arial"/>
          <w:sz w:val="17"/>
          <w:szCs w:val="17"/>
          <w:color w:val="auto"/>
        </w:rPr>
      </w:pPr>
    </w:p>
    <w:p>
      <w:pPr>
        <w:jc w:val="both"/>
        <w:ind w:left="440" w:right="120" w:hanging="142"/>
        <w:spacing w:after="0" w:line="369" w:lineRule="auto"/>
        <w:tabs>
          <w:tab w:leader="none" w:pos="436"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Volume per guest </w:t>
      </w:r>
      <w:r>
        <w:rPr>
          <w:rFonts w:ascii="Arial" w:cs="Arial" w:eastAsia="Arial" w:hAnsi="Arial"/>
          <w:sz w:val="13"/>
          <w:szCs w:val="13"/>
          <w:color w:val="auto"/>
        </w:rPr>
        <w:t>(“VPG”), is calculated by dividing consolidated vacation ownership contract sales, excluding fractional sales, telesales, resales, and other sales</w:t>
      </w:r>
      <w:r>
        <w:rPr>
          <w:rFonts w:ascii="Arial" w:cs="Arial" w:eastAsia="Arial" w:hAnsi="Arial"/>
          <w:sz w:val="13"/>
          <w:szCs w:val="13"/>
          <w:i w:val="1"/>
          <w:iCs w:val="1"/>
          <w:color w:val="auto"/>
        </w:rPr>
        <w:t xml:space="preserve"> </w:t>
      </w:r>
      <w:r>
        <w:rPr>
          <w:rFonts w:ascii="Arial" w:cs="Arial" w:eastAsia="Arial" w:hAnsi="Arial"/>
          <w:sz w:val="13"/>
          <w:szCs w:val="13"/>
          <w:color w:val="auto"/>
        </w:rPr>
        <w:t>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7" w:lineRule="exact"/>
        <w:rPr>
          <w:rFonts w:ascii="Arial" w:cs="Arial" w:eastAsia="Arial" w:hAnsi="Arial"/>
          <w:sz w:val="13"/>
          <w:szCs w:val="13"/>
          <w:color w:val="auto"/>
        </w:rPr>
      </w:pPr>
    </w:p>
    <w:p>
      <w:pPr>
        <w:ind w:left="440" w:right="260" w:hanging="142"/>
        <w:spacing w:after="0" w:line="331" w:lineRule="auto"/>
        <w:tabs>
          <w:tab w:leader="none" w:pos="436"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Total active members </w:t>
      </w:r>
      <w:r>
        <w:rPr>
          <w:rFonts w:ascii="Arial" w:cs="Arial" w:eastAsia="Arial" w:hAnsi="Arial"/>
          <w:sz w:val="15"/>
          <w:szCs w:val="15"/>
          <w:color w:val="auto"/>
        </w:rPr>
        <w:t>is the number of Interval International network active members at the end of the applicable period. We consider active members to be an</w:t>
      </w:r>
      <w:r>
        <w:rPr>
          <w:rFonts w:ascii="Arial" w:cs="Arial" w:eastAsia="Arial" w:hAnsi="Arial"/>
          <w:sz w:val="15"/>
          <w:szCs w:val="15"/>
          <w:i w:val="1"/>
          <w:iCs w:val="1"/>
          <w:color w:val="auto"/>
        </w:rPr>
        <w:t xml:space="preserve"> </w:t>
      </w:r>
      <w:r>
        <w:rPr>
          <w:rFonts w:ascii="Arial" w:cs="Arial" w:eastAsia="Arial" w:hAnsi="Arial"/>
          <w:sz w:val="15"/>
          <w:szCs w:val="15"/>
          <w:color w:val="auto"/>
        </w:rPr>
        <w:t>important metric because it represents the population of owners eligible to book transactions using the Interval International network.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3" w:right="359" w:bottom="1440" w:gutter="0" w:footer="0" w:header="0"/>
        </w:sectPr>
      </w:pPr>
    </w:p>
    <w:bookmarkStart w:id="47" w:name="page48"/>
    <w:bookmarkEnd w:id="47"/>
    <w:p>
      <w:pPr>
        <w:jc w:val="both"/>
        <w:ind w:left="440" w:right="220" w:hanging="142"/>
        <w:spacing w:after="0" w:line="277" w:lineRule="auto"/>
        <w:tabs>
          <w:tab w:leader="none" w:pos="43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Average revenue per member </w:t>
      </w:r>
      <w:r>
        <w:rPr>
          <w:rFonts w:ascii="Arial" w:cs="Arial" w:eastAsia="Arial" w:hAnsi="Arial"/>
          <w:sz w:val="16"/>
          <w:szCs w:val="16"/>
          <w:color w:val="auto"/>
        </w:rPr>
        <w:t>is calculated by dividing membership fee revenue, transaction revenue, rental revenue, and other member revenue for the Interval</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network by the monthly weighted average number of Interval International network active members during the applicable period. We believe this metric is valuable in measuring the overall engagement of our Interval International network active members.</w:t>
      </w:r>
    </w:p>
    <w:p>
      <w:pPr>
        <w:spacing w:after="0" w:line="59" w:lineRule="exact"/>
        <w:rPr>
          <w:rFonts w:ascii="Arial" w:cs="Arial" w:eastAsia="Arial" w:hAnsi="Arial"/>
          <w:sz w:val="16"/>
          <w:szCs w:val="16"/>
          <w:color w:val="auto"/>
        </w:rPr>
      </w:pPr>
    </w:p>
    <w:p>
      <w:pPr>
        <w:ind w:left="440" w:right="340" w:hanging="142"/>
        <w:spacing w:after="0" w:line="369" w:lineRule="auto"/>
        <w:tabs>
          <w:tab w:leader="none" w:pos="436"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Segment financial results attributable to common shareholders represents revenues less expenses directly attributable to each applicable reportable business segment (Vacation Ownership and Exchange &amp; Third-Party Management). We consider this measure to be important in evaluating the performance of our reportable business segments. See Footnote 20 “Business Segments” to our Financial Statements for further information on our reportable business segments.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Fiscal Years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2020</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REVENUES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Sale of vacation ownership products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1,618</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1,153</w:t>
            </w:r>
          </w:p>
        </w:tc>
        <w:tc>
          <w:tcPr>
            <w:tcW w:w="14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546</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Rental</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276</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vacation ownership products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Marketing and sales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386</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Rental</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321</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Litigation charges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Restructuring</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Royalty fee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Impairment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EXPENSES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2,984</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7"/>
                <w:szCs w:val="17"/>
                <w:color w:val="auto"/>
              </w:rPr>
              <w:t>Gains (losses) and other income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7"/>
                <w:szCs w:val="17"/>
                <w:color w:val="auto"/>
              </w:rPr>
              <w:t>Transaction and integration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line="154" w:lineRule="exact"/>
              <w:rPr>
                <w:sz w:val="20"/>
                <w:szCs w:val="20"/>
                <w:color w:val="auto"/>
              </w:rPr>
            </w:pPr>
            <w:r>
              <w:rPr>
                <w:rFonts w:ascii="Arial" w:cs="Arial" w:eastAsia="Arial" w:hAnsi="Arial"/>
                <w:sz w:val="17"/>
                <w:szCs w:val="17"/>
                <w:b w:val="1"/>
                <w:bCs w:val="1"/>
                <w:color w:val="auto"/>
              </w:rPr>
              <w:t>INCOME (LOSS) BEFORE INCOME TAXES AND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(340)</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(256)</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00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NET INCOME (LOSS) ATTRIBUTABLE TO</w:t>
            </w:r>
          </w:p>
        </w:tc>
        <w:tc>
          <w:tcPr>
            <w:tcW w:w="32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2"/>
                <w:szCs w:val="12"/>
                <w:color w:val="auto"/>
              </w:rPr>
            </w:pP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(275)</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7"/>
                <w:szCs w:val="17"/>
                <w:color w:val="auto"/>
              </w:rPr>
              <w:t>46</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Operating Statistics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Fiscal Years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(Contract sales $ in millions)</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w w:val="95"/>
              </w:rPr>
              <w:t>2020</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5"/>
                <w:szCs w:val="15"/>
                <w:b w:val="1"/>
                <w:bCs w:val="1"/>
                <w:color w:val="auto"/>
                <w:w w:val="87"/>
              </w:rPr>
              <w:t>Change</w:t>
            </w:r>
          </w:p>
        </w:tc>
        <w:tc>
          <w:tcPr>
            <w:tcW w:w="600" w:type="dxa"/>
            <w:vAlign w:val="bottom"/>
            <w:tcBorders>
              <w:bottom w:val="single" w:sz="8" w:color="auto"/>
            </w:tcBorders>
          </w:tcPr>
          <w:p>
            <w:pPr>
              <w:spacing w:after="0"/>
              <w:rPr>
                <w:sz w:val="16"/>
                <w:szCs w:val="16"/>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Vacation Ownership</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7"/>
                <w:szCs w:val="17"/>
                <w:color w:val="auto"/>
              </w:rPr>
              <w:t>Total contract sales</w:t>
            </w:r>
          </w:p>
        </w:tc>
        <w:tc>
          <w:tcPr>
            <w:tcW w:w="220" w:type="dxa"/>
            <w:vAlign w:val="bottom"/>
            <w:gridSpan w:val="2"/>
          </w:tcPr>
          <w:p>
            <w:pPr>
              <w:jc w:val="right"/>
              <w:ind w:right="3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1,874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1,411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669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7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9"/>
              <w:spacing w:after="0"/>
              <w:rPr>
                <w:sz w:val="20"/>
                <w:szCs w:val="20"/>
                <w:color w:val="auto"/>
              </w:rPr>
            </w:pPr>
            <w:r>
              <w:rPr>
                <w:rFonts w:ascii="Arial" w:cs="Arial" w:eastAsia="Arial" w:hAnsi="Arial"/>
                <w:sz w:val="17"/>
                <w:szCs w:val="17"/>
                <w:color w:val="auto"/>
              </w:rPr>
              <w:t>463</w:t>
            </w:r>
          </w:p>
        </w:tc>
        <w:tc>
          <w:tcPr>
            <w:tcW w:w="260" w:type="dxa"/>
            <w:vAlign w:val="bottom"/>
          </w:tcPr>
          <w:p>
            <w:pPr>
              <w:spacing w:after="0"/>
              <w:rPr>
                <w:sz w:val="20"/>
                <w:szCs w:val="20"/>
                <w:color w:val="auto"/>
              </w:rPr>
            </w:pPr>
          </w:p>
        </w:tc>
        <w:tc>
          <w:tcPr>
            <w:tcW w:w="600" w:type="dxa"/>
            <w:vAlign w:val="bottom"/>
          </w:tcPr>
          <w:p>
            <w:pPr>
              <w:jc w:val="center"/>
              <w:ind w:right="97"/>
              <w:spacing w:after="0"/>
              <w:rPr>
                <w:sz w:val="20"/>
                <w:szCs w:val="20"/>
                <w:color w:val="auto"/>
              </w:rPr>
            </w:pPr>
            <w:r>
              <w:rPr>
                <w:rFonts w:ascii="Arial" w:cs="Arial" w:eastAsia="Arial" w:hAnsi="Arial"/>
                <w:sz w:val="17"/>
                <w:szCs w:val="17"/>
                <w:color w:val="auto"/>
                <w:w w:val="88"/>
              </w:rPr>
              <w:t>33%</w:t>
            </w:r>
          </w:p>
        </w:tc>
      </w:tr>
      <w:tr>
        <w:trPr>
          <w:trHeight w:val="236"/>
        </w:trPr>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Consolidated contract sales</w:t>
            </w: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463</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8"/>
              </w:rPr>
              <w:t>34%</w:t>
            </w:r>
          </w:p>
        </w:tc>
      </w:tr>
      <w:tr>
        <w:trPr>
          <w:trHeight w:val="236"/>
        </w:trPr>
        <w:tc>
          <w:tcPr>
            <w:tcW w:w="3640" w:type="dxa"/>
            <w:vAlign w:val="bottom"/>
          </w:tcPr>
          <w:p>
            <w:pPr>
              <w:ind w:left="120"/>
              <w:spacing w:after="0"/>
              <w:rPr>
                <w:sz w:val="20"/>
                <w:szCs w:val="20"/>
                <w:color w:val="auto"/>
              </w:rPr>
            </w:pPr>
            <w:r>
              <w:rPr>
                <w:rFonts w:ascii="Arial" w:cs="Arial" w:eastAsia="Arial" w:hAnsi="Arial"/>
                <w:sz w:val="17"/>
                <w:szCs w:val="17"/>
                <w:color w:val="auto"/>
              </w:rPr>
              <w:t>Joint venture contract sales</w:t>
            </w:r>
          </w:p>
        </w:tc>
        <w:tc>
          <w:tcPr>
            <w:tcW w:w="220" w:type="dxa"/>
            <w:vAlign w:val="bottom"/>
            <w:gridSpan w:val="2"/>
          </w:tcPr>
          <w:p>
            <w:pPr>
              <w:jc w:val="right"/>
              <w:ind w:right="3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600" w:type="dxa"/>
            <w:vAlign w:val="bottom"/>
          </w:tcPr>
          <w:p>
            <w:pPr>
              <w:jc w:val="center"/>
              <w:ind w:right="97"/>
              <w:spacing w:after="0"/>
              <w:rPr>
                <w:sz w:val="20"/>
                <w:szCs w:val="20"/>
                <w:color w:val="auto"/>
              </w:rPr>
            </w:pPr>
            <w:r>
              <w:rPr>
                <w:rFonts w:ascii="Arial" w:cs="Arial" w:eastAsia="Arial" w:hAnsi="Arial"/>
                <w:sz w:val="17"/>
                <w:szCs w:val="17"/>
                <w:color w:val="auto"/>
                <w:w w:val="94"/>
              </w:rPr>
              <w:t>(1%)</w:t>
            </w:r>
          </w:p>
        </w:tc>
      </w:tr>
      <w:tr>
        <w:trPr>
          <w:trHeight w:val="236"/>
        </w:trPr>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VPG</w:t>
            </w:r>
          </w:p>
        </w:tc>
        <w:tc>
          <w:tcPr>
            <w:tcW w:w="22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65</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9"/>
              </w:rPr>
              <w:t>1%</w:t>
            </w:r>
          </w:p>
        </w:tc>
      </w:tr>
      <w:tr>
        <w:trPr>
          <w:trHeight w:val="236"/>
        </w:trPr>
        <w:tc>
          <w:tcPr>
            <w:tcW w:w="3640" w:type="dxa"/>
            <w:vAlign w:val="bottom"/>
          </w:tcPr>
          <w:p>
            <w:pPr>
              <w:ind w:left="20"/>
              <w:spacing w:after="0"/>
              <w:rPr>
                <w:sz w:val="20"/>
                <w:szCs w:val="20"/>
                <w:color w:val="auto"/>
              </w:rPr>
            </w:pPr>
            <w:r>
              <w:rPr>
                <w:rFonts w:ascii="Arial" w:cs="Arial" w:eastAsia="Arial" w:hAnsi="Arial"/>
                <w:sz w:val="17"/>
                <w:szCs w:val="17"/>
                <w:b w:val="1"/>
                <w:bCs w:val="1"/>
                <w:color w:val="auto"/>
              </w:rPr>
              <w:t>Exchange &amp; Third-Party Management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6"/>
        </w:trPr>
        <w:tc>
          <w:tcPr>
            <w:tcW w:w="3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active members at end of period (000's)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270</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8"/>
              </w:rPr>
              <w:t>21%</w:t>
            </w:r>
          </w:p>
        </w:tc>
      </w:tr>
      <w:tr>
        <w:trPr>
          <w:trHeight w:val="237"/>
        </w:trPr>
        <w:tc>
          <w:tcPr>
            <w:tcW w:w="3640" w:type="dxa"/>
            <w:vAlign w:val="bottom"/>
          </w:tcPr>
          <w:p>
            <w:pPr>
              <w:ind w:left="100"/>
              <w:spacing w:after="0"/>
              <w:rPr>
                <w:sz w:val="20"/>
                <w:szCs w:val="20"/>
                <w:color w:val="auto"/>
              </w:rPr>
            </w:pPr>
            <w:r>
              <w:rPr>
                <w:rFonts w:ascii="Arial" w:cs="Arial" w:eastAsia="Arial" w:hAnsi="Arial"/>
                <w:sz w:val="17"/>
                <w:szCs w:val="17"/>
                <w:color w:val="auto"/>
              </w:rPr>
              <w:t>Average revenue per member</w:t>
            </w:r>
          </w:p>
        </w:tc>
        <w:tc>
          <w:tcPr>
            <w:tcW w:w="220" w:type="dxa"/>
            <w:vAlign w:val="bottom"/>
            <w:gridSpan w:val="2"/>
          </w:tcPr>
          <w:p>
            <w:pPr>
              <w:jc w:val="right"/>
              <w:ind w:right="3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157.97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179.48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144.97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7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(21.51)</w:t>
            </w:r>
          </w:p>
        </w:tc>
        <w:tc>
          <w:tcPr>
            <w:tcW w:w="260" w:type="dxa"/>
            <w:vAlign w:val="bottom"/>
          </w:tcPr>
          <w:p>
            <w:pPr>
              <w:spacing w:after="0"/>
              <w:rPr>
                <w:sz w:val="20"/>
                <w:szCs w:val="20"/>
                <w:color w:val="auto"/>
              </w:rPr>
            </w:pPr>
          </w:p>
        </w:tc>
        <w:tc>
          <w:tcPr>
            <w:tcW w:w="600" w:type="dxa"/>
            <w:vAlign w:val="bottom"/>
          </w:tcPr>
          <w:p>
            <w:pPr>
              <w:jc w:val="center"/>
              <w:ind w:right="97"/>
              <w:spacing w:after="0"/>
              <w:rPr>
                <w:sz w:val="20"/>
                <w:szCs w:val="20"/>
                <w:color w:val="auto"/>
              </w:rPr>
            </w:pPr>
            <w:r>
              <w:rPr>
                <w:rFonts w:ascii="Arial" w:cs="Arial" w:eastAsia="Arial" w:hAnsi="Arial"/>
                <w:sz w:val="17"/>
                <w:szCs w:val="17"/>
                <w:color w:val="auto"/>
                <w:w w:val="92"/>
              </w:rPr>
              <w:t>(12%)</w:t>
            </w:r>
          </w:p>
        </w:tc>
      </w:tr>
      <w:tr>
        <w:trPr>
          <w:trHeight w:val="485"/>
        </w:trPr>
        <w:tc>
          <w:tcPr>
            <w:tcW w:w="364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1"/>
        </w:trPr>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95"/>
              </w:rPr>
              <w:t>Fiscal Years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left="339"/>
              <w:spacing w:after="0"/>
              <w:rPr>
                <w:sz w:val="20"/>
                <w:szCs w:val="20"/>
                <w:color w:val="auto"/>
              </w:rPr>
            </w:pPr>
            <w:r>
              <w:rPr>
                <w:rFonts w:ascii="Arial" w:cs="Arial" w:eastAsia="Arial" w:hAnsi="Arial"/>
                <w:sz w:val="15"/>
                <w:szCs w:val="15"/>
                <w:b w:val="1"/>
                <w:bCs w:val="1"/>
                <w:color w:val="auto"/>
                <w:w w:val="87"/>
              </w:rPr>
              <w:t>Change</w:t>
            </w:r>
          </w:p>
        </w:tc>
        <w:tc>
          <w:tcPr>
            <w:tcW w:w="600" w:type="dxa"/>
            <w:vAlign w:val="bottom"/>
            <w:tcBorders>
              <w:bottom w:val="single" w:sz="8" w:color="auto"/>
            </w:tcBorders>
          </w:tcPr>
          <w:p>
            <w:pPr>
              <w:spacing w:after="0"/>
              <w:rPr>
                <w:sz w:val="16"/>
                <w:szCs w:val="16"/>
                <w:color w:val="auto"/>
              </w:rPr>
            </w:pPr>
          </w:p>
        </w:tc>
      </w:tr>
      <w:tr>
        <w:trPr>
          <w:trHeight w:val="232"/>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4,342</w:t>
            </w: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3,539</w:t>
            </w: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88"/>
              </w:rPr>
              <w:t>23%</w:t>
            </w:r>
          </w:p>
        </w:tc>
      </w:tr>
      <w:tr>
        <w:trPr>
          <w:trHeight w:val="23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291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320</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jc w:val="center"/>
              <w:ind w:right="57"/>
              <w:spacing w:after="0"/>
              <w:rPr>
                <w:sz w:val="20"/>
                <w:szCs w:val="20"/>
                <w:color w:val="auto"/>
              </w:rPr>
            </w:pPr>
            <w:r>
              <w:rPr>
                <w:rFonts w:ascii="Arial" w:cs="Arial" w:eastAsia="Arial" w:hAnsi="Arial"/>
                <w:sz w:val="17"/>
                <w:szCs w:val="17"/>
                <w:color w:val="auto"/>
                <w:w w:val="94"/>
              </w:rPr>
              <w:t>(9%)</w:t>
            </w:r>
          </w:p>
        </w:tc>
      </w:tr>
      <w:tr>
        <w:trPr>
          <w:trHeight w:val="229"/>
        </w:trPr>
        <w:tc>
          <w:tcPr>
            <w:tcW w:w="3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Segment Revenues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88"/>
              </w:rPr>
              <w:t>20%</w:t>
            </w:r>
          </w:p>
        </w:tc>
      </w:tr>
      <w:tr>
        <w:trPr>
          <w:trHeight w:val="23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Consolidated Property Owners' Associations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23</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31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jc w:val="center"/>
              <w:ind w:right="57"/>
              <w:spacing w:after="0"/>
              <w:rPr>
                <w:sz w:val="20"/>
                <w:szCs w:val="20"/>
                <w:color w:val="auto"/>
              </w:rPr>
            </w:pPr>
            <w:r>
              <w:rPr>
                <w:rFonts w:ascii="Arial" w:cs="Arial" w:eastAsia="Arial" w:hAnsi="Arial"/>
                <w:sz w:val="17"/>
                <w:szCs w:val="17"/>
                <w:color w:val="auto"/>
                <w:w w:val="92"/>
              </w:rPr>
              <w:t>(24%)</w:t>
            </w:r>
          </w:p>
        </w:tc>
      </w:tr>
      <w:tr>
        <w:trPr>
          <w:trHeight w:val="229"/>
        </w:trPr>
        <w:tc>
          <w:tcPr>
            <w:tcW w:w="3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Revenues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4,656</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3,890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7"/>
                <w:szCs w:val="17"/>
                <w:color w:val="auto"/>
                <w:w w:val="88"/>
              </w:rPr>
              <w:t>20%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Before Interest Expense, Taxes, Depreciation and Amortization (“EBITDA”) and Adjusted EBITDA</w:t>
      </w:r>
    </w:p>
    <w:p>
      <w:pPr>
        <w:spacing w:after="0" w:line="10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EBITDA, a financial measure that is not prescribed by GAAP, is defined as earnings, or net income or loss attributable to common shareholders, before interest expense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280"/>
              <w:spacing w:after="0"/>
              <w:rPr>
                <w:sz w:val="20"/>
                <w:szCs w:val="20"/>
                <w:color w:val="auto"/>
              </w:rPr>
            </w:pPr>
            <w:r>
              <w:rPr>
                <w:rFonts w:ascii="Arial" w:cs="Arial" w:eastAsia="Arial" w:hAnsi="Arial"/>
                <w:sz w:val="15"/>
                <w:szCs w:val="15"/>
                <w:b w:val="1"/>
                <w:bCs w:val="1"/>
                <w:color w:val="auto"/>
              </w:rPr>
              <w:t>2022 vs. 2021</w:t>
            </w:r>
          </w:p>
        </w:tc>
      </w:tr>
      <w:tr>
        <w:trPr>
          <w:trHeight w:val="192"/>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w w:val="87"/>
              </w:rPr>
              <w:t>Change</w:t>
            </w:r>
          </w:p>
        </w:tc>
        <w:tc>
          <w:tcPr>
            <w:tcW w:w="620" w:type="dxa"/>
            <w:vAlign w:val="bottom"/>
            <w:tcBorders>
              <w:bottom w:val="single" w:sz="8" w:color="auto"/>
            </w:tcBorders>
          </w:tcPr>
          <w:p>
            <w:pPr>
              <w:spacing w:after="0"/>
              <w:rPr>
                <w:sz w:val="16"/>
                <w:szCs w:val="16"/>
                <w:color w:val="auto"/>
              </w:rPr>
            </w:pPr>
          </w:p>
        </w:tc>
      </w:tr>
      <w:tr>
        <w:trPr>
          <w:trHeight w:val="21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9"/>
              </w:rPr>
              <w:t>Net income (loss) attributable to common shareholders $</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342</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NM</w:t>
            </w:r>
          </w:p>
        </w:tc>
      </w:tr>
      <w:tr>
        <w:trPr>
          <w:trHeight w:val="236"/>
        </w:trPr>
        <w:tc>
          <w:tcPr>
            <w:tcW w:w="37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ind w:left="340"/>
              <w:spacing w:after="0"/>
              <w:rPr>
                <w:sz w:val="20"/>
                <w:szCs w:val="20"/>
                <w:color w:val="auto"/>
              </w:rPr>
            </w:pPr>
            <w:r>
              <w:rPr>
                <w:rFonts w:ascii="Arial" w:cs="Arial" w:eastAsia="Arial" w:hAnsi="Arial"/>
                <w:sz w:val="17"/>
                <w:szCs w:val="17"/>
                <w:color w:val="auto"/>
                <w:w w:val="99"/>
              </w:rPr>
              <w:t>(46)</w:t>
            </w:r>
          </w:p>
        </w:tc>
        <w:tc>
          <w:tcPr>
            <w:tcW w:w="300" w:type="dxa"/>
            <w:vAlign w:val="bottom"/>
          </w:tcPr>
          <w:p>
            <w:pPr>
              <w:spacing w:after="0"/>
              <w:rPr>
                <w:sz w:val="20"/>
                <w:szCs w:val="20"/>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92"/>
              </w:rPr>
              <w:t>(28%)</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provision (benefit)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117</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7"/>
              </w:rPr>
              <w:t>159%</w:t>
            </w:r>
          </w:p>
        </w:tc>
      </w:tr>
      <w:tr>
        <w:trPr>
          <w:trHeight w:val="236"/>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w w:val="99"/>
              </w:rPr>
              <w:t>(14)</w:t>
            </w: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jc w:val="center"/>
              <w:ind w:right="77"/>
              <w:spacing w:after="0"/>
              <w:rPr>
                <w:sz w:val="20"/>
                <w:szCs w:val="20"/>
                <w:color w:val="auto"/>
              </w:rPr>
            </w:pPr>
            <w:r>
              <w:rPr>
                <w:rFonts w:ascii="Arial" w:cs="Arial" w:eastAsia="Arial" w:hAnsi="Arial"/>
                <w:sz w:val="17"/>
                <w:szCs w:val="17"/>
                <w:color w:val="auto"/>
                <w:w w:val="92"/>
              </w:rPr>
              <w:t>(10%)</w:t>
            </w: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EBITDA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399</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8"/>
              </w:rPr>
              <w:t>93%</w:t>
            </w:r>
          </w:p>
        </w:tc>
      </w:tr>
      <w:tr>
        <w:trPr>
          <w:trHeight w:val="236"/>
        </w:trPr>
        <w:tc>
          <w:tcPr>
            <w:tcW w:w="370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ind w:left="340"/>
              <w:spacing w:after="0"/>
              <w:rPr>
                <w:sz w:val="20"/>
                <w:szCs w:val="20"/>
                <w:color w:val="auto"/>
              </w:rPr>
            </w:pPr>
            <w:r>
              <w:rPr>
                <w:rFonts w:ascii="Arial" w:cs="Arial" w:eastAsia="Arial" w:hAnsi="Arial"/>
                <w:sz w:val="17"/>
                <w:szCs w:val="17"/>
                <w:color w:val="auto"/>
                <w:w w:val="99"/>
              </w:rPr>
              <w:t>(12)</w:t>
            </w:r>
          </w:p>
        </w:tc>
        <w:tc>
          <w:tcPr>
            <w:tcW w:w="300" w:type="dxa"/>
            <w:vAlign w:val="bottom"/>
          </w:tcPr>
          <w:p>
            <w:pPr>
              <w:spacing w:after="0"/>
              <w:rPr>
                <w:sz w:val="20"/>
                <w:szCs w:val="20"/>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92"/>
              </w:rPr>
              <w:t>(23%)</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Certain items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w w:val="99"/>
              </w:rPr>
              <w:t>(78)</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92"/>
              </w:rPr>
              <w:t>(46%)</w:t>
            </w:r>
          </w:p>
        </w:tc>
      </w:tr>
      <w:tr>
        <w:trPr>
          <w:trHeight w:val="204"/>
        </w:trPr>
        <w:tc>
          <w:tcPr>
            <w:tcW w:w="3700" w:type="dxa"/>
            <w:vAlign w:val="bottom"/>
          </w:tcPr>
          <w:p>
            <w:pPr>
              <w:ind w:left="200"/>
              <w:spacing w:after="0"/>
              <w:rPr>
                <w:sz w:val="20"/>
                <w:szCs w:val="20"/>
                <w:color w:val="auto"/>
              </w:rPr>
            </w:pPr>
            <w:r>
              <w:rPr>
                <w:rFonts w:ascii="Arial" w:cs="Arial" w:eastAsia="Arial" w:hAnsi="Arial"/>
                <w:sz w:val="17"/>
                <w:szCs w:val="17"/>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309</w:t>
            </w:r>
          </w:p>
        </w:tc>
        <w:tc>
          <w:tcPr>
            <w:tcW w:w="300" w:type="dxa"/>
            <w:vAlign w:val="bottom"/>
          </w:tcPr>
          <w:p>
            <w:pPr>
              <w:spacing w:after="0"/>
              <w:rPr>
                <w:sz w:val="17"/>
                <w:szCs w:val="17"/>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88"/>
              </w:rPr>
              <w:t>47%</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r>
      <w:tr>
        <w:trPr>
          <w:trHeight w:val="201"/>
        </w:trPr>
        <w:tc>
          <w:tcPr>
            <w:tcW w:w="3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Adjusted EBITDA margin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5 pts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bl>
    <w:p>
      <w:pPr>
        <w:spacing w:after="0" w:line="17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third quarter of 2022, in connection with the unification of the our Marriott-, Westin-, and Sheraton- branded vacation ownership products under the Abound by Marriott Vacations program, we aligned our business practices and contract terms for the sale of vacation ownership products (the “Contract alignment”), resulting in the prospective acceleration of revenue for the sale of Marriott-branded VOIs. The Contract alignment increased Net income attributable to common shareholders and Adjusted EBITDA by $34 million and $46 million in 2022, respectively. In addition, we combined and aligned our reserve methodology for vacation ownership notes receivable for these brands (the “Reserve alignment”), resulting in a $4 million increase in Net income attributable to common shareholders and a $5 million increase in Adjusted EBITDA. Together, these changes are hereinafter referred to as the “Alignment.” See Footnote 6 “Vacation Ownership Notes Receivable” to our Financial Statements for further information on the Reserve Alignment.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2022 and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Fiscal Years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92"/>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5"/>
                <w:szCs w:val="15"/>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ILG integration</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6"/>
        </w:trPr>
        <w:tc>
          <w:tcPr>
            <w:tcW w:w="4620" w:type="dxa"/>
            <w:vAlign w:val="bottom"/>
          </w:tcPr>
          <w:p>
            <w:pPr>
              <w:ind w:left="220"/>
              <w:spacing w:after="0"/>
              <w:rPr>
                <w:sz w:val="20"/>
                <w:szCs w:val="20"/>
                <w:color w:val="auto"/>
              </w:rPr>
            </w:pPr>
            <w:r>
              <w:rPr>
                <w:rFonts w:ascii="Arial" w:cs="Arial" w:eastAsia="Arial" w:hAnsi="Arial"/>
                <w:sz w:val="17"/>
                <w:szCs w:val="17"/>
                <w:color w:val="auto"/>
              </w:rPr>
              <w:t>Welk acquisition and integration</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6"/>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I/T transformation</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17"/>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p>
        </w:tc>
      </w:tr>
      <w:tr>
        <w:trPr>
          <w:trHeight w:val="236"/>
        </w:trPr>
        <w:tc>
          <w:tcPr>
            <w:tcW w:w="4620" w:type="dxa"/>
            <w:vAlign w:val="bottom"/>
          </w:tcPr>
          <w:p>
            <w:pPr>
              <w:ind w:left="220"/>
              <w:spacing w:after="0"/>
              <w:rPr>
                <w:sz w:val="20"/>
                <w:szCs w:val="20"/>
                <w:color w:val="auto"/>
              </w:rPr>
            </w:pPr>
            <w:r>
              <w:rPr>
                <w:rFonts w:ascii="Arial" w:cs="Arial" w:eastAsia="Arial" w:hAnsi="Arial"/>
                <w:sz w:val="17"/>
                <w:szCs w:val="17"/>
                <w:color w:val="auto"/>
              </w:rPr>
              <w:t>Other transformation initiatives</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3"/>
          </w:tcPr>
          <w:p>
            <w:pPr>
              <w:jc w:val="right"/>
              <w:ind w:right="417"/>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r>
      <w:tr>
        <w:trPr>
          <w:trHeight w:val="236"/>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transaction costs</w:t>
            </w:r>
          </w:p>
        </w:tc>
        <w:tc>
          <w:tcPr>
            <w:tcW w:w="3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7"/>
                <w:szCs w:val="17"/>
                <w:color w:val="auto"/>
              </w:rPr>
              <w:t>Transaction and integration costs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accounting adjustments</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4620" w:type="dxa"/>
            <w:vAlign w:val="bottom"/>
          </w:tcPr>
          <w:p>
            <w:pPr>
              <w:ind w:left="20"/>
              <w:spacing w:after="0"/>
              <w:rPr>
                <w:sz w:val="20"/>
                <w:szCs w:val="20"/>
                <w:color w:val="auto"/>
              </w:rPr>
            </w:pPr>
            <w:r>
              <w:rPr>
                <w:rFonts w:ascii="Arial" w:cs="Arial" w:eastAsia="Arial" w:hAnsi="Arial"/>
                <w:sz w:val="17"/>
                <w:szCs w:val="17"/>
                <w:color w:val="auto"/>
              </w:rPr>
              <w:t>Litigation charges</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4620" w:type="dxa"/>
            <w:vAlign w:val="bottom"/>
          </w:tcPr>
          <w:p>
            <w:pPr>
              <w:ind w:left="220"/>
              <w:spacing w:after="0"/>
              <w:rPr>
                <w:sz w:val="20"/>
                <w:szCs w:val="20"/>
                <w:color w:val="auto"/>
              </w:rPr>
            </w:pPr>
            <w:r>
              <w:rPr>
                <w:rFonts w:ascii="Arial" w:cs="Arial" w:eastAsia="Arial" w:hAnsi="Arial"/>
                <w:sz w:val="17"/>
                <w:szCs w:val="17"/>
                <w:color w:val="auto"/>
              </w:rPr>
              <w:t>Early redemption of senior unsecured notes</w:t>
            </w:r>
          </w:p>
        </w:tc>
        <w:tc>
          <w:tcPr>
            <w:tcW w:w="300" w:type="dxa"/>
            <w:vAlign w:val="bottom"/>
          </w:tcPr>
          <w:p>
            <w:pPr>
              <w:spacing w:after="0"/>
              <w:rPr>
                <w:sz w:val="20"/>
                <w:szCs w:val="20"/>
                <w:color w:val="auto"/>
              </w:rPr>
            </w:pPr>
          </w:p>
        </w:tc>
        <w:tc>
          <w:tcPr>
            <w:tcW w:w="960" w:type="dxa"/>
            <w:vAlign w:val="bottom"/>
            <w:gridSpan w:val="3"/>
          </w:tcPr>
          <w:p>
            <w:pPr>
              <w:jc w:val="right"/>
              <w:ind w:right="417"/>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6"/>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17"/>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p>
        </w:tc>
      </w:tr>
      <w:tr>
        <w:trPr>
          <w:trHeight w:val="236"/>
        </w:trPr>
        <w:tc>
          <w:tcPr>
            <w:tcW w:w="4620" w:type="dxa"/>
            <w:vAlign w:val="bottom"/>
          </w:tcPr>
          <w:p>
            <w:pPr>
              <w:ind w:left="220"/>
              <w:spacing w:after="0"/>
              <w:rPr>
                <w:sz w:val="20"/>
                <w:szCs w:val="20"/>
                <w:color w:val="auto"/>
              </w:rPr>
            </w:pPr>
            <w:r>
              <w:rPr>
                <w:rFonts w:ascii="Arial" w:cs="Arial" w:eastAsia="Arial" w:hAnsi="Arial"/>
                <w:sz w:val="17"/>
                <w:szCs w:val="17"/>
                <w:color w:val="auto"/>
              </w:rPr>
              <w:t>Gain on disposition of VRI Americas</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3"/>
          </w:tcPr>
          <w:p>
            <w:pPr>
              <w:jc w:val="right"/>
              <w:ind w:right="417"/>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r>
      <w:tr>
        <w:trPr>
          <w:trHeight w:val="236"/>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17"/>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p>
        </w:tc>
      </w:tr>
      <w:tr>
        <w:trPr>
          <w:trHeight w:val="236"/>
        </w:trPr>
        <w:tc>
          <w:tcPr>
            <w:tcW w:w="462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3"/>
          </w:tcPr>
          <w:p>
            <w:pPr>
              <w:jc w:val="right"/>
              <w:ind w:right="417"/>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r>
      <w:tr>
        <w:trPr>
          <w:trHeight w:val="236"/>
        </w:trPr>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indemnification asset</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36"/>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losses and other (income) expense, net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162"/>
        </w:trPr>
        <w:tc>
          <w:tcPr>
            <w:tcW w:w="4620" w:type="dxa"/>
            <w:vAlign w:val="bottom"/>
          </w:tcPr>
          <w:p>
            <w:pPr>
              <w:ind w:left="20"/>
              <w:spacing w:after="0" w:line="162" w:lineRule="exact"/>
              <w:rPr>
                <w:sz w:val="20"/>
                <w:szCs w:val="20"/>
                <w:color w:val="auto"/>
              </w:rPr>
            </w:pPr>
            <w:r>
              <w:rPr>
                <w:rFonts w:ascii="Arial" w:cs="Arial" w:eastAsia="Arial" w:hAnsi="Arial"/>
                <w:sz w:val="17"/>
                <w:szCs w:val="17"/>
                <w:color w:val="auto"/>
              </w:rPr>
              <w:t>Expiration/forfeiture of deposits on pre-acquisition preview</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24"/>
        </w:trPr>
        <w:tc>
          <w:tcPr>
            <w:tcW w:w="4620" w:type="dxa"/>
            <w:vAlign w:val="bottom"/>
          </w:tcPr>
          <w:p>
            <w:pPr>
              <w:ind w:left="20"/>
              <w:spacing w:after="0"/>
              <w:rPr>
                <w:sz w:val="20"/>
                <w:szCs w:val="20"/>
                <w:color w:val="auto"/>
              </w:rPr>
            </w:pPr>
            <w:r>
              <w:rPr>
                <w:rFonts w:ascii="Arial" w:cs="Arial" w:eastAsia="Arial" w:hAnsi="Arial"/>
                <w:sz w:val="17"/>
                <w:szCs w:val="17"/>
                <w:color w:val="auto"/>
              </w:rPr>
              <w:t>packages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Early termination of VRI management contract</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620" w:type="dxa"/>
            <w:vAlign w:val="bottom"/>
          </w:tcPr>
          <w:p>
            <w:pPr>
              <w:ind w:left="20"/>
              <w:spacing w:after="0"/>
              <w:rPr>
                <w:sz w:val="20"/>
                <w:szCs w:val="20"/>
                <w:color w:val="auto"/>
              </w:rPr>
            </w:pPr>
            <w:r>
              <w:rPr>
                <w:rFonts w:ascii="Arial" w:cs="Arial" w:eastAsia="Arial" w:hAnsi="Arial"/>
                <w:sz w:val="17"/>
                <w:szCs w:val="17"/>
                <w:color w:val="auto"/>
                <w:w w:val="94"/>
              </w:rPr>
              <w:t>Eliminate impact of Consolidated Property Owners' Associations</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estimate relating to pre-acquisition contingencies</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2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3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Segment Adjusted EBITDA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5"/>
                <w:szCs w:val="15"/>
                <w:b w:val="1"/>
                <w:bCs w:val="1"/>
                <w:color w:val="auto"/>
                <w:w w:val="87"/>
              </w:rPr>
              <w:t>Change</w:t>
            </w:r>
          </w:p>
        </w:tc>
        <w:tc>
          <w:tcPr>
            <w:tcW w:w="620" w:type="dxa"/>
            <w:vAlign w:val="bottom"/>
            <w:tcBorders>
              <w:bottom w:val="single" w:sz="8" w:color="auto"/>
            </w:tcBorders>
          </w:tcPr>
          <w:p>
            <w:pPr>
              <w:spacing w:after="0"/>
              <w:rPr>
                <w:sz w:val="16"/>
                <w:szCs w:val="16"/>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8"/>
              </w:rPr>
              <w:t>48%</w:t>
            </w:r>
          </w:p>
        </w:tc>
      </w:tr>
      <w:tr>
        <w:trPr>
          <w:trHeight w:val="236"/>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jc w:val="center"/>
              <w:ind w:right="77"/>
              <w:spacing w:after="0"/>
              <w:rPr>
                <w:sz w:val="20"/>
                <w:szCs w:val="20"/>
                <w:color w:val="auto"/>
              </w:rPr>
            </w:pPr>
            <w:r>
              <w:rPr>
                <w:rFonts w:ascii="Arial" w:cs="Arial" w:eastAsia="Arial" w:hAnsi="Arial"/>
                <w:sz w:val="17"/>
                <w:szCs w:val="17"/>
                <w:color w:val="auto"/>
                <w:w w:val="89"/>
              </w:rPr>
              <w:t>3%</w:t>
            </w: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Segment Adjusted EBITDA</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8"/>
              </w:rPr>
              <w:t>40%</w:t>
            </w:r>
          </w:p>
        </w:tc>
      </w:tr>
      <w:tr>
        <w:trPr>
          <w:trHeight w:val="236"/>
        </w:trPr>
        <w:tc>
          <w:tcPr>
            <w:tcW w:w="370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20"/>
                <w:szCs w:val="20"/>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92"/>
              </w:rPr>
              <w:t>(16%)</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Property Owners' Associations</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NM</w:t>
            </w:r>
          </w:p>
        </w:tc>
      </w:tr>
      <w:tr>
        <w:trPr>
          <w:trHeight w:val="204"/>
        </w:trPr>
        <w:tc>
          <w:tcPr>
            <w:tcW w:w="3700" w:type="dxa"/>
            <w:vAlign w:val="bottom"/>
          </w:tcPr>
          <w:p>
            <w:pPr>
              <w:ind w:left="200"/>
              <w:spacing w:after="0"/>
              <w:rPr>
                <w:sz w:val="20"/>
                <w:szCs w:val="20"/>
                <w:color w:val="auto"/>
              </w:rPr>
            </w:pPr>
            <w:r>
              <w:rPr>
                <w:rFonts w:ascii="Arial" w:cs="Arial" w:eastAsia="Arial" w:hAnsi="Arial"/>
                <w:sz w:val="17"/>
                <w:szCs w:val="17"/>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300" w:type="dxa"/>
            <w:vAlign w:val="bottom"/>
          </w:tcPr>
          <w:p>
            <w:pPr>
              <w:spacing w:after="0"/>
              <w:rPr>
                <w:sz w:val="17"/>
                <w:szCs w:val="17"/>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88"/>
              </w:rPr>
              <w:t>47%</w:t>
            </w: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segment financial results for our reportable segments reconciled to Adjusted EBITDA.</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left="219"/>
              <w:spacing w:after="0"/>
              <w:rPr>
                <w:sz w:val="20"/>
                <w:szCs w:val="20"/>
                <w:color w:val="auto"/>
              </w:rPr>
            </w:pPr>
            <w:r>
              <w:rPr>
                <w:rFonts w:ascii="Arial" w:cs="Arial" w:eastAsia="Arial" w:hAnsi="Arial"/>
                <w:sz w:val="15"/>
                <w:szCs w:val="15"/>
                <w:b w:val="1"/>
                <w:bCs w:val="1"/>
                <w:color w:val="auto"/>
                <w:w w:val="87"/>
              </w:rPr>
              <w:t>Change</w:t>
            </w:r>
          </w:p>
        </w:tc>
        <w:tc>
          <w:tcPr>
            <w:tcW w:w="580" w:type="dxa"/>
            <w:vAlign w:val="bottom"/>
            <w:tcBorders>
              <w:bottom w:val="single" w:sz="8" w:color="auto"/>
            </w:tcBorders>
          </w:tcPr>
          <w:p>
            <w:pPr>
              <w:spacing w:after="0"/>
              <w:rPr>
                <w:sz w:val="16"/>
                <w:szCs w:val="16"/>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right="117"/>
              <w:spacing w:after="0"/>
              <w:rPr>
                <w:sz w:val="20"/>
                <w:szCs w:val="20"/>
                <w:color w:val="auto"/>
              </w:rPr>
            </w:pPr>
            <w:r>
              <w:rPr>
                <w:rFonts w:ascii="Arial" w:cs="Arial" w:eastAsia="Arial" w:hAnsi="Arial"/>
                <w:sz w:val="17"/>
                <w:szCs w:val="17"/>
                <w:color w:val="auto"/>
                <w:w w:val="88"/>
              </w:rPr>
              <w:t>64%</w:t>
            </w:r>
          </w:p>
        </w:tc>
      </w:tr>
      <w:tr>
        <w:trPr>
          <w:trHeight w:val="236"/>
        </w:trPr>
        <w:tc>
          <w:tcPr>
            <w:tcW w:w="370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20"/>
                <w:szCs w:val="20"/>
                <w:color w:val="auto"/>
              </w:rPr>
            </w:pPr>
          </w:p>
        </w:tc>
        <w:tc>
          <w:tcPr>
            <w:tcW w:w="580" w:type="dxa"/>
            <w:vAlign w:val="bottom"/>
          </w:tcPr>
          <w:p>
            <w:pPr>
              <w:jc w:val="center"/>
              <w:ind w:right="117"/>
              <w:spacing w:after="0"/>
              <w:rPr>
                <w:sz w:val="20"/>
                <w:szCs w:val="20"/>
                <w:color w:val="auto"/>
              </w:rPr>
            </w:pPr>
            <w:r>
              <w:rPr>
                <w:rFonts w:ascii="Arial" w:cs="Arial" w:eastAsia="Arial" w:hAnsi="Arial"/>
                <w:sz w:val="17"/>
                <w:szCs w:val="17"/>
                <w:color w:val="auto"/>
                <w:w w:val="89"/>
              </w:rPr>
              <w:t>4%</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right="117"/>
              <w:spacing w:after="0"/>
              <w:rPr>
                <w:sz w:val="20"/>
                <w:szCs w:val="20"/>
                <w:color w:val="auto"/>
              </w:rPr>
            </w:pPr>
            <w:r>
              <w:rPr>
                <w:rFonts w:ascii="Arial" w:cs="Arial" w:eastAsia="Arial" w:hAnsi="Arial"/>
                <w:sz w:val="17"/>
                <w:szCs w:val="17"/>
                <w:color w:val="auto"/>
                <w:w w:val="88"/>
              </w:rPr>
              <w:t>21%</w:t>
            </w:r>
          </w:p>
        </w:tc>
      </w:tr>
      <w:tr>
        <w:trPr>
          <w:trHeight w:val="236"/>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Certain items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3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NM</w:t>
            </w:r>
          </w:p>
        </w:tc>
      </w:tr>
      <w:tr>
        <w:trPr>
          <w:trHeight w:val="22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3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7"/>
                <w:szCs w:val="17"/>
                <w:color w:val="auto"/>
                <w:w w:val="88"/>
              </w:rPr>
              <w:t>48%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recognized an additional $51 million of Adjusted EBITDA in the Vacation Ownership segment during 2022 as a result of the Alignment. The table below details the components of Certain items for the Vacation Ownership segment financial results for 2022 and 2021.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Fiscal Years</w:t>
            </w: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5"/>
                <w:szCs w:val="15"/>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center"/>
              <w:ind w:left="138"/>
              <w:spacing w:after="0"/>
              <w:rPr>
                <w:sz w:val="20"/>
                <w:szCs w:val="20"/>
                <w:color w:val="auto"/>
              </w:rPr>
            </w:pPr>
            <w:r>
              <w:rPr>
                <w:rFonts w:ascii="Arial" w:cs="Arial" w:eastAsia="Arial" w:hAnsi="Arial"/>
                <w:sz w:val="15"/>
                <w:szCs w:val="15"/>
                <w:b w:val="1"/>
                <w:bCs w:val="1"/>
                <w:color w:val="auto"/>
                <w:w w:val="89"/>
              </w:rPr>
              <w:t>2021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4"/>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4"/>
          </w:tcPr>
          <w:p>
            <w:pPr>
              <w:ind w:left="1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7"/>
                <w:szCs w:val="17"/>
                <w:color w:val="auto"/>
              </w:rPr>
              <w:t>(Gains) losses and other (income) expense, net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6"/>
        </w:trPr>
        <w:tc>
          <w:tcPr>
            <w:tcW w:w="46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89"/>
              </w:rPr>
              <w:t>Expiration/forfeiture of deposits on pre-acquisition preview packages</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4640" w:type="dxa"/>
            <w:vAlign w:val="bottom"/>
            <w:gridSpan w:val="4"/>
          </w:tcPr>
          <w:p>
            <w:pPr>
              <w:ind w:left="20"/>
              <w:spacing w:after="0"/>
              <w:rPr>
                <w:sz w:val="20"/>
                <w:szCs w:val="20"/>
                <w:color w:val="auto"/>
              </w:rPr>
            </w:pPr>
            <w:r>
              <w:rPr>
                <w:rFonts w:ascii="Arial" w:cs="Arial" w:eastAsia="Arial" w:hAnsi="Arial"/>
                <w:sz w:val="17"/>
                <w:szCs w:val="17"/>
                <w:color w:val="auto"/>
              </w:rPr>
              <w:t>Change in estimate relating to pre-acquisition contingencies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4"/>
        </w:trPr>
        <w:tc>
          <w:tcPr>
            <w:tcW w:w="3720" w:type="dxa"/>
            <w:vAlign w:val="bottom"/>
          </w:tcPr>
          <w:p>
            <w:pPr>
              <w:ind w:left="20"/>
              <w:spacing w:after="0"/>
              <w:rPr>
                <w:sz w:val="20"/>
                <w:szCs w:val="20"/>
                <w:color w:val="auto"/>
              </w:rPr>
            </w:pPr>
            <w:r>
              <w:rPr>
                <w:rFonts w:ascii="Arial" w:cs="Arial" w:eastAsia="Arial" w:hAnsi="Arial"/>
                <w:sz w:val="17"/>
                <w:szCs w:val="17"/>
                <w:color w:val="auto"/>
              </w:rPr>
              <w:t>Total Certain items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7"/>
                <w:szCs w:val="17"/>
                <w:b w:val="1"/>
                <w:bCs w:val="1"/>
                <w:color w:val="auto"/>
              </w:rPr>
              <w:t>Exchange &amp; Third-Party Management</w:t>
            </w: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2"/>
              </w:rPr>
              <w:t>Fiscal Years</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5"/>
          </w:tcPr>
          <w:p>
            <w:pPr>
              <w:jc w:val="center"/>
              <w:ind w:right="257"/>
              <w:spacing w:after="0"/>
              <w:rPr>
                <w:sz w:val="20"/>
                <w:szCs w:val="20"/>
                <w:color w:val="auto"/>
              </w:rPr>
            </w:pPr>
            <w:r>
              <w:rPr>
                <w:rFonts w:ascii="Arial" w:cs="Arial" w:eastAsia="Arial" w:hAnsi="Arial"/>
                <w:sz w:val="17"/>
                <w:szCs w:val="17"/>
                <w:b w:val="1"/>
                <w:bCs w:val="1"/>
                <w:color w:val="auto"/>
                <w:w w:val="86"/>
              </w:rPr>
              <w:t>2022 vs. 2021</w:t>
            </w:r>
          </w:p>
        </w:tc>
        <w:tc>
          <w:tcPr>
            <w:tcW w:w="0" w:type="dxa"/>
            <w:vAlign w:val="bottom"/>
          </w:tcPr>
          <w:p>
            <w:pPr>
              <w:spacing w:after="0"/>
              <w:rPr>
                <w:sz w:val="1"/>
                <w:szCs w:val="1"/>
                <w:color w:val="auto"/>
              </w:rPr>
            </w:pPr>
          </w:p>
        </w:tc>
      </w:tr>
      <w:tr>
        <w:trPr>
          <w:trHeight w:val="20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4"/>
          </w:tcPr>
          <w:p>
            <w:pPr>
              <w:jc w:val="center"/>
              <w:ind w:left="178"/>
              <w:spacing w:after="0"/>
              <w:rPr>
                <w:sz w:val="20"/>
                <w:szCs w:val="20"/>
                <w:color w:val="auto"/>
              </w:rPr>
            </w:pPr>
            <w:r>
              <w:rPr>
                <w:rFonts w:ascii="Arial" w:cs="Arial" w:eastAsia="Arial" w:hAnsi="Arial"/>
                <w:sz w:val="17"/>
                <w:szCs w:val="17"/>
                <w:b w:val="1"/>
                <w:bCs w:val="1"/>
                <w:color w:val="auto"/>
                <w:w w:val="86"/>
              </w:rPr>
              <w:t>Change</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Segment financial results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80" w:type="dxa"/>
            <w:vAlign w:val="bottom"/>
            <w:gridSpan w:val="3"/>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8"/>
              </w:rPr>
              <w:t>42%</w:t>
            </w:r>
          </w:p>
        </w:tc>
        <w:tc>
          <w:tcPr>
            <w:tcW w:w="0" w:type="dxa"/>
            <w:vAlign w:val="bottom"/>
          </w:tcPr>
          <w:p>
            <w:pPr>
              <w:spacing w:after="0"/>
              <w:rPr>
                <w:sz w:val="1"/>
                <w:szCs w:val="1"/>
                <w:color w:val="auto"/>
              </w:rPr>
            </w:pPr>
          </w:p>
        </w:tc>
      </w:tr>
      <w:tr>
        <w:trPr>
          <w:trHeight w:val="249"/>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Arial" w:cs="Arial" w:eastAsia="Arial" w:hAnsi="Arial"/>
                <w:sz w:val="17"/>
                <w:szCs w:val="17"/>
                <w:color w:val="auto"/>
                <w:w w:val="99"/>
              </w:rPr>
              <w:t>(17)</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center"/>
              <w:ind w:right="97"/>
              <w:spacing w:after="0"/>
              <w:rPr>
                <w:sz w:val="20"/>
                <w:szCs w:val="20"/>
                <w:color w:val="auto"/>
              </w:rPr>
            </w:pPr>
            <w:r>
              <w:rPr>
                <w:rFonts w:ascii="Arial" w:cs="Arial" w:eastAsia="Arial" w:hAnsi="Arial"/>
                <w:sz w:val="17"/>
                <w:szCs w:val="17"/>
                <w:color w:val="auto"/>
                <w:w w:val="92"/>
              </w:rPr>
              <w:t>(36%)</w:t>
            </w:r>
          </w:p>
        </w:tc>
        <w:tc>
          <w:tcPr>
            <w:tcW w:w="0" w:type="dxa"/>
            <w:vAlign w:val="bottom"/>
          </w:tcPr>
          <w:p>
            <w:pPr>
              <w:spacing w:after="0"/>
              <w:rPr>
                <w:sz w:val="1"/>
                <w:szCs w:val="1"/>
                <w:color w:val="auto"/>
              </w:rPr>
            </w:pP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gridSpan w:val="4"/>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8"/>
              </w:rPr>
              <w:t>12%</w:t>
            </w: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Certain items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w w:val="99"/>
              </w:rPr>
              <w:t>(18)</w:t>
            </w: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right"/>
              <w:ind w:right="177"/>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ind w:right="97"/>
              <w:spacing w:after="0"/>
              <w:rPr>
                <w:sz w:val="20"/>
                <w:szCs w:val="20"/>
                <w:color w:val="auto"/>
              </w:rPr>
            </w:pPr>
            <w:r>
              <w:rPr>
                <w:rFonts w:ascii="Arial" w:cs="Arial" w:eastAsia="Arial" w:hAnsi="Arial"/>
                <w:sz w:val="17"/>
                <w:szCs w:val="17"/>
                <w:color w:val="auto"/>
                <w:w w:val="89"/>
              </w:rPr>
              <w:t>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Certain items for the Exchange &amp; Third-Party Management segment for 2022 consisted of $17 million of gains and other income related to the strategic disposition of our VRI Americas business and $2 million of revenue associated with an early termination of a VRI management contract, offset by $2 million of foreign currency translation losses.</w:t>
      </w:r>
    </w:p>
    <w:p>
      <w:pPr>
        <w:sectPr>
          <w:pgSz w:w="11900" w:h="16838" w:orient="portrait"/>
          <w:cols w:equalWidth="0" w:num="1">
            <w:col w:w="11160"/>
          </w:cols>
          <w:pgMar w:left="320" w:top="131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85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60"/>
          </w:cols>
          <w:pgMar w:left="320" w:top="1318" w:right="419" w:bottom="1440" w:gutter="0" w:footer="0" w:header="0"/>
          <w:type w:val="continuous"/>
        </w:sectPr>
      </w:pPr>
    </w:p>
    <w:bookmarkStart w:id="51" w:name="page52"/>
    <w:bookmarkEnd w:id="51"/>
    <w:p>
      <w:pPr>
        <w:ind w:right="1760"/>
        <w:spacing w:after="0" w:line="366" w:lineRule="auto"/>
        <w:rPr>
          <w:sz w:val="20"/>
          <w:szCs w:val="20"/>
          <w:color w:val="auto"/>
        </w:rPr>
      </w:pPr>
      <w:r>
        <w:rPr>
          <w:rFonts w:ascii="Arial" w:cs="Arial" w:eastAsia="Arial" w:hAnsi="Arial"/>
          <w:sz w:val="17"/>
          <w:szCs w:val="17"/>
          <w:color w:val="auto"/>
        </w:rPr>
        <w:t xml:space="preserve">Certain items for the Exchange &amp; Third-Party Management segment for 2021 consisted of $1 million of COVID-19 related restructuring costs. </w:t>
      </w:r>
      <w:r>
        <w:rPr>
          <w:rFonts w:ascii="Arial" w:cs="Arial" w:eastAsia="Arial" w:hAnsi="Arial"/>
          <w:sz w:val="17"/>
          <w:szCs w:val="17"/>
          <w:b w:val="1"/>
          <w:bCs w:val="1"/>
          <w:color w:val="auto"/>
        </w:rPr>
        <w:t>BUSINESS SEGMENTS</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Our business is grouped into two reportable business segments: Vacation Ownership and Exchange &amp; Third-Party Management. See Footnote 20 “Business Segments” to our Financial Statements for further information on our segments.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rPr>
              <w:t>Fiscal Years</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 in millions)</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w w:val="89"/>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2020</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80" w:type="dxa"/>
            <w:vAlign w:val="bottom"/>
          </w:tcPr>
          <w:p>
            <w:pPr>
              <w:ind w:left="200"/>
              <w:spacing w:after="0"/>
              <w:rPr>
                <w:sz w:val="20"/>
                <w:szCs w:val="20"/>
                <w:color w:val="auto"/>
              </w:rPr>
            </w:pPr>
            <w:r>
              <w:rPr>
                <w:rFonts w:ascii="Arial" w:cs="Arial" w:eastAsia="Arial" w:hAnsi="Arial"/>
                <w:sz w:val="17"/>
                <w:szCs w:val="17"/>
                <w:color w:val="auto"/>
              </w:rPr>
              <w:t>Sale of vacation ownership products</w:t>
            </w:r>
          </w:p>
        </w:tc>
        <w:tc>
          <w:tcPr>
            <w:tcW w:w="28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1,618</w:t>
            </w:r>
          </w:p>
        </w:tc>
        <w:tc>
          <w:tcPr>
            <w:tcW w:w="340" w:type="dxa"/>
            <w:vAlign w:val="bottom"/>
            <w:gridSpan w:val="4"/>
          </w:tcPr>
          <w:p>
            <w:pPr>
              <w:jc w:val="right"/>
              <w:ind w:right="37"/>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3"/>
              </w:rPr>
              <w:t>1,153</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546</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Resort management and other services</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534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Pr>
          <w:p>
            <w:pPr>
              <w:ind w:left="200"/>
              <w:spacing w:after="0"/>
              <w:rPr>
                <w:sz w:val="20"/>
                <w:szCs w:val="20"/>
                <w:color w:val="auto"/>
              </w:rPr>
            </w:pPr>
            <w:r>
              <w:rPr>
                <w:rFonts w:ascii="Arial" w:cs="Arial" w:eastAsia="Arial" w:hAnsi="Arial"/>
                <w:sz w:val="17"/>
                <w:szCs w:val="17"/>
                <w:color w:val="auto"/>
              </w:rPr>
              <w:t>Rental</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509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239</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293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1,388</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3"/>
              </w:rPr>
              <w:t>1,202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REVENUES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4,342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3"/>
              </w:rPr>
              <w:t>3,539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2,530</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vacation ownership products</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289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Pr>
          <w:p>
            <w:pPr>
              <w:ind w:left="200"/>
              <w:spacing w:after="0"/>
              <w:rPr>
                <w:sz w:val="20"/>
                <w:szCs w:val="20"/>
                <w:color w:val="auto"/>
              </w:rPr>
            </w:pPr>
            <w:r>
              <w:rPr>
                <w:rFonts w:ascii="Arial" w:cs="Arial" w:eastAsia="Arial" w:hAnsi="Arial"/>
                <w:sz w:val="17"/>
                <w:szCs w:val="17"/>
                <w:color w:val="auto"/>
              </w:rPr>
              <w:t>Marketing and sales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807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386</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Resort management and other services</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240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Pr>
          <w:p>
            <w:pPr>
              <w:ind w:left="200"/>
              <w:spacing w:after="0"/>
              <w:rPr>
                <w:sz w:val="20"/>
                <w:szCs w:val="20"/>
                <w:color w:val="auto"/>
              </w:rPr>
            </w:pPr>
            <w:r>
              <w:rPr>
                <w:rFonts w:ascii="Arial" w:cs="Arial" w:eastAsia="Arial" w:hAnsi="Arial"/>
                <w:sz w:val="17"/>
                <w:szCs w:val="17"/>
                <w:color w:val="auto"/>
              </w:rPr>
              <w:t>Rental</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400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363</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Litigation charges</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Pr>
          <w:p>
            <w:pPr>
              <w:ind w:left="200"/>
              <w:spacing w:after="0"/>
              <w:rPr>
                <w:sz w:val="20"/>
                <w:szCs w:val="20"/>
                <w:color w:val="auto"/>
              </w:rPr>
            </w:pPr>
            <w:r>
              <w:rPr>
                <w:rFonts w:ascii="Arial" w:cs="Arial" w:eastAsia="Arial" w:hAnsi="Arial"/>
                <w:sz w:val="17"/>
                <w:szCs w:val="17"/>
                <w:color w:val="auto"/>
              </w:rPr>
              <w:t>Restructuring</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Royalty fee</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tcPr>
          <w:p>
            <w:pPr>
              <w:ind w:left="200"/>
              <w:spacing w:after="0"/>
              <w:rPr>
                <w:sz w:val="20"/>
                <w:szCs w:val="20"/>
                <w:color w:val="auto"/>
              </w:rPr>
            </w:pPr>
            <w:r>
              <w:rPr>
                <w:rFonts w:ascii="Arial" w:cs="Arial" w:eastAsia="Arial" w:hAnsi="Arial"/>
                <w:sz w:val="17"/>
                <w:szCs w:val="17"/>
                <w:color w:val="auto"/>
              </w:rPr>
              <w:t>Impairment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1,388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3"/>
              </w:rPr>
              <w:t>1,202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b w:val="1"/>
                <w:bCs w:val="1"/>
                <w:color w:val="auto"/>
              </w:rPr>
              <w:t>TOTAL EXPENSES</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3,416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3"/>
              </w:rPr>
              <w:t>2,955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2,468</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and other income,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0"/>
              <w:spacing w:after="0"/>
              <w:rPr>
                <w:sz w:val="20"/>
                <w:szCs w:val="20"/>
                <w:color w:val="auto"/>
              </w:rPr>
            </w:pPr>
            <w:r>
              <w:rPr>
                <w:rFonts w:ascii="Arial" w:cs="Arial" w:eastAsia="Arial" w:hAnsi="Arial"/>
                <w:sz w:val="17"/>
                <w:szCs w:val="17"/>
                <w:color w:val="auto"/>
              </w:rPr>
              <w:t>Transaction and integration costs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9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SEGMENT FINANCIAL RESULTS ATTRIBUTABLE</w:t>
            </w: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2"/>
                <w:szCs w:val="12"/>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7"/>
                <w:szCs w:val="17"/>
                <w:color w:val="auto"/>
              </w:rPr>
              <w:t>961</w:t>
            </w:r>
          </w:p>
        </w:tc>
        <w:tc>
          <w:tcPr>
            <w:tcW w:w="340" w:type="dxa"/>
            <w:vAlign w:val="bottom"/>
            <w:gridSpan w:val="4"/>
            <w:vMerge w:val="restart"/>
          </w:tcPr>
          <w:p>
            <w:pPr>
              <w:jc w:val="right"/>
              <w:ind w:right="37"/>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71</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7"/>
                <w:szCs w:val="17"/>
                <w:b w:val="1"/>
                <w:bCs w:val="1"/>
                <w:color w:val="auto"/>
              </w:rPr>
              <w:t>TO COMMON SHAREHOLDERS</w:t>
            </w:r>
          </w:p>
        </w:tc>
        <w:tc>
          <w:tcPr>
            <w:tcW w:w="2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7"/>
                <w:szCs w:val="17"/>
                <w:b w:val="1"/>
                <w:bCs w:val="1"/>
                <w:color w:val="auto"/>
              </w:rPr>
              <w:t>Contract Sales</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Fiscal Years</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2022 vs. 2021</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6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80" w:type="dxa"/>
            <w:vAlign w:val="bottom"/>
          </w:tcPr>
          <w:p>
            <w:pPr>
              <w:spacing w:after="0"/>
              <w:rPr>
                <w:sz w:val="16"/>
                <w:szCs w:val="16"/>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3"/>
              </w:rPr>
              <w:t>2022</w:t>
            </w:r>
          </w:p>
        </w:tc>
        <w:tc>
          <w:tcPr>
            <w:tcW w:w="120" w:type="dxa"/>
            <w:vAlign w:val="bottom"/>
          </w:tcPr>
          <w:p>
            <w:pPr>
              <w:spacing w:after="0"/>
              <w:rPr>
                <w:sz w:val="16"/>
                <w:szCs w:val="16"/>
                <w:color w:val="auto"/>
              </w:rPr>
            </w:pPr>
          </w:p>
        </w:tc>
        <w:tc>
          <w:tcPr>
            <w:tcW w:w="820" w:type="dxa"/>
            <w:vAlign w:val="bottom"/>
          </w:tcPr>
          <w:p>
            <w:pPr>
              <w:jc w:val="right"/>
              <w:ind w:right="161"/>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41"/>
              <w:spacing w:after="0"/>
              <w:rPr>
                <w:sz w:val="20"/>
                <w:szCs w:val="20"/>
                <w:color w:val="auto"/>
              </w:rPr>
            </w:pPr>
            <w:r>
              <w:rPr>
                <w:rFonts w:ascii="Arial" w:cs="Arial" w:eastAsia="Arial" w:hAnsi="Arial"/>
                <w:sz w:val="15"/>
                <w:szCs w:val="15"/>
                <w:b w:val="1"/>
                <w:bCs w:val="1"/>
                <w:color w:val="auto"/>
              </w:rPr>
              <w:t>2020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gridSpan w:val="3"/>
          </w:tcPr>
          <w:p>
            <w:pPr>
              <w:ind w:left="20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1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contract sales</w:t>
            </w:r>
          </w:p>
        </w:tc>
        <w:tc>
          <w:tcPr>
            <w:tcW w:w="2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1,837</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900" w:type="dxa"/>
            <w:vAlign w:val="bottom"/>
            <w:tcBorders>
              <w:top w:val="single" w:sz="8" w:color="auto"/>
            </w:tcBorders>
            <w:shd w:val="clear" w:color="auto" w:fill="CCEEFF"/>
          </w:tcPr>
          <w:p>
            <w:pPr>
              <w:jc w:val="center"/>
              <w:ind w:left="37"/>
              <w:spacing w:after="0"/>
              <w:rPr>
                <w:sz w:val="20"/>
                <w:szCs w:val="20"/>
                <w:color w:val="auto"/>
              </w:rPr>
            </w:pPr>
            <w:r>
              <w:rPr>
                <w:rFonts w:ascii="Arial" w:cs="Arial" w:eastAsia="Arial" w:hAnsi="Arial"/>
                <w:sz w:val="17"/>
                <w:szCs w:val="17"/>
                <w:color w:val="auto"/>
                <w:w w:val="88"/>
              </w:rPr>
              <w:t>34%</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Joint venture contract sales</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tcPr>
          <w:p>
            <w:pPr>
              <w:jc w:val="center"/>
              <w:ind w:left="37"/>
              <w:spacing w:after="0"/>
              <w:rPr>
                <w:sz w:val="20"/>
                <w:szCs w:val="20"/>
                <w:color w:val="auto"/>
              </w:rPr>
            </w:pPr>
            <w:r>
              <w:rPr>
                <w:rFonts w:ascii="Arial" w:cs="Arial" w:eastAsia="Arial" w:hAnsi="Arial"/>
                <w:sz w:val="17"/>
                <w:szCs w:val="17"/>
                <w:color w:val="auto"/>
                <w:w w:val="94"/>
              </w:rPr>
              <w:t>(1%)</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contract sales</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1,874</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$1,411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90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7"/>
                <w:szCs w:val="17"/>
                <w:color w:val="auto"/>
                <w:w w:val="88"/>
              </w:rPr>
              <w:t>33%</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1"/>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gridSpan w:val="4"/>
          </w:tcPr>
          <w:p>
            <w:pPr>
              <w:jc w:val="right"/>
              <w:ind w:right="37"/>
              <w:spacing w:after="0"/>
              <w:rPr>
                <w:sz w:val="20"/>
                <w:szCs w:val="20"/>
                <w:color w:val="auto"/>
              </w:rPr>
            </w:pPr>
            <w:r>
              <w:rPr>
                <w:rFonts w:ascii="Arial" w:cs="Arial" w:eastAsia="Arial" w:hAnsi="Arial"/>
                <w:sz w:val="17"/>
                <w:szCs w:val="17"/>
                <w:color w:val="auto"/>
              </w:rPr>
              <w:t>50</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6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Sale of Vacation Ownership Products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320"/>
              <w:spacing w:after="0"/>
              <w:rPr>
                <w:sz w:val="20"/>
                <w:szCs w:val="20"/>
                <w:color w:val="auto"/>
              </w:rPr>
            </w:pPr>
            <w:r>
              <w:rPr>
                <w:rFonts w:ascii="Arial" w:cs="Arial" w:eastAsia="Arial" w:hAnsi="Arial"/>
                <w:sz w:val="15"/>
                <w:szCs w:val="15"/>
                <w:b w:val="1"/>
                <w:bCs w:val="1"/>
                <w:color w:val="auto"/>
              </w:rPr>
              <w:t>Fiscal Years</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5"/>
                <w:szCs w:val="15"/>
                <w:b w:val="1"/>
                <w:bCs w:val="1"/>
                <w:color w:val="auto"/>
                <w:w w:val="91"/>
              </w:rPr>
              <w:t>2022 vs. 2021</w:t>
            </w:r>
          </w:p>
        </w:tc>
        <w:tc>
          <w:tcPr>
            <w:tcW w:w="0" w:type="dxa"/>
            <w:vAlign w:val="bottom"/>
          </w:tcPr>
          <w:p>
            <w:pPr>
              <w:spacing w:after="0"/>
              <w:rPr>
                <w:sz w:val="1"/>
                <w:szCs w:val="1"/>
                <w:color w:val="auto"/>
              </w:rPr>
            </w:pPr>
          </w:p>
        </w:tc>
      </w:tr>
      <w:tr>
        <w:trPr>
          <w:trHeight w:val="145"/>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5"/>
                <w:szCs w:val="15"/>
                <w:b w:val="1"/>
                <w:bCs w:val="1"/>
                <w:color w:val="auto"/>
              </w:rPr>
              <w:t>% of</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5"/>
                <w:szCs w:val="15"/>
                <w:b w:val="1"/>
                <w:bCs w:val="1"/>
                <w:color w:val="auto"/>
                <w:w w:val="94"/>
              </w:rPr>
              <w:t>% of</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5"/>
                <w:szCs w:val="15"/>
                <w:b w:val="1"/>
                <w:bCs w:val="1"/>
                <w:color w:val="auto"/>
              </w:rPr>
              <w:t>% of</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88"/>
              </w:rPr>
              <w:t>Consolidated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88"/>
              </w:rPr>
              <w:t>Consolidated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88"/>
              </w:rPr>
              <w:t>Consolidated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90"/>
              </w:rPr>
              <w:t>Contract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93"/>
              </w:rPr>
              <w:t>Contract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5"/>
                <w:szCs w:val="15"/>
                <w:b w:val="1"/>
                <w:bCs w:val="1"/>
                <w:color w:val="auto"/>
                <w:w w:val="90"/>
              </w:rPr>
              <w:t>Contract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86"/>
              </w:rPr>
              <w:t>Sales, Net of</w:t>
            </w:r>
          </w:p>
        </w:tc>
        <w:tc>
          <w:tcPr>
            <w:tcW w:w="160" w:type="dxa"/>
            <w:vAlign w:val="bottom"/>
          </w:tcPr>
          <w:p>
            <w:pPr>
              <w:spacing w:after="0"/>
              <w:rPr>
                <w:sz w:val="12"/>
                <w:szCs w:val="12"/>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5"/>
                <w:szCs w:val="15"/>
                <w:b w:val="1"/>
                <w:bCs w:val="1"/>
                <w:color w:val="auto"/>
                <w:w w:val="95"/>
              </w:rPr>
              <w:t>2021</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86"/>
              </w:rPr>
              <w:t>Sales, Net of</w:t>
            </w:r>
          </w:p>
        </w:tc>
        <w:tc>
          <w:tcPr>
            <w:tcW w:w="140" w:type="dxa"/>
            <w:vAlign w:val="bottom"/>
          </w:tcPr>
          <w:p>
            <w:pPr>
              <w:spacing w:after="0"/>
              <w:rPr>
                <w:sz w:val="12"/>
                <w:szCs w:val="12"/>
                <w:color w:val="auto"/>
              </w:rPr>
            </w:pPr>
          </w:p>
        </w:tc>
        <w:tc>
          <w:tcPr>
            <w:tcW w:w="480" w:type="dxa"/>
            <w:vAlign w:val="bottom"/>
            <w:vMerge w:val="restart"/>
          </w:tcPr>
          <w:p>
            <w:pPr>
              <w:jc w:val="right"/>
              <w:ind w:right="78"/>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86"/>
              </w:rPr>
              <w:t>Sales, Net of</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297"/>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15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Resales</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1"/>
              </w:rPr>
              <w:t>Resales</w:t>
            </w:r>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Resales</w:t>
            </w: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1,874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1,411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62"/>
        </w:trPr>
        <w:tc>
          <w:tcPr>
            <w:tcW w:w="1560" w:type="dxa"/>
            <w:vAlign w:val="bottom"/>
          </w:tcPr>
          <w:p>
            <w:pPr>
              <w:ind w:left="20"/>
              <w:spacing w:after="0" w:line="162" w:lineRule="exact"/>
              <w:rPr>
                <w:sz w:val="20"/>
                <w:szCs w:val="20"/>
                <w:color w:val="auto"/>
              </w:rPr>
            </w:pPr>
            <w:r>
              <w:rPr>
                <w:rFonts w:ascii="Arial" w:cs="Arial" w:eastAsia="Arial" w:hAnsi="Arial"/>
                <w:sz w:val="17"/>
                <w:szCs w:val="17"/>
                <w:color w:val="auto"/>
                <w:w w:val="94"/>
              </w:rPr>
              <w:t>Less resales contract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20"/>
              <w:spacing w:after="0"/>
              <w:rPr>
                <w:sz w:val="20"/>
                <w:szCs w:val="20"/>
                <w:color w:val="auto"/>
              </w:rPr>
            </w:pPr>
            <w:r>
              <w:rPr>
                <w:rFonts w:ascii="Arial" w:cs="Arial" w:eastAsia="Arial" w:hAnsi="Arial"/>
                <w:sz w:val="17"/>
                <w:szCs w:val="17"/>
                <w:color w:val="auto"/>
              </w:rPr>
              <w:t>sales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Less joint venture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sales</w:t>
            </w: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560" w:type="dxa"/>
            <w:vAlign w:val="bottom"/>
          </w:tcPr>
          <w:p>
            <w:pPr>
              <w:ind w:left="20"/>
              <w:spacing w:after="0" w:line="142" w:lineRule="exact"/>
              <w:rPr>
                <w:sz w:val="20"/>
                <w:szCs w:val="20"/>
                <w:color w:val="auto"/>
              </w:rPr>
            </w:pPr>
            <w:r>
              <w:rPr>
                <w:rFonts w:ascii="Arial" w:cs="Arial" w:eastAsia="Arial" w:hAnsi="Arial"/>
                <w:sz w:val="16"/>
                <w:szCs w:val="16"/>
                <w:color w:val="auto"/>
                <w:w w:val="98"/>
              </w:rPr>
              <w:t>Consolidated contract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20"/>
              <w:spacing w:after="0"/>
              <w:rPr>
                <w:sz w:val="20"/>
                <w:szCs w:val="20"/>
                <w:color w:val="auto"/>
              </w:rPr>
            </w:pPr>
            <w:r>
              <w:rPr>
                <w:rFonts w:ascii="Arial" w:cs="Arial" w:eastAsia="Arial" w:hAnsi="Arial"/>
                <w:sz w:val="17"/>
                <w:szCs w:val="17"/>
                <w:color w:val="auto"/>
              </w:rPr>
              <w:t>sales, net of resales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1,797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1,348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642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Plus:</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60" w:type="dxa"/>
            <w:vAlign w:val="bottom"/>
          </w:tcPr>
          <w:p>
            <w:pPr>
              <w:ind w:left="200"/>
              <w:spacing w:after="0"/>
              <w:rPr>
                <w:sz w:val="20"/>
                <w:szCs w:val="20"/>
                <w:color w:val="auto"/>
              </w:rPr>
            </w:pPr>
            <w:r>
              <w:rPr>
                <w:rFonts w:ascii="Arial" w:cs="Arial" w:eastAsia="Arial" w:hAnsi="Arial"/>
                <w:sz w:val="17"/>
                <w:szCs w:val="17"/>
                <w:color w:val="auto"/>
                <w:w w:val="90"/>
              </w:rPr>
              <w:t>Settlement revenue</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w:t>
            </w:r>
          </w:p>
        </w:tc>
        <w:tc>
          <w:tcPr>
            <w:tcW w:w="1080" w:type="dxa"/>
            <w:vAlign w:val="bottom"/>
            <w:gridSpan w:val="2"/>
          </w:tcPr>
          <w:p>
            <w:pPr>
              <w:jc w:val="center"/>
              <w:ind w:left="17"/>
              <w:spacing w:after="0"/>
              <w:rPr>
                <w:sz w:val="20"/>
                <w:szCs w:val="20"/>
                <w:color w:val="auto"/>
              </w:rPr>
            </w:pPr>
            <w:r>
              <w:rPr>
                <w:rFonts w:ascii="Arial" w:cs="Arial" w:eastAsia="Arial" w:hAnsi="Arial"/>
                <w:sz w:val="17"/>
                <w:szCs w:val="17"/>
                <w:color w:val="auto"/>
                <w:w w:val="89"/>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w:t>
            </w:r>
          </w:p>
        </w:tc>
        <w:tc>
          <w:tcPr>
            <w:tcW w:w="1080" w:type="dxa"/>
            <w:vAlign w:val="bottom"/>
            <w:gridSpan w:val="2"/>
          </w:tcPr>
          <w:p>
            <w:pPr>
              <w:jc w:val="center"/>
              <w:ind w:left="17"/>
              <w:spacing w:after="0"/>
              <w:rPr>
                <w:sz w:val="20"/>
                <w:szCs w:val="20"/>
                <w:color w:val="auto"/>
              </w:rPr>
            </w:pPr>
            <w:r>
              <w:rPr>
                <w:rFonts w:ascii="Arial" w:cs="Arial" w:eastAsia="Arial" w:hAnsi="Arial"/>
                <w:sz w:val="17"/>
                <w:szCs w:val="17"/>
                <w:color w:val="auto"/>
                <w:w w:val="89"/>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center"/>
              <w:ind w:left="17"/>
              <w:spacing w:after="0"/>
              <w:rPr>
                <w:sz w:val="20"/>
                <w:szCs w:val="20"/>
                <w:color w:val="auto"/>
              </w:rPr>
            </w:pPr>
            <w:r>
              <w:rPr>
                <w:rFonts w:ascii="Arial" w:cs="Arial" w:eastAsia="Arial" w:hAnsi="Arial"/>
                <w:sz w:val="17"/>
                <w:szCs w:val="17"/>
                <w:color w:val="auto"/>
                <w:w w:val="89"/>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Resales revenue</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8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9"/>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8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9"/>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9"/>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20"/>
              <w:spacing w:after="0" w:line="162" w:lineRule="exact"/>
              <w:rPr>
                <w:sz w:val="20"/>
                <w:szCs w:val="20"/>
                <w:color w:val="auto"/>
              </w:rPr>
            </w:pPr>
            <w:r>
              <w:rPr>
                <w:rFonts w:ascii="Arial" w:cs="Arial" w:eastAsia="Arial" w:hAnsi="Arial"/>
                <w:sz w:val="17"/>
                <w:szCs w:val="17"/>
                <w:color w:val="auto"/>
                <w:w w:val="97"/>
              </w:rPr>
              <w:t>Revenue recognition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56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Reportability</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8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9"/>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8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94"/>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8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9"/>
              </w:rPr>
              <w:t>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560" w:type="dxa"/>
            <w:vAlign w:val="bottom"/>
          </w:tcPr>
          <w:p>
            <w:pPr>
              <w:ind w:left="200"/>
              <w:spacing w:after="0"/>
              <w:rPr>
                <w:sz w:val="20"/>
                <w:szCs w:val="20"/>
                <w:color w:val="auto"/>
              </w:rPr>
            </w:pPr>
            <w:r>
              <w:rPr>
                <w:rFonts w:ascii="Arial" w:cs="Arial" w:eastAsia="Arial" w:hAnsi="Arial"/>
                <w:sz w:val="17"/>
                <w:szCs w:val="17"/>
                <w:color w:val="auto"/>
              </w:rPr>
              <w:t>Sales reserve</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(170)</w:t>
            </w:r>
          </w:p>
        </w:tc>
        <w:tc>
          <w:tcPr>
            <w:tcW w:w="1080" w:type="dxa"/>
            <w:vAlign w:val="bottom"/>
            <w:gridSpan w:val="2"/>
          </w:tcPr>
          <w:p>
            <w:pPr>
              <w:jc w:val="center"/>
              <w:ind w:left="37"/>
              <w:spacing w:after="0"/>
              <w:rPr>
                <w:sz w:val="20"/>
                <w:szCs w:val="20"/>
                <w:color w:val="auto"/>
              </w:rPr>
            </w:pPr>
            <w:r>
              <w:rPr>
                <w:rFonts w:ascii="Arial" w:cs="Arial" w:eastAsia="Arial" w:hAnsi="Arial"/>
                <w:sz w:val="17"/>
                <w:szCs w:val="17"/>
                <w:color w:val="auto"/>
                <w:w w:val="89"/>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(101)</w:t>
            </w:r>
          </w:p>
        </w:tc>
        <w:tc>
          <w:tcPr>
            <w:tcW w:w="1080" w:type="dxa"/>
            <w:vAlign w:val="bottom"/>
            <w:gridSpan w:val="2"/>
          </w:tcPr>
          <w:p>
            <w:pPr>
              <w:jc w:val="center"/>
              <w:ind w:left="17"/>
              <w:spacing w:after="0"/>
              <w:rPr>
                <w:sz w:val="20"/>
                <w:szCs w:val="20"/>
                <w:color w:val="auto"/>
              </w:rPr>
            </w:pPr>
            <w:r>
              <w:rPr>
                <w:rFonts w:ascii="Arial" w:cs="Arial" w:eastAsia="Arial" w:hAnsi="Arial"/>
                <w:sz w:val="17"/>
                <w:szCs w:val="17"/>
                <w:color w:val="auto"/>
                <w:w w:val="94"/>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(129)</w:t>
            </w:r>
          </w:p>
        </w:tc>
        <w:tc>
          <w:tcPr>
            <w:tcW w:w="1080" w:type="dxa"/>
            <w:vAlign w:val="bottom"/>
            <w:gridSpan w:val="2"/>
          </w:tcPr>
          <w:p>
            <w:pPr>
              <w:jc w:val="center"/>
              <w:ind w:left="17"/>
              <w:spacing w:after="0"/>
              <w:rPr>
                <w:sz w:val="20"/>
                <w:szCs w:val="20"/>
                <w:color w:val="auto"/>
              </w:rPr>
            </w:pPr>
            <w:r>
              <w:rPr>
                <w:rFonts w:ascii="Arial" w:cs="Arial" w:eastAsia="Arial" w:hAnsi="Arial"/>
                <w:sz w:val="17"/>
                <w:szCs w:val="17"/>
                <w:color w:val="auto"/>
                <w:w w:val="92"/>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8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9"/>
              </w:rPr>
              <w:t>(6%)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8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94"/>
              </w:rPr>
              <w:t>(7%)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8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9"/>
              </w:rPr>
              <w:t>(7%)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560" w:type="dxa"/>
            <w:vAlign w:val="bottom"/>
          </w:tcPr>
          <w:p>
            <w:pPr>
              <w:ind w:left="20"/>
              <w:spacing w:after="0" w:line="142" w:lineRule="exact"/>
              <w:rPr>
                <w:sz w:val="20"/>
                <w:szCs w:val="20"/>
                <w:color w:val="auto"/>
              </w:rPr>
            </w:pPr>
            <w:r>
              <w:rPr>
                <w:rFonts w:ascii="Arial" w:cs="Arial" w:eastAsia="Arial" w:hAnsi="Arial"/>
                <w:sz w:val="16"/>
                <w:szCs w:val="16"/>
                <w:color w:val="auto"/>
              </w:rPr>
              <w:t>Sale of vacation</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w w:val="98"/>
              </w:rPr>
              <w:t>1,618</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w w:val="98"/>
              </w:rPr>
              <w:t>1,153</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546</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465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560" w:type="dxa"/>
            <w:vAlign w:val="bottom"/>
          </w:tcPr>
          <w:p>
            <w:pPr>
              <w:ind w:left="20"/>
              <w:spacing w:after="0"/>
              <w:rPr>
                <w:sz w:val="20"/>
                <w:szCs w:val="20"/>
                <w:color w:val="auto"/>
              </w:rPr>
            </w:pPr>
            <w:r>
              <w:rPr>
                <w:rFonts w:ascii="Arial" w:cs="Arial" w:eastAsia="Arial" w:hAnsi="Arial"/>
                <w:sz w:val="17"/>
                <w:szCs w:val="17"/>
                <w:color w:val="auto"/>
              </w:rPr>
              <w:t>ownership products</w:t>
            </w:r>
          </w:p>
        </w:tc>
        <w:tc>
          <w:tcPr>
            <w:tcW w:w="1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80" w:type="dxa"/>
            <w:vAlign w:val="bottom"/>
            <w:gridSpan w:val="2"/>
          </w:tcPr>
          <w:p>
            <w:pPr>
              <w:jc w:val="center"/>
              <w:ind w:left="37"/>
              <w:spacing w:after="0"/>
              <w:rPr>
                <w:sz w:val="20"/>
                <w:szCs w:val="20"/>
                <w:color w:val="auto"/>
              </w:rPr>
            </w:pPr>
            <w:r>
              <w:rPr>
                <w:rFonts w:ascii="Arial" w:cs="Arial" w:eastAsia="Arial" w:hAnsi="Arial"/>
                <w:sz w:val="17"/>
                <w:szCs w:val="17"/>
                <w:color w:val="auto"/>
                <w:w w:val="93"/>
              </w:rPr>
              <w:t>90%</w:t>
            </w: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80" w:type="dxa"/>
            <w:vAlign w:val="bottom"/>
            <w:gridSpan w:val="2"/>
          </w:tcPr>
          <w:p>
            <w:pPr>
              <w:jc w:val="center"/>
              <w:ind w:left="17"/>
              <w:spacing w:after="0"/>
              <w:rPr>
                <w:sz w:val="20"/>
                <w:szCs w:val="20"/>
                <w:color w:val="auto"/>
              </w:rPr>
            </w:pPr>
            <w:r>
              <w:rPr>
                <w:rFonts w:ascii="Arial" w:cs="Arial" w:eastAsia="Arial" w:hAnsi="Arial"/>
                <w:sz w:val="17"/>
                <w:szCs w:val="17"/>
                <w:color w:val="auto"/>
                <w:w w:val="88"/>
              </w:rPr>
              <w:t>86%</w:t>
            </w: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80" w:type="dxa"/>
            <w:vAlign w:val="bottom"/>
            <w:gridSpan w:val="2"/>
          </w:tcPr>
          <w:p>
            <w:pPr>
              <w:jc w:val="center"/>
              <w:ind w:left="17"/>
              <w:spacing w:after="0"/>
              <w:rPr>
                <w:sz w:val="20"/>
                <w:szCs w:val="20"/>
                <w:color w:val="auto"/>
              </w:rPr>
            </w:pPr>
            <w:r>
              <w:rPr>
                <w:rFonts w:ascii="Arial" w:cs="Arial" w:eastAsia="Arial" w:hAnsi="Arial"/>
                <w:sz w:val="17"/>
                <w:szCs w:val="17"/>
                <w:color w:val="auto"/>
                <w:w w:val="88"/>
              </w:rPr>
              <w:t>85%</w:t>
            </w: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60" w:type="dxa"/>
            <w:vAlign w:val="bottom"/>
          </w:tcPr>
          <w:p>
            <w:pPr>
              <w:jc w:val="right"/>
              <w:ind w:right="37"/>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53" w:lineRule="exact"/>
        <w:rPr>
          <w:sz w:val="20"/>
          <w:szCs w:val="20"/>
          <w:color w:val="auto"/>
        </w:rPr>
      </w:pPr>
    </w:p>
    <w:p>
      <w:pPr>
        <w:ind w:left="300" w:right="340" w:hanging="300"/>
        <w:spacing w:after="0" w:line="219" w:lineRule="auto"/>
        <w:tabs>
          <w:tab w:leader="none" w:pos="289"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Adjustment for sales incentives that will not be recognized as Sale of vacation ownership products revenue and other adjustments to Sale of vacation ownership products revenue.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higher contract sales performance reflects the continued ramp-up of the business following the initial impact of the COVID-19 pandemic and $24 million of Legacy-Welk contract sales in the first quarter of 2022 (Legacy-Welk was acquired in the second quarter of 2021). The Contract alignment resulted in an increase in reportability of $58 million in 2022.</w:t>
      </w:r>
    </w:p>
    <w:p>
      <w:pPr>
        <w:spacing w:after="0" w:line="76"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The increase in the sales reserve as a percentage of Consolidated contract sales, net of resales is attributed to the Reserve alignment ($19 million or 110bps) recorded in the third quarter of 2022, the increase in reportability (40bps), an increase attributed to higher Legacy-Welk contract sales which carry a higher reserve rate (30bps), and an increase in financing propensity (20bps). The Reserve alignment was offset by a corresponding decrease in the acquired reserve for vacation ownership notes receivable recorded as a reduction of Financing expenses. Excluding the impact of the Alignment, Sale of vacation ownership products increased $426 million or 37%.</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5"/>
              </w:rPr>
              <w:t>Fiscal Years</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5"/>
                <w:szCs w:val="15"/>
                <w:b w:val="1"/>
                <w:bCs w:val="1"/>
                <w:color w:val="auto"/>
                <w:w w:val="93"/>
              </w:rPr>
              <w:t>2022 vs. 2021</w:t>
            </w:r>
          </w:p>
        </w:tc>
        <w:tc>
          <w:tcPr>
            <w:tcW w:w="0" w:type="dxa"/>
            <w:vAlign w:val="bottom"/>
          </w:tcPr>
          <w:p>
            <w:pPr>
              <w:spacing w:after="0"/>
              <w:rPr>
                <w:sz w:val="1"/>
                <w:szCs w:val="1"/>
                <w:color w:val="auto"/>
              </w:rPr>
            </w:pPr>
          </w:p>
        </w:tc>
      </w:tr>
      <w:tr>
        <w:trPr>
          <w:trHeight w:val="145"/>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2"/>
                <w:szCs w:val="12"/>
                <w:color w:val="auto"/>
              </w:rPr>
            </w:pPr>
          </w:p>
        </w:tc>
        <w:tc>
          <w:tcPr>
            <w:tcW w:w="540" w:type="dxa"/>
            <w:vAlign w:val="bottom"/>
            <w:vMerge w:val="restart"/>
          </w:tcPr>
          <w:p>
            <w:pPr>
              <w:jc w:val="right"/>
              <w:ind w:right="98"/>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37"/>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Revenue</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Revenue</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42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color w:val="auto"/>
              </w:rPr>
              <w:t>Sale of vacation ownership</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Arial" w:cs="Arial" w:eastAsia="Arial" w:hAnsi="Arial"/>
                <w:sz w:val="17"/>
                <w:szCs w:val="17"/>
                <w:color w:val="auto"/>
              </w:rPr>
              <w:t>Cost of vacation ownership</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2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(289)</w:t>
            </w:r>
          </w:p>
        </w:tc>
        <w:tc>
          <w:tcPr>
            <w:tcW w:w="720" w:type="dxa"/>
            <w:vAlign w:val="bottom"/>
            <w:gridSpan w:val="2"/>
          </w:tcPr>
          <w:p>
            <w:pPr>
              <w:jc w:val="center"/>
              <w:ind w:left="37"/>
              <w:spacing w:after="0"/>
              <w:rPr>
                <w:sz w:val="20"/>
                <w:szCs w:val="20"/>
                <w:color w:val="auto"/>
              </w:rPr>
            </w:pPr>
            <w:r>
              <w:rPr>
                <w:rFonts w:ascii="Arial" w:cs="Arial" w:eastAsia="Arial" w:hAnsi="Arial"/>
                <w:sz w:val="17"/>
                <w:szCs w:val="17"/>
                <w:color w:val="auto"/>
                <w:w w:val="88"/>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(150)</w:t>
            </w:r>
          </w:p>
        </w:tc>
        <w:tc>
          <w:tcPr>
            <w:tcW w:w="740" w:type="dxa"/>
            <w:vAlign w:val="bottom"/>
            <w:gridSpan w:val="2"/>
          </w:tcPr>
          <w:p>
            <w:pPr>
              <w:jc w:val="center"/>
              <w:ind w:left="37"/>
              <w:spacing w:after="0"/>
              <w:rPr>
                <w:sz w:val="20"/>
                <w:szCs w:val="20"/>
                <w:color w:val="auto"/>
              </w:rPr>
            </w:pPr>
            <w:r>
              <w:rPr>
                <w:rFonts w:ascii="Arial" w:cs="Arial" w:eastAsia="Arial" w:hAnsi="Arial"/>
                <w:sz w:val="17"/>
                <w:szCs w:val="17"/>
                <w:color w:val="auto"/>
                <w:w w:val="92"/>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(39)</w:t>
            </w:r>
          </w:p>
        </w:tc>
        <w:tc>
          <w:tcPr>
            <w:tcW w:w="7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6"/>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Marketing and sales</w:t>
            </w: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72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8"/>
              </w:rPr>
              <w:t>(50%)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74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2"/>
              </w:rPr>
              <w:t>(71%)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4"/>
        </w:trPr>
        <w:tc>
          <w:tcPr>
            <w:tcW w:w="2420" w:type="dxa"/>
            <w:vAlign w:val="bottom"/>
          </w:tcPr>
          <w:p>
            <w:pPr>
              <w:ind w:left="20"/>
              <w:spacing w:after="0" w:line="192" w:lineRule="exact"/>
              <w:rPr>
                <w:sz w:val="20"/>
                <w:szCs w:val="20"/>
                <w:color w:val="auto"/>
              </w:rPr>
            </w:pPr>
            <w:r>
              <w:rPr>
                <w:rFonts w:ascii="Arial" w:cs="Arial" w:eastAsia="Arial" w:hAnsi="Arial"/>
                <w:sz w:val="17"/>
                <w:szCs w:val="17"/>
                <w:color w:val="auto"/>
              </w:rPr>
              <w:t>Development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700" w:type="dxa"/>
            <w:vAlign w:val="bottom"/>
          </w:tcPr>
          <w:p>
            <w:pPr>
              <w:jc w:val="right"/>
              <w:ind w:right="57"/>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42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Development profit margin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7"/>
              </w:rPr>
              <w:t>32.2%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7"/>
              </w:rPr>
              <w:t>24.8%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w w:val="92"/>
              </w:rPr>
              <w:t>1.8%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7.4 pts</w:t>
            </w: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Cost of vacation ownership products included favorable product cost true ups of $24 million and $10 million during 2022 and 2021, respectively. Marketing and sales in 2022 was reduced by $6 million of lower marketing and sales associated with expired or forfeited deposits on pre-acquisition preview packages. Excluding the impact of the Alignment, Development profit increased $204 million and Development profit margin increased to 31.0%. We expect future development profit margins to remain above pre-pandemic levels and in line with recent results.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Resort Management and Other Services Revenues, Expenses and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83"/>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5"/>
                <w:szCs w:val="15"/>
                <w:b w:val="1"/>
                <w:bCs w:val="1"/>
                <w:color w:val="auto"/>
                <w:w w:val="87"/>
              </w:rPr>
              <w:t>Change</w:t>
            </w:r>
          </w:p>
        </w:tc>
        <w:tc>
          <w:tcPr>
            <w:tcW w:w="620" w:type="dxa"/>
            <w:vAlign w:val="bottom"/>
            <w:tcBorders>
              <w:bottom w:val="single" w:sz="8" w:color="auto"/>
            </w:tcBorders>
          </w:tcPr>
          <w:p>
            <w:pPr>
              <w:spacing w:after="0"/>
              <w:rPr>
                <w:sz w:val="16"/>
                <w:szCs w:val="16"/>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fee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w w:val="84"/>
              </w:rPr>
              <w:t>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center"/>
              <w:ind w:left="198"/>
              <w:spacing w:after="0"/>
              <w:rPr>
                <w:sz w:val="20"/>
                <w:szCs w:val="20"/>
                <w:color w:val="auto"/>
              </w:rPr>
            </w:pPr>
            <w:r>
              <w:rPr>
                <w:rFonts w:ascii="Arial" w:cs="Arial" w:eastAsia="Arial" w:hAnsi="Arial"/>
                <w:sz w:val="17"/>
                <w:szCs w:val="17"/>
                <w:color w:val="auto"/>
                <w:w w:val="91"/>
              </w:rPr>
              <w:t>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9"/>
              </w:rPr>
              <w:t>5%</w:t>
            </w:r>
          </w:p>
        </w:tc>
      </w:tr>
      <w:tr>
        <w:trPr>
          <w:trHeight w:val="236"/>
        </w:trPr>
        <w:tc>
          <w:tcPr>
            <w:tcW w:w="3700" w:type="dxa"/>
            <w:vAlign w:val="bottom"/>
          </w:tcPr>
          <w:p>
            <w:pPr>
              <w:ind w:left="20"/>
              <w:spacing w:after="0"/>
              <w:rPr>
                <w:sz w:val="20"/>
                <w:szCs w:val="20"/>
                <w:color w:val="auto"/>
              </w:rPr>
            </w:pPr>
            <w:r>
              <w:rPr>
                <w:rFonts w:ascii="Arial" w:cs="Arial" w:eastAsia="Arial" w:hAnsi="Arial"/>
                <w:sz w:val="17"/>
                <w:szCs w:val="17"/>
                <w:color w:val="auto"/>
              </w:rPr>
              <w:t>Ancillary revenues</w:t>
            </w:r>
          </w:p>
        </w:tc>
        <w:tc>
          <w:tcPr>
            <w:tcW w:w="140" w:type="dxa"/>
            <w:vAlign w:val="bottom"/>
          </w:tcPr>
          <w:p>
            <w:pPr>
              <w:spacing w:after="0"/>
              <w:rPr>
                <w:sz w:val="20"/>
                <w:szCs w:val="20"/>
                <w:color w:val="auto"/>
              </w:rPr>
            </w:pPr>
          </w:p>
        </w:tc>
        <w:tc>
          <w:tcPr>
            <w:tcW w:w="700" w:type="dxa"/>
            <w:vAlign w:val="bottom"/>
          </w:tcPr>
          <w:p>
            <w:pPr>
              <w:jc w:val="center"/>
              <w:ind w:left="218"/>
              <w:spacing w:after="0"/>
              <w:rPr>
                <w:sz w:val="20"/>
                <w:szCs w:val="20"/>
                <w:color w:val="auto"/>
              </w:rPr>
            </w:pPr>
            <w:r>
              <w:rPr>
                <w:rFonts w:ascii="Arial" w:cs="Arial" w:eastAsia="Arial" w:hAnsi="Arial"/>
                <w:sz w:val="17"/>
                <w:szCs w:val="17"/>
                <w:color w:val="auto"/>
                <w:w w:val="84"/>
              </w:rPr>
              <w:t>241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ind w:left="198"/>
              <w:spacing w:after="0"/>
              <w:rPr>
                <w:sz w:val="20"/>
                <w:szCs w:val="20"/>
                <w:color w:val="auto"/>
              </w:rPr>
            </w:pPr>
            <w:r>
              <w:rPr>
                <w:rFonts w:ascii="Arial" w:cs="Arial" w:eastAsia="Arial" w:hAnsi="Arial"/>
                <w:sz w:val="17"/>
                <w:szCs w:val="17"/>
                <w:color w:val="auto"/>
                <w:w w:val="91"/>
              </w:rPr>
              <w:t>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w:t>
            </w:r>
          </w:p>
        </w:tc>
        <w:tc>
          <w:tcPr>
            <w:tcW w:w="300" w:type="dxa"/>
            <w:vAlign w:val="bottom"/>
          </w:tcPr>
          <w:p>
            <w:pPr>
              <w:spacing w:after="0"/>
              <w:rPr>
                <w:sz w:val="20"/>
                <w:szCs w:val="20"/>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88"/>
              </w:rPr>
              <w:t>28%</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management and exchange revenue</w:t>
            </w: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center"/>
              <w:ind w:left="218"/>
              <w:spacing w:after="0"/>
              <w:rPr>
                <w:sz w:val="20"/>
                <w:szCs w:val="20"/>
                <w:color w:val="auto"/>
              </w:rPr>
            </w:pPr>
            <w:r>
              <w:rPr>
                <w:rFonts w:ascii="Arial" w:cs="Arial" w:eastAsia="Arial" w:hAnsi="Arial"/>
                <w:sz w:val="17"/>
                <w:szCs w:val="17"/>
                <w:color w:val="auto"/>
                <w:w w:val="84"/>
              </w:rPr>
              <w:t>127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center"/>
              <w:ind w:left="198"/>
              <w:spacing w:after="0"/>
              <w:rPr>
                <w:sz w:val="20"/>
                <w:szCs w:val="20"/>
                <w:color w:val="auto"/>
              </w:rPr>
            </w:pPr>
            <w:r>
              <w:rPr>
                <w:rFonts w:ascii="Arial" w:cs="Arial" w:eastAsia="Arial" w:hAnsi="Arial"/>
                <w:sz w:val="17"/>
                <w:szCs w:val="17"/>
                <w:color w:val="auto"/>
                <w:w w:val="91"/>
              </w:rPr>
              <w:t>124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9"/>
              </w:rPr>
              <w:t>4%</w:t>
            </w:r>
          </w:p>
        </w:tc>
      </w:tr>
      <w:tr>
        <w:trPr>
          <w:trHeight w:val="216"/>
        </w:trPr>
        <w:tc>
          <w:tcPr>
            <w:tcW w:w="3700" w:type="dxa"/>
            <w:vAlign w:val="bottom"/>
          </w:tcPr>
          <w:p>
            <w:pPr>
              <w:ind w:left="20"/>
              <w:spacing w:after="0"/>
              <w:rPr>
                <w:sz w:val="20"/>
                <w:szCs w:val="20"/>
                <w:color w:val="auto"/>
              </w:rPr>
            </w:pPr>
            <w:r>
              <w:rPr>
                <w:rFonts w:ascii="Arial" w:cs="Arial" w:eastAsia="Arial" w:hAnsi="Arial"/>
                <w:sz w:val="17"/>
                <w:szCs w:val="17"/>
                <w:color w:val="auto"/>
                <w:w w:val="98"/>
              </w:rPr>
              <w:t>Resort management and other services revenues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w:t>
            </w:r>
          </w:p>
        </w:tc>
        <w:tc>
          <w:tcPr>
            <w:tcW w:w="300" w:type="dxa"/>
            <w:vAlign w:val="bottom"/>
          </w:tcPr>
          <w:p>
            <w:pPr>
              <w:spacing w:after="0"/>
              <w:rPr>
                <w:sz w:val="18"/>
                <w:szCs w:val="18"/>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88"/>
              </w:rPr>
              <w:t>14%</w:t>
            </w: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Resort management and other services expenses</w:t>
            </w: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center"/>
              <w:ind w:left="178"/>
              <w:spacing w:after="0"/>
              <w:rPr>
                <w:sz w:val="20"/>
                <w:szCs w:val="20"/>
                <w:color w:val="auto"/>
              </w:rPr>
            </w:pPr>
            <w:r>
              <w:rPr>
                <w:rFonts w:ascii="Arial" w:cs="Arial" w:eastAsia="Arial" w:hAnsi="Arial"/>
                <w:sz w:val="17"/>
                <w:szCs w:val="17"/>
                <w:color w:val="auto"/>
                <w:w w:val="90"/>
              </w:rPr>
              <w:t>(240)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center"/>
              <w:ind w:left="178"/>
              <w:spacing w:after="0"/>
              <w:rPr>
                <w:sz w:val="20"/>
                <w:szCs w:val="20"/>
                <w:color w:val="auto"/>
              </w:rPr>
            </w:pPr>
            <w:r>
              <w:rPr>
                <w:rFonts w:ascii="Arial" w:cs="Arial" w:eastAsia="Arial" w:hAnsi="Arial"/>
                <w:sz w:val="17"/>
                <w:szCs w:val="17"/>
                <w:color w:val="auto"/>
                <w:w w:val="90"/>
              </w:rPr>
              <w:t>(200)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92"/>
              </w:rPr>
              <w:t>(20%)</w:t>
            </w:r>
          </w:p>
        </w:tc>
      </w:tr>
      <w:tr>
        <w:trPr>
          <w:trHeight w:val="204"/>
        </w:trPr>
        <w:tc>
          <w:tcPr>
            <w:tcW w:w="3700" w:type="dxa"/>
            <w:vAlign w:val="bottom"/>
          </w:tcPr>
          <w:p>
            <w:pPr>
              <w:ind w:left="20"/>
              <w:spacing w:after="0"/>
              <w:rPr>
                <w:sz w:val="20"/>
                <w:szCs w:val="20"/>
                <w:color w:val="auto"/>
              </w:rPr>
            </w:pPr>
            <w:r>
              <w:rPr>
                <w:rFonts w:ascii="Arial" w:cs="Arial" w:eastAsia="Arial" w:hAnsi="Arial"/>
                <w:sz w:val="17"/>
                <w:szCs w:val="17"/>
                <w:color w:val="auto"/>
              </w:rPr>
              <w:t>Resort management and other services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center"/>
              <w:ind w:left="218"/>
              <w:spacing w:after="0"/>
              <w:rPr>
                <w:sz w:val="20"/>
                <w:szCs w:val="20"/>
                <w:color w:val="auto"/>
              </w:rPr>
            </w:pPr>
            <w:r>
              <w:rPr>
                <w:rFonts w:ascii="Arial" w:cs="Arial" w:eastAsia="Arial" w:hAnsi="Arial"/>
                <w:sz w:val="17"/>
                <w:szCs w:val="17"/>
                <w:color w:val="auto"/>
                <w:w w:val="84"/>
              </w:rPr>
              <w:t>294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center"/>
              <w:ind w:left="198"/>
              <w:spacing w:after="0"/>
              <w:rPr>
                <w:sz w:val="20"/>
                <w:szCs w:val="20"/>
                <w:color w:val="auto"/>
              </w:rPr>
            </w:pPr>
            <w:r>
              <w:rPr>
                <w:rFonts w:ascii="Arial" w:cs="Arial" w:eastAsia="Arial" w:hAnsi="Arial"/>
                <w:sz w:val="17"/>
                <w:szCs w:val="17"/>
                <w:color w:val="auto"/>
                <w:w w:val="91"/>
              </w:rPr>
              <w:t>270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300" w:type="dxa"/>
            <w:vAlign w:val="bottom"/>
          </w:tcPr>
          <w:p>
            <w:pPr>
              <w:spacing w:after="0"/>
              <w:rPr>
                <w:sz w:val="17"/>
                <w:szCs w:val="17"/>
                <w:color w:val="auto"/>
              </w:rPr>
            </w:pPr>
          </w:p>
        </w:tc>
        <w:tc>
          <w:tcPr>
            <w:tcW w:w="620" w:type="dxa"/>
            <w:vAlign w:val="bottom"/>
          </w:tcPr>
          <w:p>
            <w:pPr>
              <w:jc w:val="center"/>
              <w:ind w:right="77"/>
              <w:spacing w:after="0"/>
              <w:rPr>
                <w:sz w:val="20"/>
                <w:szCs w:val="20"/>
                <w:color w:val="auto"/>
              </w:rPr>
            </w:pPr>
            <w:r>
              <w:rPr>
                <w:rFonts w:ascii="Arial" w:cs="Arial" w:eastAsia="Arial" w:hAnsi="Arial"/>
                <w:sz w:val="17"/>
                <w:szCs w:val="17"/>
                <w:color w:val="auto"/>
                <w:w w:val="89"/>
              </w:rPr>
              <w:t>9%</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r>
      <w:tr>
        <w:trPr>
          <w:trHeight w:val="201"/>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Resort management and other services profit margin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right="58"/>
              <w:spacing w:after="0"/>
              <w:rPr>
                <w:sz w:val="20"/>
                <w:szCs w:val="20"/>
                <w:color w:val="auto"/>
              </w:rPr>
            </w:pPr>
            <w:r>
              <w:rPr>
                <w:rFonts w:ascii="Arial" w:cs="Arial" w:eastAsia="Arial" w:hAnsi="Arial"/>
                <w:sz w:val="17"/>
                <w:szCs w:val="17"/>
                <w:color w:val="auto"/>
                <w:w w:val="91"/>
              </w:rPr>
              <w:t>55.1%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right="78"/>
              <w:spacing w:after="0"/>
              <w:rPr>
                <w:sz w:val="20"/>
                <w:szCs w:val="20"/>
                <w:color w:val="auto"/>
              </w:rPr>
            </w:pPr>
            <w:r>
              <w:rPr>
                <w:rFonts w:ascii="Arial" w:cs="Arial" w:eastAsia="Arial" w:hAnsi="Arial"/>
                <w:sz w:val="17"/>
                <w:szCs w:val="17"/>
                <w:color w:val="auto"/>
                <w:w w:val="87"/>
              </w:rPr>
              <w:t>57.5%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78"/>
              <w:spacing w:after="0"/>
              <w:rPr>
                <w:sz w:val="20"/>
                <w:szCs w:val="20"/>
                <w:color w:val="auto"/>
              </w:rPr>
            </w:pPr>
            <w:r>
              <w:rPr>
                <w:rFonts w:ascii="Arial" w:cs="Arial" w:eastAsia="Arial" w:hAnsi="Arial"/>
                <w:sz w:val="17"/>
                <w:szCs w:val="17"/>
                <w:color w:val="auto"/>
                <w:w w:val="91"/>
              </w:rPr>
              <w:t>61.8%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39"/>
              <w:spacing w:after="0"/>
              <w:rPr>
                <w:sz w:val="20"/>
                <w:szCs w:val="20"/>
                <w:color w:val="auto"/>
              </w:rPr>
            </w:pPr>
            <w:r>
              <w:rPr>
                <w:rFonts w:ascii="Arial" w:cs="Arial" w:eastAsia="Arial" w:hAnsi="Arial"/>
                <w:sz w:val="17"/>
                <w:szCs w:val="17"/>
                <w:color w:val="auto"/>
                <w:w w:val="89"/>
              </w:rPr>
              <w:t>(2.4 pts)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7"/>
                <w:szCs w:val="17"/>
                <w:color w:val="auto"/>
              </w:rPr>
              <w:t>Resort occupancy</w:t>
            </w:r>
            <w:r>
              <w:rPr>
                <w:rFonts w:ascii="Arial" w:cs="Arial" w:eastAsia="Arial" w:hAnsi="Arial"/>
                <w:sz w:val="8"/>
                <w:szCs w:val="8"/>
                <w:color w:val="auto"/>
              </w:rPr>
              <w:t>(1)</w:t>
            </w:r>
          </w:p>
        </w:tc>
        <w:tc>
          <w:tcPr>
            <w:tcW w:w="140" w:type="dxa"/>
            <w:vAlign w:val="bottom"/>
          </w:tcPr>
          <w:p>
            <w:pPr>
              <w:spacing w:after="0"/>
              <w:rPr>
                <w:sz w:val="20"/>
                <w:szCs w:val="20"/>
                <w:color w:val="auto"/>
              </w:rPr>
            </w:pPr>
          </w:p>
        </w:tc>
        <w:tc>
          <w:tcPr>
            <w:tcW w:w="700" w:type="dxa"/>
            <w:vAlign w:val="bottom"/>
          </w:tcPr>
          <w:p>
            <w:pPr>
              <w:jc w:val="center"/>
              <w:ind w:right="58"/>
              <w:spacing w:after="0"/>
              <w:rPr>
                <w:sz w:val="20"/>
                <w:szCs w:val="20"/>
                <w:color w:val="auto"/>
              </w:rPr>
            </w:pPr>
            <w:r>
              <w:rPr>
                <w:rFonts w:ascii="Arial" w:cs="Arial" w:eastAsia="Arial" w:hAnsi="Arial"/>
                <w:sz w:val="17"/>
                <w:szCs w:val="17"/>
                <w:color w:val="auto"/>
                <w:w w:val="91"/>
              </w:rPr>
              <w:t>89.3%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ind w:right="78"/>
              <w:spacing w:after="0"/>
              <w:rPr>
                <w:sz w:val="20"/>
                <w:szCs w:val="20"/>
                <w:color w:val="auto"/>
              </w:rPr>
            </w:pPr>
            <w:r>
              <w:rPr>
                <w:rFonts w:ascii="Arial" w:cs="Arial" w:eastAsia="Arial" w:hAnsi="Arial"/>
                <w:sz w:val="17"/>
                <w:szCs w:val="17"/>
                <w:color w:val="auto"/>
                <w:w w:val="87"/>
              </w:rPr>
              <w:t>81.6%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8"/>
              <w:spacing w:after="0"/>
              <w:rPr>
                <w:sz w:val="20"/>
                <w:szCs w:val="20"/>
                <w:color w:val="auto"/>
              </w:rPr>
            </w:pPr>
            <w:r>
              <w:rPr>
                <w:rFonts w:ascii="Arial" w:cs="Arial" w:eastAsia="Arial" w:hAnsi="Arial"/>
                <w:sz w:val="17"/>
                <w:szCs w:val="17"/>
                <w:color w:val="auto"/>
                <w:w w:val="91"/>
              </w:rPr>
              <w:t>57.2%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7"/>
                <w:szCs w:val="17"/>
                <w:color w:val="auto"/>
                <w:w w:val="86"/>
              </w:rPr>
              <w:t>7.7 pts</w:t>
            </w:r>
          </w:p>
        </w:tc>
        <w:tc>
          <w:tcPr>
            <w:tcW w:w="620" w:type="dxa"/>
            <w:vAlign w:val="bottom"/>
          </w:tcPr>
          <w:p>
            <w:pPr>
              <w:spacing w:after="0"/>
              <w:rPr>
                <w:sz w:val="20"/>
                <w:szCs w:val="20"/>
                <w:color w:val="auto"/>
              </w:rPr>
            </w:pPr>
          </w:p>
        </w:tc>
      </w:tr>
      <w:tr>
        <w:trPr>
          <w:trHeight w:val="286"/>
        </w:trPr>
        <w:tc>
          <w:tcPr>
            <w:tcW w:w="3700" w:type="dxa"/>
            <w:vAlign w:val="bottom"/>
          </w:tcPr>
          <w:p>
            <w:pPr>
              <w:spacing w:after="0"/>
              <w:rPr>
                <w:sz w:val="20"/>
                <w:szCs w:val="20"/>
                <w:color w:val="auto"/>
              </w:rPr>
            </w:pPr>
            <w:r>
              <w:rPr>
                <w:rFonts w:ascii="Arial" w:cs="Arial" w:eastAsia="Arial" w:hAnsi="Arial"/>
                <w:sz w:val="17"/>
                <w:szCs w:val="17"/>
                <w:color w:val="auto"/>
              </w:rPr>
              <w:t>_________________________</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ind w:left="280" w:hanging="280"/>
        <w:spacing w:after="0" w:line="236" w:lineRule="auto"/>
        <w:tabs>
          <w:tab w:leader="none" w:pos="28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Resort occupancy represents all transient, preview, and owner keys divided by total keys available, net of keys out of service.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Resort management and other services revenues reflect $50 million of higher ancillary revenues, including revenues from food and beverage and golf offerings, as a result of an increase in occupied keys (0.9 million keys or 13%) at resorts with ancillary business and a 14% increase in revenue per occupied key, $6 million of revenues relating to the Welk Acquisition, which we acquired in the second quarter of 2021, $5 million of increased commissions on third-party offerings and higher management fees, and $3 million attributed to higher annual club dues.</w:t>
      </w:r>
    </w:p>
    <w:p>
      <w:pPr>
        <w:spacing w:after="0" w:line="7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The increase in resort management and other services profit reflects $10 million of higher ancillary profit and higher management fee revenues, partially offset by higher customer services expenses due to wage increases and improvements in service levels. Ancillary profit margin remained in line with the prior year because we raised pricing and optimized our food and beverage offerings to offset wage pressures. We expect future ancillary profit margins to remain in line with recent results.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 Expenses and Margin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w w:val="89"/>
              </w:rPr>
              <w:t>Fiscal Years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5"/>
                <w:szCs w:val="15"/>
                <w:b w:val="1"/>
                <w:bCs w:val="1"/>
                <w:color w:val="auto"/>
                <w:w w:val="87"/>
              </w:rPr>
              <w:t>2022 vs. 2021</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360"/>
              <w:spacing w:after="0"/>
              <w:rPr>
                <w:sz w:val="20"/>
                <w:szCs w:val="20"/>
                <w:color w:val="auto"/>
              </w:rPr>
            </w:pPr>
            <w:r>
              <w:rPr>
                <w:rFonts w:ascii="Arial" w:cs="Arial" w:eastAsia="Arial" w:hAnsi="Arial"/>
                <w:sz w:val="15"/>
                <w:szCs w:val="15"/>
                <w:b w:val="1"/>
                <w:bCs w:val="1"/>
                <w:color w:val="auto"/>
                <w:w w:val="87"/>
              </w:rPr>
              <w:t>Change</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center"/>
              <w:ind w:left="259"/>
              <w:spacing w:after="0"/>
              <w:rPr>
                <w:sz w:val="20"/>
                <w:szCs w:val="20"/>
                <w:color w:val="auto"/>
              </w:rPr>
            </w:pPr>
            <w:r>
              <w:rPr>
                <w:rFonts w:ascii="Arial" w:cs="Arial" w:eastAsia="Arial" w:hAnsi="Arial"/>
                <w:sz w:val="17"/>
                <w:szCs w:val="17"/>
                <w:color w:val="auto"/>
                <w:w w:val="91"/>
              </w:rPr>
              <w:t>509</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97"/>
              <w:spacing w:after="0"/>
              <w:rPr>
                <w:sz w:val="20"/>
                <w:szCs w:val="20"/>
                <w:color w:val="auto"/>
              </w:rPr>
            </w:pPr>
            <w:r>
              <w:rPr>
                <w:rFonts w:ascii="Arial" w:cs="Arial" w:eastAsia="Arial" w:hAnsi="Arial"/>
                <w:sz w:val="17"/>
                <w:szCs w:val="17"/>
                <w:color w:val="auto"/>
                <w:w w:val="88"/>
              </w:rPr>
              <w:t>14%</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Rental expenses</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239"/>
              <w:spacing w:after="0"/>
              <w:rPr>
                <w:sz w:val="20"/>
                <w:szCs w:val="20"/>
                <w:color w:val="auto"/>
              </w:rPr>
            </w:pPr>
            <w:r>
              <w:rPr>
                <w:rFonts w:ascii="Arial" w:cs="Arial" w:eastAsia="Arial" w:hAnsi="Arial"/>
                <w:sz w:val="17"/>
                <w:szCs w:val="17"/>
                <w:color w:val="auto"/>
                <w:w w:val="90"/>
              </w:rPr>
              <w:t>(400)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3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jc w:val="center"/>
              <w:ind w:right="117"/>
              <w:spacing w:after="0"/>
              <w:rPr>
                <w:sz w:val="20"/>
                <w:szCs w:val="20"/>
                <w:color w:val="auto"/>
              </w:rPr>
            </w:pPr>
            <w:r>
              <w:rPr>
                <w:rFonts w:ascii="Arial" w:cs="Arial" w:eastAsia="Arial" w:hAnsi="Arial"/>
                <w:sz w:val="17"/>
                <w:szCs w:val="17"/>
                <w:color w:val="auto"/>
                <w:w w:val="89"/>
              </w:rPr>
              <w:t>(2%)</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Rental profit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7"/>
                <w:szCs w:val="17"/>
                <w:color w:val="auto"/>
                <w:w w:val="91"/>
              </w:rPr>
              <w:t>109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ind w:right="97"/>
              <w:spacing w:after="0"/>
              <w:rPr>
                <w:sz w:val="20"/>
                <w:szCs w:val="20"/>
                <w:color w:val="auto"/>
              </w:rPr>
            </w:pPr>
            <w:r>
              <w:rPr>
                <w:rFonts w:ascii="Arial" w:cs="Arial" w:eastAsia="Arial" w:hAnsi="Arial"/>
                <w:sz w:val="17"/>
                <w:szCs w:val="17"/>
                <w:color w:val="auto"/>
                <w:w w:val="87"/>
              </w:rPr>
              <w:t>110%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ind w:left="20"/>
              <w:spacing w:after="0"/>
              <w:rPr>
                <w:sz w:val="20"/>
                <w:szCs w:val="20"/>
                <w:color w:val="auto"/>
              </w:rPr>
            </w:pPr>
            <w:r>
              <w:rPr>
                <w:rFonts w:ascii="Arial" w:cs="Arial" w:eastAsia="Arial" w:hAnsi="Arial"/>
                <w:sz w:val="17"/>
                <w:szCs w:val="17"/>
                <w:color w:val="auto"/>
              </w:rPr>
              <w:t>Rental profit margin</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40" w:type="dxa"/>
            <w:vAlign w:val="bottom"/>
            <w:tcBorders>
              <w:top w:val="single" w:sz="8" w:color="CCEEFF"/>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99"/>
              <w:spacing w:after="0" w:line="181" w:lineRule="exact"/>
              <w:rPr>
                <w:sz w:val="20"/>
                <w:szCs w:val="20"/>
                <w:color w:val="auto"/>
              </w:rPr>
            </w:pPr>
            <w:r>
              <w:rPr>
                <w:rFonts w:ascii="Arial" w:cs="Arial" w:eastAsia="Arial" w:hAnsi="Arial"/>
                <w:sz w:val="17"/>
                <w:szCs w:val="17"/>
                <w:color w:val="auto"/>
                <w:w w:val="99"/>
              </w:rPr>
              <w:t>21.4%</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39"/>
              <w:spacing w:after="0" w:line="181" w:lineRule="exact"/>
              <w:rPr>
                <w:sz w:val="20"/>
                <w:szCs w:val="20"/>
                <w:color w:val="auto"/>
              </w:rPr>
            </w:pPr>
            <w:r>
              <w:rPr>
                <w:rFonts w:ascii="Arial" w:cs="Arial" w:eastAsia="Arial" w:hAnsi="Arial"/>
                <w:sz w:val="17"/>
                <w:szCs w:val="17"/>
                <w:color w:val="auto"/>
                <w:w w:val="95"/>
              </w:rPr>
              <w:t>11.7%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9"/>
              <w:spacing w:after="0" w:line="181" w:lineRule="exact"/>
              <w:rPr>
                <w:sz w:val="20"/>
                <w:szCs w:val="20"/>
                <w:color w:val="auto"/>
              </w:rPr>
            </w:pPr>
            <w:r>
              <w:rPr>
                <w:rFonts w:ascii="Arial" w:cs="Arial" w:eastAsia="Arial" w:hAnsi="Arial"/>
                <w:sz w:val="17"/>
                <w:szCs w:val="17"/>
                <w:color w:val="auto"/>
              </w:rPr>
              <w:t>NM</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
              <w:spacing w:after="0" w:line="181" w:lineRule="exact"/>
              <w:rPr>
                <w:sz w:val="20"/>
                <w:szCs w:val="20"/>
                <w:color w:val="auto"/>
              </w:rPr>
            </w:pPr>
            <w:r>
              <w:rPr>
                <w:rFonts w:ascii="Arial" w:cs="Arial" w:eastAsia="Arial" w:hAnsi="Arial"/>
                <w:sz w:val="17"/>
                <w:szCs w:val="17"/>
                <w:color w:val="auto"/>
              </w:rPr>
              <w:t>9.7 pts</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7"/>
        </w:trPr>
        <w:tc>
          <w:tcPr>
            <w:tcW w:w="3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57"/>
              <w:spacing w:after="0"/>
              <w:rPr>
                <w:sz w:val="20"/>
                <w:szCs w:val="20"/>
                <w:color w:val="auto"/>
              </w:rPr>
            </w:pPr>
            <w:r>
              <w:rPr>
                <w:rFonts w:ascii="Arial" w:cs="Arial" w:eastAsia="Arial" w:hAnsi="Arial"/>
                <w:sz w:val="15"/>
                <w:szCs w:val="15"/>
                <w:b w:val="1"/>
                <w:bCs w:val="1"/>
                <w:color w:val="auto"/>
                <w:w w:val="89"/>
              </w:rPr>
              <w:t>2022 vs. 2021</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(transient keys in millions)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380"/>
              <w:spacing w:after="0"/>
              <w:rPr>
                <w:sz w:val="20"/>
                <w:szCs w:val="20"/>
                <w:color w:val="auto"/>
              </w:rPr>
            </w:pPr>
            <w:r>
              <w:rPr>
                <w:rFonts w:ascii="Arial" w:cs="Arial" w:eastAsia="Arial" w:hAnsi="Arial"/>
                <w:sz w:val="15"/>
                <w:szCs w:val="15"/>
                <w:b w:val="1"/>
                <w:bCs w:val="1"/>
                <w:color w:val="auto"/>
                <w:w w:val="90"/>
              </w:rPr>
              <w:t>Change</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Transient keys rented</w:t>
            </w:r>
            <w:r>
              <w:rPr>
                <w:rFonts w:ascii="Arial" w:cs="Arial" w:eastAsia="Arial" w:hAnsi="Arial"/>
                <w:sz w:val="8"/>
                <w:szCs w:val="8"/>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7"/>
                <w:szCs w:val="17"/>
                <w:color w:val="auto"/>
              </w:rPr>
              <w:t>Average transient key rate</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268.39</w:t>
            </w:r>
          </w:p>
        </w:tc>
        <w:tc>
          <w:tcPr>
            <w:tcW w:w="20" w:type="dxa"/>
            <w:vAlign w:val="bottom"/>
          </w:tcPr>
          <w:p>
            <w:pPr>
              <w:spacing w:after="0"/>
              <w:rPr>
                <w:sz w:val="20"/>
                <w:szCs w:val="20"/>
                <w:color w:val="auto"/>
              </w:rPr>
            </w:pPr>
          </w:p>
        </w:tc>
        <w:tc>
          <w:tcPr>
            <w:tcW w:w="280" w:type="dxa"/>
            <w:vAlign w:val="bottom"/>
            <w:gridSpan w:val="3"/>
          </w:tcPr>
          <w:p>
            <w:pPr>
              <w:jc w:val="right"/>
              <w:ind w:right="3"/>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245.79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219.82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22.60</w:t>
            </w:r>
          </w:p>
        </w:tc>
        <w:tc>
          <w:tcPr>
            <w:tcW w:w="320" w:type="dxa"/>
            <w:vAlign w:val="bottom"/>
          </w:tcPr>
          <w:p>
            <w:pPr>
              <w:spacing w:after="0"/>
              <w:rPr>
                <w:sz w:val="20"/>
                <w:szCs w:val="20"/>
                <w:color w:val="auto"/>
              </w:rPr>
            </w:pPr>
          </w:p>
        </w:tc>
        <w:tc>
          <w:tcPr>
            <w:tcW w:w="600" w:type="dxa"/>
            <w:vAlign w:val="bottom"/>
          </w:tcPr>
          <w:p>
            <w:pPr>
              <w:jc w:val="right"/>
              <w:ind w:right="177"/>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occupancy</w:t>
            </w:r>
            <w:r>
              <w:rPr>
                <w:rFonts w:ascii="Arial" w:cs="Arial" w:eastAsia="Arial" w:hAnsi="Arial"/>
                <w:sz w:val="8"/>
                <w:szCs w:val="8"/>
                <w:color w:val="auto"/>
              </w:rPr>
              <w:t>(2)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w w:val="91"/>
              </w:rPr>
              <w:t>70.3%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w w:val="95"/>
              </w:rPr>
              <w:t>55.1%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w w:val="99"/>
              </w:rPr>
              <w:t>24.0%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15.2 pts</w:t>
            </w: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2" w:lineRule="exact"/>
        <w:rPr>
          <w:sz w:val="20"/>
          <w:szCs w:val="20"/>
          <w:color w:val="auto"/>
        </w:rPr>
      </w:pPr>
    </w:p>
    <w:p>
      <w:pPr>
        <w:ind w:left="280" w:hanging="280"/>
        <w:spacing w:after="0"/>
        <w:tabs>
          <w:tab w:leader="none" w:pos="28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Transient keys rented exclude those obtained through the use of plus points and preview stays.</w:t>
      </w:r>
    </w:p>
    <w:p>
      <w:pPr>
        <w:spacing w:after="0" w:line="51" w:lineRule="exact"/>
        <w:rPr>
          <w:rFonts w:ascii="Arial" w:cs="Arial" w:eastAsia="Arial" w:hAnsi="Arial"/>
          <w:sz w:val="22"/>
          <w:szCs w:val="22"/>
          <w:color w:val="auto"/>
          <w:vertAlign w:val="superscript"/>
        </w:rPr>
      </w:pPr>
    </w:p>
    <w:p>
      <w:pPr>
        <w:ind w:left="280" w:hanging="280"/>
        <w:spacing w:after="0" w:line="187" w:lineRule="auto"/>
        <w:tabs>
          <w:tab w:leader="none" w:pos="28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Rental occupancy represents transient and preview keys divided by keys available to rent, which is total available keys excluding owner usage.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Rental profit for transient keys associated with our vacation ownership operations improved by $45 million (97%) in 2022 while rental profit for our owned hotels improved by $12 million (231%). The improvement in rental profit resulted from an increase in transient keys rented and a higher average transient rate due to the continued ramp-up of the business following the waning impact of the COVID-19 pandemic starting late in the prior year first quarter net of higher associated tidy and variable costs, a $17 million increase in allocations of rental costs to marketing and sales expense for marketing purposes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sectPr>
      </w:pPr>
    </w:p>
    <w:bookmarkStart w:id="54" w:name="page55"/>
    <w:bookmarkEnd w:id="54"/>
    <w:p>
      <w:pPr>
        <w:ind w:right="80"/>
        <w:spacing w:after="0" w:line="254" w:lineRule="auto"/>
        <w:rPr>
          <w:sz w:val="20"/>
          <w:szCs w:val="20"/>
          <w:color w:val="auto"/>
        </w:rPr>
      </w:pPr>
      <w:r>
        <w:rPr>
          <w:rFonts w:ascii="Arial" w:cs="Arial" w:eastAsia="Arial" w:hAnsi="Arial"/>
          <w:sz w:val="17"/>
          <w:szCs w:val="17"/>
          <w:color w:val="auto"/>
        </w:rPr>
        <w:t>$5 million from higher plus point revenue. These increases were partially offset by $36 million of higher costs associated with higher owner utilization of third-party vacation and other offerings, and excess inventory on hand compared to 2021. In addition to these variances, there was a $52 million higher net down of rental revenues and expense in 2022 associated with unsold VOIs that are registered and held for sale.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Revenues, Expenses and Margin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280"/>
              <w:spacing w:after="0"/>
              <w:rPr>
                <w:sz w:val="20"/>
                <w:szCs w:val="20"/>
                <w:color w:val="auto"/>
              </w:rPr>
            </w:pPr>
            <w:r>
              <w:rPr>
                <w:rFonts w:ascii="Arial" w:cs="Arial" w:eastAsia="Arial" w:hAnsi="Arial"/>
                <w:sz w:val="15"/>
                <w:szCs w:val="15"/>
                <w:b w:val="1"/>
                <w:bCs w:val="1"/>
                <w:color w:val="auto"/>
              </w:rPr>
              <w:t>2022 vs. 2021</w:t>
            </w:r>
          </w:p>
        </w:tc>
      </w:tr>
      <w:tr>
        <w:trPr>
          <w:trHeight w:val="192"/>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83"/>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8"/>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w w:val="87"/>
              </w:rPr>
              <w:t>Change</w:t>
            </w:r>
          </w:p>
        </w:tc>
        <w:tc>
          <w:tcPr>
            <w:tcW w:w="580" w:type="dxa"/>
            <w:vAlign w:val="bottom"/>
            <w:tcBorders>
              <w:bottom w:val="single" w:sz="8" w:color="auto"/>
            </w:tcBorders>
          </w:tcPr>
          <w:p>
            <w:pPr>
              <w:spacing w:after="0"/>
              <w:rPr>
                <w:sz w:val="16"/>
                <w:szCs w:val="16"/>
                <w:color w:val="auto"/>
              </w:rPr>
            </w:pPr>
          </w:p>
        </w:tc>
      </w:tr>
      <w:tr>
        <w:trPr>
          <w:trHeight w:val="232"/>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25</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89"/>
              </w:rPr>
              <w:t>9%</w:t>
            </w:r>
          </w:p>
        </w:tc>
      </w:tr>
      <w:tr>
        <w:trPr>
          <w:trHeight w:val="249"/>
        </w:trPr>
        <w:tc>
          <w:tcPr>
            <w:tcW w:w="3760" w:type="dxa"/>
            <w:vAlign w:val="bottom"/>
          </w:tcPr>
          <w:p>
            <w:pPr>
              <w:ind w:left="20"/>
              <w:spacing w:after="0"/>
              <w:rPr>
                <w:sz w:val="20"/>
                <w:szCs w:val="20"/>
                <w:color w:val="auto"/>
              </w:rPr>
            </w:pPr>
            <w:r>
              <w:rPr>
                <w:rFonts w:ascii="Arial" w:cs="Arial" w:eastAsia="Arial" w:hAnsi="Arial"/>
                <w:sz w:val="17"/>
                <w:szCs w:val="17"/>
                <w:color w:val="auto"/>
              </w:rPr>
              <w:t>Financing expenses</w:t>
            </w:r>
          </w:p>
        </w:tc>
        <w:tc>
          <w:tcPr>
            <w:tcW w:w="160" w:type="dxa"/>
            <w:vAlign w:val="bottom"/>
          </w:tcPr>
          <w:p>
            <w:pPr>
              <w:spacing w:after="0"/>
              <w:rPr>
                <w:sz w:val="21"/>
                <w:szCs w:val="21"/>
                <w:color w:val="auto"/>
              </w:rPr>
            </w:pPr>
          </w:p>
        </w:tc>
        <w:tc>
          <w:tcPr>
            <w:tcW w:w="680" w:type="dxa"/>
            <w:vAlign w:val="bottom"/>
          </w:tcPr>
          <w:p>
            <w:pPr>
              <w:ind w:left="380"/>
              <w:spacing w:after="0"/>
              <w:rPr>
                <w:sz w:val="20"/>
                <w:szCs w:val="20"/>
                <w:color w:val="auto"/>
              </w:rPr>
            </w:pPr>
            <w:r>
              <w:rPr>
                <w:rFonts w:ascii="Arial" w:cs="Arial" w:eastAsia="Arial" w:hAnsi="Arial"/>
                <w:sz w:val="17"/>
                <w:szCs w:val="17"/>
                <w:color w:val="auto"/>
                <w:w w:val="92"/>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380"/>
              <w:spacing w:after="0"/>
              <w:rPr>
                <w:sz w:val="20"/>
                <w:szCs w:val="20"/>
                <w:color w:val="auto"/>
              </w:rPr>
            </w:pPr>
            <w:r>
              <w:rPr>
                <w:rFonts w:ascii="Arial" w:cs="Arial" w:eastAsia="Arial" w:hAnsi="Arial"/>
                <w:sz w:val="17"/>
                <w:szCs w:val="17"/>
                <w:color w:val="auto"/>
                <w:w w:val="99"/>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ind w:left="380"/>
              <w:spacing w:after="0"/>
              <w:rPr>
                <w:sz w:val="20"/>
                <w:szCs w:val="20"/>
                <w:color w:val="auto"/>
              </w:rPr>
            </w:pPr>
            <w:r>
              <w:rPr>
                <w:rFonts w:ascii="Arial" w:cs="Arial" w:eastAsia="Arial" w:hAnsi="Arial"/>
                <w:sz w:val="17"/>
                <w:szCs w:val="17"/>
                <w:color w:val="auto"/>
                <w:w w:val="92"/>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ind w:left="440"/>
              <w:spacing w:after="0"/>
              <w:rPr>
                <w:sz w:val="20"/>
                <w:szCs w:val="20"/>
                <w:color w:val="auto"/>
              </w:rPr>
            </w:pPr>
            <w:r>
              <w:rPr>
                <w:rFonts w:ascii="Arial" w:cs="Arial" w:eastAsia="Arial" w:hAnsi="Arial"/>
                <w:sz w:val="17"/>
                <w:szCs w:val="17"/>
                <w:color w:val="auto"/>
              </w:rPr>
              <w:t>18</w:t>
            </w:r>
          </w:p>
        </w:tc>
        <w:tc>
          <w:tcPr>
            <w:tcW w:w="280" w:type="dxa"/>
            <w:vAlign w:val="bottom"/>
          </w:tcPr>
          <w:p>
            <w:pPr>
              <w:spacing w:after="0"/>
              <w:rPr>
                <w:sz w:val="21"/>
                <w:szCs w:val="21"/>
                <w:color w:val="auto"/>
              </w:rPr>
            </w:pPr>
          </w:p>
        </w:tc>
        <w:tc>
          <w:tcPr>
            <w:tcW w:w="580" w:type="dxa"/>
            <w:vAlign w:val="bottom"/>
          </w:tcPr>
          <w:p>
            <w:pPr>
              <w:jc w:val="center"/>
              <w:ind w:right="77"/>
              <w:spacing w:after="0"/>
              <w:rPr>
                <w:sz w:val="20"/>
                <w:szCs w:val="20"/>
                <w:color w:val="auto"/>
              </w:rPr>
            </w:pPr>
            <w:r>
              <w:rPr>
                <w:rFonts w:ascii="Arial" w:cs="Arial" w:eastAsia="Arial" w:hAnsi="Arial"/>
                <w:sz w:val="17"/>
                <w:szCs w:val="17"/>
                <w:color w:val="auto"/>
                <w:w w:val="88"/>
              </w:rPr>
              <w:t>48%</w:t>
            </w:r>
          </w:p>
        </w:tc>
      </w:tr>
      <w:tr>
        <w:trPr>
          <w:trHeight w:val="236"/>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financing interest expense</w:t>
            </w: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92"/>
              </w:rPr>
              <w:t>(55)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99"/>
              </w:rPr>
              <w:t>(50)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92"/>
              </w:rPr>
              <w:t>(58)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6"/>
              </w:rPr>
              <w:t>(5)</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right="77"/>
              <w:spacing w:after="0"/>
              <w:rPr>
                <w:sz w:val="20"/>
                <w:szCs w:val="20"/>
                <w:color w:val="auto"/>
              </w:rPr>
            </w:pPr>
            <w:r>
              <w:rPr>
                <w:rFonts w:ascii="Arial" w:cs="Arial" w:eastAsia="Arial" w:hAnsi="Arial"/>
                <w:sz w:val="17"/>
                <w:szCs w:val="17"/>
                <w:color w:val="auto"/>
                <w:w w:val="92"/>
              </w:rPr>
              <w:t>(10%)</w:t>
            </w:r>
          </w:p>
        </w:tc>
      </w:tr>
      <w:tr>
        <w:trPr>
          <w:trHeight w:val="204"/>
        </w:trPr>
        <w:tc>
          <w:tcPr>
            <w:tcW w:w="3760" w:type="dxa"/>
            <w:vAlign w:val="bottom"/>
          </w:tcPr>
          <w:p>
            <w:pPr>
              <w:ind w:left="20"/>
              <w:spacing w:after="0"/>
              <w:rPr>
                <w:sz w:val="20"/>
                <w:szCs w:val="20"/>
                <w:color w:val="auto"/>
              </w:rPr>
            </w:pPr>
            <w:r>
              <w:rPr>
                <w:rFonts w:ascii="Arial" w:cs="Arial" w:eastAsia="Arial" w:hAnsi="Arial"/>
                <w:sz w:val="17"/>
                <w:szCs w:val="17"/>
                <w:color w:val="auto"/>
              </w:rPr>
              <w:t>Financing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38</w:t>
            </w:r>
          </w:p>
        </w:tc>
        <w:tc>
          <w:tcPr>
            <w:tcW w:w="280" w:type="dxa"/>
            <w:vAlign w:val="bottom"/>
          </w:tcPr>
          <w:p>
            <w:pPr>
              <w:spacing w:after="0"/>
              <w:rPr>
                <w:sz w:val="17"/>
                <w:szCs w:val="17"/>
                <w:color w:val="auto"/>
              </w:rPr>
            </w:pPr>
          </w:p>
        </w:tc>
        <w:tc>
          <w:tcPr>
            <w:tcW w:w="580" w:type="dxa"/>
            <w:vAlign w:val="bottom"/>
          </w:tcPr>
          <w:p>
            <w:pPr>
              <w:jc w:val="center"/>
              <w:ind w:right="77"/>
              <w:spacing w:after="0"/>
              <w:rPr>
                <w:sz w:val="20"/>
                <w:szCs w:val="20"/>
                <w:color w:val="auto"/>
              </w:rPr>
            </w:pPr>
            <w:r>
              <w:rPr>
                <w:rFonts w:ascii="Arial" w:cs="Arial" w:eastAsia="Arial" w:hAnsi="Arial"/>
                <w:sz w:val="17"/>
                <w:szCs w:val="17"/>
                <w:color w:val="auto"/>
                <w:w w:val="88"/>
              </w:rPr>
              <w:t>22%</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r>
      <w:tr>
        <w:trPr>
          <w:trHeight w:val="201"/>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profit margin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78"/>
              <w:spacing w:after="0"/>
              <w:rPr>
                <w:sz w:val="20"/>
                <w:szCs w:val="20"/>
                <w:color w:val="auto"/>
              </w:rPr>
            </w:pPr>
            <w:r>
              <w:rPr>
                <w:rFonts w:ascii="Arial" w:cs="Arial" w:eastAsia="Arial" w:hAnsi="Arial"/>
                <w:sz w:val="17"/>
                <w:szCs w:val="17"/>
                <w:color w:val="auto"/>
                <w:w w:val="91"/>
              </w:rPr>
              <w:t>74.5%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right="78"/>
              <w:spacing w:after="0"/>
              <w:rPr>
                <w:sz w:val="20"/>
                <w:szCs w:val="20"/>
                <w:color w:val="auto"/>
              </w:rPr>
            </w:pPr>
            <w:r>
              <w:rPr>
                <w:rFonts w:ascii="Arial" w:cs="Arial" w:eastAsia="Arial" w:hAnsi="Arial"/>
                <w:sz w:val="17"/>
                <w:szCs w:val="17"/>
                <w:color w:val="auto"/>
                <w:w w:val="87"/>
              </w:rPr>
              <w:t>67.1%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78"/>
              <w:spacing w:after="0"/>
              <w:rPr>
                <w:sz w:val="20"/>
                <w:szCs w:val="20"/>
                <w:color w:val="auto"/>
              </w:rPr>
            </w:pPr>
            <w:r>
              <w:rPr>
                <w:rFonts w:ascii="Arial" w:cs="Arial" w:eastAsia="Arial" w:hAnsi="Arial"/>
                <w:sz w:val="17"/>
                <w:szCs w:val="17"/>
                <w:color w:val="auto"/>
                <w:w w:val="91"/>
              </w:rPr>
              <w:t>59.8%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7.4 pts</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7"/>
                <w:szCs w:val="17"/>
                <w:color w:val="auto"/>
              </w:rPr>
              <w:t>Financing propensity</w:t>
            </w:r>
          </w:p>
        </w:tc>
        <w:tc>
          <w:tcPr>
            <w:tcW w:w="160" w:type="dxa"/>
            <w:vAlign w:val="bottom"/>
          </w:tcPr>
          <w:p>
            <w:pPr>
              <w:spacing w:after="0"/>
              <w:rPr>
                <w:sz w:val="20"/>
                <w:szCs w:val="20"/>
                <w:color w:val="auto"/>
              </w:rPr>
            </w:pPr>
          </w:p>
        </w:tc>
        <w:tc>
          <w:tcPr>
            <w:tcW w:w="680" w:type="dxa"/>
            <w:vAlign w:val="bottom"/>
          </w:tcPr>
          <w:p>
            <w:pPr>
              <w:jc w:val="center"/>
              <w:ind w:right="78"/>
              <w:spacing w:after="0"/>
              <w:rPr>
                <w:sz w:val="20"/>
                <w:szCs w:val="20"/>
                <w:color w:val="auto"/>
              </w:rPr>
            </w:pPr>
            <w:r>
              <w:rPr>
                <w:rFonts w:ascii="Arial" w:cs="Arial" w:eastAsia="Arial" w:hAnsi="Arial"/>
                <w:sz w:val="17"/>
                <w:szCs w:val="17"/>
                <w:color w:val="auto"/>
                <w:w w:val="93"/>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ind w:right="78"/>
              <w:spacing w:after="0"/>
              <w:rPr>
                <w:sz w:val="20"/>
                <w:szCs w:val="20"/>
                <w:color w:val="auto"/>
              </w:rPr>
            </w:pPr>
            <w:r>
              <w:rPr>
                <w:rFonts w:ascii="Arial" w:cs="Arial" w:eastAsia="Arial" w:hAnsi="Arial"/>
                <w:sz w:val="17"/>
                <w:szCs w:val="17"/>
                <w:color w:val="auto"/>
                <w:w w:val="88"/>
              </w:rPr>
              <w:t>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center"/>
              <w:ind w:right="78"/>
              <w:spacing w:after="0"/>
              <w:rPr>
                <w:sz w:val="20"/>
                <w:szCs w:val="20"/>
                <w:color w:val="auto"/>
              </w:rPr>
            </w:pPr>
            <w:r>
              <w:rPr>
                <w:rFonts w:ascii="Arial" w:cs="Arial" w:eastAsia="Arial" w:hAnsi="Arial"/>
                <w:sz w:val="17"/>
                <w:szCs w:val="17"/>
                <w:color w:val="auto"/>
                <w:w w:val="93"/>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Financing revenues reflect $23 million of higher interest income (including $10 million attributed to the lack of comparability due to the Welk Acquisition in the second quarter of 2021 and $13 million as a result of a higher average vacation ownership notes receivable balance and a slightly higher average interest rate driven by mix of customers and brands) and $2 million of lower plus point financing incentive costs year-over-year. We plan to continue offering financing incentives to certain customers in the future.</w:t>
      </w:r>
    </w:p>
    <w:p>
      <w:pPr>
        <w:spacing w:after="0" w:line="78"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Financing expenses decreased $19 million due to the Reserve alignment, which reduced the reserve related to our acquired vacation ownership notes receivable (recorded as a reduction of Financing expenses), partially offset by higher other expenses and an increase to our reserve for originated vacation ownership notes receivable (which is recorded as a reduction of Sales of vacation ownership products), partially offset by $1 million lower lien fee income. The increase in consumer financing interest expense is attributable to the higher average securitized debt at a higher average interest rate for the more recent term securitization transactions. We expect consumer financing interest expense to continue to remain elevated over our average outstanding interest rates on existing securitization transactions as a result of rising interest rates and we expect originations of vacation ownership notes receivable to outpace payoffs. We do not adjust interest rates, on consumer financing offerings at the same pace as, or in lock-step with, broader market interest rates; thus we expect our financing profit margin to decrease in 2023, as we repay existing securitization transactions with historically low interest rates and enter into new securitization transactions with higher interest rates.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Depreciation and Amortization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7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23"/>
              <w:spacing w:after="0"/>
              <w:rPr>
                <w:sz w:val="20"/>
                <w:szCs w:val="20"/>
                <w:color w:val="auto"/>
              </w:rPr>
            </w:pPr>
            <w:r>
              <w:rPr>
                <w:rFonts w:ascii="Arial" w:cs="Arial" w:eastAsia="Arial" w:hAnsi="Arial"/>
                <w:sz w:val="15"/>
                <w:szCs w:val="15"/>
                <w:b w:val="1"/>
                <w:bCs w:val="1"/>
                <w:color w:val="auto"/>
                <w:w w:val="87"/>
              </w:rPr>
              <w:t>Change</w:t>
            </w:r>
          </w:p>
        </w:tc>
        <w:tc>
          <w:tcPr>
            <w:tcW w:w="560" w:type="dxa"/>
            <w:vAlign w:val="bottom"/>
            <w:tcBorders>
              <w:bottom w:val="single" w:sz="8" w:color="auto"/>
            </w:tcBorders>
          </w:tcPr>
          <w:p>
            <w:pPr>
              <w:spacing w:after="0"/>
              <w:rPr>
                <w:sz w:val="16"/>
                <w:szCs w:val="16"/>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343"/>
              <w:spacing w:after="0"/>
              <w:rPr>
                <w:sz w:val="20"/>
                <w:szCs w:val="20"/>
                <w:color w:val="auto"/>
              </w:rPr>
            </w:pPr>
            <w:r>
              <w:rPr>
                <w:rFonts w:ascii="Arial" w:cs="Arial" w:eastAsia="Arial" w:hAnsi="Arial"/>
                <w:sz w:val="17"/>
                <w:szCs w:val="17"/>
                <w:color w:val="auto"/>
              </w:rPr>
              <w:t>3</w:t>
            </w:r>
          </w:p>
        </w:tc>
        <w:tc>
          <w:tcPr>
            <w:tcW w:w="5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The increase in depreciation and amortization expense is attributed to an additional $2 million of depreciation expense associated with completed VOIs that are classified as a component of Property and equipment, net until the time at which they are available and legally registered for sale as vacation ownership products and $1 million attributed to the inclusion of expense associated with assets acquired in the Welk Acquisition for an additional quarter in 2022 compared to 2021.</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 Charges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243"/>
              <w:spacing w:after="0"/>
              <w:rPr>
                <w:sz w:val="20"/>
                <w:szCs w:val="20"/>
                <w:color w:val="auto"/>
              </w:rPr>
            </w:pPr>
            <w:r>
              <w:rPr>
                <w:rFonts w:ascii="Arial" w:cs="Arial" w:eastAsia="Arial" w:hAnsi="Arial"/>
                <w:sz w:val="15"/>
                <w:szCs w:val="15"/>
                <w:b w:val="1"/>
                <w:bCs w:val="1"/>
                <w:color w:val="auto"/>
                <w:w w:val="87"/>
              </w:rPr>
              <w:t>Change</w:t>
            </w:r>
          </w:p>
        </w:tc>
        <w:tc>
          <w:tcPr>
            <w:tcW w:w="600" w:type="dxa"/>
            <w:vAlign w:val="bottom"/>
            <w:tcBorders>
              <w:bottom w:val="single" w:sz="8" w:color="auto"/>
            </w:tcBorders>
          </w:tcPr>
          <w:p>
            <w:pPr>
              <w:spacing w:after="0"/>
              <w:rPr>
                <w:sz w:val="16"/>
                <w:szCs w:val="16"/>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94"/>
              </w:rPr>
              <w:t>(3%)</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During 2022 and 2021, the litigation charges relate primarily to our business in Europe.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Royalty Fee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9"/>
              </w:rPr>
              <w:t>2022 vs. 2021</w:t>
            </w:r>
          </w:p>
        </w:tc>
      </w:tr>
      <w:tr>
        <w:trPr>
          <w:trHeight w:val="19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w w:val="90"/>
              </w:rPr>
              <w:t>Change</w:t>
            </w:r>
          </w:p>
        </w:tc>
        <w:tc>
          <w:tcPr>
            <w:tcW w:w="560" w:type="dxa"/>
            <w:vAlign w:val="bottom"/>
            <w:tcBorders>
              <w:bottom w:val="single" w:sz="8" w:color="auto"/>
            </w:tcBorders>
          </w:tcPr>
          <w:p>
            <w:pPr>
              <w:spacing w:after="0"/>
              <w:rPr>
                <w:sz w:val="16"/>
                <w:szCs w:val="16"/>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Royalty fee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343"/>
              <w:spacing w:after="0"/>
              <w:rPr>
                <w:sz w:val="20"/>
                <w:szCs w:val="20"/>
                <w:color w:val="auto"/>
              </w:rPr>
            </w:pPr>
            <w:r>
              <w:rPr>
                <w:rFonts w:ascii="Arial" w:cs="Arial" w:eastAsia="Arial" w:hAnsi="Arial"/>
                <w:sz w:val="17"/>
                <w:szCs w:val="17"/>
                <w:color w:val="auto"/>
              </w:rPr>
              <w:t>8</w:t>
            </w:r>
          </w:p>
        </w:tc>
        <w:tc>
          <w:tcPr>
            <w:tcW w:w="5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increase in royalty fee expense included $6 million from an increase in the dollar volume of closings, $3 million from a contractual increase in the fixed portion of the royalty fee owed to Marriott International, and $1 million relating to the commencement of variable royalty fees for Hyatt in the fourth quarter of 2022, partially offset by $2 million from an increase in sales of pre-owned inventory, which carry a lower royalty fee as compared to initial sales of our inventory (one percent versus two percent).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and Other Income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23"/>
              <w:spacing w:after="0"/>
              <w:rPr>
                <w:sz w:val="20"/>
                <w:szCs w:val="20"/>
                <w:color w:val="auto"/>
              </w:rPr>
            </w:pPr>
            <w:r>
              <w:rPr>
                <w:rFonts w:ascii="Arial" w:cs="Arial" w:eastAsia="Arial" w:hAnsi="Arial"/>
                <w:sz w:val="15"/>
                <w:szCs w:val="15"/>
                <w:b w:val="1"/>
                <w:bCs w:val="1"/>
                <w:color w:val="auto"/>
                <w:w w:val="87"/>
              </w:rPr>
              <w:t>Change</w:t>
            </w:r>
          </w:p>
        </w:tc>
        <w:tc>
          <w:tcPr>
            <w:tcW w:w="580" w:type="dxa"/>
            <w:vAlign w:val="bottom"/>
            <w:tcBorders>
              <w:bottom w:val="single" w:sz="8" w:color="auto"/>
            </w:tcBorders>
          </w:tcPr>
          <w:p>
            <w:pPr>
              <w:spacing w:after="0"/>
              <w:rPr>
                <w:sz w:val="16"/>
                <w:szCs w:val="16"/>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3"/>
              </w:rPr>
              <w:t>37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323"/>
              <w:spacing w:after="0"/>
              <w:rPr>
                <w:sz w:val="20"/>
                <w:szCs w:val="20"/>
                <w:color w:val="auto"/>
              </w:rPr>
            </w:pPr>
            <w:r>
              <w:rPr>
                <w:rFonts w:ascii="Arial" w:cs="Arial" w:eastAsia="Arial" w:hAnsi="Arial"/>
                <w:sz w:val="17"/>
                <w:szCs w:val="17"/>
                <w:color w:val="auto"/>
              </w:rPr>
              <w:t>36</w:t>
            </w:r>
          </w:p>
        </w:tc>
        <w:tc>
          <w:tcPr>
            <w:tcW w:w="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NM</w:t>
            </w:r>
          </w:p>
        </w:tc>
      </w:tr>
    </w:tbl>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During 2022, we recorded gains and other income of $33 million related to the strategic decision to dispose of our hotel in Puerto Vallarta, Mexico, $3 million related to receipt of business interruption insurance proceeds, and $1 million related to property insurance proceeds.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and Integration Costs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w w:val="89"/>
              </w:rPr>
              <w:t>Fiscal Years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b w:val="1"/>
                <w:bCs w:val="1"/>
                <w:color w:val="auto"/>
                <w:w w:val="87"/>
              </w:rPr>
              <w:t>Change</w:t>
            </w:r>
          </w:p>
        </w:tc>
        <w:tc>
          <w:tcPr>
            <w:tcW w:w="620" w:type="dxa"/>
            <w:vAlign w:val="bottom"/>
            <w:tcBorders>
              <w:bottom w:val="single" w:sz="8" w:color="auto"/>
            </w:tcBorders>
          </w:tcPr>
          <w:p>
            <w:pPr>
              <w:spacing w:after="0"/>
              <w:rPr>
                <w:sz w:val="16"/>
                <w:szCs w:val="16"/>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263"/>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2"/>
              </w:rPr>
              <w:t>(62%)</w:t>
            </w:r>
          </w:p>
        </w:tc>
      </w:tr>
    </w:tbl>
    <w:p>
      <w:pPr>
        <w:spacing w:after="0" w:line="174"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In 2022, we incurred $2 million of transaction costs associated with our capital efficient inventory arrangement in Waikiki and $1 million for costs incurred to identify required upgrades of acquired properties to meet brand standards.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60"/>
          </w:cols>
          <w:pgMar w:left="320" w:top="1218" w:right="4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EXCHANGE &amp; THIRD-PARTY MANAGEMENT</w:t>
      </w:r>
    </w:p>
    <w:p>
      <w:pPr>
        <w:spacing w:after="0" w:line="107" w:lineRule="exact"/>
        <w:rPr>
          <w:sz w:val="20"/>
          <w:szCs w:val="20"/>
          <w:color w:val="auto"/>
        </w:rPr>
      </w:pPr>
    </w:p>
    <w:p>
      <w:pPr>
        <w:jc w:val="both"/>
        <w:ind w:right="160"/>
        <w:spacing w:after="0" w:line="304" w:lineRule="auto"/>
        <w:rPr>
          <w:sz w:val="20"/>
          <w:szCs w:val="20"/>
          <w:color w:val="auto"/>
        </w:rPr>
      </w:pPr>
      <w:r>
        <w:rPr>
          <w:rFonts w:ascii="Arial" w:cs="Arial" w:eastAsia="Arial" w:hAnsi="Arial"/>
          <w:sz w:val="15"/>
          <w:szCs w:val="15"/>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our Interval International and Aqua-Aston businesses. Our results include those of VRI Americas for the period prior to its disposition in the second quarter of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5"/>
          </w:tcPr>
          <w:p>
            <w:pPr>
              <w:jc w:val="right"/>
              <w:ind w:right="137"/>
              <w:spacing w:after="0"/>
              <w:rPr>
                <w:sz w:val="20"/>
                <w:szCs w:val="20"/>
                <w:color w:val="auto"/>
              </w:rPr>
            </w:pPr>
            <w:r>
              <w:rPr>
                <w:rFonts w:ascii="Arial" w:cs="Arial" w:eastAsia="Arial" w:hAnsi="Arial"/>
                <w:sz w:val="15"/>
                <w:szCs w:val="15"/>
                <w:b w:val="1"/>
                <w:bCs w:val="1"/>
                <w:color w:val="auto"/>
                <w:w w:val="89"/>
              </w:rPr>
              <w:t>Fiscal Years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00" w:type="dxa"/>
            <w:vAlign w:val="bottom"/>
          </w:tcPr>
          <w:p>
            <w:pPr>
              <w:ind w:left="20"/>
              <w:spacing w:after="0"/>
              <w:rPr>
                <w:sz w:val="20"/>
                <w:szCs w:val="20"/>
                <w:color w:val="auto"/>
              </w:rPr>
            </w:pPr>
            <w:r>
              <w:rPr>
                <w:rFonts w:ascii="Arial" w:cs="Arial" w:eastAsia="Arial" w:hAnsi="Arial"/>
                <w:sz w:val="13"/>
                <w:szCs w:val="13"/>
                <w:i w:val="1"/>
                <w:iCs w:val="1"/>
                <w:color w:val="auto"/>
              </w:rPr>
              <w:t>($ 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right"/>
              <w:ind w:right="45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3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00" w:type="dxa"/>
            <w:vAlign w:val="bottom"/>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w w:val="98"/>
              </w:rPr>
              <w:t>233</w:t>
            </w:r>
          </w:p>
        </w:tc>
        <w:tc>
          <w:tcPr>
            <w:tcW w:w="660" w:type="dxa"/>
            <w:vAlign w:val="bottom"/>
            <w:gridSpan w:val="3"/>
          </w:tcPr>
          <w:p>
            <w:pPr>
              <w:jc w:val="right"/>
              <w:ind w:right="28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49"/>
        </w:trPr>
        <w:tc>
          <w:tcPr>
            <w:tcW w:w="3600" w:type="dxa"/>
            <w:vAlign w:val="bottom"/>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42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320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00" w:type="dxa"/>
            <w:vAlign w:val="bottom"/>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w w:val="98"/>
              </w:rPr>
              <w:t>131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9"/>
        </w:trPr>
        <w:tc>
          <w:tcPr>
            <w:tcW w:w="3600" w:type="dxa"/>
            <w:vAlign w:val="bottom"/>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49"/>
        </w:trPr>
        <w:tc>
          <w:tcPr>
            <w:tcW w:w="3600" w:type="dxa"/>
            <w:vAlign w:val="bottom"/>
          </w:tcPr>
          <w:p>
            <w:pPr>
              <w:ind w:left="200"/>
              <w:spacing w:after="0"/>
              <w:rPr>
                <w:sz w:val="20"/>
                <w:szCs w:val="20"/>
                <w:color w:val="auto"/>
              </w:rPr>
            </w:pPr>
            <w:r>
              <w:rPr>
                <w:rFonts w:ascii="Arial" w:cs="Arial" w:eastAsia="Arial" w:hAnsi="Arial"/>
                <w:sz w:val="17"/>
                <w:szCs w:val="17"/>
                <w:color w:val="auto"/>
              </w:rPr>
              <w:t>Restructuring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Impairment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8"/>
              </w:rPr>
              <w:t>227</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w w:val="94"/>
              </w:rPr>
              <w:t>Gains (losses) and other income (expense), net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42"/>
        </w:trPr>
        <w:tc>
          <w:tcPr>
            <w:tcW w:w="404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SEGMENT FINANCIAL RESULTS ATTRIBUTABLE</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660" w:type="dxa"/>
            <w:vAlign w:val="bottom"/>
            <w:gridSpan w:val="3"/>
            <w:vMerge w:val="restart"/>
            <w:shd w:val="clear" w:color="auto" w:fill="CCEEFF"/>
          </w:tcPr>
          <w:p>
            <w:pPr>
              <w:jc w:val="right"/>
              <w:ind w:right="28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 COMMON SHAREHOLDERS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Management and Exchange Profit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w w:val="89"/>
              </w:rPr>
              <w:t>Fiscal Years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297"/>
              <w:spacing w:after="0"/>
              <w:rPr>
                <w:sz w:val="20"/>
                <w:szCs w:val="20"/>
                <w:color w:val="auto"/>
              </w:rPr>
            </w:pPr>
            <w:r>
              <w:rPr>
                <w:rFonts w:ascii="Arial" w:cs="Arial" w:eastAsia="Arial" w:hAnsi="Arial"/>
                <w:sz w:val="15"/>
                <w:szCs w:val="15"/>
                <w:b w:val="1"/>
                <w:bCs w:val="1"/>
                <w:color w:val="auto"/>
                <w:w w:val="89"/>
              </w:rPr>
              <w:t>2022 vs. 2021</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left="165"/>
              <w:spacing w:after="0"/>
              <w:rPr>
                <w:sz w:val="20"/>
                <w:szCs w:val="20"/>
                <w:color w:val="auto"/>
              </w:rPr>
            </w:pPr>
            <w:r>
              <w:rPr>
                <w:rFonts w:ascii="Arial" w:cs="Arial" w:eastAsia="Arial" w:hAnsi="Arial"/>
                <w:sz w:val="15"/>
                <w:szCs w:val="15"/>
                <w:b w:val="1"/>
                <w:bCs w:val="1"/>
                <w:color w:val="auto"/>
                <w:w w:val="90"/>
              </w:rPr>
              <w:t>Change</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exchange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center"/>
              <w:ind w:left="219"/>
              <w:spacing w:after="0"/>
              <w:rPr>
                <w:sz w:val="20"/>
                <w:szCs w:val="20"/>
                <w:color w:val="auto"/>
              </w:rPr>
            </w:pPr>
            <w:r>
              <w:rPr>
                <w:rFonts w:ascii="Arial" w:cs="Arial" w:eastAsia="Arial" w:hAnsi="Arial"/>
                <w:sz w:val="17"/>
                <w:szCs w:val="17"/>
                <w:color w:val="auto"/>
                <w:w w:val="91"/>
              </w:rPr>
              <w:t>226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center"/>
              <w:ind w:left="218"/>
              <w:spacing w:after="0"/>
              <w:rPr>
                <w:sz w:val="20"/>
                <w:szCs w:val="20"/>
                <w:color w:val="auto"/>
              </w:rPr>
            </w:pPr>
            <w:r>
              <w:rPr>
                <w:rFonts w:ascii="Arial" w:cs="Arial" w:eastAsia="Arial" w:hAnsi="Arial"/>
                <w:sz w:val="17"/>
                <w:szCs w:val="17"/>
                <w:color w:val="auto"/>
                <w:w w:val="84"/>
              </w:rPr>
              <w:t>233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Management and exchange expense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7"/>
                <w:szCs w:val="17"/>
                <w:color w:val="auto"/>
                <w:w w:val="90"/>
              </w:rPr>
              <w:t>(120)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7"/>
                <w:szCs w:val="17"/>
                <w:color w:val="auto"/>
                <w:w w:val="90"/>
              </w:rPr>
              <w:t>(131)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(122)</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7"/>
                <w:szCs w:val="17"/>
                <w:color w:val="auto"/>
              </w:rPr>
              <w:t>11</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right"/>
              <w:ind w:right="197"/>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Management and exchange profit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7"/>
                <w:szCs w:val="17"/>
                <w:color w:val="auto"/>
                <w:w w:val="91"/>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shd w:val="clear" w:color="auto" w:fill="CCEEFF"/>
          </w:tcPr>
          <w:p>
            <w:pPr>
              <w:jc w:val="center"/>
              <w:ind w:left="218"/>
              <w:spacing w:after="0"/>
              <w:rPr>
                <w:sz w:val="20"/>
                <w:szCs w:val="20"/>
                <w:color w:val="auto"/>
              </w:rPr>
            </w:pPr>
            <w:r>
              <w:rPr>
                <w:rFonts w:ascii="Arial" w:cs="Arial" w:eastAsia="Arial" w:hAnsi="Arial"/>
                <w:sz w:val="17"/>
                <w:szCs w:val="17"/>
                <w:color w:val="auto"/>
                <w:w w:val="84"/>
              </w:rPr>
              <w:t>102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7"/>
                <w:szCs w:val="17"/>
                <w:color w:val="auto"/>
              </w:rPr>
              <w:t>4</w:t>
            </w: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7"/>
                <w:szCs w:val="17"/>
                <w:color w:val="auto"/>
              </w:rPr>
              <w:t>Management and exchange profit margin</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4"/>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0" w:type="dxa"/>
            <w:vAlign w:val="bottom"/>
            <w:tcBorders>
              <w:top w:val="single" w:sz="8" w:color="CCEE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220"/>
              <w:spacing w:after="0" w:line="181" w:lineRule="exact"/>
              <w:rPr>
                <w:sz w:val="20"/>
                <w:szCs w:val="20"/>
                <w:color w:val="auto"/>
              </w:rPr>
            </w:pPr>
            <w:r>
              <w:rPr>
                <w:rFonts w:ascii="Arial" w:cs="Arial" w:eastAsia="Arial" w:hAnsi="Arial"/>
                <w:sz w:val="17"/>
                <w:szCs w:val="17"/>
                <w:color w:val="auto"/>
                <w:w w:val="99"/>
              </w:rPr>
              <w:t>47.0%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7"/>
                <w:szCs w:val="17"/>
                <w:color w:val="auto"/>
                <w:w w:val="99"/>
              </w:rPr>
              <w:t>43.8%</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80"/>
              <w:spacing w:after="0" w:line="181" w:lineRule="exact"/>
              <w:rPr>
                <w:sz w:val="20"/>
                <w:szCs w:val="20"/>
                <w:color w:val="auto"/>
              </w:rPr>
            </w:pPr>
            <w:r>
              <w:rPr>
                <w:rFonts w:ascii="Arial" w:cs="Arial" w:eastAsia="Arial" w:hAnsi="Arial"/>
                <w:sz w:val="17"/>
                <w:szCs w:val="17"/>
                <w:color w:val="auto"/>
              </w:rPr>
              <w:t>41.6%</w:t>
            </w: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ind w:right="125"/>
              <w:spacing w:after="0" w:line="181" w:lineRule="exact"/>
              <w:rPr>
                <w:sz w:val="20"/>
                <w:szCs w:val="20"/>
                <w:color w:val="auto"/>
              </w:rPr>
            </w:pPr>
            <w:r>
              <w:rPr>
                <w:rFonts w:ascii="Arial" w:cs="Arial" w:eastAsia="Arial" w:hAnsi="Arial"/>
                <w:sz w:val="17"/>
                <w:szCs w:val="17"/>
                <w:color w:val="auto"/>
                <w:w w:val="86"/>
              </w:rPr>
              <w:t>3.2 pts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3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8"/>
              </w:rPr>
              <w:t>Fiscal Years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357"/>
              <w:spacing w:after="0"/>
              <w:rPr>
                <w:sz w:val="20"/>
                <w:szCs w:val="20"/>
                <w:color w:val="auto"/>
              </w:rPr>
            </w:pPr>
            <w:r>
              <w:rPr>
                <w:rFonts w:ascii="Arial" w:cs="Arial" w:eastAsia="Arial" w:hAnsi="Arial"/>
                <w:sz w:val="15"/>
                <w:szCs w:val="15"/>
                <w:b w:val="1"/>
                <w:bCs w:val="1"/>
                <w:color w:val="auto"/>
                <w:w w:val="87"/>
              </w:rPr>
              <w:t>2022 vs. 2021</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8"/>
              <w:spacing w:after="0"/>
              <w:rPr>
                <w:sz w:val="20"/>
                <w:szCs w:val="20"/>
                <w:color w:val="auto"/>
              </w:rPr>
            </w:pPr>
            <w:r>
              <w:rPr>
                <w:rFonts w:ascii="Arial" w:cs="Arial" w:eastAsia="Arial" w:hAnsi="Arial"/>
                <w:sz w:val="15"/>
                <w:szCs w:val="15"/>
                <w:b w:val="1"/>
                <w:bCs w:val="1"/>
                <w:color w:val="auto"/>
                <w:w w:val="95"/>
              </w:rPr>
              <w:t>2021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2020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left="125"/>
              <w:spacing w:after="0"/>
              <w:rPr>
                <w:sz w:val="20"/>
                <w:szCs w:val="20"/>
                <w:color w:val="auto"/>
              </w:rPr>
            </w:pPr>
            <w:r>
              <w:rPr>
                <w:rFonts w:ascii="Arial" w:cs="Arial" w:eastAsia="Arial" w:hAnsi="Arial"/>
                <w:sz w:val="15"/>
                <w:szCs w:val="15"/>
                <w:b w:val="1"/>
                <w:bCs w:val="1"/>
                <w:color w:val="auto"/>
                <w:w w:val="90"/>
              </w:rPr>
              <w:t>Change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active members at end of period (000's)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5"/>
              <w:spacing w:after="0"/>
              <w:rPr>
                <w:sz w:val="20"/>
                <w:szCs w:val="20"/>
                <w:color w:val="auto"/>
              </w:rPr>
            </w:pPr>
            <w:r>
              <w:rPr>
                <w:rFonts w:ascii="Arial" w:cs="Arial" w:eastAsia="Arial" w:hAnsi="Arial"/>
                <w:sz w:val="17"/>
                <w:szCs w:val="17"/>
                <w:color w:val="auto"/>
              </w:rPr>
              <w:t>270</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7"/>
                <w:szCs w:val="17"/>
                <w:color w:val="auto"/>
              </w:rPr>
              <w:t>Average revenue per member</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157.97</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179.48</w:t>
            </w:r>
          </w:p>
        </w:tc>
        <w:tc>
          <w:tcPr>
            <w:tcW w:w="120" w:type="dxa"/>
            <w:vAlign w:val="bottom"/>
          </w:tcPr>
          <w:p>
            <w:pPr>
              <w:spacing w:after="0"/>
              <w:rPr>
                <w:sz w:val="20"/>
                <w:szCs w:val="20"/>
                <w:color w:val="auto"/>
              </w:rPr>
            </w:pPr>
          </w:p>
        </w:tc>
        <w:tc>
          <w:tcPr>
            <w:tcW w:w="260" w:type="dxa"/>
            <w:vAlign w:val="bottom"/>
            <w:gridSpan w:val="3"/>
          </w:tcPr>
          <w:p>
            <w:pPr>
              <w:jc w:val="right"/>
              <w:ind w:right="17"/>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144.97</w:t>
            </w:r>
          </w:p>
        </w:tc>
        <w:tc>
          <w:tcPr>
            <w:tcW w:w="60" w:type="dxa"/>
            <w:vAlign w:val="bottom"/>
          </w:tcPr>
          <w:p>
            <w:pPr>
              <w:spacing w:after="0"/>
              <w:rPr>
                <w:sz w:val="20"/>
                <w:szCs w:val="20"/>
                <w:color w:val="auto"/>
              </w:rPr>
            </w:pPr>
          </w:p>
        </w:tc>
        <w:tc>
          <w:tcPr>
            <w:tcW w:w="30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(21.51)</w:t>
            </w:r>
          </w:p>
        </w:tc>
        <w:tc>
          <w:tcPr>
            <w:tcW w:w="280" w:type="dxa"/>
            <w:vAlign w:val="bottom"/>
          </w:tcPr>
          <w:p>
            <w:pPr>
              <w:spacing w:after="0"/>
              <w:rPr>
                <w:sz w:val="20"/>
                <w:szCs w:val="20"/>
                <w:color w:val="auto"/>
              </w:rPr>
            </w:pPr>
          </w:p>
        </w:tc>
        <w:tc>
          <w:tcPr>
            <w:tcW w:w="620" w:type="dxa"/>
            <w:vAlign w:val="bottom"/>
          </w:tcPr>
          <w:p>
            <w:pPr>
              <w:jc w:val="right"/>
              <w:ind w:right="97"/>
              <w:spacing w:after="0"/>
              <w:rPr>
                <w:sz w:val="20"/>
                <w:szCs w:val="20"/>
                <w:color w:val="auto"/>
              </w:rPr>
            </w:pPr>
            <w:r>
              <w:rPr>
                <w:rFonts w:ascii="Arial" w:cs="Arial" w:eastAsia="Arial" w:hAnsi="Arial"/>
                <w:sz w:val="17"/>
                <w:szCs w:val="17"/>
                <w:color w:val="auto"/>
                <w:w w:val="92"/>
              </w:rPr>
              <w:t>(12%)</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decrease in management and exchange revenue reflects $18 million of lower revenue due to the disposition of our VRI Americas business during the second quarter of 2022, partially offset by $10 million and $1 million of higher management fees and ancillary revenues, respectively, at Aqua-Aston managed properties due to the continued ramp-up of business in Hawaii subsequent to the initial impact of the COVID-19 pandemic.</w:t>
      </w:r>
    </w:p>
    <w:p>
      <w:pPr>
        <w:spacing w:after="0" w:line="76" w:lineRule="exact"/>
        <w:rPr>
          <w:sz w:val="20"/>
          <w:szCs w:val="20"/>
          <w:color w:val="auto"/>
        </w:rPr>
      </w:pPr>
    </w:p>
    <w:p>
      <w:pPr>
        <w:jc w:val="both"/>
        <w:ind w:right="80"/>
        <w:spacing w:after="0" w:line="304" w:lineRule="auto"/>
        <w:rPr>
          <w:sz w:val="20"/>
          <w:szCs w:val="20"/>
          <w:color w:val="auto"/>
        </w:rPr>
      </w:pPr>
      <w:r>
        <w:rPr>
          <w:rFonts w:ascii="Arial" w:cs="Arial" w:eastAsia="Arial" w:hAnsi="Arial"/>
          <w:sz w:val="15"/>
          <w:szCs w:val="15"/>
          <w:color w:val="auto"/>
        </w:rPr>
        <w:t>For Interval International, revenue was in line with the prior year period while average revenue per member decreased 12% over the prior year comparable period. This decline was due, in part, to recently added affiliations, for which we expect exchange activity to ramp up over time and lower inventory levels in the first half of 2022. The increase in management and exchange profit primarily reflected $10 million of higher profit at Aqua-Aston, partially offset by $6 million of lower profit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218" w:right="379" w:bottom="1440" w:gutter="0" w:footer="0" w:header="0"/>
        </w:sectPr>
      </w:pPr>
    </w:p>
    <w:bookmarkStart w:id="57" w:name="page58"/>
    <w:bookmarkEnd w:id="57"/>
    <w:p>
      <w:pPr>
        <w:ind w:right="80"/>
        <w:spacing w:after="0" w:line="264" w:lineRule="auto"/>
        <w:rPr>
          <w:sz w:val="20"/>
          <w:szCs w:val="20"/>
          <w:color w:val="auto"/>
        </w:rPr>
      </w:pPr>
      <w:r>
        <w:rPr>
          <w:rFonts w:ascii="Arial" w:cs="Arial" w:eastAsia="Arial" w:hAnsi="Arial"/>
          <w:sz w:val="17"/>
          <w:szCs w:val="17"/>
          <w:color w:val="auto"/>
        </w:rPr>
        <w:t>due to the disposition of our VRI Americas business during the second quarter of 2022. Management and exchange profit and profit margin excluding the impact of the disposition of VRI Americas would have increased by $10 million and 11%, respectively, during 2022.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 Expenses and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9"/>
              </w:rPr>
              <w:t>2022 vs. 2021</w:t>
            </w:r>
          </w:p>
        </w:tc>
      </w:tr>
      <w:tr>
        <w:trPr>
          <w:trHeight w:val="19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w w:val="90"/>
              </w:rPr>
              <w:t>Change</w:t>
            </w:r>
          </w:p>
        </w:tc>
        <w:tc>
          <w:tcPr>
            <w:tcW w:w="560" w:type="dxa"/>
            <w:vAlign w:val="bottom"/>
            <w:tcBorders>
              <w:bottom w:val="single" w:sz="8" w:color="auto"/>
            </w:tcBorders>
          </w:tcPr>
          <w:p>
            <w:pPr>
              <w:spacing w:after="0"/>
              <w:rPr>
                <w:sz w:val="16"/>
                <w:szCs w:val="16"/>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343"/>
              <w:spacing w:after="0"/>
              <w:rPr>
                <w:sz w:val="20"/>
                <w:szCs w:val="20"/>
                <w:color w:val="auto"/>
              </w:rPr>
            </w:pPr>
            <w:r>
              <w:rPr>
                <w:rFonts w:ascii="Arial" w:cs="Arial" w:eastAsia="Arial" w:hAnsi="Arial"/>
                <w:sz w:val="17"/>
                <w:szCs w:val="17"/>
                <w:color w:val="auto"/>
              </w:rPr>
              <w:t>2</w:t>
            </w:r>
          </w:p>
        </w:tc>
        <w:tc>
          <w:tcPr>
            <w:tcW w:w="5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Results reflect a $1 million increase in gross Getaways revenues, driven by an 8% increase in the average Getaways fee, partially offset by a 6% decline in transactions and a $1 million increase in revenue from other rental operations. Rental inventory procurement costs, which are recorded net within Rental revenues, were in line with the prior year. The decline in Getaways transactions reflects fewer owner deposits in 2022 as more members chose to occupy their home resorts rather than exchange for usage through Interval International, which put pressure on the inventory available for Getaways.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Depreciation and Amortization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5"/>
                <w:szCs w:val="15"/>
                <w:b w:val="1"/>
                <w:bCs w:val="1"/>
                <w:color w:val="auto"/>
                <w:w w:val="86"/>
              </w:rPr>
              <w:t>Fiscal Years</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b w:val="1"/>
                <w:bCs w:val="1"/>
                <w:color w:val="auto"/>
                <w:w w:val="87"/>
              </w:rPr>
              <w:t>Change</w:t>
            </w:r>
          </w:p>
        </w:tc>
        <w:tc>
          <w:tcPr>
            <w:tcW w:w="620" w:type="dxa"/>
            <w:vAlign w:val="bottom"/>
            <w:tcBorders>
              <w:bottom w:val="single" w:sz="8" w:color="auto"/>
            </w:tcBorders>
          </w:tcPr>
          <w:p>
            <w:pPr>
              <w:spacing w:after="0"/>
              <w:rPr>
                <w:sz w:val="16"/>
                <w:szCs w:val="16"/>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263"/>
              <w:spacing w:after="0"/>
              <w:rPr>
                <w:sz w:val="20"/>
                <w:szCs w:val="20"/>
                <w:color w:val="auto"/>
              </w:rPr>
            </w:pPr>
            <w:r>
              <w:rPr>
                <w:rFonts w:ascii="Arial" w:cs="Arial" w:eastAsia="Arial" w:hAnsi="Arial"/>
                <w:sz w:val="17"/>
                <w:szCs w:val="17"/>
                <w:color w:val="auto"/>
              </w:rPr>
              <w:t>(17)</w:t>
            </w:r>
          </w:p>
        </w:tc>
        <w:tc>
          <w:tcPr>
            <w:tcW w:w="6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2"/>
              </w:rPr>
              <w:t>(36%)</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decrease in depreciation and amortization expense in 2022 relates to a true-up made to accelerate depreciation on a technology asset in 2021 of $12 million.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Losses and Other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Fiscal Years</w:t>
            </w: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9"/>
              </w:rPr>
              <w:t>2022 vs. 2021</w:t>
            </w:r>
          </w:p>
        </w:tc>
      </w:tr>
      <w:tr>
        <w:trPr>
          <w:trHeight w:val="192"/>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223"/>
              <w:spacing w:after="0"/>
              <w:rPr>
                <w:sz w:val="20"/>
                <w:szCs w:val="20"/>
                <w:color w:val="auto"/>
              </w:rPr>
            </w:pPr>
            <w:r>
              <w:rPr>
                <w:rFonts w:ascii="Arial" w:cs="Arial" w:eastAsia="Arial" w:hAnsi="Arial"/>
                <w:sz w:val="15"/>
                <w:szCs w:val="15"/>
                <w:b w:val="1"/>
                <w:bCs w:val="1"/>
                <w:color w:val="auto"/>
                <w:w w:val="90"/>
              </w:rPr>
              <w:t>Change</w:t>
            </w:r>
          </w:p>
        </w:tc>
        <w:tc>
          <w:tcPr>
            <w:tcW w:w="580" w:type="dxa"/>
            <w:vAlign w:val="bottom"/>
            <w:tcBorders>
              <w:bottom w:val="single" w:sz="8" w:color="auto"/>
            </w:tcBorders>
          </w:tcPr>
          <w:p>
            <w:pPr>
              <w:spacing w:after="0"/>
              <w:rPr>
                <w:sz w:val="16"/>
                <w:szCs w:val="16"/>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(losses) and other income (expense), net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23"/>
              <w:spacing w:after="0"/>
              <w:rPr>
                <w:sz w:val="20"/>
                <w:szCs w:val="20"/>
                <w:color w:val="auto"/>
              </w:rPr>
            </w:pPr>
            <w:r>
              <w:rPr>
                <w:rFonts w:ascii="Arial" w:cs="Arial" w:eastAsia="Arial" w:hAnsi="Arial"/>
                <w:sz w:val="17"/>
                <w:szCs w:val="17"/>
                <w:color w:val="auto"/>
              </w:rPr>
              <w:t>15</w:t>
            </w:r>
          </w:p>
        </w:tc>
        <w:tc>
          <w:tcPr>
            <w:tcW w:w="5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NM</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580"/>
        <w:spacing w:after="0" w:line="264" w:lineRule="auto"/>
        <w:rPr>
          <w:sz w:val="20"/>
          <w:szCs w:val="20"/>
          <w:color w:val="auto"/>
        </w:rPr>
      </w:pPr>
      <w:r>
        <w:rPr>
          <w:rFonts w:ascii="Arial" w:cs="Arial" w:eastAsia="Arial" w:hAnsi="Arial"/>
          <w:sz w:val="17"/>
          <w:szCs w:val="17"/>
          <w:color w:val="auto"/>
        </w:rPr>
        <w:t>During 2022, we recorded a $17 million gain related to the sale of our VRI Americas business, partially offset by $2 million of foreign currency translation. See Footnote 3 “Acquisitions and Dispositions” for more information on the disposition of VRI Americas.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2" w:right="37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CORPORATE AND OTHER</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the Consolidated Property Owners’ Associations.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Fiscal Years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tcPr>
          <w:p>
            <w:pPr>
              <w:ind w:left="200"/>
              <w:spacing w:after="0"/>
              <w:rPr>
                <w:sz w:val="20"/>
                <w:szCs w:val="20"/>
                <w:color w:val="auto"/>
              </w:rPr>
            </w:pPr>
            <w:r>
              <w:rPr>
                <w:rFonts w:ascii="Arial" w:cs="Arial" w:eastAsia="Arial" w:hAnsi="Arial"/>
                <w:sz w:val="17"/>
                <w:szCs w:val="17"/>
                <w:color w:val="auto"/>
              </w:rPr>
              <w:t>Resort management and other services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1"/>
                <w:szCs w:val="21"/>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21"/>
                <w:szCs w:val="21"/>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420"/>
              <w:spacing w:after="0"/>
              <w:rPr>
                <w:sz w:val="20"/>
                <w:szCs w:val="20"/>
                <w:color w:val="auto"/>
              </w:rPr>
            </w:pPr>
            <w:r>
              <w:rPr>
                <w:rFonts w:ascii="Arial" w:cs="Arial" w:eastAsia="Arial" w:hAnsi="Arial"/>
                <w:sz w:val="17"/>
                <w:szCs w:val="17"/>
                <w:b w:val="1"/>
                <w:bCs w:val="1"/>
                <w:color w:val="auto"/>
              </w:rPr>
              <w:t>TOTAL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40" w:type="dxa"/>
            <w:vAlign w:val="bottom"/>
          </w:tcPr>
          <w:p>
            <w:pPr>
              <w:ind w:left="200"/>
              <w:spacing w:after="0"/>
              <w:rPr>
                <w:sz w:val="20"/>
                <w:szCs w:val="20"/>
                <w:color w:val="auto"/>
              </w:rPr>
            </w:pPr>
            <w:r>
              <w:rPr>
                <w:rFonts w:ascii="Arial" w:cs="Arial" w:eastAsia="Arial" w:hAnsi="Arial"/>
                <w:sz w:val="17"/>
                <w:szCs w:val="17"/>
                <w:color w:val="auto"/>
              </w:rPr>
              <w:t>Resort management and other services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Rental</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49"/>
        </w:trPr>
        <w:tc>
          <w:tcPr>
            <w:tcW w:w="404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49"/>
        </w:trPr>
        <w:tc>
          <w:tcPr>
            <w:tcW w:w="4040" w:type="dxa"/>
            <w:vAlign w:val="bottom"/>
          </w:tcPr>
          <w:p>
            <w:pPr>
              <w:ind w:left="200"/>
              <w:spacing w:after="0"/>
              <w:rPr>
                <w:sz w:val="20"/>
                <w:szCs w:val="20"/>
                <w:color w:val="auto"/>
              </w:rPr>
            </w:pPr>
            <w:r>
              <w:rPr>
                <w:rFonts w:ascii="Arial" w:cs="Arial" w:eastAsia="Arial" w:hAnsi="Arial"/>
                <w:sz w:val="17"/>
                <w:szCs w:val="17"/>
                <w:color w:val="auto"/>
              </w:rPr>
              <w:t>Litigation charges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Restructuring</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49"/>
        </w:trPr>
        <w:tc>
          <w:tcPr>
            <w:tcW w:w="4040" w:type="dxa"/>
            <w:vAlign w:val="bottom"/>
          </w:tcPr>
          <w:p>
            <w:pPr>
              <w:ind w:left="200"/>
              <w:spacing w:after="0"/>
              <w:rPr>
                <w:sz w:val="20"/>
                <w:szCs w:val="20"/>
                <w:color w:val="auto"/>
              </w:rPr>
            </w:pPr>
            <w:r>
              <w:rPr>
                <w:rFonts w:ascii="Arial" w:cs="Arial" w:eastAsia="Arial" w:hAnsi="Arial"/>
                <w:sz w:val="17"/>
                <w:szCs w:val="17"/>
                <w:color w:val="auto"/>
              </w:rPr>
              <w:t>Impairment</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420"/>
              <w:spacing w:after="0"/>
              <w:rPr>
                <w:sz w:val="20"/>
                <w:szCs w:val="20"/>
                <w:color w:val="auto"/>
              </w:rPr>
            </w:pPr>
            <w:r>
              <w:rPr>
                <w:rFonts w:ascii="Arial" w:cs="Arial" w:eastAsia="Arial" w:hAnsi="Arial"/>
                <w:sz w:val="17"/>
                <w:szCs w:val="17"/>
                <w:b w:val="1"/>
                <w:bCs w:val="1"/>
                <w:color w:val="auto"/>
              </w:rPr>
              <w:t>TOTAL EXPENSES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Losses and other expense,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6"/>
        </w:trPr>
        <w:tc>
          <w:tcPr>
            <w:tcW w:w="4040" w:type="dxa"/>
            <w:vAlign w:val="bottom"/>
          </w:tcPr>
          <w:p>
            <w:pPr>
              <w:ind w:left="20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Transaction and integration costs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42"/>
        </w:trPr>
        <w:tc>
          <w:tcPr>
            <w:tcW w:w="40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FINANCIAL RESULTS BEFORE INCOME TAXES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7"/>
                <w:szCs w:val="17"/>
                <w:b w:val="1"/>
                <w:bCs w:val="1"/>
                <w:color w:val="auto"/>
              </w:rPr>
              <w:t>AND NONCONTROLLING INTERESTS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FINANCIAL RESULTS ATTRIBUTABLE TO</w:t>
            </w:r>
          </w:p>
        </w:tc>
        <w:tc>
          <w:tcPr>
            <w:tcW w:w="320" w:type="dxa"/>
            <w:vAlign w:val="bottom"/>
            <w:tcBorders>
              <w:top w:val="single" w:sz="8" w:color="auto"/>
            </w:tcBorders>
            <w:vMerge w:val="restart"/>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860"/>
          </w:cols>
          <w:pgMar w:left="320" w:top="1218" w:right="71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Consolidated Property Owners’ Associations</w:t>
      </w:r>
    </w:p>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following table illustrates the impact of certain Consolidated Property Owners’ Associations under the relevant accounting guidance, which represents the portion related to third-party VOI owners.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Fiscal Years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0"/>
              <w:spacing w:after="0"/>
              <w:rPr>
                <w:sz w:val="20"/>
                <w:szCs w:val="20"/>
                <w:color w:val="auto"/>
              </w:rPr>
            </w:pPr>
            <w:r>
              <w:rPr>
                <w:rFonts w:ascii="Arial" w:cs="Arial" w:eastAsia="Arial" w:hAnsi="Arial"/>
                <w:sz w:val="17"/>
                <w:szCs w:val="17"/>
                <w:color w:val="auto"/>
              </w:rPr>
              <w:t>Resort management and other services</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20"/>
                <w:szCs w:val="20"/>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152</w:t>
            </w:r>
          </w:p>
        </w:tc>
        <w:tc>
          <w:tcPr>
            <w:tcW w:w="14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420"/>
              <w:spacing w:after="0"/>
              <w:rPr>
                <w:sz w:val="20"/>
                <w:szCs w:val="20"/>
                <w:color w:val="auto"/>
              </w:rPr>
            </w:pPr>
            <w:r>
              <w:rPr>
                <w:rFonts w:ascii="Arial" w:cs="Arial" w:eastAsia="Arial" w:hAnsi="Arial"/>
                <w:sz w:val="17"/>
                <w:szCs w:val="17"/>
                <w:b w:val="1"/>
                <w:bCs w:val="1"/>
                <w:color w:val="auto"/>
              </w:rPr>
              <w:t>TOTAL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0"/>
              <w:spacing w:after="0"/>
              <w:rPr>
                <w:sz w:val="20"/>
                <w:szCs w:val="20"/>
                <w:color w:val="auto"/>
              </w:rPr>
            </w:pPr>
            <w:r>
              <w:rPr>
                <w:rFonts w:ascii="Arial" w:cs="Arial" w:eastAsia="Arial" w:hAnsi="Arial"/>
                <w:sz w:val="17"/>
                <w:szCs w:val="17"/>
                <w:color w:val="auto"/>
              </w:rPr>
              <w:t>Resort management and other services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Rental</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Losses and other expense,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b w:val="1"/>
                <w:bCs w:val="1"/>
                <w:color w:val="auto"/>
              </w:rPr>
              <w:t>FINANCIAL RESULTS BEFORE INCOME TAXES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AND NONCONTROLLING INTERESTS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54"/>
        </w:trPr>
        <w:tc>
          <w:tcPr>
            <w:tcW w:w="4040" w:type="dxa"/>
            <w:vAlign w:val="bottom"/>
          </w:tcPr>
          <w:p>
            <w:pPr>
              <w:ind w:left="20"/>
              <w:spacing w:after="0" w:line="154" w:lineRule="exact"/>
              <w:rPr>
                <w:sz w:val="20"/>
                <w:szCs w:val="20"/>
                <w:color w:val="auto"/>
              </w:rPr>
            </w:pPr>
            <w:r>
              <w:rPr>
                <w:rFonts w:ascii="Arial" w:cs="Arial" w:eastAsia="Arial" w:hAnsi="Arial"/>
                <w:sz w:val="17"/>
                <w:szCs w:val="17"/>
                <w:b w:val="1"/>
                <w:bCs w:val="1"/>
                <w:color w:val="auto"/>
              </w:rPr>
              <w:t>FINANCIAL RESULTS ATTRIBUTABLE TO</w:t>
            </w:r>
          </w:p>
        </w:tc>
        <w:tc>
          <w:tcPr>
            <w:tcW w:w="30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4"/>
        </w:trPr>
        <w:tc>
          <w:tcPr>
            <w:tcW w:w="4040" w:type="dxa"/>
            <w:vAlign w:val="bottom"/>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spacing w:after="0" w:line="369" w:lineRule="auto"/>
        <w:rPr>
          <w:sz w:val="20"/>
          <w:szCs w:val="20"/>
          <w:color w:val="auto"/>
        </w:rPr>
      </w:pPr>
      <w:r>
        <w:rPr>
          <w:rFonts w:ascii="Arial" w:cs="Arial" w:eastAsia="Arial" w:hAnsi="Arial"/>
          <w:sz w:val="13"/>
          <w:szCs w:val="13"/>
          <w:color w:val="auto"/>
        </w:rPr>
        <w:t>Pursuant to a change in control of certain Consolidated Property Owners’ Associations, we no longer consolidate these owners’ associations and we recorded a non-cash loss of $3 million in Gains (losses) and other income (expense), net on our Income Statement for the year ended December 31, 2022. We continue to act as manager for these owners’ associations pursuant to existing management contracts and we retain membership interests in these owners’ associations via our ownership of VOIs.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89"/>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9"/>
              </w:rPr>
              <w:t>2022 vs. 2021</w:t>
            </w:r>
          </w:p>
        </w:tc>
      </w:tr>
      <w:tr>
        <w:trPr>
          <w:trHeight w:val="19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223"/>
              <w:spacing w:after="0"/>
              <w:rPr>
                <w:sz w:val="20"/>
                <w:szCs w:val="20"/>
                <w:color w:val="auto"/>
              </w:rPr>
            </w:pPr>
            <w:r>
              <w:rPr>
                <w:rFonts w:ascii="Arial" w:cs="Arial" w:eastAsia="Arial" w:hAnsi="Arial"/>
                <w:sz w:val="15"/>
                <w:szCs w:val="15"/>
                <w:b w:val="1"/>
                <w:bCs w:val="1"/>
                <w:color w:val="auto"/>
                <w:w w:val="90"/>
              </w:rPr>
              <w:t>Change</w:t>
            </w:r>
          </w:p>
        </w:tc>
        <w:tc>
          <w:tcPr>
            <w:tcW w:w="580" w:type="dxa"/>
            <w:vAlign w:val="bottom"/>
            <w:tcBorders>
              <w:bottom w:val="single" w:sz="8" w:color="auto"/>
            </w:tcBorders>
          </w:tcPr>
          <w:p>
            <w:pPr>
              <w:spacing w:after="0"/>
              <w:rPr>
                <w:sz w:val="16"/>
                <w:szCs w:val="16"/>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23"/>
              <w:spacing w:after="0"/>
              <w:rPr>
                <w:sz w:val="20"/>
                <w:szCs w:val="20"/>
                <w:color w:val="auto"/>
              </w:rPr>
            </w:pPr>
            <w:r>
              <w:rPr>
                <w:rFonts w:ascii="Arial" w:cs="Arial" w:eastAsia="Arial" w:hAnsi="Arial"/>
                <w:sz w:val="17"/>
                <w:szCs w:val="17"/>
                <w:color w:val="auto"/>
              </w:rPr>
              <w:t>22</w:t>
            </w:r>
          </w:p>
        </w:tc>
        <w:tc>
          <w:tcPr>
            <w:tcW w:w="5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93"/>
              </w:rPr>
              <w:t>10%</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During 2022, General and administrative expenses increased $22 million, attributed to transformation initiative spending, including procurement and artificial intelligence capabilities, business travel related expenses and other miscellaneous costs. Compensation related costs remained relatively flat due to an increase in wages and benefits of $14 million, offset by $12 million and $4 million of lower stock compensation expense and bonus expense,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Losses and Other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w w:val="89"/>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9"/>
              </w:rPr>
              <w:t>2022 vs. 2021</w:t>
            </w:r>
          </w:p>
        </w:tc>
      </w:tr>
      <w:tr>
        <w:trPr>
          <w:trHeight w:val="192"/>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223"/>
              <w:spacing w:after="0"/>
              <w:rPr>
                <w:sz w:val="20"/>
                <w:szCs w:val="20"/>
                <w:color w:val="auto"/>
              </w:rPr>
            </w:pPr>
            <w:r>
              <w:rPr>
                <w:rFonts w:ascii="Arial" w:cs="Arial" w:eastAsia="Arial" w:hAnsi="Arial"/>
                <w:sz w:val="15"/>
                <w:szCs w:val="15"/>
                <w:b w:val="1"/>
                <w:bCs w:val="1"/>
                <w:color w:val="auto"/>
                <w:w w:val="90"/>
              </w:rPr>
              <w:t>Change</w:t>
            </w:r>
          </w:p>
        </w:tc>
        <w:tc>
          <w:tcPr>
            <w:tcW w:w="580" w:type="dxa"/>
            <w:vAlign w:val="bottom"/>
            <w:tcBorders>
              <w:bottom w:val="single" w:sz="8" w:color="auto"/>
            </w:tcBorders>
          </w:tcPr>
          <w:p>
            <w:pPr>
              <w:spacing w:after="0"/>
              <w:rPr>
                <w:sz w:val="16"/>
                <w:szCs w:val="16"/>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and other expense, net</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23"/>
              <w:spacing w:after="0"/>
              <w:rPr>
                <w:sz w:val="20"/>
                <w:szCs w:val="20"/>
                <w:color w:val="auto"/>
              </w:rPr>
            </w:pPr>
            <w:r>
              <w:rPr>
                <w:rFonts w:ascii="Arial" w:cs="Arial" w:eastAsia="Arial" w:hAnsi="Arial"/>
                <w:sz w:val="17"/>
                <w:szCs w:val="17"/>
                <w:color w:val="auto"/>
              </w:rPr>
              <w:t>40</w:t>
            </w:r>
          </w:p>
        </w:tc>
        <w:tc>
          <w:tcPr>
            <w:tcW w:w="5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93"/>
              </w:rPr>
              <w:t>76%</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w:t>
      </w:r>
    </w:p>
    <w:p>
      <w:pPr>
        <w:spacing w:after="0" w:line="103"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In 2022, we recorded $8 million of foreign currency translation losses, $3 million of non-cash losses pursuant to a change in control of certain Consolidated Property Owners’ Associations, $3 million of non-income tax related adjustments to the receivable for the indemnification we expect to receive from Marriott International, partially offset by $2 million of proceeds from corporate owned life insurance.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218" w:right="379" w:bottom="1440" w:gutter="0" w:footer="0" w:header="0"/>
        </w:sectPr>
      </w:pPr>
    </w:p>
    <w:bookmarkStart w:id="60" w:name="page61"/>
    <w:bookmarkEnd w:id="60"/>
    <w:p>
      <w:pPr>
        <w:spacing w:after="0"/>
        <w:rPr>
          <w:sz w:val="20"/>
          <w:szCs w:val="20"/>
          <w:color w:val="auto"/>
        </w:rPr>
      </w:pPr>
      <w:r>
        <w:rPr>
          <w:rFonts w:ascii="Arial" w:cs="Arial" w:eastAsia="Arial" w:hAnsi="Arial"/>
          <w:sz w:val="17"/>
          <w:szCs w:val="17"/>
          <w:i w:val="1"/>
          <w:iCs w:val="1"/>
          <w:color w:val="auto"/>
        </w:rPr>
        <w:t>2021</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2021, we recorded $55 million of expense related to the early redemption of senior unsecured notes, and $4 million of non-cash losses pursuant to a change in control of certain Consolidated Property Owners’ Associations, partially offset by $7 million related to a true-up of a Marriott International indemnification receivable upon settlement (the true-up to the offsetting accrual is included in the Provision for income taxes line).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w w:val="91"/>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9"/>
              </w:rPr>
              <w:t>2022 vs. 2021</w:t>
            </w:r>
          </w:p>
        </w:tc>
      </w:tr>
      <w:tr>
        <w:trPr>
          <w:trHeight w:val="19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223"/>
              <w:spacing w:after="0"/>
              <w:rPr>
                <w:sz w:val="20"/>
                <w:szCs w:val="20"/>
                <w:color w:val="auto"/>
              </w:rPr>
            </w:pPr>
            <w:r>
              <w:rPr>
                <w:rFonts w:ascii="Arial" w:cs="Arial" w:eastAsia="Arial" w:hAnsi="Arial"/>
                <w:sz w:val="15"/>
                <w:szCs w:val="15"/>
                <w:b w:val="1"/>
                <w:bCs w:val="1"/>
                <w:color w:val="auto"/>
                <w:w w:val="90"/>
              </w:rPr>
              <w:t>Change</w:t>
            </w:r>
          </w:p>
        </w:tc>
        <w:tc>
          <w:tcPr>
            <w:tcW w:w="580" w:type="dxa"/>
            <w:vAlign w:val="bottom"/>
            <w:tcBorders>
              <w:bottom w:val="single" w:sz="8" w:color="auto"/>
            </w:tcBorders>
          </w:tcPr>
          <w:p>
            <w:pPr>
              <w:spacing w:after="0"/>
              <w:rPr>
                <w:sz w:val="16"/>
                <w:szCs w:val="16"/>
                <w:color w:val="auto"/>
              </w:rPr>
            </w:pPr>
          </w:p>
        </w:tc>
      </w:tr>
      <w:tr>
        <w:trPr>
          <w:trHeight w:val="23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323"/>
              <w:spacing w:after="0"/>
              <w:rPr>
                <w:sz w:val="20"/>
                <w:szCs w:val="20"/>
                <w:color w:val="auto"/>
              </w:rPr>
            </w:pPr>
            <w:r>
              <w:rPr>
                <w:rFonts w:ascii="Arial" w:cs="Arial" w:eastAsia="Arial" w:hAnsi="Arial"/>
                <w:sz w:val="17"/>
                <w:szCs w:val="17"/>
                <w:color w:val="auto"/>
              </w:rPr>
              <w:t>46</w:t>
            </w:r>
          </w:p>
        </w:tc>
        <w:tc>
          <w:tcPr>
            <w:tcW w:w="5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93"/>
              </w:rPr>
              <w:t>28%</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The decrease in interest expense is attributable to redemption of higher coupon debt in 2021, which was refinanced at lower rates, and the adoption in 2022 of new accounting guidance related to convertible debt (see Footnote 2 “Summary of Significant Accounting Policies” to our Financial Statements). The decrease in interest expense was partially offset by increases in borrowings under our revolving credit facilities.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and Integration Costs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5"/>
                <w:szCs w:val="15"/>
                <w:b w:val="1"/>
                <w:bCs w:val="1"/>
                <w:color w:val="auto"/>
                <w:w w:val="87"/>
              </w:rPr>
              <w:t>2022 vs. 2021</w:t>
            </w:r>
          </w:p>
        </w:tc>
      </w:tr>
      <w:tr>
        <w:trPr>
          <w:trHeight w:val="19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b w:val="1"/>
                <w:bCs w:val="1"/>
                <w:color w:val="auto"/>
                <w:w w:val="87"/>
              </w:rPr>
              <w:t>Change</w:t>
            </w:r>
          </w:p>
        </w:tc>
        <w:tc>
          <w:tcPr>
            <w:tcW w:w="620" w:type="dxa"/>
            <w:vAlign w:val="bottom"/>
            <w:tcBorders>
              <w:bottom w:val="single" w:sz="8" w:color="auto"/>
            </w:tcBorders>
          </w:tcPr>
          <w:p>
            <w:pPr>
              <w:spacing w:after="0"/>
              <w:rPr>
                <w:sz w:val="16"/>
                <w:szCs w:val="16"/>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243"/>
              <w:spacing w:after="0"/>
              <w:rPr>
                <w:sz w:val="20"/>
                <w:szCs w:val="20"/>
                <w:color w:val="auto"/>
              </w:rPr>
            </w:pPr>
            <w:r>
              <w:rPr>
                <w:rFonts w:ascii="Arial" w:cs="Arial" w:eastAsia="Arial" w:hAnsi="Arial"/>
                <w:sz w:val="17"/>
                <w:szCs w:val="17"/>
                <w:color w:val="auto"/>
              </w:rPr>
              <w:t>(14)</w:t>
            </w:r>
          </w:p>
        </w:tc>
        <w:tc>
          <w:tcPr>
            <w:tcW w:w="6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2"/>
              </w:rPr>
              <w:t>(13%)</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ind w:right="600"/>
        <w:spacing w:after="0" w:line="264" w:lineRule="auto"/>
        <w:rPr>
          <w:sz w:val="20"/>
          <w:szCs w:val="20"/>
          <w:color w:val="auto"/>
        </w:rPr>
      </w:pPr>
      <w:r>
        <w:rPr>
          <w:rFonts w:ascii="Arial" w:cs="Arial" w:eastAsia="Arial" w:hAnsi="Arial"/>
          <w:sz w:val="17"/>
          <w:szCs w:val="17"/>
          <w:color w:val="auto"/>
        </w:rPr>
        <w:t>During 2022, Transaction and integration costs included $82 million of ILG integration-related costs, $16 million of other integration costs, $14 million of Welk Acquisition and integration-related costs, and $10 million of other transaction and integration-related costs.</w:t>
      </w:r>
    </w:p>
    <w:p>
      <w:pPr>
        <w:spacing w:after="0" w:line="6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During 2021, Transaction and integration costs included $93 million of ILG integration-related costs, and $16 million of Welk Acquisition and integration-related costs, partially offset by $1 million of other transaction and integration-related costs.</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ILG Acquisition and integration costs primarily relate to the integration of the Sheraton, Westin and Marriott vacation ownership platforms and brands, including upgrading and combining information technology systems in order to create integrated servicing capabilities across brands. These costs, which primarily relate to the implementation of multiple software applications and other enabling technologies, were expensed as incurred and do not include costs to maintain the applications and systems once they are in productive use. As part of the integration of the ILG business, we have been working towards improving the customer experience via enhancing self-service tools and streamlining our business processes through technology. While this effort is in process and we have experienced some servicing delays and website outages, as phases of the effort are completed, we expect these changes will provide enhanced owner and member experiences.</w:t>
      </w:r>
    </w:p>
    <w:p>
      <w:pPr>
        <w:spacing w:after="0" w:line="57"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In addition, in April 2021, similar integration opportunities were introduced, albeit it on a smaller scale, when we completed the Welk Acquisition. The ILG and Welk acquisitions presented the opportunity for us to transform our business by integrating the acquired platforms with our existing platforms.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w w:val="86"/>
              </w:rPr>
              <w:t>Fiscal Years</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2022 vs. 2021</w:t>
            </w:r>
          </w:p>
        </w:tc>
      </w:tr>
      <w:tr>
        <w:trPr>
          <w:trHeight w:val="192"/>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Change</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(117)</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(159%)</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Compared to 2021</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(Provision for) benefit from income taxes is predominately attributable to an increase in pre-tax income for fiscal year 2022.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Typically, our capital needs are supported by cash on hand, cash generated from operations, our ability to raise capital through securitizations in the ABS market, our ability to issue new, and refinance existing, debt, and, to the extent necessary, our ability to access funds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We continuously monitor the capital markets to evaluate the effect that changes in market conditions may have on our ability to fund our liquidity needs.</w:t>
      </w:r>
    </w:p>
    <w:p>
      <w:pPr>
        <w:spacing w:after="0" w:line="68"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Excluding the impact of the Alignment, our corporate debt, net of cash and equivalents, to Adjusted EBITDA ratio was 2.8 at December 31, 2022, which is within our targeted leverage range of 2.5x to 3.0x. Excluding the redemption of the 2025 Notes subsequent to the end of 2022, we have no material maturities of corporate debt until 2025.</w:t>
      </w:r>
    </w:p>
    <w:p>
      <w:pPr>
        <w:spacing w:after="0" w:line="7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As of December 31, 2022, our corporate debt, excluding finance leases and including the impact of interest rate hedges, had a weighted average interest rate of 3.7%, and 92% of such corporate debt accrued interest at a fixed rate.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from Operations</w:t>
      </w:r>
    </w:p>
    <w:p>
      <w:pPr>
        <w:spacing w:after="0" w:line="10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Securitizations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generally collateralized by a single tranche of transferred assets, which consist of vacation ownership notes receivable. In connection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 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We completed two term securitization transactions in 2022 resulting in net proceeds of $621 million.</w:t>
      </w:r>
    </w:p>
    <w:p>
      <w:pPr>
        <w:spacing w:after="0" w:line="7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2022, and as of December 31, 2022, we had 14 term securitization transactions outstanding, all of which were in compliance with their respective required parameters. Since 2000, we have issued approximately $8.1 billion of debt securities in securitization transactions in the term ABS market, excluding amounts securitized through warehouse credit facilities or private bank transactions.</w:t>
      </w:r>
    </w:p>
    <w:p>
      <w:pPr>
        <w:spacing w:after="0" w:line="73"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at least once per year. Our Warehouse Credit Facility, as amended during the third quarter of 2022, provides for up to $425 million of aggregate borrowings through July 28, 2024.</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$72 million of gross vacation ownership notes receivable were eligible for securitization.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i w:val="1"/>
          <w:iCs w:val="1"/>
          <w:color w:val="auto"/>
        </w:rPr>
        <w:t>Revolving Corporate Credit Facility</w:t>
      </w:r>
    </w:p>
    <w:p>
      <w:pPr>
        <w:spacing w:after="0" w:line="10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Our Revolving Corporate Credit Facility provides for up to $750 million of aggregate borrowings for general corporate needs, including working capital, capital expenditures, letters of credit, and acquisitions, and expires on March 31, 2027. At December 31, 2022, no borrowings were outstanding on our Revolving Corporate Credit Facility and $1 million of letters of credit were outstanding. See Footnote 16 “Debt” to our Financial Statements for more information on interest rates pertaining to this facility.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Issuance of Senior Notes and Convertible Debt</w:t>
      </w:r>
    </w:p>
    <w:p>
      <w:pPr>
        <w:spacing w:after="0" w:line="103"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Our ability to access the public debt markets through the issuance of senior notes and convertible debt remained strong during the COVID-19 pandemic. We accessed the public debt markets every year between 2017 and 2022, including a $500 million senior note issuance during the height of the COVID-19 pandemic in May 2020.</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Uses of Cash</w:t>
      </w:r>
    </w:p>
    <w:p>
      <w:pPr>
        <w:spacing w:after="0" w:line="107"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65"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Cash and cash equivalents on hand at December 31, 2022 totaled $524 million, an increase of $182 million from December 31, 2021, primarily reflecting $653 million associated with net cash and cash equivalents provided by operating activities, $331 million of proceeds from the issuance of convertible notes in excess of repayments (net of the temporary refinancing of the 2022 Convertible Notes on our Revolving Corporate Credit Facility), $86 million of new securitized debt borrowings in excess of repayments, investing cash inflow related to the disposition of subsidiaries of $94 million, $43 million of proceeds from the issuance of warrants, and $7 million other net proceeds, partially offset by the repurchase of common stock of $701 million, $107 million for the purchase of convertible note hedges, payment of dividends of $99 million, capital expenditures for property and equipment (excluding inventory) of $65 million, $19 million of debt issuance costs and payments on finance leases, $23 million for payment of withholding taxes on vesting of restricted stock units and $18 million in purchases of company owned life insurance.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w:t>
      </w:r>
    </w:p>
    <w:p>
      <w:pPr>
        <w:spacing w:after="0" w:line="10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 in either the fourth quarter or the first quarter of each year. Cash outflows related to our payment of maintenance fees associated with unsold inventory occurs in the fourth quarter for our points products, and in the first quarter for our weeks-based products. In addition, significant compensation-related cash outflows occur in the first quarter of each year associated with payment of annual bonuses.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net income or loss and adjustments for non-cash items, the following are key drivers of our cash flow from operating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Spending Less Than (In Excess of) Cost of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Fiscal Years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2"/>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2020</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 spending</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9"/>
              </w:rPr>
              <w:t>(98)</w:t>
            </w:r>
          </w:p>
        </w:tc>
      </w:tr>
      <w:tr>
        <w:trPr>
          <w:trHeight w:val="230"/>
        </w:trPr>
        <w:tc>
          <w:tcPr>
            <w:tcW w:w="4900" w:type="dxa"/>
            <w:vAlign w:val="bottom"/>
          </w:tcPr>
          <w:p>
            <w:pPr>
              <w:ind w:left="20"/>
              <w:spacing w:after="0"/>
              <w:rPr>
                <w:sz w:val="20"/>
                <w:szCs w:val="20"/>
                <w:color w:val="auto"/>
              </w:rPr>
            </w:pPr>
            <w:r>
              <w:rPr>
                <w:rFonts w:ascii="Arial" w:cs="Arial" w:eastAsia="Arial" w:hAnsi="Arial"/>
                <w:sz w:val="17"/>
                <w:szCs w:val="17"/>
                <w:color w:val="auto"/>
                <w:w w:val="95"/>
              </w:rPr>
              <w:t>Purchase of vacation ownership units for future transfer to inventory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Arial" w:cs="Arial" w:eastAsia="Arial" w:hAnsi="Arial"/>
                <w:sz w:val="17"/>
                <w:szCs w:val="17"/>
                <w:color w:val="auto"/>
                <w:w w:val="99"/>
              </w:rPr>
              <w:t>(61)</w:t>
            </w: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 costs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117</w:t>
            </w:r>
          </w:p>
        </w:tc>
      </w:tr>
      <w:tr>
        <w:trPr>
          <w:trHeight w:val="204"/>
        </w:trPr>
        <w:tc>
          <w:tcPr>
            <w:tcW w:w="4900" w:type="dxa"/>
            <w:vAlign w:val="bottom"/>
          </w:tcPr>
          <w:p>
            <w:pPr>
              <w:ind w:left="200"/>
              <w:spacing w:after="0" w:line="192" w:lineRule="exact"/>
              <w:rPr>
                <w:sz w:val="20"/>
                <w:szCs w:val="20"/>
                <w:color w:val="auto"/>
              </w:rPr>
            </w:pPr>
            <w:r>
              <w:rPr>
                <w:rFonts w:ascii="Arial" w:cs="Arial" w:eastAsia="Arial" w:hAnsi="Arial"/>
                <w:sz w:val="17"/>
                <w:szCs w:val="17"/>
                <w:color w:val="auto"/>
              </w:rPr>
              <w:t>Inventory spending less than (in excess of) cost of sales</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w w:val="99"/>
              </w:rPr>
              <w:t>(42)</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While we have significant excess inventory on hand, we will continue to selectively pursue growth opportunities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that we may purchase just prior to the time we need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inventory to support future sales. In addition, we may develop inventory in key markets where opportunities generate acceptable risk adjusted returns.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Through our existing VOI repurchase program, we proactively acquire previously sold VOIs from owners’ associations and individual owners at lower costs than would be required to develop new inventory. Among other reasons, by repurchasing inventory, we expect to be able to help stabilize the future cost of our vacation ownership products.</w:t>
      </w:r>
    </w:p>
    <w:p>
      <w:pPr>
        <w:spacing w:after="0" w:line="76" w:lineRule="exact"/>
        <w:rPr>
          <w:sz w:val="20"/>
          <w:szCs w:val="20"/>
          <w:color w:val="auto"/>
        </w:rPr>
      </w:pPr>
    </w:p>
    <w:p>
      <w:pPr>
        <w:jc w:val="both"/>
        <w:ind w:right="160"/>
        <w:spacing w:after="0" w:line="277" w:lineRule="auto"/>
        <w:rPr>
          <w:sz w:val="20"/>
          <w:szCs w:val="20"/>
          <w:color w:val="auto"/>
        </w:rPr>
      </w:pPr>
      <w:r>
        <w:rPr>
          <w:rFonts w:ascii="Arial" w:cs="Arial" w:eastAsia="Arial" w:hAnsi="Arial"/>
          <w:sz w:val="16"/>
          <w:szCs w:val="16"/>
          <w:color w:val="auto"/>
        </w:rPr>
        <w:t>Our spending for real estate inventory in 2022 was lower than cost of sales and was primarily related to our VOI repurchase program. We acquired a higher amount of previously sold VOIs in 2022 due to the reinstatement of our VOI repurchase programs that were suspended as part of the cash preservation measures implemented in response to the COVID-19 pandemic. We expect inventory spending to be less than cost of sales for 2023.</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Collections (Less Than) In Excess of Originations</w:t>
      </w:r>
    </w:p>
    <w:p>
      <w:pPr>
        <w:sectPr>
          <w:pgSz w:w="11900" w:h="16838" w:orient="portrait"/>
          <w:cols w:equalWidth="0" w:num="1">
            <w:col w:w="11200"/>
          </w:cols>
          <w:pgMar w:left="320" w:top="1123" w:right="379" w:bottom="1440" w:gutter="0" w:footer="0" w:header="0"/>
        </w:sect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5309870" cy="149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46" w:lineRule="exact"/>
        <w:rPr>
          <w:sz w:val="20"/>
          <w:szCs w:val="20"/>
          <w:color w:val="auto"/>
        </w:rPr>
      </w:pPr>
    </w:p>
    <w:p>
      <w:pPr>
        <w:ind w:left="20"/>
        <w:spacing w:after="0" w:line="311" w:lineRule="auto"/>
        <w:rPr>
          <w:sz w:val="20"/>
          <w:szCs w:val="20"/>
          <w:color w:val="auto"/>
        </w:rPr>
      </w:pPr>
      <w:r>
        <w:rPr>
          <w:rFonts w:ascii="Arial" w:cs="Arial" w:eastAsia="Arial" w:hAnsi="Arial"/>
          <w:sz w:val="15"/>
          <w:szCs w:val="15"/>
          <w:color w:val="auto"/>
        </w:rPr>
        <w:t>Vacation ownership notes receivable collections — non-securitized $ Vacation ownership notes receivable collections — securitized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Vacation ownership notes receivable originations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80" w:type="dxa"/>
            <w:vAlign w:val="bottom"/>
          </w:tcPr>
          <w:p>
            <w:pPr>
              <w:ind w:left="180"/>
              <w:spacing w:after="0" w:line="186" w:lineRule="exact"/>
              <w:rPr>
                <w:sz w:val="20"/>
                <w:szCs w:val="20"/>
                <w:color w:val="auto"/>
              </w:rPr>
            </w:pPr>
            <w:r>
              <w:rPr>
                <w:rFonts w:ascii="Arial" w:cs="Arial" w:eastAsia="Arial" w:hAnsi="Arial"/>
                <w:sz w:val="17"/>
                <w:szCs w:val="17"/>
                <w:color w:val="auto"/>
                <w:w w:val="90"/>
              </w:rPr>
              <w:t>Vacation ownership notes receivable collections (less than) in</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380" w:type="dxa"/>
            <w:vAlign w:val="bottom"/>
          </w:tcPr>
          <w:p>
            <w:pPr>
              <w:ind w:left="180"/>
              <w:spacing w:after="0"/>
              <w:rPr>
                <w:sz w:val="20"/>
                <w:szCs w:val="20"/>
                <w:color w:val="auto"/>
              </w:rPr>
            </w:pPr>
            <w:r>
              <w:rPr>
                <w:rFonts w:ascii="Arial" w:cs="Arial" w:eastAsia="Arial" w:hAnsi="Arial"/>
                <w:sz w:val="17"/>
                <w:szCs w:val="17"/>
                <w:color w:val="auto"/>
              </w:rPr>
              <w:t>excess of originations</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5309870"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16510</wp:posOffset>
            </wp:positionV>
            <wp:extent cx="24574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457450" cy="762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 w:type="dxa"/>
            <w:vAlign w:val="bottom"/>
          </w:tcPr>
          <w:p>
            <w:pPr>
              <w:jc w:val="right"/>
              <w:ind w:right="479"/>
              <w:spacing w:after="0"/>
              <w:rPr>
                <w:sz w:val="20"/>
                <w:szCs w:val="20"/>
                <w:color w:val="auto"/>
              </w:rPr>
            </w:pPr>
            <w:r>
              <w:rPr>
                <w:rFonts w:ascii="Arial" w:cs="Arial" w:eastAsia="Arial" w:hAnsi="Arial"/>
                <w:sz w:val="15"/>
                <w:szCs w:val="15"/>
                <w:b w:val="1"/>
                <w:bCs w:val="1"/>
                <w:color w:val="auto"/>
                <w:w w:val="83"/>
              </w:rPr>
              <w:t>2022</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2020</w:t>
            </w:r>
          </w:p>
        </w:tc>
      </w:tr>
      <w:tr>
        <w:trPr>
          <w:trHeight w:val="220"/>
        </w:trPr>
        <w:tc>
          <w:tcPr>
            <w:tcW w:w="860" w:type="dxa"/>
            <w:vAlign w:val="bottom"/>
          </w:tcPr>
          <w:p>
            <w:pPr>
              <w:jc w:val="center"/>
              <w:ind w:left="159"/>
              <w:spacing w:after="0"/>
              <w:rPr>
                <w:sz w:val="20"/>
                <w:szCs w:val="20"/>
                <w:color w:val="auto"/>
              </w:rPr>
            </w:pPr>
            <w:r>
              <w:rPr>
                <w:rFonts w:ascii="Arial" w:cs="Arial" w:eastAsia="Arial" w:hAnsi="Arial"/>
                <w:sz w:val="17"/>
                <w:szCs w:val="17"/>
                <w:color w:val="auto"/>
                <w:w w:val="91"/>
              </w:rPr>
              <w:t>196</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Pr>
          <w:p>
            <w:pPr>
              <w:jc w:val="center"/>
              <w:ind w:left="459"/>
              <w:spacing w:after="0"/>
              <w:rPr>
                <w:sz w:val="20"/>
                <w:szCs w:val="20"/>
                <w:color w:val="auto"/>
              </w:rPr>
            </w:pPr>
            <w:r>
              <w:rPr>
                <w:rFonts w:ascii="Arial" w:cs="Arial" w:eastAsia="Arial" w:hAnsi="Arial"/>
                <w:sz w:val="17"/>
                <w:szCs w:val="17"/>
                <w:color w:val="auto"/>
                <w:w w:val="84"/>
              </w:rPr>
              <w:t>217</w:t>
            </w:r>
          </w:p>
        </w:tc>
      </w:tr>
      <w:tr>
        <w:trPr>
          <w:trHeight w:val="236"/>
        </w:trPr>
        <w:tc>
          <w:tcPr>
            <w:tcW w:w="860" w:type="dxa"/>
            <w:vAlign w:val="bottom"/>
          </w:tcPr>
          <w:p>
            <w:pPr>
              <w:jc w:val="center"/>
              <w:ind w:left="159"/>
              <w:spacing w:after="0"/>
              <w:rPr>
                <w:sz w:val="20"/>
                <w:szCs w:val="20"/>
                <w:color w:val="auto"/>
              </w:rPr>
            </w:pPr>
            <w:r>
              <w:rPr>
                <w:rFonts w:ascii="Arial" w:cs="Arial" w:eastAsia="Arial" w:hAnsi="Arial"/>
                <w:sz w:val="17"/>
                <w:szCs w:val="17"/>
                <w:color w:val="auto"/>
                <w:w w:val="91"/>
              </w:rPr>
              <w:t>446</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center"/>
              <w:ind w:left="459"/>
              <w:spacing w:after="0"/>
              <w:rPr>
                <w:sz w:val="20"/>
                <w:szCs w:val="20"/>
                <w:color w:val="auto"/>
              </w:rPr>
            </w:pPr>
            <w:r>
              <w:rPr>
                <w:rFonts w:ascii="Arial" w:cs="Arial" w:eastAsia="Arial" w:hAnsi="Arial"/>
                <w:sz w:val="17"/>
                <w:szCs w:val="17"/>
                <w:color w:val="auto"/>
                <w:w w:val="84"/>
              </w:rPr>
              <w:t>403</w:t>
            </w:r>
          </w:p>
        </w:tc>
      </w:tr>
      <w:tr>
        <w:trPr>
          <w:trHeight w:val="236"/>
        </w:trPr>
        <w:tc>
          <w:tcPr>
            <w:tcW w:w="860" w:type="dxa"/>
            <w:vAlign w:val="bottom"/>
          </w:tcPr>
          <w:p>
            <w:pPr>
              <w:jc w:val="center"/>
              <w:ind w:left="139"/>
              <w:spacing w:after="0"/>
              <w:rPr>
                <w:sz w:val="20"/>
                <w:szCs w:val="20"/>
                <w:color w:val="auto"/>
              </w:rPr>
            </w:pPr>
            <w:r>
              <w:rPr>
                <w:rFonts w:ascii="Arial" w:cs="Arial" w:eastAsia="Arial" w:hAnsi="Arial"/>
                <w:sz w:val="17"/>
                <w:szCs w:val="17"/>
                <w:color w:val="auto"/>
                <w:w w:val="90"/>
              </w:rPr>
              <w:t>(980)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419"/>
              <w:spacing w:after="0"/>
              <w:rPr>
                <w:sz w:val="20"/>
                <w:szCs w:val="20"/>
                <w:color w:val="auto"/>
              </w:rPr>
            </w:pPr>
            <w:r>
              <w:rPr>
                <w:rFonts w:ascii="Arial" w:cs="Arial" w:eastAsia="Arial" w:hAnsi="Arial"/>
                <w:sz w:val="17"/>
                <w:szCs w:val="17"/>
                <w:color w:val="auto"/>
                <w:w w:val="90"/>
              </w:rPr>
              <w:t>(377)</w:t>
            </w:r>
          </w:p>
        </w:tc>
      </w:tr>
      <w:tr>
        <w:trPr>
          <w:trHeight w:val="341"/>
        </w:trPr>
        <w:tc>
          <w:tcPr>
            <w:tcW w:w="860" w:type="dxa"/>
            <w:vAlign w:val="bottom"/>
          </w:tcPr>
          <w:p>
            <w:pPr>
              <w:jc w:val="center"/>
              <w:ind w:left="139"/>
              <w:spacing w:after="0"/>
              <w:rPr>
                <w:sz w:val="20"/>
                <w:szCs w:val="20"/>
                <w:color w:val="auto"/>
              </w:rPr>
            </w:pPr>
            <w:r>
              <w:rPr>
                <w:rFonts w:ascii="Arial" w:cs="Arial" w:eastAsia="Arial" w:hAnsi="Arial"/>
                <w:sz w:val="17"/>
                <w:szCs w:val="17"/>
                <w:color w:val="auto"/>
                <w:w w:val="90"/>
              </w:rPr>
              <w:t>(338)</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center"/>
              <w:ind w:left="459"/>
              <w:spacing w:after="0"/>
              <w:rPr>
                <w:sz w:val="20"/>
                <w:szCs w:val="20"/>
                <w:color w:val="auto"/>
              </w:rPr>
            </w:pPr>
            <w:r>
              <w:rPr>
                <w:rFonts w:ascii="Arial" w:cs="Arial" w:eastAsia="Arial" w:hAnsi="Arial"/>
                <w:sz w:val="17"/>
                <w:szCs w:val="17"/>
                <w:color w:val="auto"/>
                <w:w w:val="84"/>
              </w:rPr>
              <w:t>243</w:t>
            </w:r>
          </w:p>
        </w:tc>
      </w:tr>
      <w:tr>
        <w:trPr>
          <w:trHeight w:val="20"/>
        </w:trPr>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-31115</wp:posOffset>
            </wp:positionV>
            <wp:extent cx="77406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74065" cy="762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-6985</wp:posOffset>
            </wp:positionV>
            <wp:extent cx="77406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74065" cy="762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-260350</wp:posOffset>
            </wp:positionV>
            <wp:extent cx="77406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7406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360"/>
            <w:col w:w="6240"/>
          </w:cols>
          <w:pgMar w:left="320" w:top="1123" w:right="379" w:bottom="1440" w:gutter="0" w:footer="0" w:header="0"/>
          <w:type w:val="continuous"/>
        </w:sectPr>
      </w:pPr>
    </w:p>
    <w:p>
      <w:pPr>
        <w:spacing w:after="0" w:line="2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increase in sales of vacation ownership products subsequent to the COVID-19 pandemic combined with an increase in financing propensity (54% in 2022 compared to 53% in 2021) outpaced collections of vacation ownership notes receivable.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current share repurchase program: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8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Number of Shares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Cost of Shares</w:t>
            </w:r>
          </w:p>
        </w:tc>
        <w:tc>
          <w:tcPr>
            <w:tcW w:w="12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5"/>
                <w:szCs w:val="15"/>
                <w:b w:val="1"/>
                <w:bCs w:val="1"/>
                <w:color w:val="auto"/>
                <w:w w:val="91"/>
              </w:rPr>
              <w:t>Average Price</w:t>
            </w:r>
          </w:p>
        </w:tc>
      </w:tr>
      <w:tr>
        <w:trPr>
          <w:trHeight w:val="196"/>
        </w:trPr>
        <w:tc>
          <w:tcPr>
            <w:tcW w:w="44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 except per share amounts)</w:t>
            </w: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Repurchased</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Repurchased</w:t>
            </w:r>
          </w:p>
        </w:tc>
        <w:tc>
          <w:tcPr>
            <w:tcW w:w="12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5"/>
                <w:szCs w:val="15"/>
                <w:b w:val="1"/>
                <w:bCs w:val="1"/>
                <w:color w:val="auto"/>
                <w:w w:val="89"/>
              </w:rPr>
              <w:t>Paid per Share</w:t>
            </w:r>
          </w:p>
        </w:tc>
      </w:tr>
      <w:tr>
        <w:trPr>
          <w:trHeight w:val="21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17,681,395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80.17</w:t>
            </w:r>
          </w:p>
        </w:tc>
      </w:tr>
      <w:tr>
        <w:trPr>
          <w:trHeight w:val="236"/>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year ended December 31, 2022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5,091,823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137.83</w:t>
            </w:r>
          </w:p>
        </w:tc>
      </w:tr>
      <w:tr>
        <w:trPr>
          <w:trHeight w:val="229"/>
        </w:trPr>
        <w:tc>
          <w:tcPr>
            <w:tcW w:w="448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As of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See Footnote 17 “Shareholders' Equity” to our Financial Statements for further information related to our current share repurchase program, including the additional share repurchase authorization and extension approved by our Board of Directors during 2022.</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Payment of Dividends to Common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distributed cash dividends to holders of common stock during the year ended December 31, 2022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Declaration Date</w:t>
            </w:r>
          </w:p>
        </w:tc>
        <w:tc>
          <w:tcPr>
            <w:tcW w:w="12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Shareholder Record Date</w:t>
            </w:r>
          </w:p>
        </w:tc>
        <w:tc>
          <w:tcPr>
            <w:tcW w:w="12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Distribution Date</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Dividend per Share</w:t>
            </w:r>
          </w:p>
        </w:tc>
      </w:tr>
      <w:tr>
        <w:trPr>
          <w:trHeight w:val="219"/>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7"/>
              </w:rPr>
              <w:t>December 9, 2021</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7"/>
              </w:rPr>
              <w:t>December 23, 2021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6"/>
              </w:rPr>
              <w:t>January 6, 2022</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$0.54</w:t>
            </w:r>
          </w:p>
        </w:tc>
      </w:tr>
      <w:tr>
        <w:trPr>
          <w:trHeight w:val="236"/>
        </w:trPr>
        <w:tc>
          <w:tcPr>
            <w:tcW w:w="230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February 18, 2022</w:t>
            </w:r>
          </w:p>
        </w:tc>
        <w:tc>
          <w:tcPr>
            <w:tcW w:w="24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March 3, 2022</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March 17, 2022</w:t>
            </w:r>
          </w:p>
        </w:tc>
        <w:tc>
          <w:tcPr>
            <w:tcW w:w="1400" w:type="dxa"/>
            <w:vAlign w:val="bottom"/>
          </w:tcPr>
          <w:p>
            <w:pPr>
              <w:jc w:val="center"/>
              <w:spacing w:after="0"/>
              <w:rPr>
                <w:sz w:val="20"/>
                <w:szCs w:val="20"/>
                <w:color w:val="auto"/>
              </w:rPr>
            </w:pPr>
            <w:r>
              <w:rPr>
                <w:rFonts w:ascii="Arial" w:cs="Arial" w:eastAsia="Arial" w:hAnsi="Arial"/>
                <w:sz w:val="17"/>
                <w:szCs w:val="17"/>
                <w:color w:val="auto"/>
                <w:w w:val="89"/>
              </w:rPr>
              <w:t>$0.62</w:t>
            </w:r>
          </w:p>
        </w:tc>
      </w:tr>
      <w:tr>
        <w:trPr>
          <w:trHeight w:val="236"/>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May 12, 2022</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May 26, 2022</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5"/>
              </w:rPr>
              <w:t>June 9, 2022</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$0.62</w:t>
            </w:r>
          </w:p>
        </w:tc>
      </w:tr>
      <w:tr>
        <w:trPr>
          <w:trHeight w:val="237"/>
        </w:trPr>
        <w:tc>
          <w:tcPr>
            <w:tcW w:w="230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September 8, 2022</w:t>
            </w:r>
          </w:p>
        </w:tc>
        <w:tc>
          <w:tcPr>
            <w:tcW w:w="242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September 22, 2022</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October 6, 2022</w:t>
            </w:r>
          </w:p>
        </w:tc>
        <w:tc>
          <w:tcPr>
            <w:tcW w:w="1400" w:type="dxa"/>
            <w:vAlign w:val="bottom"/>
          </w:tcPr>
          <w:p>
            <w:pPr>
              <w:jc w:val="center"/>
              <w:spacing w:after="0"/>
              <w:rPr>
                <w:sz w:val="20"/>
                <w:szCs w:val="20"/>
                <w:color w:val="auto"/>
              </w:rPr>
            </w:pPr>
            <w:r>
              <w:rPr>
                <w:rFonts w:ascii="Arial" w:cs="Arial" w:eastAsia="Arial" w:hAnsi="Arial"/>
                <w:sz w:val="17"/>
                <w:szCs w:val="17"/>
                <w:color w:val="auto"/>
                <w:w w:val="89"/>
              </w:rPr>
              <w:t>$0.62</w:t>
            </w:r>
          </w:p>
        </w:tc>
      </w:tr>
    </w:tbl>
    <w:p>
      <w:pPr>
        <w:spacing w:after="0" w:line="224"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color w:val="auto"/>
        </w:rPr>
        <w:t>On December 1, 2022, our Board of Directors declared a quarterly dividend of $0.72 per share that was paid subsequent to the end of 2022, on January 5, 2023, to shareholders of record as of December 22, 2022.</w:t>
      </w:r>
    </w:p>
    <w:p>
      <w:pPr>
        <w:spacing w:after="0" w:line="68" w:lineRule="exact"/>
        <w:rPr>
          <w:sz w:val="20"/>
          <w:szCs w:val="20"/>
          <w:color w:val="auto"/>
        </w:rPr>
      </w:pPr>
    </w:p>
    <w:p>
      <w:pPr>
        <w:ind w:right="700"/>
        <w:spacing w:after="0" w:line="264" w:lineRule="auto"/>
        <w:rPr>
          <w:sz w:val="20"/>
          <w:szCs w:val="20"/>
          <w:color w:val="auto"/>
        </w:rPr>
      </w:pPr>
      <w:r>
        <w:rPr>
          <w:rFonts w:ascii="Arial" w:cs="Arial" w:eastAsia="Arial" w:hAnsi="Arial"/>
          <w:sz w:val="17"/>
          <w:szCs w:val="17"/>
          <w:color w:val="auto"/>
        </w:rPr>
        <w:t>Subsequent to the end of 2022, on February 16, 2023, our Board of Directors declared a quarterly dividend of $0.72 per share to be paid on March 16, 2023 to shareholders of record as of March 2, 2023.</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currently expect to pay quarterly dividends in the future, but any future dividend payments will be subject to Board of Directors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3" w:right="379" w:bottom="1440" w:gutter="0" w:footer="0" w:header="0"/>
          <w:type w:val="continuous"/>
        </w:sectPr>
      </w:pPr>
    </w:p>
    <w:bookmarkStart w:id="64" w:name="page65"/>
    <w:bookmarkEnd w:id="64"/>
    <w:p>
      <w:pPr>
        <w:ind w:right="40"/>
        <w:spacing w:after="0" w:line="295" w:lineRule="auto"/>
        <w:rPr>
          <w:sz w:val="20"/>
          <w:szCs w:val="20"/>
          <w:color w:val="auto"/>
        </w:rPr>
      </w:pPr>
      <w:r>
        <w:rPr>
          <w:rFonts w:ascii="Arial" w:cs="Arial" w:eastAsia="Arial" w:hAnsi="Arial"/>
          <w:sz w:val="16"/>
          <w:szCs w:val="16"/>
          <w:color w:val="auto"/>
        </w:rPr>
        <w:t>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Cash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future material cash requirements from known contractual or other obligations as of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80"/>
              <w:spacing w:after="0"/>
              <w:rPr>
                <w:sz w:val="20"/>
                <w:szCs w:val="20"/>
                <w:color w:val="auto"/>
              </w:rPr>
            </w:pPr>
            <w:r>
              <w:rPr>
                <w:rFonts w:ascii="Arial" w:cs="Arial" w:eastAsia="Arial" w:hAnsi="Arial"/>
                <w:sz w:val="15"/>
                <w:szCs w:val="15"/>
                <w:b w:val="1"/>
                <w:bCs w:val="1"/>
                <w:color w:val="auto"/>
              </w:rPr>
              <w:t>Payments Due by Period</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5"/>
                <w:szCs w:val="15"/>
                <w:b w:val="1"/>
                <w:bCs w:val="1"/>
                <w:color w:val="auto"/>
                <w:w w:val="87"/>
              </w:rPr>
              <w:t>Less Than 1</w:t>
            </w:r>
          </w:p>
        </w:tc>
        <w:tc>
          <w:tcPr>
            <w:tcW w:w="16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1 - 3 Years</w:t>
            </w:r>
          </w:p>
        </w:tc>
        <w:tc>
          <w:tcPr>
            <w:tcW w:w="18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3 - 5 Years</w:t>
            </w:r>
          </w:p>
        </w:tc>
        <w:tc>
          <w:tcPr>
            <w:tcW w:w="120" w:type="dxa"/>
            <w:vAlign w:val="bottom"/>
          </w:tcPr>
          <w:p>
            <w:pPr>
              <w:spacing w:after="0"/>
              <w:rPr>
                <w:sz w:val="12"/>
                <w:szCs w:val="12"/>
                <w:color w:val="auto"/>
              </w:rPr>
            </w:pPr>
          </w:p>
        </w:tc>
        <w:tc>
          <w:tcPr>
            <w:tcW w:w="1020" w:type="dxa"/>
            <w:vAlign w:val="bottom"/>
          </w:tcPr>
          <w:p>
            <w:pPr>
              <w:jc w:val="right"/>
              <w:ind w:right="79"/>
              <w:spacing w:after="0" w:line="145" w:lineRule="exact"/>
              <w:rPr>
                <w:sz w:val="20"/>
                <w:szCs w:val="20"/>
                <w:color w:val="auto"/>
              </w:rPr>
            </w:pPr>
            <w:r>
              <w:rPr>
                <w:rFonts w:ascii="Arial" w:cs="Arial" w:eastAsia="Arial" w:hAnsi="Arial"/>
                <w:sz w:val="15"/>
                <w:szCs w:val="15"/>
                <w:b w:val="1"/>
                <w:bCs w:val="1"/>
                <w:color w:val="auto"/>
                <w:w w:val="95"/>
              </w:rPr>
              <w:t>More Than 5</w:t>
            </w:r>
          </w:p>
        </w:tc>
        <w:tc>
          <w:tcPr>
            <w:tcW w:w="0" w:type="dxa"/>
            <w:vAlign w:val="bottom"/>
          </w:tcPr>
          <w:p>
            <w:pPr>
              <w:spacing w:after="0"/>
              <w:rPr>
                <w:sz w:val="1"/>
                <w:szCs w:val="1"/>
                <w:color w:val="auto"/>
              </w:rPr>
            </w:pPr>
          </w:p>
        </w:tc>
      </w:tr>
      <w:tr>
        <w:trPr>
          <w:trHeight w:val="196"/>
        </w:trPr>
        <w:tc>
          <w:tcPr>
            <w:tcW w:w="21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5"/>
              </w:rPr>
              <w:t>Year</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9"/>
              <w:spacing w:after="0"/>
              <w:rPr>
                <w:sz w:val="20"/>
                <w:szCs w:val="20"/>
                <w:color w:val="auto"/>
              </w:rPr>
            </w:pPr>
            <w:r>
              <w:rPr>
                <w:rFonts w:ascii="Arial" w:cs="Arial" w:eastAsia="Arial" w:hAnsi="Arial"/>
                <w:sz w:val="15"/>
                <w:szCs w:val="15"/>
                <w:b w:val="1"/>
                <w:bCs w:val="1"/>
                <w:color w:val="auto"/>
              </w:rPr>
              <w:t>Years</w:t>
            </w:r>
          </w:p>
        </w:tc>
        <w:tc>
          <w:tcPr>
            <w:tcW w:w="0" w:type="dxa"/>
            <w:vAlign w:val="bottom"/>
          </w:tcPr>
          <w:p>
            <w:pPr>
              <w:spacing w:after="0"/>
              <w:rPr>
                <w:sz w:val="1"/>
                <w:szCs w:val="1"/>
                <w:color w:val="auto"/>
              </w:rPr>
            </w:pPr>
          </w:p>
        </w:tc>
      </w:tr>
      <w:tr>
        <w:trPr>
          <w:trHeight w:val="232"/>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w:t>
            </w:r>
            <w:r>
              <w:rPr>
                <w:rFonts w:ascii="Arial" w:cs="Arial" w:eastAsia="Arial" w:hAnsi="Arial"/>
                <w:sz w:val="9"/>
                <w:szCs w:val="9"/>
                <w:color w:val="auto"/>
              </w:rPr>
              <w:t>(1)</w:t>
            </w: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49"/>
        </w:trPr>
        <w:tc>
          <w:tcPr>
            <w:tcW w:w="2180" w:type="dxa"/>
            <w:vAlign w:val="bottom"/>
          </w:tcPr>
          <w:p>
            <w:pPr>
              <w:ind w:left="20"/>
              <w:spacing w:after="0"/>
              <w:rPr>
                <w:sz w:val="20"/>
                <w:szCs w:val="20"/>
                <w:color w:val="auto"/>
              </w:rPr>
            </w:pPr>
            <w:r>
              <w:rPr>
                <w:rFonts w:ascii="Arial" w:cs="Arial" w:eastAsia="Arial" w:hAnsi="Arial"/>
                <w:sz w:val="17"/>
                <w:szCs w:val="17"/>
                <w:color w:val="auto"/>
              </w:rPr>
              <w:t>Securitized debt</w:t>
            </w:r>
            <w:r>
              <w:rPr>
                <w:rFonts w:ascii="Arial" w:cs="Arial" w:eastAsia="Arial" w:hAnsi="Arial"/>
                <w:sz w:val="9"/>
                <w:szCs w:val="9"/>
                <w:color w:val="auto"/>
              </w:rPr>
              <w:t>(1) (2)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r>
        <w:trPr>
          <w:trHeight w:val="249"/>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9"/>
                <w:szCs w:val="9"/>
                <w:color w:val="auto"/>
              </w:rPr>
              <w:t>(3)</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49"/>
        </w:trPr>
        <w:tc>
          <w:tcPr>
            <w:tcW w:w="218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49"/>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obligations</w:t>
            </w:r>
            <w:r>
              <w:rPr>
                <w:rFonts w:ascii="Arial" w:cs="Arial" w:eastAsia="Arial" w:hAnsi="Arial"/>
                <w:sz w:val="9"/>
                <w:szCs w:val="9"/>
                <w:color w:val="auto"/>
              </w:rPr>
              <w:t>(4)</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4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9"/>
              </w:rPr>
              <w:t>Other long-term obligations</w:t>
            </w:r>
            <w:r>
              <w:rPr>
                <w:rFonts w:ascii="Arial" w:cs="Arial" w:eastAsia="Arial" w:hAnsi="Arial"/>
                <w:sz w:val="9"/>
                <w:szCs w:val="9"/>
                <w:color w:val="auto"/>
                <w:w w:val="99"/>
              </w:rPr>
              <w:t>(5)</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2" w:lineRule="exact"/>
        <w:rPr>
          <w:sz w:val="20"/>
          <w:szCs w:val="20"/>
          <w:color w:val="auto"/>
        </w:rPr>
      </w:pPr>
    </w:p>
    <w:p>
      <w:pPr>
        <w:ind w:left="280" w:hanging="280"/>
        <w:spacing w:after="0"/>
        <w:tabs>
          <w:tab w:leader="none" w:pos="28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Includes principal as well as interest payments and excludes unamortized debt discount and issuance costs.</w:t>
      </w:r>
    </w:p>
    <w:p>
      <w:pPr>
        <w:spacing w:after="0" w:line="51" w:lineRule="exact"/>
        <w:rPr>
          <w:rFonts w:ascii="Arial" w:cs="Arial" w:eastAsia="Arial" w:hAnsi="Arial"/>
          <w:sz w:val="22"/>
          <w:szCs w:val="22"/>
          <w:color w:val="auto"/>
          <w:vertAlign w:val="superscript"/>
        </w:rPr>
      </w:pPr>
    </w:p>
    <w:p>
      <w:pPr>
        <w:ind w:left="280" w:hanging="280"/>
        <w:spacing w:after="0" w:line="187" w:lineRule="auto"/>
        <w:tabs>
          <w:tab w:leader="none" w:pos="28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Payments based on estimated timing of cash flow associated with securitized notes receivable.</w:t>
      </w:r>
    </w:p>
    <w:p>
      <w:pPr>
        <w:spacing w:after="0" w:line="51" w:lineRule="exact"/>
        <w:rPr>
          <w:rFonts w:ascii="Arial" w:cs="Arial" w:eastAsia="Arial" w:hAnsi="Arial"/>
          <w:sz w:val="22"/>
          <w:szCs w:val="22"/>
          <w:color w:val="auto"/>
          <w:vertAlign w:val="superscript"/>
        </w:rPr>
      </w:pPr>
    </w:p>
    <w:p>
      <w:pPr>
        <w:ind w:left="300" w:right="380" w:hanging="300"/>
        <w:spacing w:after="0" w:line="239" w:lineRule="auto"/>
        <w:tabs>
          <w:tab w:leader="none" w:pos="289"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ind w:left="280" w:hanging="280"/>
        <w:spacing w:after="0" w:line="236" w:lineRule="auto"/>
        <w:tabs>
          <w:tab w:leader="none" w:pos="28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Includes interest.</w:t>
      </w:r>
    </w:p>
    <w:p>
      <w:pPr>
        <w:spacing w:after="0" w:line="51" w:lineRule="exact"/>
        <w:rPr>
          <w:rFonts w:ascii="Arial" w:cs="Arial" w:eastAsia="Arial" w:hAnsi="Arial"/>
          <w:sz w:val="22"/>
          <w:szCs w:val="22"/>
          <w:color w:val="auto"/>
          <w:vertAlign w:val="superscript"/>
        </w:rPr>
      </w:pPr>
    </w:p>
    <w:p>
      <w:pPr>
        <w:ind w:left="300" w:right="200" w:hanging="300"/>
        <w:spacing w:after="0" w:line="222" w:lineRule="auto"/>
        <w:tabs>
          <w:tab w:leader="none" w:pos="289"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Primarily relates to future guaranteed purchases of rental inventory of $7 million, and our commitment to an owners’ association that we manage to pay for any shortfall between the actual expenses incurred by the owners’ association and the income received by the owners’ association, in lieu of maintenance fees, of $10 million.</w:t>
      </w:r>
    </w:p>
    <w:p>
      <w:pPr>
        <w:spacing w:after="0" w:line="87"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resorts, these obligations have minimal impact on our net income and cash flow. These purchase commitments are excluded from the table above.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 That Have Not Yet Commenced</w:t>
      </w:r>
    </w:p>
    <w:p>
      <w:pPr>
        <w:spacing w:after="0" w:line="10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During 2020, we entered into a finance lease arrangement, that was amended in 2021, for our new global headquarters office building in Orlando, Florida. The new global headquarters office building is expected to be substantially complete in the first half of 2023, at which time the lease term will commence and a right-of-use asset and corresponding lease liability will be recorded on our balance sheet. Total payments for the initial lease term (approximately 16 years) plus, at our option, two five-year renewal terms, is $249 million. Also see Footnote 14 “Leases” to our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Supplemental Guarantor Information</w:t>
      </w:r>
    </w:p>
    <w:p>
      <w:pPr>
        <w:spacing w:after="0" w:line="103" w:lineRule="exact"/>
        <w:rPr>
          <w:sz w:val="20"/>
          <w:szCs w:val="20"/>
          <w:color w:val="auto"/>
        </w:rPr>
      </w:pPr>
    </w:p>
    <w:p>
      <w:pPr>
        <w:ind w:right="240"/>
        <w:spacing w:after="0" w:line="304" w:lineRule="auto"/>
        <w:rPr>
          <w:sz w:val="20"/>
          <w:szCs w:val="20"/>
          <w:color w:val="auto"/>
        </w:rPr>
      </w:pPr>
      <w:r>
        <w:rPr>
          <w:rFonts w:ascii="Arial" w:cs="Arial" w:eastAsia="Arial" w:hAnsi="Arial"/>
          <w:sz w:val="15"/>
          <w:szCs w:val="15"/>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41"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The following tables present consolidating financial information as of December 31, 2022, and for the fiscal year ended December 31, 2022, for MVWC and MORI on a stand-alone basis (collectively, the “Issuers”), the Senior Notes Guarantors, the combined non-guarantor subsidiaries of MVWC, and MVW on a consolidated basis.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3"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i w:val="1"/>
          <w:iCs w:val="1"/>
          <w:color w:val="auto"/>
        </w:rPr>
        <w:t>Condensed Consolidating Balance Sheet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ind w:left="460"/>
              <w:spacing w:after="0"/>
              <w:rPr>
                <w:sz w:val="20"/>
                <w:szCs w:val="20"/>
                <w:color w:val="auto"/>
              </w:rPr>
            </w:pPr>
            <w:r>
              <w:rPr>
                <w:rFonts w:ascii="Arial" w:cs="Arial" w:eastAsia="Arial" w:hAnsi="Arial"/>
                <w:sz w:val="15"/>
                <w:szCs w:val="15"/>
                <w:b w:val="1"/>
                <w:bCs w:val="1"/>
                <w:color w:val="auto"/>
                <w:w w:val="90"/>
              </w:rPr>
              <w:t>As of December 31, 2022</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8"/>
          </w:tcPr>
          <w:p>
            <w:pPr>
              <w:ind w:left="360"/>
              <w:spacing w:after="0"/>
              <w:rPr>
                <w:sz w:val="20"/>
                <w:szCs w:val="20"/>
                <w:color w:val="auto"/>
              </w:rPr>
            </w:pPr>
            <w:r>
              <w:rPr>
                <w:rFonts w:ascii="Arial" w:cs="Arial" w:eastAsia="Arial" w:hAnsi="Arial"/>
                <w:sz w:val="15"/>
                <w:szCs w:val="15"/>
                <w:b w:val="1"/>
                <w:bCs w:val="1"/>
                <w:color w:val="auto"/>
              </w:rPr>
              <w:t>Issuers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3"/>
              </w:rPr>
              <w:t>Non-</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rPr>
              <w:t>Senior Notes</w:t>
            </w:r>
          </w:p>
        </w:tc>
        <w:tc>
          <w:tcPr>
            <w:tcW w:w="100" w:type="dxa"/>
            <w:vAlign w:val="bottom"/>
          </w:tcPr>
          <w:p>
            <w:pPr>
              <w:spacing w:after="0"/>
              <w:rPr>
                <w:sz w:val="4"/>
                <w:szCs w:val="4"/>
                <w:color w:val="auto"/>
              </w:rPr>
            </w:pPr>
          </w:p>
        </w:tc>
        <w:tc>
          <w:tcPr>
            <w:tcW w:w="1020" w:type="dxa"/>
            <w:vAlign w:val="bottom"/>
            <w:gridSpan w:val="3"/>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rPr>
              <w:t>Guarantor</w:t>
            </w:r>
          </w:p>
        </w:tc>
        <w:tc>
          <w:tcPr>
            <w:tcW w:w="100" w:type="dxa"/>
            <w:vAlign w:val="bottom"/>
          </w:tcPr>
          <w:p>
            <w:pPr>
              <w:spacing w:after="0"/>
              <w:rPr>
                <w:sz w:val="4"/>
                <w:szCs w:val="4"/>
                <w:color w:val="auto"/>
              </w:rPr>
            </w:pPr>
          </w:p>
        </w:tc>
        <w:tc>
          <w:tcPr>
            <w:tcW w:w="1040" w:type="dxa"/>
            <w:vAlign w:val="bottom"/>
            <w:gridSpan w:val="2"/>
            <w:vMerge w:val="restart"/>
          </w:tcPr>
          <w:p>
            <w:pPr>
              <w:jc w:val="center"/>
              <w:ind w:right="200"/>
              <w:spacing w:after="0" w:line="113"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4"/>
                <w:szCs w:val="4"/>
                <w:color w:val="auto"/>
              </w:rPr>
            </w:pPr>
          </w:p>
        </w:tc>
        <w:tc>
          <w:tcPr>
            <w:tcW w:w="800" w:type="dxa"/>
            <w:vAlign w:val="bottom"/>
            <w:vMerge w:val="restart"/>
          </w:tcPr>
          <w:p>
            <w:pPr>
              <w:jc w:val="center"/>
              <w:ind w:right="118"/>
              <w:spacing w:after="0" w:line="113" w:lineRule="exact"/>
              <w:rPr>
                <w:sz w:val="20"/>
                <w:szCs w:val="20"/>
                <w:color w:val="auto"/>
              </w:rPr>
            </w:pPr>
            <w:r>
              <w:rPr>
                <w:rFonts w:ascii="Arial" w:cs="Arial" w:eastAsia="Arial" w:hAnsi="Arial"/>
                <w:sz w:val="13"/>
                <w:szCs w:val="13"/>
                <w:b w:val="1"/>
                <w:bCs w:val="1"/>
                <w:color w:val="auto"/>
              </w:rPr>
              <w:t>MVW</w:t>
            </w:r>
          </w:p>
        </w:tc>
        <w:tc>
          <w:tcPr>
            <w:tcW w:w="0" w:type="dxa"/>
            <w:vAlign w:val="bottom"/>
          </w:tcPr>
          <w:p>
            <w:pPr>
              <w:spacing w:after="0"/>
              <w:rPr>
                <w:sz w:val="1"/>
                <w:szCs w:val="1"/>
                <w:color w:val="auto"/>
              </w:rPr>
            </w:pPr>
          </w:p>
        </w:tc>
      </w:tr>
      <w:tr>
        <w:trPr>
          <w:trHeight w:val="42"/>
        </w:trPr>
        <w:tc>
          <w:tcPr>
            <w:tcW w:w="2360" w:type="dxa"/>
            <w:vAlign w:val="bottom"/>
          </w:tcPr>
          <w:p>
            <w:pPr>
              <w:spacing w:after="0"/>
              <w:rPr>
                <w:sz w:val="3"/>
                <w:szCs w:val="3"/>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MVWC</w:t>
            </w:r>
          </w:p>
        </w:tc>
        <w:tc>
          <w:tcPr>
            <w:tcW w:w="120" w:type="dxa"/>
            <w:vAlign w:val="bottom"/>
            <w:gridSpan w:val="2"/>
            <w:vMerge w:val="restart"/>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jc w:val="right"/>
              <w:ind w:right="38"/>
              <w:spacing w:after="0"/>
              <w:rPr>
                <w:sz w:val="20"/>
                <w:szCs w:val="20"/>
                <w:color w:val="auto"/>
              </w:rPr>
            </w:pPr>
            <w:r>
              <w:rPr>
                <w:rFonts w:ascii="Arial" w:cs="Arial" w:eastAsia="Arial" w:hAnsi="Arial"/>
                <w:sz w:val="15"/>
                <w:szCs w:val="15"/>
                <w:b w:val="1"/>
                <w:bCs w:val="1"/>
                <w:color w:val="auto"/>
              </w:rPr>
              <w:t>MORI</w:t>
            </w:r>
          </w:p>
        </w:tc>
        <w:tc>
          <w:tcPr>
            <w:tcW w:w="140" w:type="dxa"/>
            <w:vAlign w:val="bottom"/>
            <w:gridSpan w:val="2"/>
            <w:vMerge w:val="restart"/>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700" w:type="dxa"/>
            <w:vAlign w:val="bottom"/>
            <w:tcBorders>
              <w:bottom w:val="single" w:sz="8" w:color="auto"/>
            </w:tcBorders>
            <w:gridSpan w:val="3"/>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91"/>
              </w:rPr>
              <w:t>Guarantors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91"/>
              </w:rPr>
              <w:t>Eliminations</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87"/>
              </w:rPr>
              <w:t>Accounts and contracts receivable,</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7"/>
                <w:szCs w:val="17"/>
                <w:color w:val="auto"/>
              </w:rPr>
              <w:t>Vacation ownership notes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7"/>
                <w:szCs w:val="17"/>
                <w:color w:val="auto"/>
              </w:rPr>
              <w:t>receivable, net</w:t>
            </w:r>
          </w:p>
        </w:tc>
        <w:tc>
          <w:tcPr>
            <w:tcW w:w="160" w:type="dxa"/>
            <w:vAlign w:val="bottom"/>
          </w:tcPr>
          <w:p>
            <w:pPr>
              <w:spacing w:after="0"/>
              <w:rPr>
                <w:sz w:val="19"/>
                <w:szCs w:val="19"/>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2,198</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1,139</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subsidiaries</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3,417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2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3,683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Advance deposits</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and benefits liability</w:t>
            </w:r>
          </w:p>
        </w:tc>
        <w:tc>
          <w:tcPr>
            <w:tcW w:w="16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w w:val="99"/>
              </w:rPr>
              <w:t>Deferred compensation liability</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16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Debt, net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1,125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1,876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3,088</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MVW shareholders' equity</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2,496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160" w:type="dxa"/>
            <w:vAlign w:val="bottom"/>
          </w:tcPr>
          <w:p>
            <w:pPr>
              <w:spacing w:after="0"/>
              <w:rPr>
                <w:sz w:val="20"/>
                <w:szCs w:val="20"/>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9"/>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3,683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180" w:type="dxa"/>
            <w:vAlign w:val="bottom"/>
            <w:gridSpan w:val="6"/>
          </w:tcPr>
          <w:p>
            <w:pPr>
              <w:spacing w:after="0"/>
              <w:rPr>
                <w:sz w:val="20"/>
                <w:szCs w:val="20"/>
                <w:color w:val="auto"/>
              </w:rPr>
            </w:pPr>
            <w:r>
              <w:rPr>
                <w:rFonts w:ascii="Arial" w:cs="Arial" w:eastAsia="Arial" w:hAnsi="Arial"/>
                <w:sz w:val="17"/>
                <w:szCs w:val="17"/>
                <w:i w:val="1"/>
                <w:iCs w:val="1"/>
                <w:color w:val="auto"/>
                <w:w w:val="88"/>
              </w:rPr>
              <w:t>Condensed Consolidating Statement of Income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w w:val="95"/>
              </w:rPr>
              <w:t>2022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6"/>
            <w:vMerge w:val="restart"/>
          </w:tcPr>
          <w:p>
            <w:pPr>
              <w:ind w:left="360"/>
              <w:spacing w:after="0"/>
              <w:rPr>
                <w:sz w:val="20"/>
                <w:szCs w:val="20"/>
                <w:color w:val="auto"/>
              </w:rPr>
            </w:pPr>
            <w:r>
              <w:rPr>
                <w:rFonts w:ascii="Arial" w:cs="Arial" w:eastAsia="Arial" w:hAnsi="Arial"/>
                <w:sz w:val="15"/>
                <w:szCs w:val="15"/>
                <w:b w:val="1"/>
                <w:bCs w:val="1"/>
                <w:color w:val="auto"/>
              </w:rPr>
              <w:t>Issuers</w:t>
            </w:r>
          </w:p>
        </w:tc>
        <w:tc>
          <w:tcPr>
            <w:tcW w:w="14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5" w:lineRule="exact"/>
              <w:rPr>
                <w:sz w:val="20"/>
                <w:szCs w:val="20"/>
                <w:color w:val="auto"/>
              </w:rPr>
            </w:pPr>
            <w:r>
              <w:rPr>
                <w:rFonts w:ascii="Arial" w:cs="Arial" w:eastAsia="Arial" w:hAnsi="Arial"/>
                <w:sz w:val="15"/>
                <w:szCs w:val="15"/>
                <w:b w:val="1"/>
                <w:bCs w:val="1"/>
                <w:color w:val="auto"/>
                <w:w w:val="93"/>
              </w:rPr>
              <w:t>Non-</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6"/>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06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Senior Notes</w:t>
            </w: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1"/>
                <w:szCs w:val="11"/>
                <w:color w:val="auto"/>
              </w:rPr>
            </w:pPr>
          </w:p>
        </w:tc>
        <w:tc>
          <w:tcPr>
            <w:tcW w:w="800" w:type="dxa"/>
            <w:vAlign w:val="bottom"/>
          </w:tcPr>
          <w:p>
            <w:pPr>
              <w:jc w:val="center"/>
              <w:ind w:right="118"/>
              <w:spacing w:after="0" w:line="129" w:lineRule="exact"/>
              <w:rPr>
                <w:sz w:val="20"/>
                <w:szCs w:val="20"/>
                <w:color w:val="auto"/>
              </w:rPr>
            </w:pPr>
            <w:r>
              <w:rPr>
                <w:rFonts w:ascii="Arial" w:cs="Arial" w:eastAsia="Arial" w:hAnsi="Arial"/>
                <w:sz w:val="14"/>
                <w:szCs w:val="14"/>
                <w:b w:val="1"/>
                <w:bCs w:val="1"/>
                <w:color w:val="auto"/>
              </w:rPr>
              <w:t>MVW</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MVWC</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rPr>
              <w:t>MORI</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Guarantors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5"/>
                <w:szCs w:val="15"/>
                <w:b w:val="1"/>
                <w:bCs w:val="1"/>
                <w:color w:val="auto"/>
                <w:w w:val="87"/>
              </w:rPr>
              <w:t>Subsidiaries</w:t>
            </w:r>
          </w:p>
        </w:tc>
        <w:tc>
          <w:tcPr>
            <w:tcW w:w="140" w:type="dxa"/>
            <w:vAlign w:val="bottom"/>
            <w:tcBorders>
              <w:bottom w:val="single" w:sz="8" w:color="CCEEFF"/>
            </w:tcBorders>
            <w:gridSpan w:val="2"/>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Eliminations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4,656</w:t>
            </w:r>
          </w:p>
        </w:tc>
        <w:tc>
          <w:tcPr>
            <w:tcW w:w="0" w:type="dxa"/>
            <w:vAlign w:val="bottom"/>
          </w:tcPr>
          <w:p>
            <w:pPr>
              <w:spacing w:after="0"/>
              <w:rPr>
                <w:sz w:val="1"/>
                <w:szCs w:val="1"/>
                <w:color w:val="auto"/>
              </w:rPr>
            </w:pP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Expenses</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(1,066)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(4,074)</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Benefit from (provision for)</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7"/>
                <w:szCs w:val="17"/>
                <w:color w:val="auto"/>
              </w:rPr>
              <w:t>Equity in net income (loss) of</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7"/>
                <w:szCs w:val="17"/>
                <w:color w:val="auto"/>
              </w:rPr>
              <w:t>subsidiaries</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7"/>
                <w:szCs w:val="17"/>
                <w:color w:val="auto"/>
              </w:rPr>
              <w:t>Net income attributable to</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160" w:type="dxa"/>
            <w:vAlign w:val="bottom"/>
          </w:tcPr>
          <w:p>
            <w:pPr>
              <w:spacing w:after="0"/>
              <w:rPr>
                <w:sz w:val="19"/>
                <w:szCs w:val="19"/>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attributable to</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1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shareholders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See Footnote 2 “Summary of Significant Accounting Policies” to our Financial Statements for information regarding accounting standards adopted in 2022 and other new accounting standards that were issued but not effective as of December 31, 2022.</w:t>
      </w:r>
    </w:p>
    <w:p>
      <w:pPr>
        <w:sectPr>
          <w:pgSz w:w="11900" w:h="16838" w:orient="portrait"/>
          <w:cols w:equalWidth="0" w:num="1">
            <w:col w:w="10960"/>
          </w:cols>
          <w:pgMar w:left="320" w:top="1222"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85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60"/>
          </w:cols>
          <w:pgMar w:left="320" w:top="1222" w:right="61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07"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41" w:lineRule="exact"/>
        <w:rPr>
          <w:sz w:val="20"/>
          <w:szCs w:val="20"/>
          <w:color w:val="auto"/>
        </w:rPr>
      </w:pPr>
    </w:p>
    <w:p>
      <w:pPr>
        <w:ind w:right="460"/>
        <w:spacing w:after="0" w:line="254" w:lineRule="auto"/>
        <w:rPr>
          <w:sz w:val="20"/>
          <w:szCs w:val="20"/>
          <w:color w:val="auto"/>
        </w:rPr>
      </w:pPr>
      <w:r>
        <w:rPr>
          <w:rFonts w:ascii="Arial" w:cs="Arial" w:eastAsia="Arial" w:hAnsi="Arial"/>
          <w:sz w:val="17"/>
          <w:szCs w:val="17"/>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76"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See Footnote 2 “Summary of Significant Accounting Policies” to our Financial Statements for further information related to our critical accounting policies and estimates, which are as follows:</w:t>
      </w:r>
    </w:p>
    <w:p>
      <w:pPr>
        <w:spacing w:after="0" w:line="68" w:lineRule="exact"/>
        <w:rPr>
          <w:sz w:val="20"/>
          <w:szCs w:val="20"/>
          <w:color w:val="auto"/>
        </w:rPr>
      </w:pPr>
    </w:p>
    <w:p>
      <w:pPr>
        <w:ind w:left="600" w:right="100" w:hanging="302"/>
        <w:spacing w:after="0" w:line="295" w:lineRule="auto"/>
        <w:tabs>
          <w:tab w:leader="none" w:pos="596" w:val="left"/>
        </w:tabs>
        <w:numPr>
          <w:ilvl w:val="0"/>
          <w:numId w:val="19"/>
        </w:numPr>
        <w:rPr>
          <w:rFonts w:ascii="Arial" w:cs="Arial" w:eastAsia="Arial" w:hAnsi="Arial"/>
          <w:sz w:val="15"/>
          <w:szCs w:val="15"/>
          <w:i w:val="1"/>
          <w:iCs w:val="1"/>
          <w:color w:val="auto"/>
        </w:rPr>
      </w:pPr>
      <w:r>
        <w:rPr>
          <w:rFonts w:ascii="Arial" w:cs="Arial" w:eastAsia="Arial" w:hAnsi="Arial"/>
          <w:sz w:val="15"/>
          <w:szCs w:val="15"/>
          <w:i w:val="1"/>
          <w:iCs w:val="1"/>
          <w:color w:val="auto"/>
        </w:rPr>
        <w:t>Revenue recognition</w:t>
      </w:r>
      <w:r>
        <w:rPr>
          <w:rFonts w:ascii="Arial" w:cs="Arial" w:eastAsia="Arial" w:hAnsi="Arial"/>
          <w:sz w:val="15"/>
          <w:szCs w:val="15"/>
          <w:color w:val="auto"/>
        </w:rPr>
        <w:t>, including how we recognize revenue under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for the sale of vacation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including our estimates of variable consideration. Revisions to estimates of variable consideration from the sale of vacation ownership products impact the reserve on originated vacation ownership notes receivable and can increase or decrease revenue. See Footnote 6 “Vacation Ownership Notes Receivable” to our Financial Statements for further information on our assessments of our originated vacation ownership notes receivable reserve.</w:t>
      </w:r>
    </w:p>
    <w:p>
      <w:pPr>
        <w:spacing w:after="0" w:line="47" w:lineRule="exact"/>
        <w:rPr>
          <w:rFonts w:ascii="Arial" w:cs="Arial" w:eastAsia="Arial" w:hAnsi="Arial"/>
          <w:sz w:val="15"/>
          <w:szCs w:val="15"/>
          <w:i w:val="1"/>
          <w:iCs w:val="1"/>
          <w:color w:val="auto"/>
        </w:rPr>
      </w:pPr>
    </w:p>
    <w:p>
      <w:pPr>
        <w:ind w:left="600" w:right="140" w:hanging="302"/>
        <w:spacing w:after="0" w:line="369" w:lineRule="auto"/>
        <w:tabs>
          <w:tab w:leader="none" w:pos="596"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Purchase price allocations of business combinations</w:t>
      </w:r>
      <w:r>
        <w:rPr>
          <w:rFonts w:ascii="Arial" w:cs="Arial" w:eastAsia="Arial" w:hAnsi="Arial"/>
          <w:sz w:val="13"/>
          <w:szCs w:val="13"/>
          <w:color w:val="auto"/>
        </w:rPr>
        <w:t>, which is also discussed in Footnote 3 “Acquisitions and Dispositions” to our Financial Statements.</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Determining the fair value of the assets acquired and liabilities assumed as part of a business acquisition requires management to make significant judgements and estimates. On April 1, 2021, we acquired Welk (see Footnote 3 “Acquisitions and Dispositions” to our Financial Statements for further information).</w:t>
      </w:r>
    </w:p>
    <w:p>
      <w:pPr>
        <w:spacing w:after="0" w:line="7" w:lineRule="exact"/>
        <w:rPr>
          <w:rFonts w:ascii="Arial" w:cs="Arial" w:eastAsia="Arial" w:hAnsi="Arial"/>
          <w:sz w:val="13"/>
          <w:szCs w:val="13"/>
          <w:i w:val="1"/>
          <w:iCs w:val="1"/>
          <w:color w:val="auto"/>
        </w:rPr>
      </w:pPr>
    </w:p>
    <w:p>
      <w:pPr>
        <w:ind w:left="600" w:right="380" w:hanging="302"/>
        <w:spacing w:after="0" w:line="264" w:lineRule="auto"/>
        <w:tabs>
          <w:tab w:leader="none" w:pos="596"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Inventories and cost of vacation ownership products, </w:t>
      </w:r>
      <w:r>
        <w:rPr>
          <w:rFonts w:ascii="Arial" w:cs="Arial" w:eastAsia="Arial" w:hAnsi="Arial"/>
          <w:sz w:val="17"/>
          <w:szCs w:val="17"/>
          <w:color w:val="auto"/>
        </w:rPr>
        <w:t>which requires estimation of future revenues and product costs to apply a relative sales value method</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to the vacation ownership industry and how we evaluate the fair value of our vacation ownership inventory.</w:t>
      </w:r>
    </w:p>
    <w:p>
      <w:pPr>
        <w:spacing w:after="0" w:line="67" w:lineRule="exact"/>
        <w:rPr>
          <w:rFonts w:ascii="Arial" w:cs="Arial" w:eastAsia="Arial" w:hAnsi="Arial"/>
          <w:sz w:val="17"/>
          <w:szCs w:val="17"/>
          <w:i w:val="1"/>
          <w:iCs w:val="1"/>
          <w:color w:val="auto"/>
        </w:rPr>
      </w:pPr>
    </w:p>
    <w:p>
      <w:pPr>
        <w:ind w:left="600" w:hanging="302"/>
        <w:spacing w:after="0" w:line="295" w:lineRule="auto"/>
        <w:tabs>
          <w:tab w:leader="none" w:pos="596" w:val="left"/>
        </w:tabs>
        <w:numPr>
          <w:ilvl w:val="0"/>
          <w:numId w:val="1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Valuation of goodwill and other intangible assets, </w:t>
      </w:r>
      <w:r>
        <w:rPr>
          <w:rFonts w:ascii="Arial" w:cs="Arial" w:eastAsia="Arial" w:hAnsi="Arial"/>
          <w:sz w:val="15"/>
          <w:szCs w:val="15"/>
          <w:color w:val="auto"/>
        </w:rPr>
        <w:t>including how we determine the fair value of goodwill and our other intangible assets and reporting units, and</w:t>
      </w:r>
      <w:r>
        <w:rPr>
          <w:rFonts w:ascii="Arial" w:cs="Arial" w:eastAsia="Arial" w:hAnsi="Arial"/>
          <w:sz w:val="15"/>
          <w:szCs w:val="15"/>
          <w:i w:val="1"/>
          <w:iCs w:val="1"/>
          <w:color w:val="auto"/>
        </w:rPr>
        <w:t xml:space="preserve"> </w:t>
      </w:r>
      <w:r>
        <w:rPr>
          <w:rFonts w:ascii="Arial" w:cs="Arial" w:eastAsia="Arial" w:hAnsi="Arial"/>
          <w:sz w:val="15"/>
          <w:szCs w:val="15"/>
          <w:color w:val="auto"/>
        </w:rPr>
        <w:t>how we determine when an impairment loss should be recorded. During the fourth quarter of 2022, we conducted our annual goodwill impairment test and did not record any impairment charges. The estimated fair values of our reporting units exceeded their carrying amounts at the date of their most recent estimated fair value determination. During 2022, we evaluated our other intangible assets for impairment and did not record any impairment charges.</w:t>
      </w:r>
    </w:p>
    <w:p>
      <w:pPr>
        <w:spacing w:after="0" w:line="47" w:lineRule="exact"/>
        <w:rPr>
          <w:rFonts w:ascii="Arial" w:cs="Arial" w:eastAsia="Arial" w:hAnsi="Arial"/>
          <w:sz w:val="15"/>
          <w:szCs w:val="15"/>
          <w:i w:val="1"/>
          <w:iCs w:val="1"/>
          <w:color w:val="auto"/>
        </w:rPr>
      </w:pPr>
    </w:p>
    <w:p>
      <w:pPr>
        <w:ind w:left="600" w:right="260" w:hanging="302"/>
        <w:spacing w:after="0" w:line="251" w:lineRule="auto"/>
        <w:tabs>
          <w:tab w:leader="none" w:pos="596"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Accounting for acquired vacation ownership notes receivable</w:t>
      </w:r>
      <w:r>
        <w:rPr>
          <w:rFonts w:ascii="Arial" w:cs="Arial" w:eastAsia="Arial" w:hAnsi="Arial"/>
          <w:sz w:val="17"/>
          <w:szCs w:val="17"/>
          <w:color w:val="auto"/>
        </w:rPr>
        <w:t>, where estimates of future cash flows are based largely on the customer class and the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static pool analysis. In addition, the valuation of acquired vacation ownership notes receivable includes a material estimate of the fair value of the underlying collateral which would be retained in the event of customer default. See further discussion included in Footnote 6 “Vacation Ownership Notes Receivable” to our Financial Statements.</w:t>
      </w:r>
    </w:p>
    <w:p>
      <w:pPr>
        <w:spacing w:after="0" w:line="78" w:lineRule="exact"/>
        <w:rPr>
          <w:rFonts w:ascii="Arial" w:cs="Arial" w:eastAsia="Arial" w:hAnsi="Arial"/>
          <w:sz w:val="17"/>
          <w:szCs w:val="17"/>
          <w:i w:val="1"/>
          <w:iCs w:val="1"/>
          <w:color w:val="auto"/>
        </w:rPr>
      </w:pPr>
    </w:p>
    <w:p>
      <w:pPr>
        <w:ind w:left="600" w:right="80" w:hanging="302"/>
        <w:spacing w:after="0" w:line="251" w:lineRule="auto"/>
        <w:tabs>
          <w:tab w:leader="none" w:pos="596"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Loss contingencies</w:t>
      </w:r>
      <w:r>
        <w:rPr>
          <w:rFonts w:ascii="Arial" w:cs="Arial" w:eastAsia="Arial" w:hAnsi="Arial"/>
          <w:sz w:val="17"/>
          <w:szCs w:val="17"/>
          <w:color w:val="auto"/>
        </w:rPr>
        <w:t>, including information on how we account for loss contingencies. Accruals for contingent liabilities are recorded when it is probable that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has been incurred, or an asset impaired, and the amount of the loss can be reasonably estimated. Liabilities accrued for legal matters require judgments regarding projected outcomes and range of loss based on historical litigation and settlement experience, recommendations of legal counsel and, if applicable, other experts.</w:t>
      </w:r>
    </w:p>
    <w:p>
      <w:pPr>
        <w:spacing w:after="0" w:line="78" w:lineRule="exact"/>
        <w:rPr>
          <w:rFonts w:ascii="Arial" w:cs="Arial" w:eastAsia="Arial" w:hAnsi="Arial"/>
          <w:sz w:val="17"/>
          <w:szCs w:val="17"/>
          <w:i w:val="1"/>
          <w:iCs w:val="1"/>
          <w:color w:val="auto"/>
        </w:rPr>
      </w:pPr>
    </w:p>
    <w:p>
      <w:pPr>
        <w:ind w:left="600" w:right="20" w:hanging="302"/>
        <w:spacing w:after="0" w:line="249" w:lineRule="auto"/>
        <w:tabs>
          <w:tab w:leader="none" w:pos="596"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including the accounting related to uncertain tax positions and the determination of valuation allowances on our deferred tax assets.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and measurement of uncertain tax positions involves consideration of the amounts and probabilities of various outcomes that could be realized upon ultimate resolution. 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67" w:name="page68"/>
    <w:bookmarkEnd w:id="67"/>
    <w:p>
      <w:pPr>
        <w:spacing w:after="0"/>
        <w:tabs>
          <w:tab w:leader="none" w:pos="7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Quantitative and Qualitative Disclosures About Market Risk.</w:t>
      </w:r>
    </w:p>
    <w:p>
      <w:pPr>
        <w:spacing w:after="0" w:line="103" w:lineRule="exact"/>
        <w:rPr>
          <w:sz w:val="20"/>
          <w:szCs w:val="20"/>
          <w:color w:val="auto"/>
        </w:rPr>
      </w:pPr>
    </w:p>
    <w:p>
      <w:pPr>
        <w:ind w:right="160"/>
        <w:spacing w:after="0" w:line="331" w:lineRule="auto"/>
        <w:rPr>
          <w:sz w:val="20"/>
          <w:szCs w:val="20"/>
          <w:color w:val="auto"/>
        </w:rPr>
      </w:pPr>
      <w:r>
        <w:rPr>
          <w:rFonts w:ascii="Arial" w:cs="Arial" w:eastAsia="Arial" w:hAnsi="Arial"/>
          <w:sz w:val="15"/>
          <w:szCs w:val="15"/>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22" w:lineRule="exact"/>
        <w:rPr>
          <w:sz w:val="20"/>
          <w:szCs w:val="20"/>
          <w:color w:val="auto"/>
        </w:rPr>
      </w:pPr>
    </w:p>
    <w:p>
      <w:pPr>
        <w:jc w:val="both"/>
        <w:ind w:right="260"/>
        <w:spacing w:after="0" w:line="304" w:lineRule="auto"/>
        <w:rPr>
          <w:sz w:val="20"/>
          <w:szCs w:val="20"/>
          <w:color w:val="auto"/>
        </w:rPr>
      </w:pPr>
      <w:r>
        <w:rPr>
          <w:rFonts w:ascii="Arial" w:cs="Arial" w:eastAsia="Arial" w:hAnsi="Arial"/>
          <w:sz w:val="15"/>
          <w:szCs w:val="15"/>
          <w:color w:val="auto"/>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vacation ownership notes receivable and our fixed-rate debt.</w:t>
      </w:r>
    </w:p>
    <w:p>
      <w:pPr>
        <w:spacing w:after="0" w:line="41"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As of December 31, 2022, approximately $784 million of our gross aggregate consolidated indebtedness (our Term Loan) was indexed to the USD London Interbank Offered Rate (“LIBOR”) and we were party to $550 million of derivative instruments indexed to LIBOR. The U.K. authority that regulates LIBOR announced that it will no longer permit new LIBOR contracts after December 31, 2021, and will not compel banks to submit rates for the calculation of LIBOR after June 2023. We intend to amend our Term Loan and derivative instruments to reference an alternative benchmark rate prior to the cessation of LIBOR. The use of an alternative benchmark rate could cause our interest expense to increase, which could adversely affect our financial condition, operating results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scheduled maturities and the total fair value as of year-end 2022 for our financial instruments that are impacted by market risks: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200"/>
              <w:spacing w:after="0"/>
              <w:rPr>
                <w:sz w:val="20"/>
                <w:szCs w:val="20"/>
                <w:color w:val="auto"/>
              </w:rPr>
            </w:pPr>
            <w:r>
              <w:rPr>
                <w:rFonts w:ascii="Arial" w:cs="Arial" w:eastAsia="Arial" w:hAnsi="Arial"/>
                <w:sz w:val="13"/>
                <w:szCs w:val="13"/>
                <w:b w:val="1"/>
                <w:bCs w:val="1"/>
                <w:color w:val="auto"/>
                <w:w w:val="99"/>
              </w:rPr>
              <w:t>Maturities by Period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70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89"/>
              </w:rPr>
              <w:t>Average</w:t>
            </w:r>
          </w:p>
        </w:tc>
        <w:tc>
          <w:tcPr>
            <w:tcW w:w="60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2"/>
                <w:szCs w:val="12"/>
                <w:color w:val="auto"/>
              </w:rPr>
            </w:pPr>
          </w:p>
        </w:tc>
        <w:tc>
          <w:tcPr>
            <w:tcW w:w="64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2"/>
                <w:szCs w:val="12"/>
                <w:color w:val="auto"/>
              </w:rPr>
            </w:pPr>
          </w:p>
        </w:tc>
        <w:tc>
          <w:tcPr>
            <w:tcW w:w="62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2"/>
                <w:szCs w:val="12"/>
                <w:color w:val="auto"/>
              </w:rPr>
            </w:pPr>
          </w:p>
        </w:tc>
        <w:tc>
          <w:tcPr>
            <w:tcW w:w="62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2"/>
                <w:szCs w:val="12"/>
                <w:color w:val="auto"/>
              </w:rPr>
            </w:pPr>
          </w:p>
        </w:tc>
        <w:tc>
          <w:tcPr>
            <w:tcW w:w="60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Thereafter</w:t>
            </w:r>
          </w:p>
        </w:tc>
        <w:tc>
          <w:tcPr>
            <w:tcW w:w="80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89"/>
              </w:rPr>
              <w:t>Total</w:t>
            </w: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7"/>
        </w:trPr>
        <w:tc>
          <w:tcPr>
            <w:tcW w:w="16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 in millions)</w:t>
            </w:r>
          </w:p>
        </w:tc>
        <w:tc>
          <w:tcPr>
            <w:tcW w:w="70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3"/>
              </w:rPr>
              <w:t>Interest</w:t>
            </w: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7"/>
              </w:rPr>
              <w:t>Carrying</w:t>
            </w:r>
          </w:p>
        </w:tc>
        <w:tc>
          <w:tcPr>
            <w:tcW w:w="6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9"/>
        </w:trPr>
        <w:tc>
          <w:tcPr>
            <w:tcW w:w="1600" w:type="dxa"/>
            <w:vAlign w:val="bottom"/>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309870" cy="158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Assets – Maturities represent expected principal receipts; fair values represent assets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Vacation ownership notes</w:t>
      </w:r>
    </w:p>
    <w:p>
      <w:pPr>
        <w:ind w:left="20" w:right="2940"/>
        <w:spacing w:after="0"/>
        <w:rPr>
          <w:sz w:val="20"/>
          <w:szCs w:val="20"/>
          <w:color w:val="auto"/>
        </w:rPr>
      </w:pPr>
      <w:r>
        <w:rPr>
          <w:rFonts w:ascii="Arial" w:cs="Arial" w:eastAsia="Arial" w:hAnsi="Arial"/>
          <w:sz w:val="15"/>
          <w:szCs w:val="15"/>
          <w:color w:val="auto"/>
        </w:rPr>
        <w:t>receivable — non- 12.6% $ 52 $ 38 $ 35 $ 33 $ 32 $ 216 $ 406 $ 408 securitized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309870" cy="2527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309870" cy="252730"/>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sectPr>
      </w:pP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620" w:type="dxa"/>
            <w:vAlign w:val="bottom"/>
          </w:tcPr>
          <w:p>
            <w:pPr>
              <w:spacing w:after="0"/>
              <w:rPr>
                <w:sz w:val="20"/>
                <w:szCs w:val="20"/>
                <w:color w:val="auto"/>
              </w:rPr>
            </w:pPr>
            <w:r>
              <w:rPr>
                <w:rFonts w:ascii="Arial" w:cs="Arial" w:eastAsia="Arial" w:hAnsi="Arial"/>
                <w:sz w:val="15"/>
                <w:szCs w:val="15"/>
                <w:color w:val="auto"/>
                <w:w w:val="93"/>
              </w:rPr>
              <w:t>Vacation ownership notes</w:t>
            </w:r>
          </w:p>
        </w:tc>
        <w:tc>
          <w:tcPr>
            <w:tcW w:w="580" w:type="dxa"/>
            <w:vAlign w:val="bottom"/>
            <w:vMerge w:val="restart"/>
          </w:tcPr>
          <w:p>
            <w:pPr>
              <w:jc w:val="right"/>
              <w:ind w:right="45"/>
              <w:spacing w:after="0"/>
              <w:rPr>
                <w:sz w:val="20"/>
                <w:szCs w:val="20"/>
                <w:color w:val="auto"/>
              </w:rPr>
            </w:pPr>
            <w:r>
              <w:rPr>
                <w:rFonts w:ascii="Arial" w:cs="Arial" w:eastAsia="Arial" w:hAnsi="Arial"/>
                <w:sz w:val="15"/>
                <w:szCs w:val="15"/>
                <w:color w:val="auto"/>
              </w:rPr>
              <w:t>13.2%</w:t>
            </w:r>
          </w:p>
        </w:tc>
        <w:tc>
          <w:tcPr>
            <w:tcW w:w="740" w:type="dxa"/>
            <w:vAlign w:val="bottom"/>
            <w:vMerge w:val="restart"/>
          </w:tcPr>
          <w:p>
            <w:pPr>
              <w:jc w:val="right"/>
              <w:ind w:right="45"/>
              <w:spacing w:after="0"/>
              <w:rPr>
                <w:sz w:val="20"/>
                <w:szCs w:val="20"/>
                <w:color w:val="auto"/>
              </w:rPr>
            </w:pPr>
            <w:r>
              <w:rPr>
                <w:rFonts w:ascii="Arial" w:cs="Arial" w:eastAsia="Arial" w:hAnsi="Arial"/>
                <w:sz w:val="15"/>
                <w:szCs w:val="15"/>
                <w:color w:val="auto"/>
              </w:rPr>
              <w:t>$   171</w:t>
            </w: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440" w:type="dxa"/>
            <w:vAlign w:val="bottom"/>
            <w:vMerge w:val="restart"/>
          </w:tcPr>
          <w:p>
            <w:pPr>
              <w:jc w:val="right"/>
              <w:ind w:right="25"/>
              <w:spacing w:after="0"/>
              <w:rPr>
                <w:sz w:val="20"/>
                <w:szCs w:val="20"/>
                <w:color w:val="auto"/>
              </w:rPr>
            </w:pPr>
            <w:r>
              <w:rPr>
                <w:rFonts w:ascii="Arial" w:cs="Arial" w:eastAsia="Arial" w:hAnsi="Arial"/>
                <w:sz w:val="15"/>
                <w:szCs w:val="15"/>
                <w:color w:val="auto"/>
              </w:rPr>
              <w:t>175</w:t>
            </w: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vMerge w:val="restart"/>
          </w:tcPr>
          <w:p>
            <w:pPr>
              <w:jc w:val="right"/>
              <w:ind w:right="45"/>
              <w:spacing w:after="0"/>
              <w:rPr>
                <w:sz w:val="20"/>
                <w:szCs w:val="20"/>
                <w:color w:val="auto"/>
              </w:rPr>
            </w:pPr>
            <w:r>
              <w:rPr>
                <w:rFonts w:ascii="Arial" w:cs="Arial" w:eastAsia="Arial" w:hAnsi="Arial"/>
                <w:sz w:val="15"/>
                <w:szCs w:val="15"/>
                <w:color w:val="auto"/>
              </w:rPr>
              <w:t>177</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460" w:type="dxa"/>
            <w:vAlign w:val="bottom"/>
            <w:vMerge w:val="restart"/>
          </w:tcPr>
          <w:p>
            <w:pPr>
              <w:jc w:val="right"/>
              <w:ind w:right="45"/>
              <w:spacing w:after="0"/>
              <w:rPr>
                <w:sz w:val="20"/>
                <w:szCs w:val="20"/>
                <w:color w:val="auto"/>
              </w:rPr>
            </w:pPr>
            <w:r>
              <w:rPr>
                <w:rFonts w:ascii="Arial" w:cs="Arial" w:eastAsia="Arial" w:hAnsi="Arial"/>
                <w:sz w:val="15"/>
                <w:szCs w:val="15"/>
                <w:color w:val="auto"/>
              </w:rPr>
              <w:t>181</w:t>
            </w:r>
          </w:p>
        </w:tc>
        <w:tc>
          <w:tcPr>
            <w:tcW w:w="700" w:type="dxa"/>
            <w:vAlign w:val="bottom"/>
            <w:vMerge w:val="restart"/>
          </w:tcPr>
          <w:p>
            <w:pPr>
              <w:jc w:val="right"/>
              <w:ind w:right="25"/>
              <w:spacing w:after="0"/>
              <w:rPr>
                <w:sz w:val="20"/>
                <w:szCs w:val="20"/>
                <w:color w:val="auto"/>
              </w:rPr>
            </w:pPr>
            <w:r>
              <w:rPr>
                <w:rFonts w:ascii="Arial" w:cs="Arial" w:eastAsia="Arial" w:hAnsi="Arial"/>
                <w:sz w:val="15"/>
                <w:szCs w:val="15"/>
                <w:color w:val="auto"/>
              </w:rPr>
              <w:t>$   180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9"/>
        </w:trPr>
        <w:tc>
          <w:tcPr>
            <w:tcW w:w="1620" w:type="dxa"/>
            <w:vAlign w:val="bottom"/>
            <w:vMerge w:val="restart"/>
          </w:tcPr>
          <w:p>
            <w:pPr>
              <w:spacing w:after="0"/>
              <w:rPr>
                <w:sz w:val="20"/>
                <w:szCs w:val="20"/>
                <w:color w:val="auto"/>
              </w:rPr>
            </w:pPr>
            <w:r>
              <w:rPr>
                <w:rFonts w:ascii="Arial" w:cs="Arial" w:eastAsia="Arial" w:hAnsi="Arial"/>
                <w:sz w:val="15"/>
                <w:szCs w:val="15"/>
                <w:color w:val="auto"/>
                <w:w w:val="97"/>
              </w:rPr>
              <w:t>receivable — securitized</w:t>
            </w:r>
          </w:p>
        </w:tc>
        <w:tc>
          <w:tcPr>
            <w:tcW w:w="5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ind w:left="200"/>
        <w:spacing w:after="0"/>
        <w:rPr>
          <w:sz w:val="20"/>
          <w:szCs w:val="20"/>
          <w:color w:val="auto"/>
        </w:rPr>
      </w:pPr>
      <w:r>
        <w:rPr>
          <w:rFonts w:ascii="Arial" w:cs="Arial" w:eastAsia="Arial" w:hAnsi="Arial"/>
          <w:sz w:val="13"/>
          <w:szCs w:val="13"/>
          <w:b w:val="1"/>
          <w:bCs w:val="1"/>
          <w:color w:val="auto"/>
        </w:rPr>
        <w:t>Liabilities – Maturities represent expected principal payments; fair values represent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5309870" cy="158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1340" w:type="dxa"/>
            <w:vAlign w:val="bottom"/>
          </w:tcPr>
          <w:p>
            <w:pPr>
              <w:spacing w:after="0"/>
              <w:rPr>
                <w:sz w:val="20"/>
                <w:szCs w:val="20"/>
                <w:color w:val="auto"/>
              </w:rPr>
            </w:pPr>
            <w:r>
              <w:rPr>
                <w:rFonts w:ascii="Arial" w:cs="Arial" w:eastAsia="Arial" w:hAnsi="Arial"/>
                <w:sz w:val="15"/>
                <w:szCs w:val="15"/>
                <w:color w:val="auto"/>
              </w:rPr>
              <w:t>Securitized debt</w:t>
            </w:r>
          </w:p>
        </w:tc>
        <w:tc>
          <w:tcPr>
            <w:tcW w:w="840" w:type="dxa"/>
            <w:vAlign w:val="bottom"/>
          </w:tcPr>
          <w:p>
            <w:pPr>
              <w:jc w:val="right"/>
              <w:ind w:right="65"/>
              <w:spacing w:after="0"/>
              <w:rPr>
                <w:sz w:val="20"/>
                <w:szCs w:val="20"/>
                <w:color w:val="auto"/>
              </w:rPr>
            </w:pPr>
            <w:r>
              <w:rPr>
                <w:rFonts w:ascii="Arial" w:cs="Arial" w:eastAsia="Arial" w:hAnsi="Arial"/>
                <w:sz w:val="15"/>
                <w:szCs w:val="15"/>
                <w:color w:val="auto"/>
              </w:rPr>
              <w:t>3.5%</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  (185)</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  (189)</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  (328)</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  (186)</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  (184)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9"/>
        </w:trPr>
        <w:tc>
          <w:tcPr>
            <w:tcW w:w="1340" w:type="dxa"/>
            <w:vAlign w:val="bottom"/>
          </w:tcPr>
          <w:p>
            <w:pPr>
              <w:spacing w:after="0"/>
              <w:rPr>
                <w:sz w:val="20"/>
                <w:szCs w:val="20"/>
                <w:color w:val="auto"/>
              </w:rPr>
            </w:pPr>
            <w:r>
              <w:rPr>
                <w:rFonts w:ascii="Arial" w:cs="Arial" w:eastAsia="Arial" w:hAnsi="Arial"/>
                <w:sz w:val="15"/>
                <w:szCs w:val="15"/>
                <w:color w:val="auto"/>
              </w:rPr>
              <w:t>Senior notes</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60"/>
        <w:spacing w:after="0"/>
        <w:tabs>
          <w:tab w:leader="none" w:pos="480" w:val="left"/>
          <w:tab w:leader="none" w:pos="740" w:val="left"/>
          <w:tab w:leader="none" w:pos="1280" w:val="left"/>
          <w:tab w:leader="none" w:pos="1540" w:val="left"/>
        </w:tabs>
        <w:rPr>
          <w:sz w:val="20"/>
          <w:szCs w:val="20"/>
          <w:color w:val="auto"/>
        </w:rPr>
      </w:pPr>
      <w:r>
        <w:rPr>
          <w:rFonts w:ascii="Arial" w:cs="Arial" w:eastAsia="Arial" w:hAnsi="Arial"/>
          <w:sz w:val="15"/>
          <w:szCs w:val="15"/>
          <w:color w:val="auto"/>
        </w:rPr>
        <w:t>908</w:t>
        <w:tab/>
        <w:t>$</w:t>
        <w:tab/>
        <w:t>1,792</w:t>
        <w:tab/>
        <w:t>$</w:t>
      </w:r>
      <w:r>
        <w:rPr>
          <w:sz w:val="20"/>
          <w:szCs w:val="20"/>
          <w:color w:val="auto"/>
        </w:rPr>
        <w:tab/>
      </w:r>
      <w:r>
        <w:rPr>
          <w:rFonts w:ascii="Arial" w:cs="Arial" w:eastAsia="Arial" w:hAnsi="Arial"/>
          <w:sz w:val="12"/>
          <w:szCs w:val="12"/>
          <w:color w:val="auto"/>
        </w:rPr>
        <w:t>1,837</w:t>
      </w:r>
    </w:p>
    <w:p>
      <w:pPr>
        <w:spacing w:after="0" w:line="400" w:lineRule="exact"/>
        <w:rPr>
          <w:sz w:val="20"/>
          <w:szCs w:val="20"/>
          <w:color w:val="auto"/>
        </w:rPr>
      </w:pPr>
    </w:p>
    <w:p>
      <w:pPr>
        <w:spacing w:after="0"/>
        <w:tabs>
          <w:tab w:leader="none" w:pos="480" w:val="left"/>
          <w:tab w:leader="none" w:pos="680" w:val="left"/>
          <w:tab w:leader="none" w:pos="1280" w:val="left"/>
        </w:tabs>
        <w:rPr>
          <w:sz w:val="20"/>
          <w:szCs w:val="20"/>
          <w:color w:val="auto"/>
        </w:rPr>
      </w:pPr>
      <w:r>
        <w:rPr>
          <w:rFonts w:ascii="Arial" w:cs="Arial" w:eastAsia="Arial" w:hAnsi="Arial"/>
          <w:sz w:val="15"/>
          <w:szCs w:val="15"/>
          <w:color w:val="auto"/>
        </w:rPr>
        <w:t>(889)</w:t>
        <w:tab/>
        <w:t>$</w:t>
        <w:tab/>
        <w:t>(1,961)</w:t>
      </w:r>
      <w:r>
        <w:rPr>
          <w:sz w:val="20"/>
          <w:szCs w:val="20"/>
          <w:color w:val="auto"/>
        </w:rPr>
        <w:tab/>
      </w:r>
      <w:r>
        <w:rPr>
          <w:rFonts w:ascii="Arial" w:cs="Arial" w:eastAsia="Arial" w:hAnsi="Arial"/>
          <w:sz w:val="14"/>
          <w:szCs w:val="14"/>
          <w:color w:val="auto"/>
        </w:rPr>
        <w:t>$  (1,828)</w:t>
      </w:r>
    </w:p>
    <w:p>
      <w:pPr>
        <w:spacing w:after="0" w:line="310" w:lineRule="exact"/>
        <w:rPr>
          <w:sz w:val="20"/>
          <w:szCs w:val="20"/>
          <w:color w:val="auto"/>
        </w:rPr>
      </w:pPr>
    </w:p>
    <w:p>
      <w:pPr>
        <w:sectPr>
          <w:pgSz w:w="11900" w:h="16838" w:orient="portrait"/>
          <w:cols w:equalWidth="0" w:num="2">
            <w:col w:w="6180" w:space="220"/>
            <w:col w:w="4820"/>
          </w:cols>
          <w:pgMar w:left="320" w:top="1218" w:right="35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1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2025 Notes</w:t>
            </w: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6.1%</w:t>
            </w:r>
          </w:p>
        </w:tc>
        <w:tc>
          <w:tcPr>
            <w:tcW w:w="2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(250)</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(250)</w:t>
            </w:r>
          </w:p>
        </w:tc>
        <w:tc>
          <w:tcPr>
            <w:tcW w:w="2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46"/>
        </w:trPr>
        <w:tc>
          <w:tcPr>
            <w:tcW w:w="1640" w:type="dxa"/>
            <w:vAlign w:val="bottom"/>
          </w:tcPr>
          <w:p>
            <w:pPr>
              <w:ind w:left="200"/>
              <w:spacing w:after="0"/>
              <w:rPr>
                <w:sz w:val="20"/>
                <w:szCs w:val="20"/>
                <w:color w:val="auto"/>
              </w:rPr>
            </w:pPr>
            <w:r>
              <w:rPr>
                <w:rFonts w:ascii="Arial" w:cs="Arial" w:eastAsia="Arial" w:hAnsi="Arial"/>
                <w:sz w:val="15"/>
                <w:szCs w:val="15"/>
                <w:color w:val="auto"/>
              </w:rPr>
              <w:t>2028 Notes</w:t>
            </w:r>
          </w:p>
        </w:tc>
        <w:tc>
          <w:tcPr>
            <w:tcW w:w="560" w:type="dxa"/>
            <w:vAlign w:val="bottom"/>
          </w:tcPr>
          <w:p>
            <w:pPr>
              <w:jc w:val="center"/>
              <w:spacing w:after="0"/>
              <w:rPr>
                <w:sz w:val="20"/>
                <w:szCs w:val="20"/>
                <w:color w:val="auto"/>
              </w:rPr>
            </w:pPr>
            <w:r>
              <w:rPr>
                <w:rFonts w:ascii="Arial" w:cs="Arial" w:eastAsia="Arial" w:hAnsi="Arial"/>
                <w:sz w:val="15"/>
                <w:szCs w:val="15"/>
                <w:color w:val="auto"/>
                <w:w w:val="93"/>
              </w:rPr>
              <w:t>4.8%</w:t>
            </w:r>
          </w:p>
        </w:tc>
        <w:tc>
          <w:tcPr>
            <w:tcW w:w="2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420" w:type="dxa"/>
            <w:vAlign w:val="bottom"/>
          </w:tcPr>
          <w:p>
            <w:pPr>
              <w:ind w:left="1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480" w:type="dxa"/>
            <w:vAlign w:val="bottom"/>
          </w:tcPr>
          <w:p>
            <w:pPr>
              <w:ind w:left="22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tcPr>
          <w:p>
            <w:pPr>
              <w:ind w:left="220"/>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ind w:left="20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560" w:type="dxa"/>
            <w:vAlign w:val="bottom"/>
          </w:tcPr>
          <w:p>
            <w:pPr>
              <w:ind w:left="160"/>
              <w:spacing w:after="0"/>
              <w:rPr>
                <w:sz w:val="20"/>
                <w:szCs w:val="20"/>
                <w:color w:val="auto"/>
              </w:rPr>
            </w:pPr>
            <w:r>
              <w:rPr>
                <w:rFonts w:ascii="Arial" w:cs="Arial" w:eastAsia="Arial" w:hAnsi="Arial"/>
                <w:sz w:val="15"/>
                <w:szCs w:val="15"/>
                <w:color w:val="auto"/>
              </w:rPr>
              <w:t>(350)</w:t>
            </w:r>
          </w:p>
        </w:tc>
        <w:tc>
          <w:tcPr>
            <w:tcW w:w="2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(350)</w:t>
            </w:r>
          </w:p>
        </w:tc>
        <w:tc>
          <w:tcPr>
            <w:tcW w:w="2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252"/>
        </w:trPr>
        <w:tc>
          <w:tcPr>
            <w:tcW w:w="1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2029 Notes</w:t>
            </w: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4.5%</w:t>
            </w:r>
          </w:p>
        </w:tc>
        <w:tc>
          <w:tcPr>
            <w:tcW w:w="2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(500)</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(500)</w:t>
            </w:r>
          </w:p>
        </w:tc>
        <w:tc>
          <w:tcPr>
            <w:tcW w:w="2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246"/>
        </w:trPr>
        <w:tc>
          <w:tcPr>
            <w:tcW w:w="1640" w:type="dxa"/>
            <w:vAlign w:val="bottom"/>
          </w:tcPr>
          <w:p>
            <w:pPr>
              <w:ind w:left="20"/>
              <w:spacing w:after="0"/>
              <w:rPr>
                <w:sz w:val="20"/>
                <w:szCs w:val="20"/>
                <w:color w:val="auto"/>
              </w:rPr>
            </w:pPr>
            <w:r>
              <w:rPr>
                <w:rFonts w:ascii="Arial" w:cs="Arial" w:eastAsia="Arial" w:hAnsi="Arial"/>
                <w:sz w:val="15"/>
                <w:szCs w:val="15"/>
                <w:color w:val="auto"/>
              </w:rPr>
              <w:t>Term Loan</w:t>
            </w:r>
          </w:p>
        </w:tc>
        <w:tc>
          <w:tcPr>
            <w:tcW w:w="560" w:type="dxa"/>
            <w:vAlign w:val="bottom"/>
          </w:tcPr>
          <w:p>
            <w:pPr>
              <w:jc w:val="center"/>
              <w:spacing w:after="0"/>
              <w:rPr>
                <w:sz w:val="20"/>
                <w:szCs w:val="20"/>
                <w:color w:val="auto"/>
              </w:rPr>
            </w:pPr>
            <w:r>
              <w:rPr>
                <w:rFonts w:ascii="Arial" w:cs="Arial" w:eastAsia="Arial" w:hAnsi="Arial"/>
                <w:sz w:val="15"/>
                <w:szCs w:val="15"/>
                <w:color w:val="auto"/>
                <w:w w:val="93"/>
              </w:rPr>
              <w:t>6.1%</w:t>
            </w:r>
          </w:p>
        </w:tc>
        <w:tc>
          <w:tcPr>
            <w:tcW w:w="2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420" w:type="dxa"/>
            <w:vAlign w:val="bottom"/>
          </w:tcPr>
          <w:p>
            <w:pPr>
              <w:ind w:left="1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480" w:type="dxa"/>
            <w:vAlign w:val="bottom"/>
          </w:tcPr>
          <w:p>
            <w:pPr>
              <w:ind w:left="80"/>
              <w:spacing w:after="0"/>
              <w:rPr>
                <w:sz w:val="20"/>
                <w:szCs w:val="20"/>
                <w:color w:val="auto"/>
              </w:rPr>
            </w:pPr>
            <w:r>
              <w:rPr>
                <w:rFonts w:ascii="Arial" w:cs="Arial" w:eastAsia="Arial" w:hAnsi="Arial"/>
                <w:sz w:val="15"/>
                <w:szCs w:val="15"/>
                <w:color w:val="auto"/>
              </w:rPr>
              <w:t>(784)</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tcPr>
          <w:p>
            <w:pPr>
              <w:ind w:left="220"/>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ind w:left="20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560" w:type="dxa"/>
            <w:vAlign w:val="bottom"/>
          </w:tcPr>
          <w:p>
            <w:pPr>
              <w:ind w:left="30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(784)</w:t>
            </w:r>
          </w:p>
        </w:tc>
        <w:tc>
          <w:tcPr>
            <w:tcW w:w="2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(775)</w:t>
            </w:r>
          </w:p>
        </w:tc>
        <w:tc>
          <w:tcPr>
            <w:tcW w:w="0" w:type="dxa"/>
            <w:vAlign w:val="bottom"/>
          </w:tcPr>
          <w:p>
            <w:pPr>
              <w:spacing w:after="0"/>
              <w:rPr>
                <w:sz w:val="1"/>
                <w:szCs w:val="1"/>
                <w:color w:val="auto"/>
              </w:rPr>
            </w:pPr>
          </w:p>
        </w:tc>
      </w:tr>
      <w:tr>
        <w:trPr>
          <w:trHeight w:val="252"/>
        </w:trPr>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 Convertible Notes</w:t>
            </w: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w:t>
            </w:r>
          </w:p>
        </w:tc>
        <w:tc>
          <w:tcPr>
            <w:tcW w:w="2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5"/>
                <w:szCs w:val="15"/>
                <w:color w:val="auto"/>
              </w:rPr>
              <w:t>(575)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(575)</w:t>
            </w:r>
          </w:p>
        </w:tc>
        <w:tc>
          <w:tcPr>
            <w:tcW w:w="2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46"/>
        </w:trPr>
        <w:tc>
          <w:tcPr>
            <w:tcW w:w="1640" w:type="dxa"/>
            <w:vAlign w:val="bottom"/>
          </w:tcPr>
          <w:p>
            <w:pPr>
              <w:ind w:left="20"/>
              <w:spacing w:after="0"/>
              <w:rPr>
                <w:sz w:val="20"/>
                <w:szCs w:val="20"/>
                <w:color w:val="auto"/>
              </w:rPr>
            </w:pPr>
            <w:r>
              <w:rPr>
                <w:rFonts w:ascii="Arial" w:cs="Arial" w:eastAsia="Arial" w:hAnsi="Arial"/>
                <w:sz w:val="15"/>
                <w:szCs w:val="15"/>
                <w:color w:val="auto"/>
              </w:rPr>
              <w:t>2027 Convertible Notes</w:t>
            </w:r>
          </w:p>
        </w:tc>
        <w:tc>
          <w:tcPr>
            <w:tcW w:w="560" w:type="dxa"/>
            <w:vAlign w:val="bottom"/>
          </w:tcPr>
          <w:p>
            <w:pPr>
              <w:jc w:val="center"/>
              <w:spacing w:after="0"/>
              <w:rPr>
                <w:sz w:val="20"/>
                <w:szCs w:val="20"/>
                <w:color w:val="auto"/>
              </w:rPr>
            </w:pPr>
            <w:r>
              <w:rPr>
                <w:rFonts w:ascii="Arial" w:cs="Arial" w:eastAsia="Arial" w:hAnsi="Arial"/>
                <w:sz w:val="15"/>
                <w:szCs w:val="15"/>
                <w:color w:val="auto"/>
                <w:w w:val="93"/>
              </w:rPr>
              <w:t>3.3%</w:t>
            </w:r>
          </w:p>
        </w:tc>
        <w:tc>
          <w:tcPr>
            <w:tcW w:w="2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420" w:type="dxa"/>
            <w:vAlign w:val="bottom"/>
          </w:tcPr>
          <w:p>
            <w:pPr>
              <w:ind w:left="1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480" w:type="dxa"/>
            <w:vAlign w:val="bottom"/>
          </w:tcPr>
          <w:p>
            <w:pPr>
              <w:ind w:left="22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tcPr>
          <w:p>
            <w:pPr>
              <w:ind w:left="220"/>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ind w:left="80"/>
              <w:spacing w:after="0"/>
              <w:rPr>
                <w:sz w:val="20"/>
                <w:szCs w:val="20"/>
                <w:color w:val="auto"/>
              </w:rPr>
            </w:pPr>
            <w:r>
              <w:rPr>
                <w:rFonts w:ascii="Arial" w:cs="Arial" w:eastAsia="Arial" w:hAnsi="Arial"/>
                <w:sz w:val="15"/>
                <w:szCs w:val="15"/>
                <w:color w:val="auto"/>
              </w:rPr>
              <w:t>(575)</w:t>
            </w:r>
          </w:p>
        </w:tc>
        <w:tc>
          <w:tcPr>
            <w:tcW w:w="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560" w:type="dxa"/>
            <w:vAlign w:val="bottom"/>
          </w:tcPr>
          <w:p>
            <w:pPr>
              <w:ind w:left="30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(575)</w:t>
            </w:r>
          </w:p>
        </w:tc>
        <w:tc>
          <w:tcPr>
            <w:tcW w:w="2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(568)</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w w:val="94"/>
              </w:rPr>
              <w:t>Non-interest bearing note</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8"/>
              </w:rPr>
              <w:t>—%</w:t>
            </w:r>
          </w:p>
        </w:tc>
        <w:tc>
          <w:tcPr>
            <w:tcW w:w="28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(6)</w:t>
            </w:r>
          </w:p>
        </w:tc>
        <w:tc>
          <w:tcPr>
            <w:tcW w:w="32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42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(4)</w:t>
            </w:r>
          </w:p>
        </w:tc>
        <w:tc>
          <w:tcPr>
            <w:tcW w:w="2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2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32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560" w:type="dxa"/>
            <w:vAlign w:val="bottom"/>
            <w:vMerge w:val="restart"/>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2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(10)</w:t>
            </w:r>
          </w:p>
        </w:tc>
        <w:tc>
          <w:tcPr>
            <w:tcW w:w="2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14"/>
        </w:trPr>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payable</w:t>
            </w:r>
          </w:p>
        </w:tc>
        <w:tc>
          <w:tcPr>
            <w:tcW w:w="560" w:type="dxa"/>
            <w:vAlign w:val="bottom"/>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are exposed to currency exchange rate risk through investments in foreign subsidiaries that transact business in a currency other than the U.S. dollar and through the revaluation of assets and liabilities denominated in a currency other than the functional currency.</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8400" w:type="dxa"/>
            <w:vAlign w:val="bottom"/>
            <w:gridSpan w:val="37"/>
          </w:tcPr>
          <w:p>
            <w:pPr>
              <w:ind w:left="160"/>
              <w:spacing w:after="0"/>
              <w:rPr>
                <w:sz w:val="20"/>
                <w:szCs w:val="20"/>
                <w:color w:val="auto"/>
              </w:rPr>
            </w:pPr>
            <w:r>
              <w:rPr>
                <w:rFonts w:ascii="Arial" w:cs="Arial" w:eastAsia="Arial" w:hAnsi="Arial"/>
                <w:sz w:val="17"/>
                <w:szCs w:val="17"/>
                <w:b w:val="1"/>
                <w:bCs w:val="1"/>
                <w:color w:val="auto"/>
              </w:rPr>
              <w:t>Financial Statements and Supplementary Data</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9060" w:type="dxa"/>
            <w:vAlign w:val="bottom"/>
            <w:gridSpan w:val="38"/>
          </w:tcPr>
          <w:p>
            <w:pPr>
              <w:spacing w:after="0"/>
              <w:rPr>
                <w:sz w:val="20"/>
                <w:szCs w:val="20"/>
                <w:color w:val="auto"/>
              </w:rPr>
            </w:pPr>
            <w:r>
              <w:rPr>
                <w:rFonts w:ascii="Arial" w:cs="Arial" w:eastAsia="Arial" w:hAnsi="Arial"/>
                <w:sz w:val="17"/>
                <w:szCs w:val="17"/>
                <w:color w:val="auto"/>
              </w:rPr>
              <w:t>The following financial information is included on the pages indicated.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0" w:type="dxa"/>
            <w:vAlign w:val="bottom"/>
            <w:gridSpan w:val="36"/>
          </w:tcPr>
          <w:p>
            <w:pPr>
              <w:spacing w:after="0" w:line="172" w:lineRule="exact"/>
              <w:rPr>
                <w:sz w:val="20"/>
                <w:szCs w:val="20"/>
                <w:color w:val="auto"/>
              </w:rPr>
            </w:pPr>
            <w:r>
              <w:rPr>
                <w:rFonts w:ascii="Arial" w:cs="Arial" w:eastAsia="Arial" w:hAnsi="Arial"/>
                <w:sz w:val="17"/>
                <w:szCs w:val="17"/>
                <w:color w:val="0000FF"/>
              </w:rPr>
              <w:t>Financial Statements and Supplementary Data</w:t>
            </w:r>
          </w:p>
        </w:tc>
        <w:tc>
          <w:tcPr>
            <w:tcW w:w="460" w:type="dxa"/>
            <w:vAlign w:val="bottom"/>
            <w:gridSpan w:val="3"/>
          </w:tcPr>
          <w:p>
            <w:pPr>
              <w:jc w:val="center"/>
              <w:ind w:left="198"/>
              <w:spacing w:after="0" w:line="172" w:lineRule="exact"/>
              <w:rPr>
                <w:sz w:val="20"/>
                <w:szCs w:val="20"/>
                <w:color w:val="auto"/>
              </w:rPr>
            </w:pPr>
            <w:r>
              <w:rPr>
                <w:rFonts w:ascii="Arial" w:cs="Arial" w:eastAsia="Arial" w:hAnsi="Arial"/>
                <w:sz w:val="17"/>
                <w:szCs w:val="17"/>
                <w:color w:val="0000FF"/>
                <w:w w:val="94"/>
              </w:rPr>
              <w:t>67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20" w:type="dxa"/>
            <w:vAlign w:val="bottom"/>
            <w:tcBorders>
              <w:bottom w:val="single" w:sz="8" w:color="0000FF"/>
            </w:tcBorders>
            <w:gridSpan w:val="35"/>
          </w:tcPr>
          <w:p>
            <w:pPr>
              <w:spacing w:after="0"/>
              <w:rPr>
                <w:sz w:val="20"/>
                <w:szCs w:val="20"/>
                <w:color w:val="auto"/>
              </w:rPr>
            </w:pPr>
            <w:r>
              <w:rPr>
                <w:rFonts w:ascii="Arial" w:cs="Arial" w:eastAsia="Arial" w:hAnsi="Arial"/>
                <w:sz w:val="17"/>
                <w:szCs w:val="17"/>
                <w:color w:val="0000FF"/>
                <w:w w:val="89"/>
              </w:rPr>
              <w:t>Management’s Report on Internal Control Over Financial Reporting</w:t>
            </w:r>
          </w:p>
        </w:tc>
        <w:tc>
          <w:tcPr>
            <w:tcW w:w="30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0" w:type="dxa"/>
            <w:vAlign w:val="bottom"/>
            <w:gridSpan w:val="36"/>
          </w:tcPr>
          <w:p>
            <w:pPr>
              <w:spacing w:after="0" w:line="192" w:lineRule="exact"/>
              <w:rPr>
                <w:sz w:val="20"/>
                <w:szCs w:val="20"/>
                <w:color w:val="auto"/>
              </w:rPr>
            </w:pPr>
            <w:r>
              <w:rPr>
                <w:rFonts w:ascii="Arial" w:cs="Arial" w:eastAsia="Arial" w:hAnsi="Arial"/>
                <w:sz w:val="17"/>
                <w:szCs w:val="17"/>
                <w:color w:val="auto"/>
              </w:rPr>
              <w:t>Report of Independent Registered Public Accounting Firm (PCAOB ID: 42)</w:t>
            </w:r>
          </w:p>
        </w:tc>
        <w:tc>
          <w:tcPr>
            <w:tcW w:w="460" w:type="dxa"/>
            <w:vAlign w:val="bottom"/>
            <w:gridSpan w:val="3"/>
            <w:vMerge w:val="restart"/>
          </w:tcPr>
          <w:p>
            <w:pPr>
              <w:jc w:val="center"/>
              <w:ind w:left="198"/>
              <w:spacing w:after="0"/>
              <w:rPr>
                <w:sz w:val="20"/>
                <w:szCs w:val="20"/>
                <w:color w:val="auto"/>
              </w:rPr>
            </w:pPr>
            <w:r>
              <w:rPr>
                <w:rFonts w:ascii="Arial" w:cs="Arial" w:eastAsia="Arial" w:hAnsi="Arial"/>
                <w:sz w:val="17"/>
                <w:szCs w:val="17"/>
                <w:color w:val="0000FF"/>
                <w:w w:val="94"/>
              </w:rPr>
              <w:t>69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0" w:type="dxa"/>
            <w:vAlign w:val="bottom"/>
            <w:gridSpan w:val="28"/>
            <w:vMerge w:val="restart"/>
          </w:tcPr>
          <w:p>
            <w:pPr>
              <w:spacing w:after="0" w:line="174" w:lineRule="exact"/>
              <w:rPr>
                <w:sz w:val="20"/>
                <w:szCs w:val="20"/>
                <w:color w:val="auto"/>
              </w:rPr>
            </w:pPr>
            <w:r>
              <w:rPr>
                <w:rFonts w:ascii="Arial" w:cs="Arial" w:eastAsia="Arial" w:hAnsi="Arial"/>
                <w:sz w:val="17"/>
                <w:szCs w:val="17"/>
                <w:color w:val="0000FF"/>
                <w:w w:val="89"/>
              </w:rPr>
              <w:t>Internal Control Over Financial Reporting</w:t>
            </w:r>
          </w:p>
        </w:tc>
        <w:tc>
          <w:tcPr>
            <w:tcW w:w="4200" w:type="dxa"/>
            <w:vAlign w:val="bottom"/>
            <w:gridSpan w:val="4"/>
            <w:vMerge w:val="restart"/>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0" w:type="dxa"/>
            <w:vAlign w:val="bottom"/>
            <w:tcBorders>
              <w:bottom w:val="single" w:sz="8" w:color="0000FF"/>
            </w:tcBorders>
            <w:gridSpan w:val="28"/>
            <w:vMerge w:val="continue"/>
          </w:tcPr>
          <w:p>
            <w:pPr>
              <w:spacing w:after="0"/>
              <w:rPr>
                <w:sz w:val="4"/>
                <w:szCs w:val="4"/>
                <w:color w:val="auto"/>
              </w:rPr>
            </w:pPr>
          </w:p>
        </w:tc>
        <w:tc>
          <w:tcPr>
            <w:tcW w:w="420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0" w:type="dxa"/>
            <w:vAlign w:val="bottom"/>
            <w:gridSpan w:val="36"/>
          </w:tcPr>
          <w:p>
            <w:pPr>
              <w:spacing w:after="0" w:line="192" w:lineRule="exact"/>
              <w:rPr>
                <w:sz w:val="20"/>
                <w:szCs w:val="20"/>
                <w:color w:val="auto"/>
              </w:rPr>
            </w:pPr>
            <w:r>
              <w:rPr>
                <w:rFonts w:ascii="Arial" w:cs="Arial" w:eastAsia="Arial" w:hAnsi="Arial"/>
                <w:sz w:val="17"/>
                <w:szCs w:val="17"/>
                <w:color w:val="auto"/>
              </w:rPr>
              <w:t>Report of Independent Registered Public Accounting Firm (PCAOB ID: 42)</w:t>
            </w:r>
          </w:p>
        </w:tc>
        <w:tc>
          <w:tcPr>
            <w:tcW w:w="460" w:type="dxa"/>
            <w:vAlign w:val="bottom"/>
            <w:gridSpan w:val="3"/>
            <w:vMerge w:val="restart"/>
          </w:tcPr>
          <w:p>
            <w:pPr>
              <w:jc w:val="center"/>
              <w:ind w:left="198"/>
              <w:spacing w:after="0"/>
              <w:rPr>
                <w:sz w:val="20"/>
                <w:szCs w:val="20"/>
                <w:color w:val="auto"/>
              </w:rPr>
            </w:pPr>
            <w:r>
              <w:rPr>
                <w:rFonts w:ascii="Arial" w:cs="Arial" w:eastAsia="Arial" w:hAnsi="Arial"/>
                <w:sz w:val="17"/>
                <w:szCs w:val="17"/>
                <w:color w:val="0000FF"/>
                <w:w w:val="94"/>
              </w:rPr>
              <w:t>70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0" w:type="dxa"/>
            <w:vAlign w:val="bottom"/>
            <w:gridSpan w:val="32"/>
            <w:vMerge w:val="restart"/>
          </w:tcPr>
          <w:p>
            <w:pPr>
              <w:spacing w:after="0" w:line="174" w:lineRule="exact"/>
              <w:rPr>
                <w:sz w:val="20"/>
                <w:szCs w:val="20"/>
                <w:color w:val="auto"/>
              </w:rPr>
            </w:pPr>
            <w:r>
              <w:rPr>
                <w:rFonts w:ascii="Arial" w:cs="Arial" w:eastAsia="Arial" w:hAnsi="Arial"/>
                <w:sz w:val="17"/>
                <w:szCs w:val="17"/>
                <w:color w:val="0000FF"/>
              </w:rPr>
              <w:t>Financial Statements</w:t>
            </w:r>
          </w:p>
        </w:tc>
        <w:tc>
          <w:tcPr>
            <w:tcW w:w="4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0" w:type="dxa"/>
            <w:vAlign w:val="bottom"/>
            <w:gridSpan w:val="32"/>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0" w:type="dxa"/>
            <w:vAlign w:val="bottom"/>
            <w:gridSpan w:val="36"/>
          </w:tcPr>
          <w:p>
            <w:pPr>
              <w:spacing w:after="0"/>
              <w:rPr>
                <w:sz w:val="20"/>
                <w:szCs w:val="20"/>
                <w:color w:val="auto"/>
              </w:rPr>
            </w:pPr>
            <w:r>
              <w:rPr>
                <w:rFonts w:ascii="Arial" w:cs="Arial" w:eastAsia="Arial" w:hAnsi="Arial"/>
                <w:sz w:val="17"/>
                <w:szCs w:val="17"/>
                <w:color w:val="0000FF"/>
              </w:rPr>
              <w:t>Financial Statements</w:t>
            </w:r>
          </w:p>
        </w:tc>
        <w:tc>
          <w:tcPr>
            <w:tcW w:w="460" w:type="dxa"/>
            <w:vAlign w:val="bottom"/>
            <w:gridSpan w:val="3"/>
          </w:tcPr>
          <w:p>
            <w:pPr>
              <w:jc w:val="center"/>
              <w:ind w:left="198"/>
              <w:spacing w:after="0"/>
              <w:rPr>
                <w:sz w:val="20"/>
                <w:szCs w:val="20"/>
                <w:color w:val="auto"/>
              </w:rPr>
            </w:pPr>
            <w:r>
              <w:rPr>
                <w:rFonts w:ascii="Arial" w:cs="Arial" w:eastAsia="Arial" w:hAnsi="Arial"/>
                <w:sz w:val="17"/>
                <w:szCs w:val="17"/>
                <w:color w:val="0000FF"/>
                <w:w w:val="94"/>
              </w:rPr>
              <w:t>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0" w:type="dxa"/>
            <w:vAlign w:val="bottom"/>
            <w:gridSpan w:val="35"/>
          </w:tcPr>
          <w:p>
            <w:pPr>
              <w:spacing w:after="0"/>
              <w:rPr>
                <w:sz w:val="20"/>
                <w:szCs w:val="20"/>
                <w:color w:val="auto"/>
              </w:rPr>
            </w:pPr>
            <w:r>
              <w:rPr>
                <w:rFonts w:ascii="Arial" w:cs="Arial" w:eastAsia="Arial" w:hAnsi="Arial"/>
                <w:sz w:val="17"/>
                <w:szCs w:val="17"/>
                <w:color w:val="0000FF"/>
              </w:rPr>
              <w:t>Consolidated Statements of Income</w:t>
            </w:r>
          </w:p>
        </w:tc>
        <w:tc>
          <w:tcPr>
            <w:tcW w:w="460" w:type="dxa"/>
            <w:vAlign w:val="bottom"/>
            <w:gridSpan w:val="3"/>
          </w:tcPr>
          <w:p>
            <w:pPr>
              <w:jc w:val="center"/>
              <w:ind w:left="198"/>
              <w:spacing w:after="0"/>
              <w:rPr>
                <w:sz w:val="20"/>
                <w:szCs w:val="20"/>
                <w:color w:val="auto"/>
              </w:rPr>
            </w:pPr>
            <w:r>
              <w:rPr>
                <w:rFonts w:ascii="Arial" w:cs="Arial" w:eastAsia="Arial" w:hAnsi="Arial"/>
                <w:sz w:val="17"/>
                <w:szCs w:val="17"/>
                <w:color w:val="0000FF"/>
                <w:w w:val="94"/>
              </w:rPr>
              <w:t>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Borders>
              <w:bottom w:val="single" w:sz="8" w:color="0000FF"/>
            </w:tcBorders>
            <w:gridSpan w:val="33"/>
          </w:tcPr>
          <w:p>
            <w:pPr>
              <w:spacing w:after="0"/>
              <w:rPr>
                <w:sz w:val="20"/>
                <w:szCs w:val="20"/>
                <w:color w:val="auto"/>
              </w:rPr>
            </w:pPr>
            <w:r>
              <w:rPr>
                <w:rFonts w:ascii="Arial" w:cs="Arial" w:eastAsia="Arial" w:hAnsi="Arial"/>
                <w:sz w:val="17"/>
                <w:szCs w:val="17"/>
                <w:color w:val="0000FF"/>
                <w:w w:val="86"/>
              </w:rPr>
              <w:t>Consolidated Statements of Comprehensive Income</w:t>
            </w:r>
          </w:p>
        </w:tc>
        <w:tc>
          <w:tcPr>
            <w:tcW w:w="39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73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0000FF"/>
            </w:tcBorders>
            <w:gridSpan w:val="21"/>
          </w:tcPr>
          <w:p>
            <w:pPr>
              <w:spacing w:after="0"/>
              <w:rPr>
                <w:sz w:val="20"/>
                <w:szCs w:val="20"/>
                <w:color w:val="auto"/>
              </w:rPr>
            </w:pPr>
            <w:r>
              <w:rPr>
                <w:rFonts w:ascii="Arial" w:cs="Arial" w:eastAsia="Arial" w:hAnsi="Arial"/>
                <w:sz w:val="17"/>
                <w:szCs w:val="17"/>
                <w:color w:val="0000FF"/>
                <w:w w:val="85"/>
              </w:rPr>
              <w:t>Consolidated Balance Sheets</w:t>
            </w:r>
          </w:p>
        </w:tc>
        <w:tc>
          <w:tcPr>
            <w:tcW w:w="5480" w:type="dxa"/>
            <w:vAlign w:val="bottom"/>
            <w:gridSpan w:val="14"/>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bottom w:val="single" w:sz="8" w:color="0000FF"/>
            </w:tcBorders>
            <w:gridSpan w:val="26"/>
          </w:tcPr>
          <w:p>
            <w:pPr>
              <w:spacing w:after="0"/>
              <w:rPr>
                <w:sz w:val="20"/>
                <w:szCs w:val="20"/>
                <w:color w:val="auto"/>
              </w:rPr>
            </w:pPr>
            <w:r>
              <w:rPr>
                <w:rFonts w:ascii="Arial" w:cs="Arial" w:eastAsia="Arial" w:hAnsi="Arial"/>
                <w:sz w:val="17"/>
                <w:szCs w:val="17"/>
                <w:color w:val="0000FF"/>
                <w:w w:val="86"/>
              </w:rPr>
              <w:t>Consolidated Statements of Cash Flows</w:t>
            </w:r>
          </w:p>
        </w:tc>
        <w:tc>
          <w:tcPr>
            <w:tcW w:w="4760" w:type="dxa"/>
            <w:vAlign w:val="bottom"/>
            <w:gridSpan w:val="9"/>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Borders>
              <w:bottom w:val="single" w:sz="8" w:color="0000FF"/>
            </w:tcBorders>
            <w:gridSpan w:val="32"/>
          </w:tcPr>
          <w:p>
            <w:pPr>
              <w:spacing w:after="0"/>
              <w:rPr>
                <w:sz w:val="20"/>
                <w:szCs w:val="20"/>
                <w:color w:val="auto"/>
              </w:rPr>
            </w:pPr>
            <w:r>
              <w:rPr>
                <w:rFonts w:ascii="Arial" w:cs="Arial" w:eastAsia="Arial" w:hAnsi="Arial"/>
                <w:sz w:val="17"/>
                <w:szCs w:val="17"/>
                <w:color w:val="0000FF"/>
                <w:w w:val="87"/>
              </w:rPr>
              <w:t>Consolidated Statements of Shareholders’ Equity</w:t>
            </w:r>
          </w:p>
        </w:tc>
        <w:tc>
          <w:tcPr>
            <w:tcW w:w="414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0" w:type="dxa"/>
            <w:vAlign w:val="bottom"/>
            <w:gridSpan w:val="35"/>
          </w:tcPr>
          <w:p>
            <w:pPr>
              <w:spacing w:after="0"/>
              <w:rPr>
                <w:sz w:val="20"/>
                <w:szCs w:val="20"/>
                <w:color w:val="auto"/>
              </w:rPr>
            </w:pPr>
            <w:r>
              <w:rPr>
                <w:rFonts w:ascii="Arial" w:cs="Arial" w:eastAsia="Arial" w:hAnsi="Arial"/>
                <w:sz w:val="17"/>
                <w:szCs w:val="17"/>
                <w:color w:val="0000FF"/>
              </w:rPr>
              <w:t>Notes to Consolidated Financial Statements</w:t>
            </w:r>
          </w:p>
        </w:tc>
        <w:tc>
          <w:tcPr>
            <w:tcW w:w="460" w:type="dxa"/>
            <w:vAlign w:val="bottom"/>
            <w:gridSpan w:val="3"/>
          </w:tcPr>
          <w:p>
            <w:pPr>
              <w:jc w:val="center"/>
              <w:ind w:left="198"/>
              <w:spacing w:after="0"/>
              <w:rPr>
                <w:sz w:val="20"/>
                <w:szCs w:val="20"/>
                <w:color w:val="auto"/>
              </w:rPr>
            </w:pPr>
            <w:r>
              <w:rPr>
                <w:rFonts w:ascii="Arial" w:cs="Arial" w:eastAsia="Arial" w:hAnsi="Arial"/>
                <w:sz w:val="17"/>
                <w:szCs w:val="17"/>
                <w:color w:val="0000FF"/>
                <w:w w:val="94"/>
              </w:rPr>
              <w:t>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1.</w:t>
            </w:r>
          </w:p>
        </w:tc>
        <w:tc>
          <w:tcPr>
            <w:tcW w:w="1420" w:type="dxa"/>
            <w:vAlign w:val="bottom"/>
            <w:tcBorders>
              <w:bottom w:val="single" w:sz="8" w:color="0000FF"/>
            </w:tcBorders>
            <w:gridSpan w:val="14"/>
          </w:tcPr>
          <w:p>
            <w:pPr>
              <w:ind w:left="20"/>
              <w:spacing w:after="0"/>
              <w:rPr>
                <w:sz w:val="20"/>
                <w:szCs w:val="20"/>
                <w:color w:val="auto"/>
              </w:rPr>
            </w:pPr>
            <w:r>
              <w:rPr>
                <w:rFonts w:ascii="Arial" w:cs="Arial" w:eastAsia="Arial" w:hAnsi="Arial"/>
                <w:sz w:val="17"/>
                <w:szCs w:val="17"/>
                <w:color w:val="0000FF"/>
                <w:w w:val="85"/>
              </w:rPr>
              <w:t>Basis of Presentation</w:t>
            </w:r>
          </w:p>
        </w:tc>
        <w:tc>
          <w:tcPr>
            <w:tcW w:w="5840" w:type="dxa"/>
            <w:vAlign w:val="bottom"/>
            <w:gridSpan w:val="20"/>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gridSpan w:val="3"/>
          </w:tcPr>
          <w:p>
            <w:pPr>
              <w:ind w:left="980"/>
              <w:spacing w:after="0"/>
              <w:rPr>
                <w:sz w:val="20"/>
                <w:szCs w:val="20"/>
                <w:color w:val="auto"/>
              </w:rPr>
            </w:pPr>
            <w:r>
              <w:rPr>
                <w:rFonts w:ascii="Arial" w:cs="Arial" w:eastAsia="Arial" w:hAnsi="Arial"/>
                <w:sz w:val="17"/>
                <w:szCs w:val="17"/>
                <w:color w:val="0000FF"/>
                <w:w w:val="98"/>
              </w:rPr>
              <w:t>2.</w:t>
            </w:r>
          </w:p>
        </w:tc>
        <w:tc>
          <w:tcPr>
            <w:tcW w:w="7260" w:type="dxa"/>
            <w:vAlign w:val="bottom"/>
            <w:tcBorders>
              <w:bottom w:val="single" w:sz="8" w:color="0000FF"/>
            </w:tcBorders>
            <w:gridSpan w:val="34"/>
          </w:tcPr>
          <w:p>
            <w:pPr>
              <w:ind w:left="20"/>
              <w:spacing w:after="0"/>
              <w:rPr>
                <w:sz w:val="20"/>
                <w:szCs w:val="20"/>
                <w:color w:val="auto"/>
              </w:rPr>
            </w:pPr>
            <w:r>
              <w:rPr>
                <w:rFonts w:ascii="Arial" w:cs="Arial" w:eastAsia="Arial" w:hAnsi="Arial"/>
                <w:sz w:val="17"/>
                <w:szCs w:val="17"/>
                <w:color w:val="0000FF"/>
              </w:rPr>
              <w:t>Summary of Significant Accounting Policies</w:t>
            </w: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84"/>
              </w:rPr>
              <w:t>3.</w:t>
            </w:r>
          </w:p>
        </w:tc>
        <w:tc>
          <w:tcPr>
            <w:tcW w:w="7260" w:type="dxa"/>
            <w:vAlign w:val="bottom"/>
            <w:gridSpan w:val="34"/>
          </w:tcPr>
          <w:p>
            <w:pPr>
              <w:ind w:left="20"/>
              <w:spacing w:after="0"/>
              <w:rPr>
                <w:sz w:val="20"/>
                <w:szCs w:val="20"/>
                <w:color w:val="auto"/>
              </w:rPr>
            </w:pPr>
            <w:r>
              <w:rPr>
                <w:rFonts w:ascii="Arial" w:cs="Arial" w:eastAsia="Arial" w:hAnsi="Arial"/>
                <w:sz w:val="17"/>
                <w:szCs w:val="17"/>
                <w:color w:val="0000FF"/>
              </w:rPr>
              <w:t>Acquisitions and Dispositions</w:t>
            </w:r>
          </w:p>
        </w:tc>
        <w:tc>
          <w:tcPr>
            <w:tcW w:w="460" w:type="dxa"/>
            <w:vAlign w:val="bottom"/>
            <w:gridSpan w:val="3"/>
          </w:tcPr>
          <w:p>
            <w:pPr>
              <w:jc w:val="center"/>
              <w:ind w:left="198"/>
              <w:spacing w:after="0"/>
              <w:rPr>
                <w:sz w:val="20"/>
                <w:szCs w:val="20"/>
                <w:color w:val="auto"/>
              </w:rPr>
            </w:pPr>
            <w:r>
              <w:rPr>
                <w:rFonts w:ascii="Arial" w:cs="Arial" w:eastAsia="Arial" w:hAnsi="Arial"/>
                <w:sz w:val="17"/>
                <w:szCs w:val="17"/>
                <w:color w:val="0000FF"/>
                <w:w w:val="94"/>
              </w:rPr>
              <w:t>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84"/>
              </w:rPr>
              <w:t>4.</w:t>
            </w:r>
          </w:p>
        </w:tc>
        <w:tc>
          <w:tcPr>
            <w:tcW w:w="600" w:type="dxa"/>
            <w:vAlign w:val="bottom"/>
            <w:tcBorders>
              <w:top w:val="single" w:sz="8" w:color="0000FF"/>
              <w:bottom w:val="single" w:sz="8" w:color="0000FF"/>
            </w:tcBorders>
            <w:gridSpan w:val="5"/>
          </w:tcPr>
          <w:p>
            <w:pPr>
              <w:ind w:left="20"/>
              <w:spacing w:after="0"/>
              <w:rPr>
                <w:sz w:val="20"/>
                <w:szCs w:val="20"/>
                <w:color w:val="auto"/>
              </w:rPr>
            </w:pPr>
            <w:r>
              <w:rPr>
                <w:rFonts w:ascii="Arial" w:cs="Arial" w:eastAsia="Arial" w:hAnsi="Arial"/>
                <w:sz w:val="17"/>
                <w:szCs w:val="17"/>
                <w:color w:val="0000FF"/>
                <w:w w:val="82"/>
              </w:rPr>
              <w:t>Revenue</w:t>
            </w:r>
          </w:p>
        </w:tc>
        <w:tc>
          <w:tcPr>
            <w:tcW w:w="1400" w:type="dxa"/>
            <w:vAlign w:val="bottom"/>
            <w:tcBorders>
              <w:top w:val="single" w:sz="8" w:color="0000FF"/>
            </w:tcBorders>
            <w:gridSpan w:val="17"/>
          </w:tcPr>
          <w:p>
            <w:pPr>
              <w:spacing w:after="0"/>
              <w:rPr>
                <w:sz w:val="18"/>
                <w:szCs w:val="18"/>
                <w:color w:val="auto"/>
              </w:rPr>
            </w:pPr>
          </w:p>
        </w:tc>
        <w:tc>
          <w:tcPr>
            <w:tcW w:w="5260" w:type="dxa"/>
            <w:vAlign w:val="bottom"/>
            <w:gridSpan w:val="12"/>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94"/>
              </w:rPr>
              <w:t>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5.</w:t>
            </w:r>
          </w:p>
        </w:tc>
        <w:tc>
          <w:tcPr>
            <w:tcW w:w="940" w:type="dxa"/>
            <w:vAlign w:val="bottom"/>
            <w:tcBorders>
              <w:bottom w:val="single" w:sz="8" w:color="0000FF"/>
            </w:tcBorders>
            <w:gridSpan w:val="9"/>
          </w:tcPr>
          <w:p>
            <w:pPr>
              <w:ind w:left="20"/>
              <w:spacing w:after="0"/>
              <w:rPr>
                <w:sz w:val="20"/>
                <w:szCs w:val="20"/>
                <w:color w:val="auto"/>
              </w:rPr>
            </w:pPr>
            <w:r>
              <w:rPr>
                <w:rFonts w:ascii="Arial" w:cs="Arial" w:eastAsia="Arial" w:hAnsi="Arial"/>
                <w:sz w:val="17"/>
                <w:szCs w:val="17"/>
                <w:color w:val="0000FF"/>
                <w:w w:val="84"/>
              </w:rPr>
              <w:t>Income Taxes</w:t>
            </w:r>
          </w:p>
        </w:tc>
        <w:tc>
          <w:tcPr>
            <w:tcW w:w="6320" w:type="dxa"/>
            <w:vAlign w:val="bottom"/>
            <w:gridSpan w:val="25"/>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0000FF"/>
                <w:w w:val="84"/>
              </w:rPr>
              <w:t>6.</w:t>
            </w:r>
          </w:p>
        </w:tc>
        <w:tc>
          <w:tcPr>
            <w:tcW w:w="7260" w:type="dxa"/>
            <w:vAlign w:val="bottom"/>
            <w:gridSpan w:val="34"/>
          </w:tcPr>
          <w:p>
            <w:pPr>
              <w:ind w:left="20"/>
              <w:spacing w:after="0"/>
              <w:rPr>
                <w:sz w:val="20"/>
                <w:szCs w:val="20"/>
                <w:color w:val="auto"/>
              </w:rPr>
            </w:pPr>
            <w:r>
              <w:rPr>
                <w:rFonts w:ascii="Arial" w:cs="Arial" w:eastAsia="Arial" w:hAnsi="Arial"/>
                <w:sz w:val="17"/>
                <w:szCs w:val="17"/>
                <w:color w:val="0000FF"/>
              </w:rPr>
              <w:t>Vacation Ownership Notes Receivable</w:t>
            </w:r>
          </w:p>
        </w:tc>
        <w:tc>
          <w:tcPr>
            <w:tcW w:w="460" w:type="dxa"/>
            <w:vAlign w:val="bottom"/>
            <w:gridSpan w:val="3"/>
          </w:tcPr>
          <w:p>
            <w:pPr>
              <w:jc w:val="center"/>
              <w:ind w:left="198"/>
              <w:spacing w:after="0"/>
              <w:rPr>
                <w:sz w:val="20"/>
                <w:szCs w:val="20"/>
                <w:color w:val="auto"/>
              </w:rPr>
            </w:pPr>
            <w:r>
              <w:rPr>
                <w:rFonts w:ascii="Arial" w:cs="Arial" w:eastAsia="Arial" w:hAnsi="Arial"/>
                <w:sz w:val="17"/>
                <w:szCs w:val="17"/>
                <w:color w:val="0000FF"/>
                <w:w w:val="94"/>
              </w:rPr>
              <w:t>99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7.</w:t>
            </w:r>
          </w:p>
        </w:tc>
        <w:tc>
          <w:tcPr>
            <w:tcW w:w="1460" w:type="dxa"/>
            <w:vAlign w:val="bottom"/>
            <w:tcBorders>
              <w:bottom w:val="single" w:sz="8" w:color="0000FF"/>
            </w:tcBorders>
            <w:gridSpan w:val="15"/>
          </w:tcPr>
          <w:p>
            <w:pPr>
              <w:ind w:left="20"/>
              <w:spacing w:after="0"/>
              <w:rPr>
                <w:sz w:val="20"/>
                <w:szCs w:val="20"/>
                <w:color w:val="auto"/>
              </w:rPr>
            </w:pPr>
            <w:r>
              <w:rPr>
                <w:rFonts w:ascii="Arial" w:cs="Arial" w:eastAsia="Arial" w:hAnsi="Arial"/>
                <w:sz w:val="17"/>
                <w:szCs w:val="17"/>
                <w:color w:val="0000FF"/>
                <w:w w:val="87"/>
              </w:rPr>
              <w:t>Financial Instruments</w:t>
            </w:r>
          </w:p>
        </w:tc>
        <w:tc>
          <w:tcPr>
            <w:tcW w:w="1100" w:type="dxa"/>
            <w:vAlign w:val="bottom"/>
            <w:gridSpan w:val="11"/>
          </w:tcPr>
          <w:p>
            <w:pPr>
              <w:spacing w:after="0"/>
              <w:rPr>
                <w:sz w:val="18"/>
                <w:szCs w:val="18"/>
                <w:color w:val="auto"/>
              </w:rPr>
            </w:pPr>
          </w:p>
        </w:tc>
        <w:tc>
          <w:tcPr>
            <w:tcW w:w="4700" w:type="dxa"/>
            <w:vAlign w:val="bottom"/>
            <w:gridSpan w:val="8"/>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0000FF"/>
            </w:tcBorders>
            <w:gridSpan w:val="3"/>
          </w:tcPr>
          <w:p>
            <w:pPr>
              <w:jc w:val="center"/>
              <w:ind w:right="20"/>
              <w:spacing w:after="0"/>
              <w:rPr>
                <w:sz w:val="20"/>
                <w:szCs w:val="20"/>
                <w:color w:val="auto"/>
              </w:rPr>
            </w:pPr>
            <w:r>
              <w:rPr>
                <w:rFonts w:ascii="Arial" w:cs="Arial" w:eastAsia="Arial" w:hAnsi="Arial"/>
                <w:sz w:val="17"/>
                <w:szCs w:val="17"/>
                <w:color w:val="0000FF"/>
                <w:w w:val="91"/>
              </w:rPr>
              <w:t>106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8.</w:t>
            </w:r>
          </w:p>
        </w:tc>
        <w:tc>
          <w:tcPr>
            <w:tcW w:w="1280" w:type="dxa"/>
            <w:vAlign w:val="bottom"/>
            <w:tcBorders>
              <w:bottom w:val="single" w:sz="8" w:color="0000FF"/>
            </w:tcBorders>
            <w:gridSpan w:val="12"/>
          </w:tcPr>
          <w:p>
            <w:pPr>
              <w:ind w:left="20"/>
              <w:spacing w:after="0"/>
              <w:rPr>
                <w:sz w:val="20"/>
                <w:szCs w:val="20"/>
                <w:color w:val="auto"/>
              </w:rPr>
            </w:pPr>
            <w:r>
              <w:rPr>
                <w:rFonts w:ascii="Arial" w:cs="Arial" w:eastAsia="Arial" w:hAnsi="Arial"/>
                <w:sz w:val="17"/>
                <w:szCs w:val="17"/>
                <w:color w:val="0000FF"/>
                <w:w w:val="84"/>
              </w:rPr>
              <w:t>Earnings per Share</w:t>
            </w:r>
          </w:p>
        </w:tc>
        <w:tc>
          <w:tcPr>
            <w:tcW w:w="5980" w:type="dxa"/>
            <w:vAlign w:val="bottom"/>
            <w:gridSpan w:val="22"/>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0000FF"/>
            </w:tcBorders>
            <w:gridSpan w:val="3"/>
          </w:tcPr>
          <w:p>
            <w:pPr>
              <w:jc w:val="center"/>
              <w:ind w:right="20"/>
              <w:spacing w:after="0"/>
              <w:rPr>
                <w:sz w:val="20"/>
                <w:szCs w:val="20"/>
                <w:color w:val="auto"/>
              </w:rPr>
            </w:pPr>
            <w:r>
              <w:rPr>
                <w:rFonts w:ascii="Arial" w:cs="Arial" w:eastAsia="Arial" w:hAnsi="Arial"/>
                <w:sz w:val="17"/>
                <w:szCs w:val="17"/>
                <w:color w:val="0000FF"/>
                <w:w w:val="91"/>
              </w:rPr>
              <w:t>108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9.</w:t>
            </w:r>
          </w:p>
        </w:tc>
        <w:tc>
          <w:tcPr>
            <w:tcW w:w="660" w:type="dxa"/>
            <w:vAlign w:val="bottom"/>
            <w:tcBorders>
              <w:bottom w:val="single" w:sz="8" w:color="0000FF"/>
            </w:tcBorders>
            <w:gridSpan w:val="6"/>
          </w:tcPr>
          <w:p>
            <w:pPr>
              <w:ind w:left="20"/>
              <w:spacing w:after="0"/>
              <w:rPr>
                <w:sz w:val="20"/>
                <w:szCs w:val="20"/>
                <w:color w:val="auto"/>
              </w:rPr>
            </w:pPr>
            <w:r>
              <w:rPr>
                <w:rFonts w:ascii="Arial" w:cs="Arial" w:eastAsia="Arial" w:hAnsi="Arial"/>
                <w:sz w:val="17"/>
                <w:szCs w:val="17"/>
                <w:color w:val="0000FF"/>
                <w:w w:val="88"/>
              </w:rPr>
              <w:t>Inventory</w:t>
            </w:r>
          </w:p>
        </w:tc>
        <w:tc>
          <w:tcPr>
            <w:tcW w:w="6600" w:type="dxa"/>
            <w:vAlign w:val="bottom"/>
            <w:gridSpan w:val="28"/>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0000FF"/>
            </w:tcBorders>
            <w:gridSpan w:val="3"/>
          </w:tcPr>
          <w:p>
            <w:pPr>
              <w:jc w:val="center"/>
              <w:ind w:right="20"/>
              <w:spacing w:after="0"/>
              <w:rPr>
                <w:sz w:val="20"/>
                <w:szCs w:val="20"/>
                <w:color w:val="auto"/>
              </w:rPr>
            </w:pPr>
            <w:r>
              <w:rPr>
                <w:rFonts w:ascii="Arial" w:cs="Arial" w:eastAsia="Arial" w:hAnsi="Arial"/>
                <w:sz w:val="17"/>
                <w:szCs w:val="17"/>
                <w:color w:val="0000FF"/>
                <w:w w:val="91"/>
              </w:rPr>
              <w:t>109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84"/>
              </w:rPr>
              <w:t>10.</w:t>
            </w:r>
          </w:p>
        </w:tc>
        <w:tc>
          <w:tcPr>
            <w:tcW w:w="1640" w:type="dxa"/>
            <w:vAlign w:val="bottom"/>
            <w:gridSpan w:val="17"/>
          </w:tcPr>
          <w:p>
            <w:pPr>
              <w:ind w:left="20"/>
              <w:spacing w:after="0"/>
              <w:rPr>
                <w:sz w:val="20"/>
                <w:szCs w:val="20"/>
                <w:color w:val="auto"/>
              </w:rPr>
            </w:pPr>
            <w:r>
              <w:rPr>
                <w:rFonts w:ascii="Arial" w:cs="Arial" w:eastAsia="Arial" w:hAnsi="Arial"/>
                <w:sz w:val="17"/>
                <w:szCs w:val="17"/>
                <w:color w:val="0000FF"/>
                <w:w w:val="87"/>
              </w:rPr>
              <w:t>Property and Equipment</w:t>
            </w:r>
          </w:p>
        </w:tc>
        <w:tc>
          <w:tcPr>
            <w:tcW w:w="5540" w:type="dxa"/>
            <w:vAlign w:val="bottom"/>
            <w:gridSpan w:val="16"/>
          </w:tcPr>
          <w:p>
            <w:pPr>
              <w:spacing w:after="0"/>
              <w:rPr>
                <w:sz w:val="18"/>
                <w:szCs w:val="18"/>
                <w:color w:val="auto"/>
              </w:rPr>
            </w:pPr>
          </w:p>
        </w:tc>
        <w:tc>
          <w:tcPr>
            <w:tcW w:w="520" w:type="dxa"/>
            <w:vAlign w:val="bottom"/>
            <w:gridSpan w:val="4"/>
          </w:tcPr>
          <w:p>
            <w:pPr>
              <w:jc w:val="center"/>
              <w:ind w:left="158"/>
              <w:spacing w:after="0"/>
              <w:rPr>
                <w:sz w:val="20"/>
                <w:szCs w:val="20"/>
                <w:color w:val="auto"/>
              </w:rPr>
            </w:pPr>
            <w:r>
              <w:rPr>
                <w:rFonts w:ascii="Arial" w:cs="Arial" w:eastAsia="Arial" w:hAnsi="Arial"/>
                <w:sz w:val="17"/>
                <w:szCs w:val="17"/>
                <w:color w:val="0000FF"/>
                <w:w w:val="84"/>
              </w:rPr>
              <w:t>110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8"/>
          </w:tcPr>
          <w:p>
            <w:pPr>
              <w:spacing w:after="0"/>
              <w:rPr>
                <w:sz w:val="20"/>
                <w:szCs w:val="20"/>
                <w:color w:val="auto"/>
              </w:rPr>
            </w:pPr>
            <w:r>
              <w:rPr>
                <w:rFonts w:ascii="Arial" w:cs="Arial" w:eastAsia="Arial" w:hAnsi="Arial"/>
                <w:sz w:val="17"/>
                <w:szCs w:val="17"/>
                <w:color w:val="0000FF"/>
                <w:w w:val="89"/>
              </w:rPr>
              <w:t>11. Goodwill</w:t>
            </w:r>
          </w:p>
        </w:tc>
        <w:tc>
          <w:tcPr>
            <w:tcW w:w="1000" w:type="dxa"/>
            <w:vAlign w:val="bottom"/>
            <w:gridSpan w:val="11"/>
          </w:tcPr>
          <w:p>
            <w:pPr>
              <w:spacing w:after="0"/>
              <w:rPr>
                <w:sz w:val="18"/>
                <w:szCs w:val="18"/>
                <w:color w:val="auto"/>
              </w:rPr>
            </w:pPr>
          </w:p>
        </w:tc>
        <w:tc>
          <w:tcPr>
            <w:tcW w:w="5540" w:type="dxa"/>
            <w:vAlign w:val="bottom"/>
            <w:gridSpan w:val="16"/>
          </w:tcPr>
          <w:p>
            <w:pPr>
              <w:spacing w:after="0"/>
              <w:rPr>
                <w:sz w:val="18"/>
                <w:szCs w:val="18"/>
                <w:color w:val="auto"/>
              </w:rPr>
            </w:pPr>
          </w:p>
        </w:tc>
        <w:tc>
          <w:tcPr>
            <w:tcW w:w="520" w:type="dxa"/>
            <w:vAlign w:val="bottom"/>
            <w:gridSpan w:val="4"/>
          </w:tcPr>
          <w:p>
            <w:pPr>
              <w:jc w:val="center"/>
              <w:ind w:left="158"/>
              <w:spacing w:after="0"/>
              <w:rPr>
                <w:sz w:val="20"/>
                <w:szCs w:val="20"/>
                <w:color w:val="auto"/>
              </w:rPr>
            </w:pPr>
            <w:r>
              <w:rPr>
                <w:rFonts w:ascii="Arial" w:cs="Arial" w:eastAsia="Arial" w:hAnsi="Arial"/>
                <w:sz w:val="17"/>
                <w:szCs w:val="17"/>
                <w:color w:val="0000FF"/>
                <w:w w:val="84"/>
              </w:rPr>
              <w:t>110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84"/>
              </w:rPr>
              <w:t>12.</w:t>
            </w:r>
          </w:p>
        </w:tc>
        <w:tc>
          <w:tcPr>
            <w:tcW w:w="760" w:type="dxa"/>
            <w:vAlign w:val="bottom"/>
            <w:gridSpan w:val="7"/>
          </w:tcPr>
          <w:p>
            <w:pPr>
              <w:ind w:left="20"/>
              <w:spacing w:after="0"/>
              <w:rPr>
                <w:sz w:val="20"/>
                <w:szCs w:val="20"/>
                <w:color w:val="auto"/>
              </w:rPr>
            </w:pPr>
            <w:r>
              <w:rPr>
                <w:rFonts w:ascii="Arial" w:cs="Arial" w:eastAsia="Arial" w:hAnsi="Arial"/>
                <w:sz w:val="17"/>
                <w:szCs w:val="17"/>
                <w:color w:val="0000FF"/>
                <w:w w:val="87"/>
              </w:rPr>
              <w:t>Intangibles</w:t>
            </w:r>
          </w:p>
        </w:tc>
        <w:tc>
          <w:tcPr>
            <w:tcW w:w="6420" w:type="dxa"/>
            <w:vAlign w:val="bottom"/>
            <w:gridSpan w:val="26"/>
          </w:tcPr>
          <w:p>
            <w:pPr>
              <w:spacing w:after="0"/>
              <w:rPr>
                <w:sz w:val="18"/>
                <w:szCs w:val="18"/>
                <w:color w:val="auto"/>
              </w:rPr>
            </w:pPr>
          </w:p>
        </w:tc>
        <w:tc>
          <w:tcPr>
            <w:tcW w:w="460" w:type="dxa"/>
            <w:vAlign w:val="bottom"/>
            <w:gridSpan w:val="3"/>
          </w:tcPr>
          <w:p>
            <w:pPr>
              <w:jc w:val="center"/>
              <w:ind w:left="138"/>
              <w:spacing w:after="0"/>
              <w:rPr>
                <w:sz w:val="20"/>
                <w:szCs w:val="20"/>
                <w:color w:val="auto"/>
              </w:rPr>
            </w:pPr>
            <w:r>
              <w:rPr>
                <w:rFonts w:ascii="Arial" w:cs="Arial" w:eastAsia="Arial" w:hAnsi="Arial"/>
                <w:sz w:val="17"/>
                <w:szCs w:val="17"/>
                <w:color w:val="0000FF"/>
                <w:w w:val="84"/>
              </w:rPr>
              <w:t>111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84"/>
              </w:rPr>
              <w:t>13.</w:t>
            </w:r>
          </w:p>
        </w:tc>
        <w:tc>
          <w:tcPr>
            <w:tcW w:w="7180" w:type="dxa"/>
            <w:vAlign w:val="bottom"/>
            <w:gridSpan w:val="33"/>
          </w:tcPr>
          <w:p>
            <w:pPr>
              <w:ind w:left="20"/>
              <w:spacing w:after="0"/>
              <w:rPr>
                <w:sz w:val="20"/>
                <w:szCs w:val="20"/>
                <w:color w:val="auto"/>
              </w:rPr>
            </w:pPr>
            <w:r>
              <w:rPr>
                <w:rFonts w:ascii="Arial" w:cs="Arial" w:eastAsia="Arial" w:hAnsi="Arial"/>
                <w:sz w:val="17"/>
                <w:szCs w:val="17"/>
                <w:color w:val="0000FF"/>
              </w:rPr>
              <w:t>Contingencies and Commitments</w:t>
            </w:r>
          </w:p>
        </w:tc>
        <w:tc>
          <w:tcPr>
            <w:tcW w:w="460" w:type="dxa"/>
            <w:vAlign w:val="bottom"/>
            <w:gridSpan w:val="3"/>
          </w:tcPr>
          <w:p>
            <w:pPr>
              <w:jc w:val="center"/>
              <w:ind w:left="138"/>
              <w:spacing w:after="0"/>
              <w:rPr>
                <w:sz w:val="20"/>
                <w:szCs w:val="20"/>
                <w:color w:val="auto"/>
              </w:rPr>
            </w:pPr>
            <w:r>
              <w:rPr>
                <w:rFonts w:ascii="Arial" w:cs="Arial" w:eastAsia="Arial" w:hAnsi="Arial"/>
                <w:sz w:val="17"/>
                <w:szCs w:val="17"/>
                <w:color w:val="0000FF"/>
                <w:w w:val="84"/>
              </w:rPr>
              <w:t>111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84"/>
              </w:rPr>
              <w:t>14.</w:t>
            </w:r>
          </w:p>
        </w:tc>
        <w:tc>
          <w:tcPr>
            <w:tcW w:w="2220" w:type="dxa"/>
            <w:vAlign w:val="bottom"/>
            <w:gridSpan w:val="23"/>
          </w:tcPr>
          <w:p>
            <w:pPr>
              <w:ind w:left="20"/>
              <w:spacing w:after="0"/>
              <w:rPr>
                <w:sz w:val="20"/>
                <w:szCs w:val="20"/>
                <w:color w:val="auto"/>
              </w:rPr>
            </w:pPr>
            <w:r>
              <w:rPr>
                <w:rFonts w:ascii="Arial" w:cs="Arial" w:eastAsia="Arial" w:hAnsi="Arial"/>
                <w:sz w:val="17"/>
                <w:szCs w:val="17"/>
                <w:color w:val="0000FF"/>
              </w:rPr>
              <w:t>Leases</w:t>
            </w:r>
          </w:p>
        </w:tc>
        <w:tc>
          <w:tcPr>
            <w:tcW w:w="4960" w:type="dxa"/>
            <w:vAlign w:val="bottom"/>
            <w:gridSpan w:val="10"/>
          </w:tcPr>
          <w:p>
            <w:pPr>
              <w:spacing w:after="0"/>
              <w:rPr>
                <w:sz w:val="18"/>
                <w:szCs w:val="18"/>
                <w:color w:val="auto"/>
              </w:rPr>
            </w:pPr>
          </w:p>
        </w:tc>
        <w:tc>
          <w:tcPr>
            <w:tcW w:w="520" w:type="dxa"/>
            <w:vAlign w:val="bottom"/>
            <w:gridSpan w:val="4"/>
          </w:tcPr>
          <w:p>
            <w:pPr>
              <w:jc w:val="center"/>
              <w:ind w:left="158"/>
              <w:spacing w:after="0"/>
              <w:rPr>
                <w:sz w:val="20"/>
                <w:szCs w:val="20"/>
                <w:color w:val="auto"/>
              </w:rPr>
            </w:pPr>
            <w:r>
              <w:rPr>
                <w:rFonts w:ascii="Arial" w:cs="Arial" w:eastAsia="Arial" w:hAnsi="Arial"/>
                <w:sz w:val="17"/>
                <w:szCs w:val="17"/>
                <w:color w:val="0000FF"/>
                <w:w w:val="84"/>
              </w:rPr>
              <w:t>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84"/>
              </w:rPr>
              <w:t>15.</w:t>
            </w:r>
          </w:p>
        </w:tc>
        <w:tc>
          <w:tcPr>
            <w:tcW w:w="7180" w:type="dxa"/>
            <w:vAlign w:val="bottom"/>
            <w:gridSpan w:val="33"/>
          </w:tcPr>
          <w:p>
            <w:pPr>
              <w:ind w:left="20"/>
              <w:spacing w:after="0"/>
              <w:rPr>
                <w:sz w:val="20"/>
                <w:szCs w:val="20"/>
                <w:color w:val="auto"/>
              </w:rPr>
            </w:pPr>
            <w:r>
              <w:rPr>
                <w:rFonts w:ascii="Arial" w:cs="Arial" w:eastAsia="Arial" w:hAnsi="Arial"/>
                <w:sz w:val="17"/>
                <w:szCs w:val="17"/>
                <w:color w:val="0000FF"/>
              </w:rPr>
              <w:t>Securitized Debt</w:t>
            </w:r>
          </w:p>
        </w:tc>
        <w:tc>
          <w:tcPr>
            <w:tcW w:w="520" w:type="dxa"/>
            <w:vAlign w:val="bottom"/>
            <w:gridSpan w:val="4"/>
          </w:tcPr>
          <w:p>
            <w:pPr>
              <w:jc w:val="center"/>
              <w:ind w:left="158"/>
              <w:spacing w:after="0"/>
              <w:rPr>
                <w:sz w:val="20"/>
                <w:szCs w:val="20"/>
                <w:color w:val="auto"/>
              </w:rPr>
            </w:pPr>
            <w:r>
              <w:rPr>
                <w:rFonts w:ascii="Arial" w:cs="Arial" w:eastAsia="Arial" w:hAnsi="Arial"/>
                <w:sz w:val="17"/>
                <w:szCs w:val="17"/>
                <w:color w:val="0000FF"/>
                <w:w w:val="84"/>
              </w:rPr>
              <w:t>114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gridSpan w:val="8"/>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84"/>
              </w:rPr>
              <w:t>16.</w:t>
            </w:r>
          </w:p>
        </w:tc>
        <w:tc>
          <w:tcPr>
            <w:tcW w:w="340" w:type="dxa"/>
            <w:vAlign w:val="bottom"/>
            <w:gridSpan w:val="2"/>
          </w:tcPr>
          <w:p>
            <w:pPr>
              <w:ind w:left="20"/>
              <w:spacing w:after="0"/>
              <w:rPr>
                <w:sz w:val="20"/>
                <w:szCs w:val="20"/>
                <w:color w:val="auto"/>
              </w:rPr>
            </w:pPr>
            <w:r>
              <w:rPr>
                <w:rFonts w:ascii="Arial" w:cs="Arial" w:eastAsia="Arial" w:hAnsi="Arial"/>
                <w:sz w:val="17"/>
                <w:szCs w:val="17"/>
                <w:color w:val="0000FF"/>
                <w:w w:val="83"/>
              </w:rPr>
              <w:t>Debt</w:t>
            </w:r>
          </w:p>
        </w:tc>
        <w:tc>
          <w:tcPr>
            <w:tcW w:w="780" w:type="dxa"/>
            <w:vAlign w:val="bottom"/>
            <w:gridSpan w:val="8"/>
          </w:tcPr>
          <w:p>
            <w:pPr>
              <w:spacing w:after="0"/>
              <w:rPr>
                <w:sz w:val="18"/>
                <w:szCs w:val="18"/>
                <w:color w:val="auto"/>
              </w:rPr>
            </w:pPr>
          </w:p>
        </w:tc>
        <w:tc>
          <w:tcPr>
            <w:tcW w:w="6060" w:type="dxa"/>
            <w:vAlign w:val="bottom"/>
            <w:gridSpan w:val="23"/>
          </w:tcPr>
          <w:p>
            <w:pPr>
              <w:spacing w:after="0"/>
              <w:rPr>
                <w:sz w:val="18"/>
                <w:szCs w:val="18"/>
                <w:color w:val="auto"/>
              </w:rPr>
            </w:pPr>
          </w:p>
        </w:tc>
        <w:tc>
          <w:tcPr>
            <w:tcW w:w="520" w:type="dxa"/>
            <w:vAlign w:val="bottom"/>
            <w:gridSpan w:val="4"/>
          </w:tcPr>
          <w:p>
            <w:pPr>
              <w:jc w:val="center"/>
              <w:ind w:left="158"/>
              <w:spacing w:after="0"/>
              <w:rPr>
                <w:sz w:val="20"/>
                <w:szCs w:val="20"/>
                <w:color w:val="auto"/>
              </w:rPr>
            </w:pPr>
            <w:r>
              <w:rPr>
                <w:rFonts w:ascii="Arial" w:cs="Arial" w:eastAsia="Arial" w:hAnsi="Arial"/>
                <w:sz w:val="17"/>
                <w:szCs w:val="17"/>
                <w:color w:val="0000FF"/>
                <w:w w:val="84"/>
              </w:rPr>
              <w:t>117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4"/>
              </w:rPr>
              <w:t>17.</w:t>
            </w:r>
          </w:p>
        </w:tc>
        <w:tc>
          <w:tcPr>
            <w:tcW w:w="1400" w:type="dxa"/>
            <w:vAlign w:val="bottom"/>
            <w:tcBorders>
              <w:bottom w:val="single" w:sz="8" w:color="0000FF"/>
            </w:tcBorders>
            <w:gridSpan w:val="15"/>
          </w:tcPr>
          <w:p>
            <w:pPr>
              <w:ind w:left="20"/>
              <w:spacing w:after="0"/>
              <w:rPr>
                <w:sz w:val="20"/>
                <w:szCs w:val="20"/>
                <w:color w:val="auto"/>
              </w:rPr>
            </w:pPr>
            <w:r>
              <w:rPr>
                <w:rFonts w:ascii="Arial" w:cs="Arial" w:eastAsia="Arial" w:hAnsi="Arial"/>
                <w:sz w:val="17"/>
                <w:szCs w:val="17"/>
                <w:color w:val="0000FF"/>
                <w:w w:val="86"/>
              </w:rPr>
              <w:t>Shareholders' Equity</w:t>
            </w:r>
          </w:p>
        </w:tc>
        <w:tc>
          <w:tcPr>
            <w:tcW w:w="5780" w:type="dxa"/>
            <w:vAlign w:val="bottom"/>
            <w:gridSpan w:val="18"/>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0000FF"/>
            </w:tcBorders>
            <w:gridSpan w:val="3"/>
          </w:tcPr>
          <w:p>
            <w:pPr>
              <w:jc w:val="center"/>
              <w:ind w:right="20"/>
              <w:spacing w:after="0"/>
              <w:rPr>
                <w:sz w:val="20"/>
                <w:szCs w:val="20"/>
                <w:color w:val="auto"/>
              </w:rPr>
            </w:pPr>
            <w:r>
              <w:rPr>
                <w:rFonts w:ascii="Arial" w:cs="Arial" w:eastAsia="Arial" w:hAnsi="Arial"/>
                <w:sz w:val="17"/>
                <w:szCs w:val="17"/>
                <w:color w:val="0000FF"/>
                <w:w w:val="91"/>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84"/>
              </w:rPr>
              <w:t>18.</w:t>
            </w:r>
          </w:p>
        </w:tc>
        <w:tc>
          <w:tcPr>
            <w:tcW w:w="7180" w:type="dxa"/>
            <w:vAlign w:val="bottom"/>
            <w:gridSpan w:val="33"/>
          </w:tcPr>
          <w:p>
            <w:pPr>
              <w:ind w:left="20"/>
              <w:spacing w:after="0"/>
              <w:rPr>
                <w:sz w:val="20"/>
                <w:szCs w:val="20"/>
                <w:color w:val="auto"/>
              </w:rPr>
            </w:pPr>
            <w:r>
              <w:rPr>
                <w:rFonts w:ascii="Arial" w:cs="Arial" w:eastAsia="Arial" w:hAnsi="Arial"/>
                <w:sz w:val="17"/>
                <w:szCs w:val="17"/>
                <w:color w:val="0000FF"/>
              </w:rPr>
              <w:t>Share-based Compensation</w:t>
            </w:r>
          </w:p>
        </w:tc>
        <w:tc>
          <w:tcPr>
            <w:tcW w:w="740" w:type="dxa"/>
            <w:vAlign w:val="bottom"/>
            <w:gridSpan w:val="5"/>
          </w:tcPr>
          <w:p>
            <w:pPr>
              <w:jc w:val="center"/>
              <w:spacing w:after="0"/>
              <w:rPr>
                <w:sz w:val="20"/>
                <w:szCs w:val="20"/>
                <w:color w:val="auto"/>
              </w:rPr>
            </w:pPr>
            <w:r>
              <w:rPr>
                <w:rFonts w:ascii="Arial" w:cs="Arial" w:eastAsia="Arial" w:hAnsi="Arial"/>
                <w:sz w:val="17"/>
                <w:szCs w:val="17"/>
                <w:color w:val="0000FF"/>
                <w:w w:val="91"/>
              </w:rPr>
              <w:t>125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84"/>
              </w:rPr>
              <w:t>19.</w:t>
            </w:r>
          </w:p>
        </w:tc>
        <w:tc>
          <w:tcPr>
            <w:tcW w:w="1660" w:type="dxa"/>
            <w:vAlign w:val="bottom"/>
            <w:tcBorders>
              <w:top w:val="single" w:sz="8" w:color="0000FF"/>
              <w:bottom w:val="single" w:sz="8" w:color="0000FF"/>
            </w:tcBorders>
            <w:gridSpan w:val="18"/>
          </w:tcPr>
          <w:p>
            <w:pPr>
              <w:ind w:left="20"/>
              <w:spacing w:after="0"/>
              <w:rPr>
                <w:sz w:val="20"/>
                <w:szCs w:val="20"/>
                <w:color w:val="auto"/>
              </w:rPr>
            </w:pPr>
            <w:r>
              <w:rPr>
                <w:rFonts w:ascii="Arial" w:cs="Arial" w:eastAsia="Arial" w:hAnsi="Arial"/>
                <w:sz w:val="17"/>
                <w:szCs w:val="17"/>
                <w:color w:val="0000FF"/>
                <w:w w:val="87"/>
              </w:rPr>
              <w:t>Variable Interest Entities</w:t>
            </w:r>
          </w:p>
        </w:tc>
        <w:tc>
          <w:tcPr>
            <w:tcW w:w="160" w:type="dxa"/>
            <w:vAlign w:val="bottom"/>
            <w:tcBorders>
              <w:top w:val="single" w:sz="8" w:color="0000FF"/>
            </w:tcBorders>
            <w:gridSpan w:val="2"/>
          </w:tcPr>
          <w:p>
            <w:pPr>
              <w:spacing w:after="0"/>
              <w:rPr>
                <w:sz w:val="18"/>
                <w:szCs w:val="18"/>
                <w:color w:val="auto"/>
              </w:rPr>
            </w:pPr>
          </w:p>
        </w:tc>
        <w:tc>
          <w:tcPr>
            <w:tcW w:w="5360" w:type="dxa"/>
            <w:vAlign w:val="bottom"/>
            <w:gridSpan w:val="13"/>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jc w:val="center"/>
              <w:ind w:right="20"/>
              <w:spacing w:after="0"/>
              <w:rPr>
                <w:sz w:val="20"/>
                <w:szCs w:val="20"/>
                <w:color w:val="auto"/>
              </w:rPr>
            </w:pPr>
            <w:r>
              <w:rPr>
                <w:rFonts w:ascii="Arial" w:cs="Arial" w:eastAsia="Arial" w:hAnsi="Arial"/>
                <w:sz w:val="17"/>
                <w:szCs w:val="17"/>
                <w:color w:val="0000FF"/>
                <w:w w:val="91"/>
              </w:rPr>
              <w:t>127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4"/>
              </w:rPr>
              <w:t>20.</w:t>
            </w:r>
          </w:p>
        </w:tc>
        <w:tc>
          <w:tcPr>
            <w:tcW w:w="1300" w:type="dxa"/>
            <w:vAlign w:val="bottom"/>
            <w:tcBorders>
              <w:bottom w:val="single" w:sz="8" w:color="0000FF"/>
            </w:tcBorders>
            <w:gridSpan w:val="12"/>
          </w:tcPr>
          <w:p>
            <w:pPr>
              <w:ind w:left="20"/>
              <w:spacing w:after="0"/>
              <w:rPr>
                <w:sz w:val="20"/>
                <w:szCs w:val="20"/>
                <w:color w:val="auto"/>
              </w:rPr>
            </w:pPr>
            <w:r>
              <w:rPr>
                <w:rFonts w:ascii="Arial" w:cs="Arial" w:eastAsia="Arial" w:hAnsi="Arial"/>
                <w:sz w:val="17"/>
                <w:szCs w:val="17"/>
                <w:color w:val="0000FF"/>
                <w:w w:val="83"/>
              </w:rPr>
              <w:t>Business Segments</w:t>
            </w:r>
          </w:p>
        </w:tc>
        <w:tc>
          <w:tcPr>
            <w:tcW w:w="5880" w:type="dxa"/>
            <w:vAlign w:val="bottom"/>
            <w:gridSpan w:val="21"/>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0000FF"/>
            </w:tcBorders>
            <w:gridSpan w:val="3"/>
          </w:tcPr>
          <w:p>
            <w:pPr>
              <w:jc w:val="center"/>
              <w:ind w:right="20"/>
              <w:spacing w:after="0"/>
              <w:rPr>
                <w:sz w:val="20"/>
                <w:szCs w:val="20"/>
                <w:color w:val="auto"/>
              </w:rPr>
            </w:pPr>
            <w:r>
              <w:rPr>
                <w:rFonts w:ascii="Arial" w:cs="Arial" w:eastAsia="Arial" w:hAnsi="Arial"/>
                <w:sz w:val="17"/>
                <w:szCs w:val="17"/>
                <w:color w:val="0000FF"/>
                <w:w w:val="91"/>
              </w:rPr>
              <w:t>129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7"/>
          <w:szCs w:val="17"/>
          <w:b w:val="1"/>
          <w:bCs w:val="1"/>
          <w:color w:val="auto"/>
        </w:rPr>
        <w:t>MANAGEMENT’S REPORT ON</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9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December 31, 2022, based on criteria established in Internal Control-Integrated Framework issued by the Committee of Sponsoring Organizations of the Treadway Commission (2013 framework) (the “COSO criteria”).</w:t>
      </w:r>
    </w:p>
    <w:p>
      <w:pPr>
        <w:spacing w:after="0" w:line="159" w:lineRule="exact"/>
        <w:rPr>
          <w:sz w:val="20"/>
          <w:szCs w:val="20"/>
          <w:color w:val="auto"/>
        </w:rPr>
      </w:pPr>
    </w:p>
    <w:p>
      <w:pPr>
        <w:ind w:right="460"/>
        <w:spacing w:after="0" w:line="254" w:lineRule="auto"/>
        <w:rPr>
          <w:sz w:val="20"/>
          <w:szCs w:val="20"/>
          <w:color w:val="auto"/>
        </w:rPr>
      </w:pPr>
      <w:r>
        <w:rPr>
          <w:rFonts w:ascii="Arial" w:cs="Arial" w:eastAsia="Arial" w:hAnsi="Arial"/>
          <w:sz w:val="17"/>
          <w:szCs w:val="17"/>
          <w:color w:val="auto"/>
        </w:rPr>
        <w:t>Based on this assessment, management has concluded that, applying the COSO criteria, as of December 31, 2022,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76"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019" w:right="399" w:bottom="1440" w:gutter="0" w:footer="0" w:header="0"/>
        </w:sectPr>
      </w:pPr>
    </w:p>
    <w:bookmarkStart w:id="70" w:name="page71"/>
    <w:bookmarkEnd w:id="70"/>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Marriott Vacations Worldwide Corporation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We have audited Marriott Vacations Worldwide Corporation’s internal control over financial reporting as of December 31, 2022,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2022, based on the COSO criteria.</w:t>
      </w:r>
    </w:p>
    <w:p>
      <w:pPr>
        <w:spacing w:after="0" w:line="7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accompanying consolidated balance sheets of the Company as of December 31, 2022 and 2021, the related consolidated statements of income, comprehensive income, shareholders’ equity and cash flows for each of the three years in the period ended December 31, 2022, and the related notes and our report dated February 27, 2023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7"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1" w:name="page72"/>
    <w:bookmarkEnd w:id="71"/>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Marriott Vacations Worldwide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have audited the accompanying consolidated balance sheets of Marriott Vacations Worldwide Corporation (the Company) as of December 31, 2022 and 2021, the related consolidated statements of income, comprehensive income,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68" w:lineRule="exact"/>
        <w:rPr>
          <w:sz w:val="20"/>
          <w:szCs w:val="20"/>
          <w:color w:val="auto"/>
        </w:rPr>
      </w:pPr>
    </w:p>
    <w:p>
      <w:pPr>
        <w:ind w:right="140"/>
        <w:spacing w:after="0" w:line="30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27, 2023 expressed an unqualified opinion thereon.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07"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Cost of Vacation Ownership Products</w:t>
      </w:r>
    </w:p>
    <w:p>
      <w:pPr>
        <w:sectPr>
          <w:pgSz w:w="11900" w:h="16838" w:orient="portrait"/>
          <w:cols w:equalWidth="0" w:num="1">
            <w:col w:w="11220"/>
          </w:cols>
          <w:pgMar w:left="320" w:top="1019" w:right="359" w:bottom="1440" w:gutter="0" w:footer="0" w:header="0"/>
        </w:sectPr>
      </w:pPr>
    </w:p>
    <w:p>
      <w:pPr>
        <w:spacing w:after="0" w:line="70" w:lineRule="exact"/>
        <w:rPr>
          <w:sz w:val="20"/>
          <w:szCs w:val="20"/>
          <w:color w:val="auto"/>
        </w:rPr>
      </w:pPr>
    </w:p>
    <w:p>
      <w:pPr>
        <w:ind w:left="20"/>
        <w:spacing w:after="0" w:line="247"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3000"/>
        <w:spacing w:after="0" w:line="290" w:lineRule="auto"/>
        <w:rPr>
          <w:sz w:val="20"/>
          <w:szCs w:val="20"/>
          <w:color w:val="auto"/>
        </w:rPr>
      </w:pPr>
      <w:r>
        <w:rPr>
          <w:rFonts w:ascii="Arial" w:cs="Arial" w:eastAsia="Arial" w:hAnsi="Arial"/>
          <w:sz w:val="15"/>
          <w:szCs w:val="15"/>
          <w:color w:val="auto"/>
        </w:rPr>
        <w:t>The Company’s cost of vacation ownership products was $289 million for the year ended December 31, 2022. As discussed in Note 2 to the consolidated financial statements, the Company accounts for the cost of vacation ownership products utilizing the relative sales value method in accordance with the authoritative guidance for accounting for real estate time-sharing transactions. Changes in estimates used in applying the relative sales value method are recognized in the period that the changes occur.</w:t>
      </w:r>
    </w:p>
    <w:p>
      <w:pPr>
        <w:spacing w:after="0" w:line="202" w:lineRule="exact"/>
        <w:rPr>
          <w:sz w:val="20"/>
          <w:szCs w:val="20"/>
          <w:color w:val="auto"/>
        </w:rPr>
      </w:pPr>
    </w:p>
    <w:p>
      <w:pPr>
        <w:ind w:right="2920"/>
        <w:spacing w:after="0" w:line="290" w:lineRule="auto"/>
        <w:rPr>
          <w:sz w:val="20"/>
          <w:szCs w:val="20"/>
          <w:color w:val="auto"/>
        </w:rPr>
      </w:pPr>
      <w:r>
        <w:rPr>
          <w:rFonts w:ascii="Arial" w:cs="Arial" w:eastAsia="Arial" w:hAnsi="Arial"/>
          <w:sz w:val="15"/>
          <w:szCs w:val="15"/>
          <w:color w:val="auto"/>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the selection and application of assumptions used in estimating future revenues from sale of vacation ownership products which are affected by expectations about future market and economic conditions.</w:t>
      </w:r>
    </w:p>
    <w:p>
      <w:pPr>
        <w:spacing w:after="0" w:line="200" w:lineRule="exact"/>
        <w:rPr>
          <w:sz w:val="20"/>
          <w:szCs w:val="20"/>
          <w:color w:val="auto"/>
        </w:rPr>
      </w:pPr>
    </w:p>
    <w:p>
      <w:pPr>
        <w:sectPr>
          <w:pgSz w:w="11900" w:h="16838" w:orient="portrait"/>
          <w:cols w:equalWidth="0" w:num="2">
            <w:col w:w="960" w:space="120"/>
            <w:col w:w="10140"/>
          </w:cols>
          <w:pgMar w:left="320" w:top="1019" w:right="35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85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019" w:right="359" w:bottom="144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13"/>
          <w:szCs w:val="13"/>
          <w:b w:val="1"/>
          <w:bCs w:val="1"/>
          <w:color w:val="auto"/>
        </w:rPr>
        <w:t>Cost of Vacation Ownership Products</w:t>
      </w:r>
    </w:p>
    <w:p>
      <w:pPr>
        <w:sectPr>
          <w:pgSz w:w="11900" w:h="16838" w:orient="portrait"/>
          <w:cols w:equalWidth="0" w:num="1">
            <w:col w:w="10139"/>
          </w:cols>
          <w:pgMar w:left="320" w:top="1181" w:right="1440" w:bottom="1440" w:gutter="0" w:footer="0" w:header="0"/>
        </w:sectPr>
      </w:pPr>
    </w:p>
    <w:p>
      <w:pPr>
        <w:spacing w:after="0" w:line="116" w:lineRule="exact"/>
        <w:rPr>
          <w:sz w:val="20"/>
          <w:szCs w:val="20"/>
          <w:color w:val="auto"/>
        </w:rPr>
      </w:pPr>
    </w:p>
    <w:p>
      <w:pPr>
        <w:ind w:left="20"/>
        <w:spacing w:after="0" w:line="280" w:lineRule="auto"/>
        <w:rPr>
          <w:sz w:val="20"/>
          <w:szCs w:val="20"/>
          <w:color w:val="auto"/>
        </w:rPr>
      </w:pPr>
      <w:r>
        <w:rPr>
          <w:rFonts w:ascii="Arial" w:cs="Arial" w:eastAsia="Arial" w:hAnsi="Arial"/>
          <w:sz w:val="13"/>
          <w:szCs w:val="13"/>
          <w:i w:val="1"/>
          <w:iCs w:val="1"/>
          <w:color w:val="auto"/>
        </w:rPr>
        <w:t>How We Addressed the</w:t>
      </w:r>
    </w:p>
    <w:p>
      <w:pPr>
        <w:spacing w:after="0" w:line="1" w:lineRule="exact"/>
        <w:rPr>
          <w:sz w:val="20"/>
          <w:szCs w:val="20"/>
          <w:color w:val="auto"/>
        </w:rPr>
      </w:pPr>
    </w:p>
    <w:p>
      <w:pPr>
        <w:ind w:left="20"/>
        <w:spacing w:after="0" w:line="220" w:lineRule="auto"/>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999"/>
        <w:spacing w:after="0" w:line="27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 from sale of vacation ownership products.</w:t>
      </w:r>
    </w:p>
    <w:p>
      <w:pPr>
        <w:spacing w:after="0" w:line="65" w:lineRule="exact"/>
        <w:rPr>
          <w:sz w:val="20"/>
          <w:szCs w:val="20"/>
          <w:color w:val="auto"/>
        </w:rPr>
      </w:pPr>
    </w:p>
    <w:p>
      <w:pPr>
        <w:ind w:right="1799"/>
        <w:spacing w:after="0" w:line="264" w:lineRule="auto"/>
        <w:rPr>
          <w:sz w:val="20"/>
          <w:szCs w:val="20"/>
          <w:color w:val="auto"/>
        </w:rPr>
      </w:pPr>
      <w:r>
        <w:rPr>
          <w:rFonts w:ascii="Arial" w:cs="Arial" w:eastAsia="Arial" w:hAnsi="Arial"/>
          <w:sz w:val="16"/>
          <w:szCs w:val="16"/>
          <w:color w:val="auto"/>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source documentation and evaluated the estimates used in the calculations, such as estimated future revenue from sale of vacation ownership products, utilizing historical operating results and relevant market information available. We involved real estate subject matter resources on our team because the application of the relative sales value method is unique to companies in the real estate time-sharing industry.</w:t>
      </w:r>
    </w:p>
    <w:p>
      <w:pPr>
        <w:spacing w:after="0" w:line="200" w:lineRule="exact"/>
        <w:rPr>
          <w:sz w:val="20"/>
          <w:szCs w:val="20"/>
          <w:color w:val="auto"/>
        </w:rPr>
      </w:pPr>
    </w:p>
    <w:p>
      <w:pPr>
        <w:sectPr>
          <w:pgSz w:w="11900" w:h="16838" w:orient="portrait"/>
          <w:cols w:equalWidth="0" w:num="2">
            <w:col w:w="940" w:space="140"/>
            <w:col w:w="9059"/>
          </w:cols>
          <w:pgMar w:left="320" w:top="1181" w:right="1440"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Valuation of Originated and Acquired Vacation Ownership Notes Receivable</w:t>
      </w:r>
    </w:p>
    <w:p>
      <w:pPr>
        <w:sectPr>
          <w:pgSz w:w="11900" w:h="16838" w:orient="portrait"/>
          <w:cols w:equalWidth="0" w:num="1">
            <w:col w:w="10139"/>
          </w:cols>
          <w:pgMar w:left="320" w:top="1181" w:right="1440" w:bottom="1440" w:gutter="0" w:footer="0" w:header="0"/>
          <w:type w:val="continuous"/>
        </w:sectPr>
      </w:pPr>
    </w:p>
    <w:p>
      <w:pPr>
        <w:spacing w:after="0" w:line="99" w:lineRule="exact"/>
        <w:rPr>
          <w:sz w:val="20"/>
          <w:szCs w:val="20"/>
          <w:color w:val="auto"/>
        </w:rPr>
      </w:pPr>
    </w:p>
    <w:p>
      <w:pPr>
        <w:ind w:left="20"/>
        <w:spacing w:after="0" w:line="247" w:lineRule="auto"/>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right="20"/>
        <w:spacing w:after="0" w:line="273" w:lineRule="auto"/>
        <w:rPr>
          <w:sz w:val="20"/>
          <w:szCs w:val="20"/>
          <w:color w:val="auto"/>
        </w:rPr>
      </w:pPr>
      <w:r>
        <w:rPr>
          <w:rFonts w:ascii="Arial" w:cs="Arial" w:eastAsia="Arial" w:hAnsi="Arial"/>
          <w:sz w:val="13"/>
          <w:szCs w:val="13"/>
          <w:i w:val="1"/>
          <w:iCs w:val="1"/>
          <w:color w:val="auto"/>
        </w:rPr>
        <w:t>How We Addressed the Matter in Our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1819"/>
        <w:spacing w:after="0" w:line="281" w:lineRule="auto"/>
        <w:rPr>
          <w:sz w:val="20"/>
          <w:szCs w:val="20"/>
          <w:color w:val="auto"/>
        </w:rPr>
      </w:pPr>
      <w:r>
        <w:rPr>
          <w:rFonts w:ascii="Arial" w:cs="Arial" w:eastAsia="Arial" w:hAnsi="Arial"/>
          <w:sz w:val="15"/>
          <w:szCs w:val="15"/>
          <w:color w:val="auto"/>
        </w:rPr>
        <w:t>As of December 31, 2022, the Company’s vacation ownership notes receivable was $2,198 million, of which $1,956 million related to originated vacation ownership notes receivable and $242 million related to acquired vacation ownership notes receivable. As discussed in Note 2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originated vacation ownership notes receivable. The Company’s acquired vacation ownership notes receivable are accounted for using the purchased credit deteriorated assets provision of the current expected credit loss model, whereby the Company estimates the reserve of its acquired vacation ownership receivables on a quarterly basis and any changes in the reserve are recorded as financing expense. The estimates of the variable consideration for originated vacation ownership notes receivable and the reserve for credit losses on the acquired vacation ownership notes receivable are based on default rates that are an output of the Company’s static pool analyses and the estimates regarding future defaults.</w:t>
      </w:r>
    </w:p>
    <w:p>
      <w:pPr>
        <w:spacing w:after="0" w:line="62" w:lineRule="exact"/>
        <w:rPr>
          <w:sz w:val="20"/>
          <w:szCs w:val="20"/>
          <w:color w:val="auto"/>
        </w:rPr>
      </w:pPr>
    </w:p>
    <w:p>
      <w:pPr>
        <w:ind w:right="1819"/>
        <w:spacing w:after="0" w:line="295" w:lineRule="auto"/>
        <w:rPr>
          <w:sz w:val="20"/>
          <w:szCs w:val="20"/>
          <w:color w:val="auto"/>
        </w:rPr>
      </w:pPr>
      <w:r>
        <w:rPr>
          <w:rFonts w:ascii="Arial" w:cs="Arial" w:eastAsia="Arial" w:hAnsi="Arial"/>
          <w:sz w:val="15"/>
          <w:szCs w:val="15"/>
          <w:color w:val="auto"/>
        </w:rPr>
        <w:t>Auditing the Company’s valuation of originated and acquired vacation ownership notes receivable was challenging because significant audit effort is required to test the static pool analyses, which are complex and contain a significant volume of data. Furthermore, the valuation of originated and acquired vacation ownership notes receivable was sensitive to management’s assumptions regarding future default rates.</w:t>
      </w:r>
    </w:p>
    <w:p>
      <w:pPr>
        <w:spacing w:after="0" w:line="48" w:lineRule="exact"/>
        <w:rPr>
          <w:sz w:val="20"/>
          <w:szCs w:val="20"/>
          <w:color w:val="auto"/>
        </w:rPr>
      </w:pPr>
    </w:p>
    <w:p>
      <w:pPr>
        <w:ind w:right="1879"/>
        <w:spacing w:after="0" w:line="25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vacation ownership notes receivable process. For example, we tested controls over management’s review of the static pool analyses, including the significant inputs to the analyses, and review of the assumption regarding future default rates.</w:t>
      </w:r>
    </w:p>
    <w:p>
      <w:pPr>
        <w:spacing w:after="0" w:line="78" w:lineRule="exact"/>
        <w:rPr>
          <w:sz w:val="20"/>
          <w:szCs w:val="20"/>
          <w:color w:val="auto"/>
        </w:rPr>
      </w:pPr>
    </w:p>
    <w:p>
      <w:pPr>
        <w:ind w:right="1799"/>
        <w:spacing w:after="0" w:line="264" w:lineRule="auto"/>
        <w:rPr>
          <w:sz w:val="20"/>
          <w:szCs w:val="20"/>
          <w:color w:val="auto"/>
        </w:rPr>
      </w:pPr>
      <w:r>
        <w:rPr>
          <w:rFonts w:ascii="Arial" w:cs="Arial" w:eastAsia="Arial" w:hAnsi="Arial"/>
          <w:sz w:val="16"/>
          <w:szCs w:val="16"/>
          <w:color w:val="auto"/>
        </w:rPr>
        <w:t>To test the valuation of originated and acquired vacation ownership notes receivable, we performed audit procedures that included, among others, assessing the methodology used, evaluating the assumptions regarding future defaults as discussed above, and testing the completeness and accuracy of the static pool analyses, including the significant inputs to the analyses. For example, we agreed inputs to the static pool analyses to historical data and source documentation. We also compared the assumptions regarding future defaults to the Company’s historical and current default rates by customer class and performed a retrospective review of the defaults projected from the analyses. We involved real estate subject matter resources on our team because the static pool analyses are unique to companies in the real estate time-sharing industry.</w:t>
      </w:r>
    </w:p>
    <w:p>
      <w:pPr>
        <w:spacing w:after="0" w:line="200" w:lineRule="exact"/>
        <w:rPr>
          <w:sz w:val="20"/>
          <w:szCs w:val="20"/>
          <w:color w:val="auto"/>
        </w:rPr>
      </w:pPr>
    </w:p>
    <w:p>
      <w:pPr>
        <w:sectPr>
          <w:pgSz w:w="11900" w:h="16838" w:orient="portrait"/>
          <w:cols w:equalWidth="0" w:num="2">
            <w:col w:w="960" w:space="120"/>
            <w:col w:w="9059"/>
          </w:cols>
          <w:pgMar w:left="320" w:top="1181" w:right="1440"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2011.</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1181" w:right="1440"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Years 2022, 2021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2020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Sale of vacation ownership products</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1,618</w:t>
            </w:r>
          </w:p>
        </w:tc>
        <w:tc>
          <w:tcPr>
            <w:tcW w:w="120" w:type="dxa"/>
            <w:vAlign w:val="bottom"/>
          </w:tcPr>
          <w:p>
            <w:pPr>
              <w:spacing w:after="0"/>
              <w:rPr>
                <w:sz w:val="21"/>
                <w:szCs w:val="21"/>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21"/>
                <w:szCs w:val="21"/>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546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08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Marketing and sales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321</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Litigation charges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Restructuring</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Royalty fee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Impairment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08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Gains (losses) and other income (expense),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Transaction and integration costs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440" w:type="dxa"/>
            <w:vAlign w:val="bottom"/>
          </w:tcPr>
          <w:p>
            <w:pPr>
              <w:spacing w:after="0"/>
              <w:rPr>
                <w:sz w:val="13"/>
                <w:szCs w:val="13"/>
                <w:color w:val="auto"/>
              </w:rPr>
            </w:pPr>
          </w:p>
        </w:tc>
        <w:tc>
          <w:tcPr>
            <w:tcW w:w="4080" w:type="dxa"/>
            <w:vAlign w:val="bottom"/>
          </w:tcPr>
          <w:p>
            <w:pPr>
              <w:ind w:left="20"/>
              <w:spacing w:after="0" w:line="154" w:lineRule="exact"/>
              <w:rPr>
                <w:sz w:val="20"/>
                <w:szCs w:val="20"/>
                <w:color w:val="auto"/>
              </w:rPr>
            </w:pPr>
            <w:r>
              <w:rPr>
                <w:rFonts w:ascii="Arial" w:cs="Arial" w:eastAsia="Arial" w:hAnsi="Arial"/>
                <w:sz w:val="17"/>
                <w:szCs w:val="17"/>
                <w:b w:val="1"/>
                <w:bCs w:val="1"/>
                <w:color w:val="auto"/>
              </w:rPr>
              <w:t>INCOME (LOSS) BEFORE INCOME TAXES AND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418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NET INCOME (LOSS) ATTRIBUTABLE TO COMMON</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(275)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SHAREHOLDERS</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44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4080" w:type="dxa"/>
            <w:vAlign w:val="bottom"/>
          </w:tcPr>
          <w:p>
            <w:pPr>
              <w:ind w:left="20"/>
              <w:spacing w:after="0" w:line="162" w:lineRule="exact"/>
              <w:rPr>
                <w:sz w:val="20"/>
                <w:szCs w:val="20"/>
                <w:color w:val="auto"/>
              </w:rPr>
            </w:pPr>
            <w:r>
              <w:rPr>
                <w:rFonts w:ascii="Arial" w:cs="Arial" w:eastAsia="Arial" w:hAnsi="Arial"/>
                <w:sz w:val="17"/>
                <w:szCs w:val="17"/>
                <w:b w:val="1"/>
                <w:bCs w:val="1"/>
                <w:color w:val="auto"/>
                <w:w w:val="96"/>
              </w:rPr>
              <w:t>EARNINGS (LOSS) PER SHARE ATTRIBUTABLE TO</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Diluted</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8.77</w:t>
            </w:r>
          </w:p>
        </w:tc>
        <w:tc>
          <w:tcPr>
            <w:tcW w:w="120" w:type="dxa"/>
            <w:vAlign w:val="bottom"/>
          </w:tcPr>
          <w:p>
            <w:pPr>
              <w:spacing w:after="0"/>
              <w:rPr>
                <w:sz w:val="21"/>
                <w:szCs w:val="21"/>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1"/>
                <w:szCs w:val="21"/>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(6.65)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CASH DIVIDENDS DECLARED PER SHARE</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21"/>
                <w:szCs w:val="21"/>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1"/>
                <w:szCs w:val="21"/>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1440" w:type="dxa"/>
            <w:vAlign w:val="bottom"/>
          </w:tcPr>
          <w:p>
            <w:pPr>
              <w:spacing w:after="0"/>
              <w:rPr>
                <w:sz w:val="24"/>
                <w:szCs w:val="24"/>
                <w:color w:val="auto"/>
              </w:rPr>
            </w:pPr>
          </w:p>
        </w:tc>
        <w:tc>
          <w:tcPr>
            <w:tcW w:w="5980" w:type="dxa"/>
            <w:vAlign w:val="bottom"/>
            <w:gridSpan w:val="6"/>
          </w:tcPr>
          <w:p>
            <w:pPr>
              <w:ind w:left="2500"/>
              <w:spacing w:after="0"/>
              <w:rPr>
                <w:sz w:val="20"/>
                <w:szCs w:val="20"/>
                <w:color w:val="auto"/>
              </w:rPr>
            </w:pPr>
            <w:r>
              <w:rPr>
                <w:rFonts w:ascii="Arial" w:cs="Arial" w:eastAsia="Arial" w:hAnsi="Arial"/>
                <w:sz w:val="17"/>
                <w:szCs w:val="17"/>
                <w:b w:val="1"/>
                <w:bCs w:val="1"/>
                <w:color w:val="auto"/>
                <w:w w:val="88"/>
              </w:rPr>
              <w:t>See Notes to Consolidated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6"/>
        </w:trPr>
        <w:tc>
          <w:tcPr>
            <w:tcW w:w="1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72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44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Fiscal Years 2022, 2021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millions)</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0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391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49"/>
        </w:trPr>
        <w:tc>
          <w:tcPr>
            <w:tcW w:w="5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Foreign currency translation adjustments</w:t>
            </w: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62"/>
        </w:trPr>
        <w:tc>
          <w:tcPr>
            <w:tcW w:w="5000" w:type="dxa"/>
            <w:vAlign w:val="bottom"/>
          </w:tcPr>
          <w:p>
            <w:pPr>
              <w:ind w:left="200"/>
              <w:spacing w:after="0" w:line="162" w:lineRule="exact"/>
              <w:rPr>
                <w:sz w:val="20"/>
                <w:szCs w:val="20"/>
                <w:color w:val="auto"/>
              </w:rPr>
            </w:pPr>
            <w:r>
              <w:rPr>
                <w:rFonts w:ascii="Arial" w:cs="Arial" w:eastAsia="Arial" w:hAnsi="Arial"/>
                <w:sz w:val="17"/>
                <w:szCs w:val="17"/>
                <w:color w:val="auto"/>
                <w:w w:val="94"/>
              </w:rPr>
              <w:t>Reclassification of foreign currency translation adjustments realized</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00"/>
              <w:spacing w:after="0"/>
              <w:rPr>
                <w:sz w:val="20"/>
                <w:szCs w:val="20"/>
                <w:color w:val="auto"/>
              </w:rPr>
            </w:pPr>
            <w:r>
              <w:rPr>
                <w:rFonts w:ascii="Arial" w:cs="Arial" w:eastAsia="Arial" w:hAnsi="Arial"/>
                <w:sz w:val="17"/>
                <w:szCs w:val="17"/>
                <w:color w:val="auto"/>
              </w:rPr>
              <w:t>upon disposition of subsidiary</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2"/>
              </w:rPr>
              <w:t>(10)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Derivative instrument adjustment, net of tax</w:t>
            </w:r>
          </w:p>
        </w:tc>
        <w:tc>
          <w:tcPr>
            <w:tcW w:w="7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Net income attributable to noncontrolling interests</w:t>
            </w:r>
          </w:p>
        </w:tc>
        <w:tc>
          <w:tcPr>
            <w:tcW w:w="7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auto"/>
                <w:w w:val="96"/>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54"/>
        </w:trPr>
        <w:tc>
          <w:tcPr>
            <w:tcW w:w="500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b w:val="1"/>
                <w:bCs w:val="1"/>
                <w:color w:val="auto"/>
              </w:rPr>
              <w:t>COMPREHENSIVE INCOME ATTRIBUTABLE TO</w:t>
            </w:r>
          </w:p>
        </w:tc>
        <w:tc>
          <w:tcPr>
            <w:tcW w:w="7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6"/>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b w:val="1"/>
                <w:bCs w:val="1"/>
                <w:color w:val="auto"/>
              </w:rPr>
              <w:t>COMPREHENSIVE INCOME (LOSS) ATTRIBUTABLE TO</w:t>
            </w:r>
          </w:p>
        </w:tc>
        <w:tc>
          <w:tcPr>
            <w:tcW w:w="720" w:type="dxa"/>
            <w:vAlign w:val="bottom"/>
            <w:vMerge w:val="restart"/>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422</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60960</wp:posOffset>
            </wp:positionV>
            <wp:extent cx="71685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1019" w:right="1440" w:bottom="1440" w:gutter="0" w:footer="0" w:header="0"/>
        </w:sectPr>
      </w:pPr>
    </w:p>
    <w:bookmarkStart w:id="75" w:name="page76"/>
    <w:bookmarkEnd w:id="75"/>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CONSOLIDATED BALANCE SHEETS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Fiscal Year-End 2022 and 2021</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 except share and per share data)</w:t>
      </w:r>
    </w:p>
    <w:p>
      <w:pPr>
        <w:spacing w:after="0" w:line="14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2021</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21"/>
                <w:szCs w:val="21"/>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342</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(including $85 and $139 from VIEs, respectively)</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162"/>
        </w:trPr>
        <w:tc>
          <w:tcPr>
            <w:tcW w:w="5620" w:type="dxa"/>
            <w:vAlign w:val="bottom"/>
          </w:tcPr>
          <w:p>
            <w:pPr>
              <w:ind w:left="20"/>
              <w:spacing w:after="0" w:line="162" w:lineRule="exact"/>
              <w:rPr>
                <w:sz w:val="20"/>
                <w:szCs w:val="20"/>
                <w:color w:val="auto"/>
              </w:rPr>
            </w:pPr>
            <w:r>
              <w:rPr>
                <w:rFonts w:ascii="Arial" w:cs="Arial" w:eastAsia="Arial" w:hAnsi="Arial"/>
                <w:sz w:val="17"/>
                <w:szCs w:val="17"/>
                <w:color w:val="auto"/>
              </w:rPr>
              <w:t>Accounts and contracts receivable, net (including $13 and $12 from VIEs,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4"/>
        </w:trPr>
        <w:tc>
          <w:tcPr>
            <w:tcW w:w="5620" w:type="dxa"/>
            <w:vAlign w:val="bottom"/>
          </w:tcPr>
          <w:p>
            <w:pPr>
              <w:ind w:left="20"/>
              <w:spacing w:after="0"/>
              <w:rPr>
                <w:sz w:val="20"/>
                <w:szCs w:val="20"/>
                <w:color w:val="auto"/>
              </w:rPr>
            </w:pPr>
            <w:r>
              <w:rPr>
                <w:rFonts w:ascii="Arial" w:cs="Arial" w:eastAsia="Arial" w:hAnsi="Arial"/>
                <w:sz w:val="17"/>
                <w:szCs w:val="17"/>
                <w:color w:val="auto"/>
              </w:rPr>
              <w:t>respectively)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279</w:t>
            </w:r>
          </w:p>
        </w:tc>
      </w:tr>
      <w:tr>
        <w:trPr>
          <w:trHeight w:val="174"/>
        </w:trPr>
        <w:tc>
          <w:tcPr>
            <w:tcW w:w="562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w w:val="90"/>
              </w:rPr>
              <w:t>Vacation ownership notes receivable, net (including $1,792 and $1,662 from VIEs,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Inventory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3,150</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Intangibles, net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r>
      <w:tr>
        <w:trPr>
          <w:trHeight w:val="24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(including $76 and $76 from VIEs, respectively)</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r>
      <w:tr>
        <w:trPr>
          <w:trHeight w:val="229"/>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TOTAL ASSETS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21"/>
                <w:szCs w:val="21"/>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deposits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Accrued liabilities (including $5 and $2 from VIEs, respectively)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Payroll and benefits liability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 liability</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w w:val="99"/>
              </w:rPr>
              <w:t>Securitized debt, net (including $1,982 and $1,877 from VIEs, respectively)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1,856</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net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29"/>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7"/>
                <w:szCs w:val="17"/>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6,627</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Contingencies and Commitments (Note 13)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4"/>
        </w:trPr>
        <w:tc>
          <w:tcPr>
            <w:tcW w:w="5620" w:type="dxa"/>
            <w:vAlign w:val="bottom"/>
          </w:tcPr>
          <w:p>
            <w:pPr>
              <w:ind w:left="20"/>
              <w:spacing w:after="0" w:line="174" w:lineRule="exact"/>
              <w:rPr>
                <w:sz w:val="20"/>
                <w:szCs w:val="20"/>
                <w:color w:val="auto"/>
              </w:rPr>
            </w:pPr>
            <w:r>
              <w:rPr>
                <w:rFonts w:ascii="Arial" w:cs="Arial" w:eastAsia="Arial" w:hAnsi="Arial"/>
                <w:sz w:val="17"/>
                <w:szCs w:val="17"/>
                <w:color w:val="auto"/>
                <w:w w:val="92"/>
              </w:rPr>
              <w:t>Preferred stock — $0.01 par value; 2,000,000 shares authorized; none issued or</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4"/>
        </w:trPr>
        <w:tc>
          <w:tcPr>
            <w:tcW w:w="5620" w:type="dxa"/>
            <w:vAlign w:val="bottom"/>
          </w:tcPr>
          <w:p>
            <w:pPr>
              <w:ind w:left="20"/>
              <w:spacing w:after="0"/>
              <w:rPr>
                <w:sz w:val="20"/>
                <w:szCs w:val="20"/>
                <w:color w:val="auto"/>
              </w:rPr>
            </w:pPr>
            <w:r>
              <w:rPr>
                <w:rFonts w:ascii="Arial" w:cs="Arial" w:eastAsia="Arial" w:hAnsi="Arial"/>
                <w:sz w:val="17"/>
                <w:szCs w:val="17"/>
                <w:color w:val="auto"/>
              </w:rPr>
              <w:t>outstanding</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4"/>
        </w:trPr>
        <w:tc>
          <w:tcPr>
            <w:tcW w:w="562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w w:val="88"/>
              </w:rPr>
              <w:t>Common stock — $0.01 par value; 100,000,000 shares authorized; 75,744,524 and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75,519,049 shares issued, respectively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w w:val="99"/>
              </w:rPr>
              <w:t>Treasury stock — at cost; 38,263,442 and 33,235,671 shares, respectively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(1,356)</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4,072</w:t>
            </w:r>
          </w:p>
        </w:tc>
      </w:tr>
      <w:tr>
        <w:trPr>
          <w:trHeight w:val="249"/>
        </w:trPr>
        <w:tc>
          <w:tcPr>
            <w:tcW w:w="562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Retained earnings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29"/>
        </w:trPr>
        <w:tc>
          <w:tcPr>
            <w:tcW w:w="5620" w:type="dxa"/>
            <w:vAlign w:val="bottom"/>
          </w:tcPr>
          <w:p>
            <w:pPr>
              <w:ind w:left="200"/>
              <w:spacing w:after="0"/>
              <w:rPr>
                <w:sz w:val="20"/>
                <w:szCs w:val="20"/>
                <w:color w:val="auto"/>
              </w:rPr>
            </w:pPr>
            <w:r>
              <w:rPr>
                <w:rFonts w:ascii="Arial" w:cs="Arial" w:eastAsia="Arial" w:hAnsi="Arial"/>
                <w:sz w:val="17"/>
                <w:szCs w:val="17"/>
                <w:b w:val="1"/>
                <w:bCs w:val="1"/>
                <w:color w:val="auto"/>
              </w:rPr>
              <w:t>TOTAL MVW SHAREHOLDERS' EQUITY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2,976</w:t>
            </w:r>
          </w:p>
        </w:tc>
      </w:tr>
      <w:tr>
        <w:trPr>
          <w:trHeight w:val="24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9"/>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7"/>
                <w:szCs w:val="17"/>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2,986</w:t>
            </w:r>
          </w:p>
        </w:tc>
      </w:tr>
      <w:tr>
        <w:trPr>
          <w:trHeight w:val="229"/>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TOTAL LIABILITIES AND EQUITY</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abbreviation VIEs above means Variable Interest Entities.</w:t>
      </w:r>
    </w:p>
    <w:p>
      <w:pPr>
        <w:spacing w:after="0" w:line="199"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1019"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Fiscal Years 2022, 2021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millions)</w:t>
      </w:r>
    </w:p>
    <w:p>
      <w:pPr>
        <w:spacing w:after="0" w:line="9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2020</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9"/>
        </w:trPr>
        <w:tc>
          <w:tcPr>
            <w:tcW w:w="50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(256)</w:t>
            </w:r>
          </w:p>
        </w:tc>
      </w:tr>
      <w:tr>
        <w:trPr>
          <w:trHeight w:val="174"/>
        </w:trPr>
        <w:tc>
          <w:tcPr>
            <w:tcW w:w="50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w w:val="90"/>
              </w:rPr>
              <w:t>Adjustments to reconcile net income (loss) to net cash, cash equivalents,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restricted cash provided by operating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Depreciation and amortization of intangibles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debt discount and issuance costs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Vacation ownership notes receivable reserve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Share-based compensation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Impairment charges</w:t>
            </w:r>
          </w:p>
        </w:tc>
        <w:tc>
          <w:tcPr>
            <w:tcW w:w="2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and other income, net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4"/>
              </w:rPr>
              <w:t>Net change in assets and liabilities, net of the effects of acquisition: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49"/>
        </w:trPr>
        <w:tc>
          <w:tcPr>
            <w:tcW w:w="5000" w:type="dxa"/>
            <w:vAlign w:val="bottom"/>
          </w:tcPr>
          <w:p>
            <w:pPr>
              <w:ind w:left="420"/>
              <w:spacing w:after="0"/>
              <w:rPr>
                <w:sz w:val="20"/>
                <w:szCs w:val="20"/>
                <w:color w:val="auto"/>
              </w:rPr>
            </w:pPr>
            <w:r>
              <w:rPr>
                <w:rFonts w:ascii="Arial" w:cs="Arial" w:eastAsia="Arial" w:hAnsi="Arial"/>
                <w:sz w:val="17"/>
                <w:szCs w:val="17"/>
                <w:color w:val="auto"/>
              </w:rPr>
              <w:t>Accounts and contracts receivable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49"/>
        </w:trPr>
        <w:tc>
          <w:tcPr>
            <w:tcW w:w="5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Vacation ownership notes receivable originations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r>
      <w:tr>
        <w:trPr>
          <w:trHeight w:val="249"/>
        </w:trPr>
        <w:tc>
          <w:tcPr>
            <w:tcW w:w="5000" w:type="dxa"/>
            <w:vAlign w:val="bottom"/>
          </w:tcPr>
          <w:p>
            <w:pPr>
              <w:ind w:left="420"/>
              <w:spacing w:after="0"/>
              <w:rPr>
                <w:sz w:val="20"/>
                <w:szCs w:val="20"/>
                <w:color w:val="auto"/>
              </w:rPr>
            </w:pPr>
            <w:r>
              <w:rPr>
                <w:rFonts w:ascii="Arial" w:cs="Arial" w:eastAsia="Arial" w:hAnsi="Arial"/>
                <w:sz w:val="17"/>
                <w:szCs w:val="17"/>
                <w:color w:val="auto"/>
              </w:rPr>
              <w:t>Vacation ownership notes receivable collections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620</w:t>
            </w:r>
          </w:p>
        </w:tc>
      </w:tr>
      <w:tr>
        <w:trPr>
          <w:trHeight w:val="249"/>
        </w:trPr>
        <w:tc>
          <w:tcPr>
            <w:tcW w:w="5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Inventory</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49"/>
        </w:trPr>
        <w:tc>
          <w:tcPr>
            <w:tcW w:w="5000" w:type="dxa"/>
            <w:vAlign w:val="bottom"/>
          </w:tcPr>
          <w:p>
            <w:pPr>
              <w:ind w:left="42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49"/>
        </w:trPr>
        <w:tc>
          <w:tcPr>
            <w:tcW w:w="5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 advance deposits and accrued liabilities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49"/>
        </w:trPr>
        <w:tc>
          <w:tcPr>
            <w:tcW w:w="5000" w:type="dxa"/>
            <w:vAlign w:val="bottom"/>
          </w:tcPr>
          <w:p>
            <w:pPr>
              <w:ind w:left="42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49"/>
        </w:trPr>
        <w:tc>
          <w:tcPr>
            <w:tcW w:w="5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Payroll and benefit liabilities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49"/>
        </w:trPr>
        <w:tc>
          <w:tcPr>
            <w:tcW w:w="5000" w:type="dxa"/>
            <w:vAlign w:val="bottom"/>
          </w:tcPr>
          <w:p>
            <w:pPr>
              <w:ind w:left="420"/>
              <w:spacing w:after="0"/>
              <w:rPr>
                <w:sz w:val="20"/>
                <w:szCs w:val="20"/>
                <w:color w:val="auto"/>
              </w:rPr>
            </w:pPr>
            <w:r>
              <w:rPr>
                <w:rFonts w:ascii="Arial" w:cs="Arial" w:eastAsia="Arial" w:hAnsi="Arial"/>
                <w:sz w:val="17"/>
                <w:szCs w:val="17"/>
                <w:color w:val="auto"/>
              </w:rPr>
              <w:t>Deferred compensation liability</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49"/>
        </w:trPr>
        <w:tc>
          <w:tcPr>
            <w:tcW w:w="5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liabilities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w w:val="89"/>
              </w:rPr>
              <w:t>Deconsolidation of certain Consolidated Property Owners' Associations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Purchase of vacation ownership units for future transfer to inventory</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Other, net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54"/>
        </w:trPr>
        <w:tc>
          <w:tcPr>
            <w:tcW w:w="5000" w:type="dxa"/>
            <w:vAlign w:val="bottom"/>
            <w:tcBorders>
              <w:top w:val="single" w:sz="8" w:color="CCEEFF"/>
            </w:tcBorders>
            <w:shd w:val="clear" w:color="auto" w:fill="CCEEFF"/>
          </w:tcPr>
          <w:p>
            <w:pPr>
              <w:ind w:left="620"/>
              <w:spacing w:after="0" w:line="154" w:lineRule="exact"/>
              <w:rPr>
                <w:sz w:val="20"/>
                <w:szCs w:val="20"/>
                <w:color w:val="auto"/>
              </w:rPr>
            </w:pPr>
            <w:r>
              <w:rPr>
                <w:rFonts w:ascii="Arial" w:cs="Arial" w:eastAsia="Arial" w:hAnsi="Arial"/>
                <w:sz w:val="17"/>
                <w:szCs w:val="17"/>
                <w:color w:val="auto"/>
                <w:w w:val="97"/>
              </w:rPr>
              <w:t>Net cash, cash equivalents, and restricted cash provided by</w:t>
            </w: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224"/>
        </w:trPr>
        <w:tc>
          <w:tcPr>
            <w:tcW w:w="50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29"/>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Acquisition of a business, net of cash and restricted cash acquired</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62"/>
        </w:trPr>
        <w:tc>
          <w:tcPr>
            <w:tcW w:w="5000" w:type="dxa"/>
            <w:vAlign w:val="bottom"/>
          </w:tcPr>
          <w:p>
            <w:pPr>
              <w:ind w:left="200"/>
              <w:spacing w:after="0" w:line="162" w:lineRule="exact"/>
              <w:rPr>
                <w:sz w:val="20"/>
                <w:szCs w:val="20"/>
                <w:color w:val="auto"/>
              </w:rPr>
            </w:pPr>
            <w:r>
              <w:rPr>
                <w:rFonts w:ascii="Arial" w:cs="Arial" w:eastAsia="Arial" w:hAnsi="Arial"/>
                <w:sz w:val="17"/>
                <w:szCs w:val="17"/>
                <w:color w:val="auto"/>
                <w:w w:val="93"/>
              </w:rPr>
              <w:t>Proceeds from disposition of subsidiaries, net of cash and restricted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4"/>
        </w:trPr>
        <w:tc>
          <w:tcPr>
            <w:tcW w:w="5000" w:type="dxa"/>
            <w:vAlign w:val="bottom"/>
          </w:tcPr>
          <w:p>
            <w:pPr>
              <w:ind w:left="200"/>
              <w:spacing w:after="0"/>
              <w:rPr>
                <w:sz w:val="20"/>
                <w:szCs w:val="20"/>
                <w:color w:val="auto"/>
              </w:rPr>
            </w:pPr>
            <w:r>
              <w:rPr>
                <w:rFonts w:ascii="Arial" w:cs="Arial" w:eastAsia="Arial" w:hAnsi="Arial"/>
                <w:sz w:val="17"/>
                <w:szCs w:val="17"/>
                <w:color w:val="auto"/>
              </w:rPr>
              <w:t>cash transferred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0"/>
              </w:rPr>
              <w:t>Capital expenditures for property and equipment (excluding inventory)</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Issuance of note receivable to VIE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collection of note receivable from VIE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5000" w:type="dxa"/>
            <w:vAlign w:val="bottom"/>
          </w:tcPr>
          <w:p>
            <w:pPr>
              <w:ind w:left="200"/>
              <w:spacing w:after="0"/>
              <w:rPr>
                <w:sz w:val="20"/>
                <w:szCs w:val="20"/>
                <w:color w:val="auto"/>
              </w:rPr>
            </w:pPr>
            <w:r>
              <w:rPr>
                <w:rFonts w:ascii="Arial" w:cs="Arial" w:eastAsia="Arial" w:hAnsi="Arial"/>
                <w:sz w:val="17"/>
                <w:szCs w:val="17"/>
                <w:color w:val="auto"/>
              </w:rPr>
              <w:t>Purchase of company owned life insurance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49"/>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Dispositions, net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49"/>
        </w:trPr>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54"/>
        </w:trPr>
        <w:tc>
          <w:tcPr>
            <w:tcW w:w="5000" w:type="dxa"/>
            <w:vAlign w:val="bottom"/>
            <w:shd w:val="clear" w:color="auto" w:fill="CCEEFF"/>
          </w:tcPr>
          <w:p>
            <w:pPr>
              <w:ind w:left="620"/>
              <w:spacing w:after="0" w:line="154" w:lineRule="exact"/>
              <w:rPr>
                <w:sz w:val="20"/>
                <w:szCs w:val="20"/>
                <w:color w:val="auto"/>
              </w:rPr>
            </w:pPr>
            <w:r>
              <w:rPr>
                <w:rFonts w:ascii="Arial" w:cs="Arial" w:eastAsia="Arial" w:hAnsi="Arial"/>
                <w:sz w:val="17"/>
                <w:szCs w:val="17"/>
                <w:color w:val="auto"/>
                <w:w w:val="87"/>
              </w:rPr>
              <w:t>Net cash, cash equivalents, and restricted cash provided by (used</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24"/>
        </w:trPr>
        <w:tc>
          <w:tcPr>
            <w:tcW w:w="50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bl>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60960</wp:posOffset>
            </wp:positionV>
            <wp:extent cx="716851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1019"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Fiscal Years 2022, 2021 and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millions)</w:t>
      </w:r>
    </w:p>
    <w:p>
      <w:pPr>
        <w:spacing w:after="0" w:line="149"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2020</w:t>
            </w:r>
          </w:p>
        </w:tc>
      </w:tr>
      <w:tr>
        <w:trPr>
          <w:trHeight w:val="20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rPr>
              <w:t>Borrowings from securitization transactions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690</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Repayment of debt related to securitization transactions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rPr>
              <w:t>Proceeds from debt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1,166</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Repayments of debt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rPr>
              <w:t>Purchase of convertible note hedges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issuance of warrants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rPr>
              <w:t>Payment of debt issuance costs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 payments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rPr>
              <w:t>Repurchase of common stock</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of dividends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w w:val="97"/>
              </w:rPr>
              <w:t>Payment of withholding taxes on vesting of restricted stock units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54"/>
        </w:trPr>
        <w:tc>
          <w:tcPr>
            <w:tcW w:w="4940" w:type="dxa"/>
            <w:vAlign w:val="bottom"/>
          </w:tcPr>
          <w:p>
            <w:pPr>
              <w:ind w:left="620"/>
              <w:spacing w:after="0" w:line="154" w:lineRule="exact"/>
              <w:rPr>
                <w:sz w:val="20"/>
                <w:szCs w:val="20"/>
                <w:color w:val="auto"/>
              </w:rPr>
            </w:pPr>
            <w:r>
              <w:rPr>
                <w:rFonts w:ascii="Arial" w:cs="Arial" w:eastAsia="Arial" w:hAnsi="Arial"/>
                <w:sz w:val="17"/>
                <w:szCs w:val="17"/>
                <w:color w:val="auto"/>
              </w:rPr>
              <w:t>Net cash, cash equivalents, and restricted cash (used in)</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24"/>
        </w:trPr>
        <w:tc>
          <w:tcPr>
            <w:tcW w:w="494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provided by financing activities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154"/>
        </w:trPr>
        <w:tc>
          <w:tcPr>
            <w:tcW w:w="4940" w:type="dxa"/>
            <w:vAlign w:val="bottom"/>
            <w:shd w:val="clear" w:color="auto" w:fill="CCEEFF"/>
          </w:tcPr>
          <w:p>
            <w:pPr>
              <w:ind w:left="200"/>
              <w:spacing w:after="0" w:line="154" w:lineRule="exact"/>
              <w:rPr>
                <w:sz w:val="20"/>
                <w:szCs w:val="20"/>
                <w:color w:val="auto"/>
              </w:rPr>
            </w:pPr>
            <w:r>
              <w:rPr>
                <w:rFonts w:ascii="Arial" w:cs="Arial" w:eastAsia="Arial" w:hAnsi="Arial"/>
                <w:sz w:val="17"/>
                <w:szCs w:val="17"/>
                <w:color w:val="auto"/>
                <w:w w:val="92"/>
              </w:rPr>
              <w:t>Effect of changes in exchange rates on cash, cash equivalents, and</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24"/>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restricted cash</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4940" w:type="dxa"/>
            <w:vAlign w:val="bottom"/>
          </w:tcPr>
          <w:p>
            <w:pPr>
              <w:ind w:left="20"/>
              <w:spacing w:after="0"/>
              <w:rPr>
                <w:sz w:val="20"/>
                <w:szCs w:val="20"/>
                <w:color w:val="auto"/>
              </w:rPr>
            </w:pPr>
            <w:r>
              <w:rPr>
                <w:rFonts w:ascii="Arial" w:cs="Arial" w:eastAsia="Arial" w:hAnsi="Arial"/>
                <w:sz w:val="17"/>
                <w:szCs w:val="17"/>
                <w:color w:val="auto"/>
              </w:rPr>
              <w:t>Change in cash, cash equivalents, and restricted cash</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49"/>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w:t>
            </w:r>
          </w:p>
        </w:tc>
      </w:tr>
      <w:tr>
        <w:trPr>
          <w:trHeight w:val="204"/>
        </w:trPr>
        <w:tc>
          <w:tcPr>
            <w:tcW w:w="49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year</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4"/>
        </w:trPr>
        <w:tc>
          <w:tcPr>
            <w:tcW w:w="4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6"/>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Non-cash issuance of debt in connection with asset acquisition</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62"/>
        </w:trPr>
        <w:tc>
          <w:tcPr>
            <w:tcW w:w="4940" w:type="dxa"/>
            <w:vAlign w:val="bottom"/>
          </w:tcPr>
          <w:p>
            <w:pPr>
              <w:ind w:left="200"/>
              <w:spacing w:after="0" w:line="162" w:lineRule="exact"/>
              <w:rPr>
                <w:sz w:val="20"/>
                <w:szCs w:val="20"/>
                <w:color w:val="auto"/>
              </w:rPr>
            </w:pPr>
            <w:r>
              <w:rPr>
                <w:rFonts w:ascii="Arial" w:cs="Arial" w:eastAsia="Arial" w:hAnsi="Arial"/>
                <w:sz w:val="17"/>
                <w:szCs w:val="17"/>
                <w:color w:val="auto"/>
              </w:rPr>
              <w:t>Non-cash issuance of treasury stock in connection with Welk</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4"/>
        </w:trPr>
        <w:tc>
          <w:tcPr>
            <w:tcW w:w="4940" w:type="dxa"/>
            <w:vAlign w:val="bottom"/>
          </w:tcPr>
          <w:p>
            <w:pPr>
              <w:ind w:left="200"/>
              <w:spacing w:after="0"/>
              <w:rPr>
                <w:sz w:val="20"/>
                <w:szCs w:val="20"/>
                <w:color w:val="auto"/>
              </w:rPr>
            </w:pPr>
            <w:r>
              <w:rPr>
                <w:rFonts w:ascii="Arial" w:cs="Arial" w:eastAsia="Arial" w:hAnsi="Arial"/>
                <w:sz w:val="17"/>
                <w:szCs w:val="17"/>
                <w:color w:val="auto"/>
              </w:rPr>
              <w:t>Acquisition</w:t>
            </w:r>
          </w:p>
        </w:tc>
        <w:tc>
          <w:tcPr>
            <w:tcW w:w="2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Non-cash transfer from inventory to property and equipment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rPr>
              <w:t>Non-cash transfer from property and equipment to inventory</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Non-cash transfer from other assets to property and equipment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w w:val="88"/>
              </w:rPr>
              <w:t>Non-cash issuance of treasury stock for employee stock purchase plan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49"/>
        </w:trPr>
        <w:tc>
          <w:tcPr>
            <w:tcW w:w="4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49"/>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Dividends payable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940" w:type="dxa"/>
            <w:vAlign w:val="bottom"/>
          </w:tcPr>
          <w:p>
            <w:pPr>
              <w:ind w:left="200"/>
              <w:spacing w:after="0"/>
              <w:rPr>
                <w:sz w:val="20"/>
                <w:szCs w:val="20"/>
                <w:color w:val="auto"/>
              </w:rPr>
            </w:pPr>
            <w:r>
              <w:rPr>
                <w:rFonts w:ascii="Arial" w:cs="Arial" w:eastAsia="Arial" w:hAnsi="Arial"/>
                <w:sz w:val="17"/>
                <w:szCs w:val="17"/>
                <w:color w:val="auto"/>
              </w:rPr>
              <w:t>Interest paid, net of amounts capitalized</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162"/>
        </w:trPr>
        <w:tc>
          <w:tcPr>
            <w:tcW w:w="4940" w:type="dxa"/>
            <w:vAlign w:val="bottom"/>
            <w:shd w:val="clear" w:color="auto" w:fill="CCEEFF"/>
          </w:tcPr>
          <w:p>
            <w:pPr>
              <w:ind w:left="200"/>
              <w:spacing w:after="0" w:line="162" w:lineRule="exact"/>
              <w:rPr>
                <w:sz w:val="20"/>
                <w:szCs w:val="20"/>
                <w:color w:val="auto"/>
              </w:rPr>
            </w:pPr>
            <w:r>
              <w:rPr>
                <w:rFonts w:ascii="Arial" w:cs="Arial" w:eastAsia="Arial" w:hAnsi="Arial"/>
                <w:sz w:val="17"/>
                <w:szCs w:val="17"/>
                <w:color w:val="auto"/>
                <w:w w:val="91"/>
              </w:rPr>
              <w:t>Income taxes paid, net of refunds (income tax refunds, net of income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24"/>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taxes paid)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60960</wp:posOffset>
            </wp:positionV>
            <wp:extent cx="71685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1019" w:right="1440"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w:t>
      </w:r>
    </w:p>
    <w:p>
      <w:pPr>
        <w:ind w:left="100"/>
        <w:spacing w:after="0" w:line="220" w:lineRule="auto"/>
        <w:rPr>
          <w:sz w:val="20"/>
          <w:szCs w:val="20"/>
          <w:color w:val="auto"/>
        </w:rPr>
      </w:pPr>
      <w:r>
        <w:rPr>
          <w:rFonts w:ascii="Arial" w:cs="Arial" w:eastAsia="Arial" w:hAnsi="Arial"/>
          <w:sz w:val="13"/>
          <w:szCs w:val="13"/>
          <w:b w:val="1"/>
          <w:bCs w:val="1"/>
          <w:color w:val="auto"/>
        </w:rPr>
        <w:t>Stock</w:t>
      </w:r>
    </w:p>
    <w:p>
      <w:pPr>
        <w:ind w:left="80"/>
        <w:spacing w:after="0"/>
        <w:rPr>
          <w:sz w:val="20"/>
          <w:szCs w:val="20"/>
          <w:color w:val="auto"/>
        </w:rPr>
      </w:pPr>
      <w:r>
        <w:rPr>
          <w:rFonts w:ascii="Arial" w:cs="Arial" w:eastAsia="Arial" w:hAnsi="Arial"/>
          <w:sz w:val="13"/>
          <w:szCs w:val="13"/>
          <w:b w:val="1"/>
          <w:bCs w:val="1"/>
          <w:color w:val="auto"/>
        </w:rPr>
        <w:t>Issued</w:t>
      </w:r>
    </w:p>
    <w:p>
      <w:pPr>
        <w:spacing w:after="0" w:line="73"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75.0</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0.3</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45085</wp:posOffset>
            </wp:positionV>
            <wp:extent cx="40322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403225" cy="762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Common</w:t>
      </w:r>
    </w:p>
    <w:p>
      <w:pPr>
        <w:jc w:val="center"/>
        <w:spacing w:after="0" w:line="220" w:lineRule="auto"/>
        <w:rPr>
          <w:sz w:val="20"/>
          <w:szCs w:val="20"/>
          <w:color w:val="auto"/>
        </w:rPr>
      </w:pPr>
      <w:r>
        <w:rPr>
          <w:rFonts w:ascii="Arial" w:cs="Arial" w:eastAsia="Arial" w:hAnsi="Arial"/>
          <w:sz w:val="13"/>
          <w:szCs w:val="13"/>
          <w:b w:val="1"/>
          <w:bCs w:val="1"/>
          <w:color w:val="auto"/>
        </w:rPr>
        <w:t>Stock</w:t>
      </w:r>
    </w:p>
    <w:p>
      <w:pPr>
        <w:ind w:left="80"/>
        <w:spacing w:after="0"/>
        <w:rPr>
          <w:sz w:val="20"/>
          <w:szCs w:val="20"/>
          <w:color w:val="auto"/>
        </w:rPr>
      </w:pPr>
      <w:r>
        <w:rPr>
          <w:rFonts w:ascii="Arial" w:cs="Arial" w:eastAsia="Arial" w:hAnsi="Arial"/>
          <w:sz w:val="13"/>
          <w:szCs w:val="13"/>
          <w:b w:val="1"/>
          <w:bCs w:val="1"/>
          <w:color w:val="auto"/>
        </w:rPr>
        <w:t>Issued</w:t>
      </w:r>
    </w:p>
    <w:p>
      <w:pPr>
        <w:spacing w:after="0" w:line="73"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75.3</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176"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0.2</w:t>
      </w:r>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325"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13970</wp:posOffset>
            </wp:positionV>
            <wp:extent cx="40322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403225" cy="7620"/>
                    </a:xfrm>
                    <a:prstGeom prst="rect">
                      <a:avLst/>
                    </a:prstGeom>
                    <a:noFill/>
                  </pic:spPr>
                </pic:pic>
              </a:graphicData>
            </a:graphic>
          </wp:anchor>
        </w:drawing>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13970</wp:posOffset>
            </wp:positionV>
            <wp:extent cx="40322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403225" cy="762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38100</wp:posOffset>
            </wp:positionV>
            <wp:extent cx="40322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4032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60"/>
        <w:spacing w:after="0"/>
        <w:rPr>
          <w:sz w:val="20"/>
          <w:szCs w:val="20"/>
          <w:color w:val="auto"/>
        </w:rPr>
      </w:pPr>
      <w:r>
        <w:rPr>
          <w:rFonts w:ascii="Arial" w:cs="Arial" w:eastAsia="Arial" w:hAnsi="Arial"/>
          <w:sz w:val="16"/>
          <w:szCs w:val="16"/>
          <w:b w:val="1"/>
          <w:bCs w:val="1"/>
          <w:color w:val="auto"/>
        </w:rPr>
        <w:t>MARRIOTT VACATIONS WORLDWIDE CORPORATION</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Fiscal Years 2022, 2021 and 2020</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3"/>
                <w:szCs w:val="13"/>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3"/>
                <w:szCs w:val="13"/>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Total MVW</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Noncontrolling</w:t>
            </w:r>
          </w:p>
        </w:tc>
        <w:tc>
          <w:tcPr>
            <w:tcW w:w="120" w:type="dxa"/>
            <w:vAlign w:val="bottom"/>
          </w:tcPr>
          <w:p>
            <w:pPr>
              <w:spacing w:after="0"/>
              <w:rPr>
                <w:sz w:val="13"/>
                <w:szCs w:val="13"/>
                <w:color w:val="auto"/>
              </w:rPr>
            </w:pPr>
          </w:p>
        </w:tc>
        <w:tc>
          <w:tcPr>
            <w:tcW w:w="560" w:type="dxa"/>
            <w:vAlign w:val="bottom"/>
            <w:vMerge w:val="restart"/>
          </w:tcPr>
          <w:p>
            <w:pPr>
              <w:jc w:val="center"/>
              <w:ind w:right="2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40"/>
              <w:spacing w:after="0" w:line="133"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90"/>
              </w:rPr>
              <w:t>Shareholders'</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(Loss) Income</w:t>
            </w:r>
          </w:p>
        </w:tc>
        <w:tc>
          <w:tcPr>
            <w:tcW w:w="1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Interests</w:t>
            </w:r>
          </w:p>
        </w:tc>
        <w:tc>
          <w:tcPr>
            <w:tcW w:w="120" w:type="dxa"/>
            <w:vAlign w:val="bottom"/>
          </w:tcPr>
          <w:p>
            <w:pPr>
              <w:spacing w:after="0"/>
              <w:rPr>
                <w:sz w:val="15"/>
                <w:szCs w:val="15"/>
                <w:color w:val="auto"/>
              </w:rPr>
            </w:pPr>
          </w:p>
        </w:tc>
        <w:tc>
          <w:tcPr>
            <w:tcW w:w="560" w:type="dxa"/>
            <w:vAlign w:val="bottom"/>
          </w:tcPr>
          <w:p>
            <w:pPr>
              <w:jc w:val="center"/>
              <w:ind w:right="2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8"/>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BALANCE AT YEAR-END 2019</w:t>
            </w: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3,019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3,031</w:t>
            </w:r>
          </w:p>
        </w:tc>
        <w:tc>
          <w:tcPr>
            <w:tcW w:w="0" w:type="dxa"/>
            <w:vAlign w:val="bottom"/>
          </w:tcPr>
          <w:p>
            <w:pPr>
              <w:spacing w:after="0"/>
              <w:rPr>
                <w:sz w:val="1"/>
                <w:szCs w:val="1"/>
                <w:color w:val="auto"/>
              </w:rPr>
            </w:pPr>
          </w:p>
        </w:tc>
      </w:tr>
      <w:tr>
        <w:trPr>
          <w:trHeight w:val="236"/>
        </w:trPr>
        <w:tc>
          <w:tcPr>
            <w:tcW w:w="2660" w:type="dxa"/>
            <w:vAlign w:val="bottom"/>
          </w:tcPr>
          <w:p>
            <w:pPr>
              <w:ind w:left="200"/>
              <w:spacing w:after="0"/>
              <w:rPr>
                <w:sz w:val="20"/>
                <w:szCs w:val="20"/>
                <w:color w:val="auto"/>
              </w:rPr>
            </w:pPr>
            <w:r>
              <w:rPr>
                <w:rFonts w:ascii="Arial" w:cs="Arial" w:eastAsia="Arial" w:hAnsi="Arial"/>
                <w:sz w:val="15"/>
                <w:szCs w:val="15"/>
                <w:color w:val="auto"/>
              </w:rPr>
              <w:t>Net (loss) income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159"/>
        </w:trPr>
        <w:tc>
          <w:tcPr>
            <w:tcW w:w="2660" w:type="dxa"/>
            <w:vAlign w:val="bottom"/>
          </w:tcPr>
          <w:p>
            <w:pPr>
              <w:ind w:left="200"/>
              <w:spacing w:after="0" w:line="159" w:lineRule="exact"/>
              <w:rPr>
                <w:sz w:val="20"/>
                <w:szCs w:val="20"/>
                <w:color w:val="auto"/>
              </w:rPr>
            </w:pPr>
            <w:r>
              <w:rPr>
                <w:rFonts w:ascii="Arial" w:cs="Arial" w:eastAsia="Arial" w:hAnsi="Arial"/>
                <w:sz w:val="15"/>
                <w:szCs w:val="15"/>
                <w:color w:val="auto"/>
              </w:rPr>
              <w:t>Foreign currency translation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40" w:type="dxa"/>
            <w:vAlign w:val="bottom"/>
            <w:vMerge w:val="restart"/>
          </w:tcPr>
          <w:p>
            <w:pPr>
              <w:jc w:val="right"/>
              <w:ind w:right="7"/>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9"/>
        </w:trPr>
        <w:tc>
          <w:tcPr>
            <w:tcW w:w="2660" w:type="dxa"/>
            <w:vAlign w:val="bottom"/>
          </w:tcPr>
          <w:p>
            <w:pPr>
              <w:ind w:left="200"/>
              <w:spacing w:after="0"/>
              <w:rPr>
                <w:sz w:val="20"/>
                <w:szCs w:val="20"/>
                <w:color w:val="auto"/>
              </w:rPr>
            </w:pPr>
            <w:r>
              <w:rPr>
                <w:rFonts w:ascii="Arial" w:cs="Arial" w:eastAsia="Arial" w:hAnsi="Arial"/>
                <w:sz w:val="15"/>
                <w:szCs w:val="15"/>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200"/>
              <w:spacing w:after="0"/>
              <w:rPr>
                <w:sz w:val="20"/>
                <w:szCs w:val="20"/>
                <w:color w:val="auto"/>
              </w:rPr>
            </w:pPr>
            <w:r>
              <w:rPr>
                <w:rFonts w:ascii="Arial" w:cs="Arial" w:eastAsia="Arial" w:hAnsi="Arial"/>
                <w:sz w:val="15"/>
                <w:szCs w:val="15"/>
                <w:color w:val="auto"/>
              </w:rPr>
              <w:t>Derivative instrument adjustment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59"/>
        </w:trPr>
        <w:tc>
          <w:tcPr>
            <w:tcW w:w="2660" w:type="dxa"/>
            <w:vAlign w:val="bottom"/>
          </w:tcPr>
          <w:p>
            <w:pPr>
              <w:ind w:left="200"/>
              <w:spacing w:after="0" w:line="159" w:lineRule="exact"/>
              <w:rPr>
                <w:sz w:val="20"/>
                <w:szCs w:val="20"/>
                <w:color w:val="auto"/>
              </w:rPr>
            </w:pPr>
            <w:r>
              <w:rPr>
                <w:rFonts w:ascii="Arial" w:cs="Arial" w:eastAsia="Arial" w:hAnsi="Arial"/>
                <w:sz w:val="15"/>
                <w:szCs w:val="15"/>
                <w:color w:val="auto"/>
              </w:rPr>
              <w:t>Amounts related to share-based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9"/>
        </w:trPr>
        <w:tc>
          <w:tcPr>
            <w:tcW w:w="2660" w:type="dxa"/>
            <w:vAlign w:val="bottom"/>
          </w:tcPr>
          <w:p>
            <w:pPr>
              <w:ind w:left="200"/>
              <w:spacing w:after="0"/>
              <w:rPr>
                <w:sz w:val="20"/>
                <w:szCs w:val="20"/>
                <w:color w:val="auto"/>
              </w:rPr>
            </w:pPr>
            <w:r>
              <w:rPr>
                <w:rFonts w:ascii="Arial" w:cs="Arial" w:eastAsia="Arial" w:hAnsi="Arial"/>
                <w:sz w:val="15"/>
                <w:szCs w:val="15"/>
                <w:color w:val="auto"/>
              </w:rPr>
              <w:t>compensation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200"/>
              <w:spacing w:after="0"/>
              <w:rPr>
                <w:sz w:val="20"/>
                <w:szCs w:val="20"/>
                <w:color w:val="auto"/>
              </w:rPr>
            </w:pPr>
            <w:r>
              <w:rPr>
                <w:rFonts w:ascii="Arial" w:cs="Arial" w:eastAsia="Arial" w:hAnsi="Arial"/>
                <w:sz w:val="15"/>
                <w:szCs w:val="15"/>
                <w:color w:val="auto"/>
              </w:rPr>
              <w:t>Repurchase of common 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36"/>
        </w:trPr>
        <w:tc>
          <w:tcPr>
            <w:tcW w:w="2660" w:type="dxa"/>
            <w:vAlign w:val="bottom"/>
          </w:tcPr>
          <w:p>
            <w:pPr>
              <w:ind w:left="200"/>
              <w:spacing w:after="0"/>
              <w:rPr>
                <w:sz w:val="20"/>
                <w:szCs w:val="20"/>
                <w:color w:val="auto"/>
              </w:rPr>
            </w:pPr>
            <w:r>
              <w:rPr>
                <w:rFonts w:ascii="Arial" w:cs="Arial" w:eastAsia="Arial" w:hAnsi="Arial"/>
                <w:sz w:val="15"/>
                <w:szCs w:val="15"/>
                <w:color w:val="auto"/>
              </w:rPr>
              <w:t>Dividends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36"/>
        </w:trPr>
        <w:tc>
          <w:tcPr>
            <w:tcW w:w="2660" w:type="dxa"/>
            <w:vAlign w:val="bottom"/>
          </w:tcPr>
          <w:p>
            <w:pPr>
              <w:ind w:left="200"/>
              <w:spacing w:after="0"/>
              <w:rPr>
                <w:sz w:val="20"/>
                <w:szCs w:val="20"/>
                <w:color w:val="auto"/>
              </w:rPr>
            </w:pPr>
            <w:r>
              <w:rPr>
                <w:rFonts w:ascii="Arial" w:cs="Arial" w:eastAsia="Arial" w:hAnsi="Arial"/>
                <w:sz w:val="15"/>
                <w:szCs w:val="15"/>
                <w:color w:val="auto"/>
              </w:rPr>
              <w:t>Employee stock plan issuance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4"/>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BALANCE AT YEAR-END 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3,760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272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2,651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2,682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4"/>
                <w:szCs w:val="2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Additional</w:t>
            </w: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24"/>
                <w:szCs w:val="2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Total MVW</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Noncontrolling</w:t>
            </w:r>
          </w:p>
        </w:tc>
        <w:tc>
          <w:tcPr>
            <w:tcW w:w="120" w:type="dxa"/>
            <w:vAlign w:val="bottom"/>
          </w:tcPr>
          <w:p>
            <w:pPr>
              <w:spacing w:after="0"/>
              <w:rPr>
                <w:sz w:val="24"/>
                <w:szCs w:val="24"/>
                <w:color w:val="auto"/>
              </w:rPr>
            </w:pPr>
          </w:p>
        </w:tc>
        <w:tc>
          <w:tcPr>
            <w:tcW w:w="560" w:type="dxa"/>
            <w:vAlign w:val="bottom"/>
            <w:vMerge w:val="restart"/>
          </w:tcPr>
          <w:p>
            <w:pPr>
              <w:jc w:val="center"/>
              <w:ind w:right="2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20"/>
              <w:spacing w:after="0" w:line="137"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0"/>
              </w:rPr>
              <w:t>Shareholders'</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0"/>
              </w:rPr>
              <w:t>(Loss) Income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2"/>
              </w:rPr>
              <w:t>Interests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8"/>
        </w:trPr>
        <w:tc>
          <w:tcPr>
            <w:tcW w:w="2660" w:type="dxa"/>
            <w:vAlign w:val="bottom"/>
          </w:tcPr>
          <w:p>
            <w:pPr>
              <w:spacing w:after="0"/>
              <w:rPr>
                <w:sz w:val="20"/>
                <w:szCs w:val="20"/>
                <w:color w:val="auto"/>
              </w:rPr>
            </w:pPr>
            <w:r>
              <w:rPr>
                <w:rFonts w:ascii="Arial" w:cs="Arial" w:eastAsia="Arial" w:hAnsi="Arial"/>
                <w:sz w:val="15"/>
                <w:szCs w:val="15"/>
                <w:b w:val="1"/>
                <w:bCs w:val="1"/>
                <w:color w:val="auto"/>
              </w:rPr>
              <w:t>BALANCE AT YEAR-END 2020</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3,760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2,651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2,682</w:t>
            </w: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Welk Acquisition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line="159" w:lineRule="exact"/>
              <w:rPr>
                <w:sz w:val="20"/>
                <w:szCs w:val="20"/>
                <w:color w:val="auto"/>
              </w:rPr>
            </w:pPr>
            <w:r>
              <w:rPr>
                <w:rFonts w:ascii="Arial" w:cs="Arial" w:eastAsia="Arial" w:hAnsi="Arial"/>
                <w:sz w:val="15"/>
                <w:szCs w:val="15"/>
                <w:color w:val="auto"/>
              </w:rPr>
              <w:t>Foreign currency translation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40" w:type="dxa"/>
            <w:vAlign w:val="bottom"/>
            <w:vMerge w:val="restart"/>
          </w:tcPr>
          <w:p>
            <w:pPr>
              <w:jc w:val="right"/>
              <w:ind w:right="7"/>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9"/>
        </w:trPr>
        <w:tc>
          <w:tcPr>
            <w:tcW w:w="266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Derivative instrument adjustment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line="159" w:lineRule="exact"/>
              <w:rPr>
                <w:sz w:val="20"/>
                <w:szCs w:val="20"/>
                <w:color w:val="auto"/>
              </w:rPr>
            </w:pPr>
            <w:r>
              <w:rPr>
                <w:rFonts w:ascii="Arial" w:cs="Arial" w:eastAsia="Arial" w:hAnsi="Arial"/>
                <w:sz w:val="15"/>
                <w:szCs w:val="15"/>
                <w:color w:val="auto"/>
              </w:rPr>
              <w:t>Amounts related to share-based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89"/>
        </w:trPr>
        <w:tc>
          <w:tcPr>
            <w:tcW w:w="2660" w:type="dxa"/>
            <w:vAlign w:val="bottom"/>
          </w:tcPr>
          <w:p>
            <w:pPr>
              <w:ind w:left="180"/>
              <w:spacing w:after="0"/>
              <w:rPr>
                <w:sz w:val="20"/>
                <w:szCs w:val="20"/>
                <w:color w:val="auto"/>
              </w:rPr>
            </w:pPr>
            <w:r>
              <w:rPr>
                <w:rFonts w:ascii="Arial" w:cs="Arial" w:eastAsia="Arial" w:hAnsi="Arial"/>
                <w:sz w:val="15"/>
                <w:szCs w:val="15"/>
                <w:color w:val="auto"/>
              </w:rPr>
              <w:t>compensation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660" w:type="dxa"/>
            <w:vAlign w:val="bottom"/>
          </w:tcPr>
          <w:p>
            <w:pPr>
              <w:ind w:left="180"/>
              <w:spacing w:after="0"/>
              <w:rPr>
                <w:sz w:val="20"/>
                <w:szCs w:val="20"/>
                <w:color w:val="auto"/>
              </w:rPr>
            </w:pPr>
            <w:r>
              <w:rPr>
                <w:rFonts w:ascii="Arial" w:cs="Arial" w:eastAsia="Arial" w:hAnsi="Arial"/>
                <w:sz w:val="15"/>
                <w:szCs w:val="15"/>
                <w:color w:val="auto"/>
              </w:rPr>
              <w:t>Equity component of convertible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60" w:type="dxa"/>
            <w:vAlign w:val="bottom"/>
          </w:tcPr>
          <w:p>
            <w:pPr>
              <w:ind w:left="180"/>
              <w:spacing w:after="0"/>
              <w:rPr>
                <w:sz w:val="20"/>
                <w:szCs w:val="20"/>
                <w:color w:val="auto"/>
              </w:rPr>
            </w:pPr>
            <w:r>
              <w:rPr>
                <w:rFonts w:ascii="Arial" w:cs="Arial" w:eastAsia="Arial" w:hAnsi="Arial"/>
                <w:sz w:val="15"/>
                <w:szCs w:val="15"/>
                <w:color w:val="auto"/>
              </w:rPr>
              <w:t>notes,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Purchase of convertible note hedges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Issuance of warrants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Dividends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5"/>
                <w:szCs w:val="15"/>
                <w:color w:val="auto"/>
              </w:rPr>
              <w:t>Employee stock plan issuance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line="159" w:lineRule="exact"/>
              <w:rPr>
                <w:sz w:val="20"/>
                <w:szCs w:val="20"/>
                <w:color w:val="auto"/>
              </w:rPr>
            </w:pPr>
            <w:r>
              <w:rPr>
                <w:rFonts w:ascii="Arial" w:cs="Arial" w:eastAsia="Arial" w:hAnsi="Arial"/>
                <w:sz w:val="15"/>
                <w:szCs w:val="15"/>
                <w:color w:val="auto"/>
              </w:rPr>
              <w:t>Deconsolidation of certain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80"/>
              <w:spacing w:after="0" w:line="149" w:lineRule="exact"/>
              <w:rPr>
                <w:sz w:val="20"/>
                <w:szCs w:val="20"/>
                <w:color w:val="auto"/>
              </w:rPr>
            </w:pPr>
            <w:r>
              <w:rPr>
                <w:rFonts w:ascii="Arial" w:cs="Arial" w:eastAsia="Arial" w:hAnsi="Arial"/>
                <w:sz w:val="15"/>
                <w:szCs w:val="15"/>
                <w:color w:val="auto"/>
              </w:rPr>
              <w:t>Consolidated Property Owners'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7"/>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9"/>
        </w:trPr>
        <w:tc>
          <w:tcPr>
            <w:tcW w:w="2660" w:type="dxa"/>
            <w:vAlign w:val="bottom"/>
          </w:tcPr>
          <w:p>
            <w:pPr>
              <w:ind w:left="180"/>
              <w:spacing w:after="0"/>
              <w:rPr>
                <w:sz w:val="20"/>
                <w:szCs w:val="20"/>
                <w:color w:val="auto"/>
              </w:rPr>
            </w:pPr>
            <w:r>
              <w:rPr>
                <w:rFonts w:ascii="Arial" w:cs="Arial" w:eastAsia="Arial" w:hAnsi="Arial"/>
                <w:sz w:val="15"/>
                <w:szCs w:val="15"/>
                <w:color w:val="auto"/>
              </w:rPr>
              <w:t>Associations</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60" w:type="dxa"/>
            <w:vAlign w:val="bottom"/>
          </w:tcPr>
          <w:p>
            <w:pPr>
              <w:spacing w:after="0"/>
              <w:rPr>
                <w:sz w:val="20"/>
                <w:szCs w:val="20"/>
                <w:color w:val="auto"/>
              </w:rPr>
            </w:pPr>
            <w:r>
              <w:rPr>
                <w:rFonts w:ascii="Arial" w:cs="Arial" w:eastAsia="Arial" w:hAnsi="Arial"/>
                <w:sz w:val="15"/>
                <w:szCs w:val="15"/>
                <w:b w:val="1"/>
                <w:bCs w:val="1"/>
                <w:color w:val="auto"/>
              </w:rPr>
              <w:t>BALANCE AT YEAR-END 2021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(1,356)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4,072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275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2,976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2,986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-4210685</wp:posOffset>
            </wp:positionV>
            <wp:extent cx="7200900" cy="220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00900" cy="22098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-3839845</wp:posOffset>
            </wp:positionV>
            <wp:extent cx="7200900" cy="220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00900" cy="22098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-3468370</wp:posOffset>
            </wp:positionV>
            <wp:extent cx="7200900" cy="149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-3168015</wp:posOffset>
            </wp:positionV>
            <wp:extent cx="7200900" cy="149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-4511040</wp:posOffset>
            </wp:positionV>
            <wp:extent cx="7200900" cy="149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-2219960</wp:posOffset>
            </wp:positionV>
            <wp:extent cx="7200900" cy="149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-1848485</wp:posOffset>
            </wp:positionV>
            <wp:extent cx="7200900"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-1477010</wp:posOffset>
            </wp:positionV>
            <wp:extent cx="7200900" cy="2451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00900" cy="24511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-1082040</wp:posOffset>
            </wp:positionV>
            <wp:extent cx="7200900" cy="149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-781685</wp:posOffset>
            </wp:positionV>
            <wp:extent cx="7200900" cy="149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-481330</wp:posOffset>
            </wp:positionV>
            <wp:extent cx="7200900" cy="3162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00900" cy="31623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-2519680</wp:posOffset>
            </wp:positionV>
            <wp:extent cx="7200900" cy="149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00900" cy="149860"/>
                    </a:xfrm>
                    <a:prstGeom prst="rect">
                      <a:avLst/>
                    </a:prstGeom>
                    <a:noFill/>
                  </pic:spPr>
                </pic:pic>
              </a:graphicData>
            </a:graphic>
          </wp:anchor>
        </w:drawing>
      </w:r>
    </w:p>
    <w:p>
      <w:pPr>
        <w:spacing w:after="0" w:line="88"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Continued</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60960</wp:posOffset>
            </wp:positionV>
            <wp:extent cx="716851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520" w:space="180"/>
            <w:col w:w="10580"/>
          </w:cols>
          <w:pgMar w:left="380" w:top="1014" w:right="2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w:t>
      </w:r>
    </w:p>
    <w:p>
      <w:pPr>
        <w:ind w:left="100"/>
        <w:spacing w:after="0" w:line="220" w:lineRule="auto"/>
        <w:rPr>
          <w:sz w:val="20"/>
          <w:szCs w:val="20"/>
          <w:color w:val="auto"/>
        </w:rPr>
      </w:pPr>
      <w:r>
        <w:rPr>
          <w:rFonts w:ascii="Arial" w:cs="Arial" w:eastAsia="Arial" w:hAnsi="Arial"/>
          <w:sz w:val="13"/>
          <w:szCs w:val="13"/>
          <w:b w:val="1"/>
          <w:bCs w:val="1"/>
          <w:color w:val="auto"/>
        </w:rPr>
        <w:t>Stock</w:t>
      </w:r>
    </w:p>
    <w:p>
      <w:pPr>
        <w:ind w:left="80"/>
        <w:spacing w:after="0"/>
        <w:rPr>
          <w:sz w:val="20"/>
          <w:szCs w:val="20"/>
          <w:color w:val="auto"/>
        </w:rPr>
      </w:pPr>
      <w:r>
        <w:rPr>
          <w:rFonts w:ascii="Arial" w:cs="Arial" w:eastAsia="Arial" w:hAnsi="Arial"/>
          <w:sz w:val="13"/>
          <w:szCs w:val="13"/>
          <w:b w:val="1"/>
          <w:bCs w:val="1"/>
          <w:color w:val="auto"/>
        </w:rPr>
        <w:t>Issued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75.5</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75.5</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3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176"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0.2</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325"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13970</wp:posOffset>
            </wp:positionV>
            <wp:extent cx="40322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403225" cy="7620"/>
                    </a:xfrm>
                    <a:prstGeom prst="rect">
                      <a:avLst/>
                    </a:prstGeom>
                    <a:noFill/>
                  </pic:spPr>
                </pic:pic>
              </a:graphicData>
            </a:graphic>
          </wp:anchor>
        </w:drawing>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13970</wp:posOffset>
            </wp:positionV>
            <wp:extent cx="40322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403225" cy="762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38100</wp:posOffset>
            </wp:positionV>
            <wp:extent cx="40322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4032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80"/>
        <w:spacing w:after="0"/>
        <w:rPr>
          <w:sz w:val="20"/>
          <w:szCs w:val="20"/>
          <w:color w:val="auto"/>
        </w:rPr>
      </w:pPr>
      <w:r>
        <w:rPr>
          <w:rFonts w:ascii="Arial" w:cs="Arial" w:eastAsia="Arial" w:hAnsi="Arial"/>
          <w:sz w:val="16"/>
          <w:szCs w:val="16"/>
          <w:b w:val="1"/>
          <w:bCs w:val="1"/>
          <w:color w:val="auto"/>
        </w:rPr>
        <w:t>MARRIOTT VACATIONS WORLDWIDE CORPORATION</w:t>
      </w:r>
    </w:p>
    <w:p>
      <w:pPr>
        <w:spacing w:after="0" w:line="20"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CONSOLIDATED STATEMENTS OF SHAREHOLDERS’ EQUITY (CONTINUED)</w:t>
      </w:r>
    </w:p>
    <w:p>
      <w:pPr>
        <w:spacing w:after="0" w:line="15"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Fiscal Years 2022, 2021 and 2020</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Treasury</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Total MVW</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Noncontrolling</w:t>
            </w:r>
          </w:p>
        </w:tc>
        <w:tc>
          <w:tcPr>
            <w:tcW w:w="120" w:type="dxa"/>
            <w:vAlign w:val="bottom"/>
          </w:tcPr>
          <w:p>
            <w:pPr>
              <w:spacing w:after="0"/>
              <w:rPr>
                <w:sz w:val="13"/>
                <w:szCs w:val="13"/>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2"/>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90"/>
              </w:rPr>
              <w:t>Comprehensive</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90"/>
              </w:rPr>
              <w:t>Shareholders'</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(Loss) Income</w:t>
            </w:r>
          </w:p>
        </w:tc>
        <w:tc>
          <w:tcPr>
            <w:tcW w:w="1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Interests</w:t>
            </w:r>
          </w:p>
        </w:tc>
        <w:tc>
          <w:tcPr>
            <w:tcW w:w="120" w:type="dxa"/>
            <w:vAlign w:val="bottom"/>
          </w:tcPr>
          <w:p>
            <w:pPr>
              <w:spacing w:after="0"/>
              <w:rPr>
                <w:sz w:val="15"/>
                <w:szCs w:val="15"/>
                <w:color w:val="auto"/>
              </w:rPr>
            </w:pPr>
          </w:p>
        </w:tc>
        <w:tc>
          <w:tcPr>
            <w:tcW w:w="560" w:type="dxa"/>
            <w:vAlign w:val="bottom"/>
          </w:tcPr>
          <w:p>
            <w:pPr>
              <w:jc w:val="right"/>
              <w:ind w:right="66"/>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18"/>
        </w:trPr>
        <w:tc>
          <w:tcPr>
            <w:tcW w:w="2680" w:type="dxa"/>
            <w:vAlign w:val="bottom"/>
          </w:tcPr>
          <w:p>
            <w:pPr>
              <w:spacing w:after="0"/>
              <w:rPr>
                <w:sz w:val="20"/>
                <w:szCs w:val="20"/>
                <w:color w:val="auto"/>
              </w:rPr>
            </w:pPr>
            <w:r>
              <w:rPr>
                <w:rFonts w:ascii="Arial" w:cs="Arial" w:eastAsia="Arial" w:hAnsi="Arial"/>
                <w:sz w:val="15"/>
                <w:szCs w:val="15"/>
                <w:b w:val="1"/>
                <w:bCs w:val="1"/>
                <w:color w:val="auto"/>
              </w:rPr>
              <w:t>BALANCE AT YEAR-END 2021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4,072</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center"/>
              <w:ind w:left="646"/>
              <w:spacing w:after="0"/>
              <w:rPr>
                <w:sz w:val="20"/>
                <w:szCs w:val="20"/>
                <w:color w:val="auto"/>
              </w:rPr>
            </w:pPr>
            <w:r>
              <w:rPr>
                <w:rFonts w:ascii="Arial" w:cs="Arial" w:eastAsia="Arial" w:hAnsi="Arial"/>
                <w:sz w:val="15"/>
                <w:szCs w:val="15"/>
                <w:color w:val="auto"/>
                <w:w w:val="89"/>
              </w:rPr>
              <w:t>(16)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2,976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2,986</w:t>
            </w:r>
          </w:p>
        </w:tc>
        <w:tc>
          <w:tcPr>
            <w:tcW w:w="0" w:type="dxa"/>
            <w:vAlign w:val="bottom"/>
          </w:tcPr>
          <w:p>
            <w:pPr>
              <w:spacing w:after="0"/>
              <w:rPr>
                <w:sz w:val="1"/>
                <w:szCs w:val="1"/>
                <w:color w:val="auto"/>
              </w:rPr>
            </w:pPr>
          </w:p>
        </w:tc>
      </w:tr>
      <w:tr>
        <w:trPr>
          <w:trHeight w:val="299"/>
        </w:trPr>
        <w:tc>
          <w:tcPr>
            <w:tcW w:w="2680" w:type="dxa"/>
            <w:vAlign w:val="bottom"/>
          </w:tcPr>
          <w:p>
            <w:pPr>
              <w:ind w:left="180"/>
              <w:spacing w:after="0"/>
              <w:rPr>
                <w:sz w:val="20"/>
                <w:szCs w:val="20"/>
                <w:color w:val="auto"/>
              </w:rPr>
            </w:pPr>
            <w:r>
              <w:rPr>
                <w:rFonts w:ascii="Arial" w:cs="Arial" w:eastAsia="Arial" w:hAnsi="Arial"/>
                <w:sz w:val="15"/>
                <w:szCs w:val="15"/>
                <w:color w:val="auto"/>
              </w:rPr>
              <w:t>Impact of adoption of ASU 2020-06</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5"/>
                <w:szCs w:val="15"/>
                <w:b w:val="1"/>
                <w:bCs w:val="1"/>
                <w:color w:val="auto"/>
              </w:rPr>
              <w:t>OPENING BALANCE 2022</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3,961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left="646"/>
              <w:spacing w:after="0"/>
              <w:rPr>
                <w:sz w:val="20"/>
                <w:szCs w:val="20"/>
                <w:color w:val="auto"/>
              </w:rPr>
            </w:pPr>
            <w:r>
              <w:rPr>
                <w:rFonts w:ascii="Arial" w:cs="Arial" w:eastAsia="Arial" w:hAnsi="Arial"/>
                <w:sz w:val="15"/>
                <w:szCs w:val="15"/>
                <w:color w:val="auto"/>
                <w:w w:val="89"/>
              </w:rPr>
              <w:t>(16)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306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2,896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2,906</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color w:val="auto"/>
              </w:rPr>
              <w:t>391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59"/>
        </w:trPr>
        <w:tc>
          <w:tcPr>
            <w:tcW w:w="2680" w:type="dxa"/>
            <w:vAlign w:val="bottom"/>
          </w:tcPr>
          <w:p>
            <w:pPr>
              <w:ind w:left="180"/>
              <w:spacing w:after="0" w:line="159" w:lineRule="exact"/>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40" w:type="dxa"/>
            <w:vAlign w:val="bottom"/>
            <w:vMerge w:val="restart"/>
          </w:tcPr>
          <w:p>
            <w:pPr>
              <w:jc w:val="center"/>
              <w:ind w:left="666"/>
              <w:spacing w:after="0"/>
              <w:rPr>
                <w:sz w:val="20"/>
                <w:szCs w:val="20"/>
                <w:color w:val="auto"/>
              </w:rPr>
            </w:pPr>
            <w:r>
              <w:rPr>
                <w:rFonts w:ascii="Arial" w:cs="Arial" w:eastAsia="Arial" w:hAnsi="Arial"/>
                <w:sz w:val="15"/>
                <w:szCs w:val="15"/>
                <w:color w:val="auto"/>
                <w:w w:val="83"/>
              </w:rPr>
              <w:t>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80" w:type="dxa"/>
            <w:vAlign w:val="bottom"/>
          </w:tcPr>
          <w:p>
            <w:pPr>
              <w:ind w:left="180"/>
              <w:spacing w:after="0" w:line="159" w:lineRule="exact"/>
              <w:rPr>
                <w:sz w:val="20"/>
                <w:szCs w:val="20"/>
                <w:color w:val="auto"/>
              </w:rPr>
            </w:pPr>
            <w:r>
              <w:rPr>
                <w:rFonts w:ascii="Arial" w:cs="Arial" w:eastAsia="Arial" w:hAnsi="Arial"/>
                <w:sz w:val="15"/>
                <w:szCs w:val="15"/>
                <w:color w:val="auto"/>
              </w:rPr>
              <w:t>Reclassification of foreign currency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80"/>
              <w:spacing w:after="0" w:line="149" w:lineRule="exact"/>
              <w:rPr>
                <w:sz w:val="20"/>
                <w:szCs w:val="20"/>
                <w:color w:val="auto"/>
              </w:rPr>
            </w:pPr>
            <w:r>
              <w:rPr>
                <w:rFonts w:ascii="Arial" w:cs="Arial" w:eastAsia="Arial" w:hAnsi="Arial"/>
                <w:sz w:val="15"/>
                <w:szCs w:val="15"/>
                <w:color w:val="auto"/>
                <w:w w:val="99"/>
              </w:rPr>
              <w:t>translation adjustments realized upon</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40" w:type="dxa"/>
            <w:vAlign w:val="bottom"/>
            <w:vMerge w:val="restart"/>
          </w:tcPr>
          <w:p>
            <w:pPr>
              <w:jc w:val="center"/>
              <w:ind w:left="646"/>
              <w:spacing w:after="0"/>
              <w:rPr>
                <w:sz w:val="20"/>
                <w:szCs w:val="20"/>
                <w:color w:val="auto"/>
              </w:rPr>
            </w:pPr>
            <w:r>
              <w:rPr>
                <w:rFonts w:ascii="Arial" w:cs="Arial" w:eastAsia="Arial" w:hAnsi="Arial"/>
                <w:sz w:val="15"/>
                <w:szCs w:val="15"/>
                <w:color w:val="auto"/>
                <w:w w:val="89"/>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Arial" w:cs="Arial" w:eastAsia="Arial" w:hAnsi="Arial"/>
                <w:sz w:val="15"/>
                <w:szCs w:val="15"/>
                <w:color w:val="auto"/>
              </w:rPr>
              <w:t>disposition of subsidiary</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Derivative instrument adjustment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40" w:type="dxa"/>
            <w:vAlign w:val="bottom"/>
          </w:tcPr>
          <w:p>
            <w:pPr>
              <w:jc w:val="center"/>
              <w:ind w:left="666"/>
              <w:spacing w:after="0"/>
              <w:rPr>
                <w:sz w:val="20"/>
                <w:szCs w:val="20"/>
                <w:color w:val="auto"/>
              </w:rPr>
            </w:pPr>
            <w:r>
              <w:rPr>
                <w:rFonts w:ascii="Arial" w:cs="Arial" w:eastAsia="Arial" w:hAnsi="Arial"/>
                <w:sz w:val="15"/>
                <w:szCs w:val="15"/>
                <w:color w:val="auto"/>
                <w:w w:val="83"/>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59"/>
        </w:trPr>
        <w:tc>
          <w:tcPr>
            <w:tcW w:w="2680" w:type="dxa"/>
            <w:vAlign w:val="bottom"/>
          </w:tcPr>
          <w:p>
            <w:pPr>
              <w:ind w:left="180"/>
              <w:spacing w:after="0" w:line="159" w:lineRule="exact"/>
              <w:rPr>
                <w:sz w:val="20"/>
                <w:szCs w:val="20"/>
                <w:color w:val="auto"/>
              </w:rPr>
            </w:pPr>
            <w:r>
              <w:rPr>
                <w:rFonts w:ascii="Arial" w:cs="Arial" w:eastAsia="Arial" w:hAnsi="Arial"/>
                <w:sz w:val="15"/>
                <w:szCs w:val="15"/>
                <w:color w:val="auto"/>
                <w:w w:val="99"/>
              </w:rPr>
              <w:t>Adjustment for 2022 Convertible Note</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7"/>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Arial" w:cs="Arial" w:eastAsia="Arial" w:hAnsi="Arial"/>
                <w:sz w:val="15"/>
                <w:szCs w:val="15"/>
                <w:color w:val="auto"/>
              </w:rPr>
              <w:t>Hedges</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w w:val="98"/>
              </w:rPr>
              <w:t>Tax effect on equity, convertible notes</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59"/>
        </w:trPr>
        <w:tc>
          <w:tcPr>
            <w:tcW w:w="2680" w:type="dxa"/>
            <w:vAlign w:val="bottom"/>
          </w:tcPr>
          <w:p>
            <w:pPr>
              <w:ind w:left="180"/>
              <w:spacing w:after="0" w:line="159" w:lineRule="exact"/>
              <w:rPr>
                <w:sz w:val="20"/>
                <w:szCs w:val="20"/>
                <w:color w:val="auto"/>
              </w:rPr>
            </w:pPr>
            <w:r>
              <w:rPr>
                <w:rFonts w:ascii="Arial" w:cs="Arial" w:eastAsia="Arial" w:hAnsi="Arial"/>
                <w:sz w:val="15"/>
                <w:szCs w:val="15"/>
                <w:color w:val="auto"/>
              </w:rPr>
              <w:t>Amounts related to share-based</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7"/>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Arial" w:cs="Arial" w:eastAsia="Arial" w:hAnsi="Arial"/>
                <w:sz w:val="15"/>
                <w:szCs w:val="15"/>
                <w:color w:val="auto"/>
              </w:rPr>
              <w:t>compensation</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Purchase of convertible note hedges</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Issuance of warrants</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Expiration of warrants</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Dividends</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36"/>
        </w:trPr>
        <w:tc>
          <w:tcPr>
            <w:tcW w:w="2680" w:type="dxa"/>
            <w:vAlign w:val="bottom"/>
          </w:tcPr>
          <w:p>
            <w:pPr>
              <w:ind w:left="180"/>
              <w:spacing w:after="0"/>
              <w:rPr>
                <w:sz w:val="20"/>
                <w:szCs w:val="20"/>
                <w:color w:val="auto"/>
              </w:rPr>
            </w:pPr>
            <w:r>
              <w:rPr>
                <w:rFonts w:ascii="Arial" w:cs="Arial" w:eastAsia="Arial" w:hAnsi="Arial"/>
                <w:sz w:val="15"/>
                <w:szCs w:val="15"/>
                <w:color w:val="auto"/>
              </w:rPr>
              <w:t>Employee stock plan issuance</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59"/>
        </w:trPr>
        <w:tc>
          <w:tcPr>
            <w:tcW w:w="2680" w:type="dxa"/>
            <w:vAlign w:val="bottom"/>
          </w:tcPr>
          <w:p>
            <w:pPr>
              <w:ind w:left="180"/>
              <w:spacing w:after="0" w:line="159" w:lineRule="exact"/>
              <w:rPr>
                <w:sz w:val="20"/>
                <w:szCs w:val="20"/>
                <w:color w:val="auto"/>
              </w:rPr>
            </w:pPr>
            <w:r>
              <w:rPr>
                <w:rFonts w:ascii="Arial" w:cs="Arial" w:eastAsia="Arial" w:hAnsi="Arial"/>
                <w:sz w:val="15"/>
                <w:szCs w:val="15"/>
                <w:color w:val="auto"/>
              </w:rPr>
              <w:t>Deconsolidation of certain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80"/>
              <w:spacing w:after="0" w:line="149" w:lineRule="exact"/>
              <w:rPr>
                <w:sz w:val="20"/>
                <w:szCs w:val="20"/>
                <w:color w:val="auto"/>
              </w:rPr>
            </w:pPr>
            <w:r>
              <w:rPr>
                <w:rFonts w:ascii="Arial" w:cs="Arial" w:eastAsia="Arial" w:hAnsi="Arial"/>
                <w:sz w:val="15"/>
                <w:szCs w:val="15"/>
                <w:color w:val="auto"/>
              </w:rPr>
              <w:t>Consolidated Property Owners'</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center"/>
              <w:ind w:left="546"/>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Arial" w:cs="Arial" w:eastAsia="Arial" w:hAnsi="Arial"/>
                <w:sz w:val="15"/>
                <w:szCs w:val="15"/>
                <w:color w:val="auto"/>
              </w:rPr>
              <w:t>Associations</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80" w:type="dxa"/>
            <w:vAlign w:val="bottom"/>
          </w:tcPr>
          <w:p>
            <w:pPr>
              <w:spacing w:after="0"/>
              <w:rPr>
                <w:sz w:val="20"/>
                <w:szCs w:val="20"/>
                <w:color w:val="auto"/>
              </w:rPr>
            </w:pPr>
            <w:r>
              <w:rPr>
                <w:rFonts w:ascii="Arial" w:cs="Arial" w:eastAsia="Arial" w:hAnsi="Arial"/>
                <w:sz w:val="15"/>
                <w:szCs w:val="15"/>
                <w:b w:val="1"/>
                <w:bCs w:val="1"/>
                <w:color w:val="auto"/>
              </w:rPr>
              <w:t>BALANCE AT YEAR-END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3,941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center"/>
              <w:ind w:left="666"/>
              <w:spacing w:after="0"/>
              <w:rPr>
                <w:sz w:val="20"/>
                <w:szCs w:val="20"/>
                <w:color w:val="auto"/>
              </w:rPr>
            </w:pPr>
            <w:r>
              <w:rPr>
                <w:rFonts w:ascii="Arial" w:cs="Arial" w:eastAsia="Arial" w:hAnsi="Arial"/>
                <w:sz w:val="15"/>
                <w:szCs w:val="15"/>
                <w:color w:val="auto"/>
                <w:w w:val="83"/>
              </w:rPr>
              <w:t>15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593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2,496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-2661920</wp:posOffset>
            </wp:positionV>
            <wp:extent cx="7200900" cy="2209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00900" cy="22098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-2124710</wp:posOffset>
            </wp:positionV>
            <wp:extent cx="7200900" cy="149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-1753235</wp:posOffset>
            </wp:positionV>
            <wp:extent cx="7200900" cy="149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-1382395</wp:posOffset>
            </wp:positionV>
            <wp:extent cx="7200900" cy="149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-1082040</wp:posOffset>
            </wp:positionV>
            <wp:extent cx="7200900" cy="149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-781685</wp:posOffset>
            </wp:positionV>
            <wp:extent cx="7200900" cy="149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-481330</wp:posOffset>
            </wp:positionV>
            <wp:extent cx="7200900" cy="3162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00900" cy="31623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-2962275</wp:posOffset>
            </wp:positionV>
            <wp:extent cx="7200900" cy="149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00900" cy="1498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-3302000</wp:posOffset>
            </wp:positionV>
            <wp:extent cx="7200900" cy="149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00900"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 w:space="180"/>
            <w:col w:w="10580"/>
          </w:cols>
          <w:pgMar w:left="380" w:top="10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60960</wp:posOffset>
            </wp:positionV>
            <wp:extent cx="71685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80"/>
          </w:cols>
          <w:pgMar w:left="380" w:top="1014" w:right="239" w:bottom="1440" w:gutter="0" w:footer="0" w:header="0"/>
          <w:type w:val="continuous"/>
        </w:sectPr>
      </w:pPr>
    </w:p>
    <w:bookmarkStart w:id="80" w:name="page81"/>
    <w:bookmarkEnd w:id="80"/>
    <w:p>
      <w:pPr>
        <w:ind w:left="344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these Notes to Consolidated Financial Statements, unless otherwise noted. We also refer to Marriott International, Inc. as “Marriott International” and Marriott International’s Marriott Bonvoy customer loyalty program as “Marriott Bonvoy.” We use certain other terms that are defined within these Financial Statements.</w:t>
      </w:r>
    </w:p>
    <w:p>
      <w:pPr>
        <w:spacing w:after="0" w:line="73"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or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8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Pursuant to a change in control of certain consolidated owners’ associations during 2022, we no longer consolidate these owners’ associations. We recorded non-cash losses of $3 million in Gains (losses) and other income (expense), net on our Income Statement for the year ended December 31, 2022, and deconsolidated $110 million of assets, inclusive of $48 million of restricted cash, and $99 million of liabilities, resulting in a decrease in Noncontrolling interests of $8 million during 2022. We continue to act as manager for these owners’ associations pursuant to existing management contracts and we retain membership interests in these owners’ associations via our ownership of vacation ownership interests (“VOIs”).</w:t>
      </w:r>
    </w:p>
    <w:p>
      <w:pPr>
        <w:spacing w:after="0" w:line="8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accounting for acquired vacation ownership notes receivable, vacation ownership notes receivable reserves, income taxes, and loss contingencies. The uncertainties created by the COVID-19 pandemic (as defined below) including the uncertainty of the success of ongoing efforts to mitigate the effects of the COVID-19 pandemic and inflationary pressures in the general macroeconomic environment, have made it more challenging to make these estimates. Actual results could differ from our estimates, and such differences may be material.</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We have reclassified certain prior year amounts to conform with our current year presentation.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Welk</w:t>
      </w:r>
    </w:p>
    <w:p>
      <w:pPr>
        <w:spacing w:after="0" w:line="103"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On April 1, 2021 (the “Welk Acquisition Date”), we completed the acquisition of Welk Hospitality Group, Inc. (“Welk”) through a series of transactions (the “Welk Acquisition”), after which Welk became our indirect wholly-owned subsidiary. The Financial Statements in this report for fiscal year 2021 include Welk’s results of operations for the last three quarters of 2021, and reflect the financial position of our combined company at December 31, 2021. We refer to the business and brands that we acquired in the Welk Acquisition as “Legacy-Welk.” See Footnote 3 “Acquisitions and Dispositions” for more information on the Welk Acquisition.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ILG and Disposition of VRI America</w:t>
      </w:r>
    </w:p>
    <w:p>
      <w:pPr>
        <w:spacing w:after="0" w:line="10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The businesses acquired from ILG that we currently operate as part of our Vacation Ownership business include Vistana Signature Experiences, which includes vacation ownership products branded as Sheraton or Westin,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019" w:right="359" w:bottom="1440" w:gutter="0" w:footer="0" w:header="0"/>
        </w:sectPr>
      </w:pPr>
    </w:p>
    <w:bookmarkStart w:id="81" w:name="page82"/>
    <w:bookmarkEnd w:id="81"/>
    <w:p>
      <w:pPr>
        <w:ind w:right="240"/>
        <w:spacing w:after="0" w:line="271" w:lineRule="auto"/>
        <w:rPr>
          <w:sz w:val="20"/>
          <w:szCs w:val="20"/>
          <w:color w:val="auto"/>
        </w:rPr>
      </w:pPr>
      <w:r>
        <w:rPr>
          <w:rFonts w:ascii="Arial" w:cs="Arial" w:eastAsia="Arial" w:hAnsi="Arial"/>
          <w:sz w:val="16"/>
          <w:szCs w:val="16"/>
          <w:color w:val="auto"/>
        </w:rPr>
        <w:t>and Hyatt Vacation Ownership. The businesses acquired from ILG that we currently operate as part of our Exchange &amp; Third-Party Management business include Interval International and Aqua-Aston Hospitality. As part of the ILG Acquisition, we also acquired the Vacation Resorts International (“VRI”) and Trading Places International (“TPI”) businesses (together, the “VRI Americas” business). Our Financial Statements reflect the disposition of the VRI Americas business on April 29, 2022. See Footnote 3 “Acquisitions and Dispositions” for more information on the disposition of VRI Americas.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0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early 2020, the World Health Organization declared the coronavirus outbreak a global pandemic (“COVID-19” or “the COVID-19 pandemic,”). The COVID-19 pandemic caused significant disruptions in international and U.S. economies and markets, and also had an unprecedented impact on the travel and hospitality industries, as well as our business and results of operations. Although COVID-19’s negative impact on our business significantly decreased during 2022, the ongoing impact is uncertain and our financial results may not be indicative of long-term future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account for revenue in accordance with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Sale of Vacation Ownership Products</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76"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In connection with the sale of vacation ownership products, we provide sales incentives to certain purchasers and, in certain cases, membership in a brand affiliated club. Non-cash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48" w:lineRule="exact"/>
        <w:rPr>
          <w:sz w:val="20"/>
          <w:szCs w:val="20"/>
          <w:color w:val="auto"/>
        </w:rPr>
      </w:pPr>
    </w:p>
    <w:p>
      <w:pPr>
        <w:ind w:right="460"/>
        <w:spacing w:after="0" w:line="271" w:lineRule="auto"/>
        <w:rPr>
          <w:sz w:val="20"/>
          <w:szCs w:val="20"/>
          <w:color w:val="auto"/>
        </w:rPr>
      </w:pPr>
      <w:r>
        <w:rPr>
          <w:rFonts w:ascii="Arial" w:cs="Arial" w:eastAsia="Arial" w:hAnsi="Arial"/>
          <w:sz w:val="16"/>
          <w:szCs w:val="16"/>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Arial" w:cs="Arial" w:eastAsia="Arial" w:hAnsi="Arial"/>
          <w:sz w:val="16"/>
          <w:szCs w:val="16"/>
          <w:i w:val="1"/>
          <w:iCs w:val="1"/>
          <w:color w:val="auto"/>
        </w:rPr>
        <w:t>Financing Revenues</w:t>
      </w:r>
      <w:r>
        <w:rPr>
          <w:rFonts w:ascii="Arial" w:cs="Arial" w:eastAsia="Arial" w:hAnsi="Arial"/>
          <w:sz w:val="16"/>
          <w:szCs w:val="16"/>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assessment of collectability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rely on historical payment data by customer class as described in “</w:t>
      </w:r>
      <w:r>
        <w:rPr>
          <w:rFonts w:ascii="Arial" w:cs="Arial" w:eastAsia="Arial" w:hAnsi="Arial"/>
          <w:sz w:val="16"/>
          <w:szCs w:val="16"/>
          <w:i w:val="1"/>
          <w:iCs w:val="1"/>
          <w:color w:val="auto"/>
        </w:rPr>
        <w:t>Loan Loss Reserves</w:t>
      </w:r>
      <w:r>
        <w:rPr>
          <w:rFonts w:ascii="Arial" w:cs="Arial" w:eastAsia="Arial" w:hAnsi="Arial"/>
          <w:sz w:val="16"/>
          <w:szCs w:val="16"/>
          <w:color w:val="auto"/>
        </w:rPr>
        <w:t>” below. Variable consideration which has not been included within the transaction price is presented as a reserve on contracts receivable or vacation ownership notes receivable. Revisions to estimates of variable consideration from the sale of vacation ownership products impact the reserve on contracts receivable and originated vacation ownership notes receivable and can increase or decrease revenue. Revenues were reduced during 2022 by $29 million due to changes in our estimates of variable consideration for performance obligations that were satisfied in prior periods.</w:t>
      </w:r>
    </w:p>
    <w:p>
      <w:pPr>
        <w:spacing w:after="0" w:line="70"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In the third quarter of 2022, we combined and aligned our accounting methodology to calculate our estimates for the reserve on vacation ownership notes receivable for the Marriott-, Sheraton-, and Westin-brands (“Combined Marriott”), as we expect our future customers to represent a blend of the historical customers for each brand. We use the origination of vacation ownership notes receivable by Combined Marriott and the FICO scores of the customer as the primary credit quality indicators, as historical performance indicates that there is a relationship between the default behavior of borrowers and the brand associated with the VOI they have acquired. See Footnote 6 “Vacation Ownership Notes Receivable” for further information.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2" w:name="page83"/>
    <w:bookmarkEnd w:id="82"/>
    <w:p>
      <w:pPr>
        <w:ind w:right="840"/>
        <w:spacing w:after="0" w:line="264" w:lineRule="auto"/>
        <w:rPr>
          <w:sz w:val="20"/>
          <w:szCs w:val="20"/>
          <w:color w:val="auto"/>
        </w:rPr>
      </w:pPr>
      <w:r>
        <w:rPr>
          <w:rFonts w:ascii="Arial" w:cs="Arial" w:eastAsia="Arial" w:hAnsi="Arial"/>
          <w:sz w:val="17"/>
          <w:szCs w:val="17"/>
          <w:color w:val="auto"/>
        </w:rPr>
        <w:t>In addition, we account for cash incentives provided to customers as a reduction of the transaction price. Refer to “</w:t>
      </w:r>
      <w:r>
        <w:rPr>
          <w:rFonts w:ascii="Arial" w:cs="Arial" w:eastAsia="Arial" w:hAnsi="Arial"/>
          <w:sz w:val="17"/>
          <w:szCs w:val="17"/>
          <w:i w:val="1"/>
          <w:iCs w:val="1"/>
          <w:color w:val="auto"/>
        </w:rPr>
        <w:t>Arrangements with Multiple Performance</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w:t>
      </w:r>
      <w:r>
        <w:rPr>
          <w:rFonts w:ascii="Arial" w:cs="Arial" w:eastAsia="Arial" w:hAnsi="Arial"/>
          <w:sz w:val="17"/>
          <w:szCs w:val="17"/>
          <w:color w:val="auto"/>
        </w:rPr>
        <w:t>” below for a description of our methods of allocating transaction price to each performance obligation.</w:t>
      </w:r>
    </w:p>
    <w:p>
      <w:pPr>
        <w:spacing w:after="0" w:line="6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evaluated our business practices, and the underlying risks and rewards associated with vacation ownership products and the respective timing that such risks and rewards are transferred to the customer in determining the point in time at which control of the vacation ownership product is transferred to the customer. Based upon the different terms of the contracts with the customer and business practices, for the contracts executed in the period prior to the third quarter of 2022, we determined that we transfer control of vacation ownership products at different times for each brand. Prior to the third quarter of 2022, we recognized revenue on the sale of Marriott-branded vacation ownership products at closing. We have historically recognized revenue on the sale of Sheraton-,Westin- and Hyatt-branded vacation ownership products upon expiration of the rescission period.</w:t>
      </w:r>
    </w:p>
    <w:p>
      <w:pPr>
        <w:spacing w:after="0" w:line="82"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In the third quarter of 2022, in connection with the affiliation of the Marriott-, Sheraton-, and Westin-branded vacation ownership products through Abound by Marriott Vacations, we modified our business practices and the terms of our Marriott-branded VOI sales contracts to be consistent with the existing terms of our Sheraton- and Westin-branded VOI sales contracts. As a result of these modifications, control of Marriott-branded vacation ownership products is transferred to the customer upon expiration of the statutory rescission period, consistent with the historical method of revenue recognition for sales of Sheraton- and Westin-branded vacation ownership products, resulting in earlier revenue recognition than the historical timing for Marriott-branded VOIs. At the time at which we recognize revenue for Marriott-branded VOI contracts, we temporarily record a contract receivable for both cash contracts and financed contracts, until the time at which we collect the cash or originate a vacation ownership note receivable, which occurs at closing. Marriott-branded VOI sales contracts executed prior to these modifications continue to be accounted for with transfer of control of the VOI occurring at closing. We have not changed our Hyatt or Legacy-Welk contract terms or business practices regarding how control of the VOI is transferred to the customer. As such, we recognize revenue on the sale of Hyatt vacation ownership products at expiration of rescission and on Legacy-Welk vacation ownership products at closing.</w:t>
      </w:r>
    </w:p>
    <w:p>
      <w:pPr>
        <w:spacing w:after="0" w:line="7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Bonvoy points, World of Hyatt points or third-party Explorer Collection offerings),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Management and Exchange Revenues and Cost Reimbursements Revenues</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Ancillary Revenues</w:t>
      </w:r>
    </w:p>
    <w:p>
      <w:pPr>
        <w:spacing w:after="0" w:line="103"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Management Fee Revenues and Cost Reimbursements Revenues</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provide day-to-day-management services, including housekeeping services, operation of reservation systems, maintenance and certain accounting and administrative services for owners’ associations, condominium owners and hotels.</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 (i) 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owners’ associations related to maintenance fees for unsold vacation ownership products, as we have concluded that such payments are consideration payable to a customer.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3" w:name="page84"/>
    <w:bookmarkEnd w:id="83"/>
    <w:p>
      <w:pPr>
        <w:ind w:right="80"/>
        <w:spacing w:after="0" w:line="254" w:lineRule="auto"/>
        <w:rPr>
          <w:sz w:val="20"/>
          <w:szCs w:val="20"/>
          <w:color w:val="auto"/>
        </w:rPr>
      </w:pPr>
      <w:r>
        <w:rPr>
          <w:rFonts w:ascii="Arial" w:cs="Arial" w:eastAsia="Arial" w:hAnsi="Arial"/>
          <w:sz w:val="17"/>
          <w:szCs w:val="17"/>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81" w:lineRule="exact"/>
        <w:rPr>
          <w:sz w:val="20"/>
          <w:szCs w:val="20"/>
          <w:color w:val="auto"/>
        </w:rPr>
      </w:pPr>
    </w:p>
    <w:p>
      <w:pPr>
        <w:ind w:right="140"/>
        <w:spacing w:after="0" w:line="331" w:lineRule="auto"/>
        <w:rPr>
          <w:sz w:val="20"/>
          <w:szCs w:val="20"/>
          <w:color w:val="auto"/>
        </w:rPr>
      </w:pPr>
      <w:r>
        <w:rPr>
          <w:rFonts w:ascii="Arial" w:cs="Arial" w:eastAsia="Arial" w:hAnsi="Arial"/>
          <w:sz w:val="15"/>
          <w:szCs w:val="15"/>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u w:val="single" w:color="auto"/>
          <w:color w:val="auto"/>
        </w:rPr>
        <w:t>Other Services Revenues</w:t>
      </w:r>
    </w:p>
    <w:p>
      <w:pPr>
        <w:spacing w:after="0" w:line="103" w:lineRule="exact"/>
        <w:rPr>
          <w:sz w:val="20"/>
          <w:szCs w:val="20"/>
          <w:color w:val="auto"/>
        </w:rPr>
      </w:pPr>
    </w:p>
    <w:p>
      <w:pPr>
        <w:ind w:right="220"/>
        <w:spacing w:after="0" w:line="295" w:lineRule="auto"/>
        <w:rPr>
          <w:sz w:val="20"/>
          <w:szCs w:val="20"/>
          <w:color w:val="auto"/>
        </w:rPr>
      </w:pPr>
      <w:r>
        <w:rPr>
          <w:rFonts w:ascii="Arial" w:cs="Arial" w:eastAsia="Arial" w:hAnsi="Arial"/>
          <w:sz w:val="15"/>
          <w:szCs w:val="15"/>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International memberships are cancellable and refundable on a pro-rata basis, with the exception of the Interval International network’s Platinum tier which is non-refundable. Transaction-based fees are typically collected at a point in time.</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41"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Transaction-based fees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Financing Revenues</w:t>
      </w:r>
    </w:p>
    <w:p>
      <w:pPr>
        <w:spacing w:after="0" w:line="103"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to fifteen years. Generally, payments commence under the financing contracts 30 to 60 days after closing. We record the difference between the contract receivable or vacation ownership note receivable and the variable consideration included in the transaction price for the sale of the related vacation ownership product as a reserve on our contracts receivable or vacation ownership notes receivable, as applicable. We earn interest income from the financing arrangements on the principal balance outstanding over the life of the arrangement and record that interest income in Financing revenues on our Income Statements. See Footnote 6 “Vacation Ownership Notes Receivable” for additional information related to the accounting for our acquired vacation ownership notes receivable.</w:t>
      </w:r>
    </w:p>
    <w:p>
      <w:pPr>
        <w:spacing w:after="0" w:line="59"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Financing revenues include transaction-based fees we charge to owners and other third parties for services. We recognize fee revenues when services have been rendered.</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Rental Revenues</w:t>
      </w:r>
    </w:p>
    <w:p>
      <w:pPr>
        <w:spacing w:after="0" w:line="103"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International network and certain other membership programs from seasonal oversupply or underutilized space, as well as sourced resort accommodations.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4" w:name="page85"/>
    <w:bookmarkEnd w:id="84"/>
    <w:p>
      <w:pPr>
        <w:ind w:right="100"/>
        <w:spacing w:after="0" w:line="249" w:lineRule="auto"/>
        <w:rPr>
          <w:sz w:val="20"/>
          <w:szCs w:val="20"/>
          <w:color w:val="auto"/>
        </w:rPr>
      </w:pPr>
      <w:r>
        <w:rPr>
          <w:rFonts w:ascii="Arial" w:cs="Arial" w:eastAsia="Arial" w:hAnsi="Arial"/>
          <w:sz w:val="17"/>
          <w:szCs w:val="17"/>
          <w:color w:val="auto"/>
        </w:rPr>
        <w:t>We receive payments for rentals primarily through credit card charges. We generally recognize rental revenues when occupancy has occurred, which is consistent with the period in which the customer benefits from such service. For certain rental revenues associated with our Exchange &amp; Third-Party Management segment, revenue is recognized when confirmation of the transaction is provided as we concluded we are an agent for these transactions. We recognize rental revenue from the utilization of plus points issued in connection with the sale of vacation ownership products, as described in “</w:t>
      </w:r>
      <w:r>
        <w:rPr>
          <w:rFonts w:ascii="Arial" w:cs="Arial" w:eastAsia="Arial" w:hAnsi="Arial"/>
          <w:sz w:val="17"/>
          <w:szCs w:val="17"/>
          <w:i w:val="1"/>
          <w:iCs w:val="1"/>
          <w:color w:val="auto"/>
        </w:rPr>
        <w:t>Sale of Vacation Ownership Products</w:t>
      </w:r>
      <w:r>
        <w:rPr>
          <w:rFonts w:ascii="Arial" w:cs="Arial" w:eastAsia="Arial" w:hAnsi="Arial"/>
          <w:sz w:val="17"/>
          <w:szCs w:val="17"/>
          <w:color w:val="auto"/>
        </w:rPr>
        <w:t>” above, when occupancy has occurred.</w:t>
      </w:r>
    </w:p>
    <w:p>
      <w:pPr>
        <w:spacing w:after="0" w:line="8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Arial" w:cs="Arial" w:eastAsia="Arial" w:hAnsi="Arial"/>
          <w:sz w:val="17"/>
          <w:szCs w:val="17"/>
          <w:i w:val="1"/>
          <w:iCs w:val="1"/>
          <w:color w:val="auto"/>
        </w:rPr>
        <w:t>Real Estate</w:t>
      </w:r>
      <w:r>
        <w:rPr>
          <w:rFonts w:ascii="Arial" w:cs="Arial" w:eastAsia="Arial" w:hAnsi="Arial"/>
          <w:sz w:val="17"/>
          <w:szCs w:val="17"/>
          <w:color w:val="auto"/>
        </w:rPr>
        <w:t xml:space="preserve"> – </w:t>
      </w:r>
      <w:r>
        <w:rPr>
          <w:rFonts w:ascii="Arial" w:cs="Arial" w:eastAsia="Arial" w:hAnsi="Arial"/>
          <w:sz w:val="17"/>
          <w:szCs w:val="17"/>
          <w:i w:val="1"/>
          <w:iCs w:val="1"/>
          <w:color w:val="auto"/>
        </w:rPr>
        <w:t>Time-Sharing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Arrangements with Multiple Performance Obligations</w:t>
      </w:r>
    </w:p>
    <w:p>
      <w:pPr>
        <w:spacing w:after="0" w:line="103"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Receivables, Contract Assets &amp; Contract Liabilities</w:t>
      </w:r>
    </w:p>
    <w:p>
      <w:pPr>
        <w:spacing w:after="0" w:line="10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4 “Revenue and Receivables” for additional information related to our receivables, contract assets and contract liabilities.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Incurred to Sell Vacation Ownership Products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charge marketing and sales costs we incur to sell vacation ownership products to expense when incurred.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or Loss Per Share Attributable to Common Shareholders</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Basic earnings or loss per share attributable to common shareholders is calculated by dividing the earnings or loss available to common shareholders by the weighted average number of common shares outstanding for the period. Diluted earnings or loss per share attributable to common shareholders is calculated to give effect to all potentially dilutive common shares that were outstanding during the reporting period. The dilutive effect of outstanding equity-based compensation awards is reflected in diluted earnings per share attributable to common shareholders by application of the treasury stock method. Any potentially dilutive shares are excluded from the calculation for periods when there is a net loss attributable to common shareholders to avoid anti-dilutive effects.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cost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As part of our accounting for business combinations we are required to determine the useful lives of identifiable intangible assets recognized separately from goodwill.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useful life of an intangible asset is the period over which the asset is expected to contribute directly or indirectly to the future cash flows of the acquired business.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 intangible asset with a finite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5" w:name="page86"/>
    <w:bookmarkEnd w:id="85"/>
    <w:p>
      <w:pPr>
        <w:ind w:right="160"/>
        <w:spacing w:after="0" w:line="264" w:lineRule="auto"/>
        <w:rPr>
          <w:sz w:val="20"/>
          <w:szCs w:val="20"/>
          <w:color w:val="auto"/>
        </w:rPr>
      </w:pPr>
      <w:r>
        <w:rPr>
          <w:rFonts w:ascii="Arial" w:cs="Arial" w:eastAsia="Arial" w:hAnsi="Arial"/>
          <w:sz w:val="17"/>
          <w:szCs w:val="17"/>
          <w:color w:val="auto"/>
        </w:rPr>
        <w:t>useful life is amortized; an intangible asset with an indefinite useful life is not amortized. We base the estimate of the useful life of an intangible asset on an analysis of all pertinent factors, in particular, all of the following factors with no one factor being more presumptive than the other:</w:t>
      </w:r>
    </w:p>
    <w:p>
      <w:pPr>
        <w:spacing w:after="0" w:line="18" w:lineRule="exact"/>
        <w:rPr>
          <w:sz w:val="20"/>
          <w:szCs w:val="20"/>
          <w:color w:val="auto"/>
        </w:rPr>
      </w:pPr>
    </w:p>
    <w:p>
      <w:pPr>
        <w:ind w:left="440" w:hanging="291"/>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expected use of the asset.</w:t>
      </w:r>
    </w:p>
    <w:p>
      <w:pPr>
        <w:spacing w:after="0" w:line="53" w:lineRule="exact"/>
        <w:rPr>
          <w:rFonts w:ascii="Arial" w:cs="Arial" w:eastAsia="Arial" w:hAnsi="Arial"/>
          <w:sz w:val="17"/>
          <w:szCs w:val="17"/>
          <w:color w:val="auto"/>
        </w:rPr>
      </w:pPr>
    </w:p>
    <w:p>
      <w:pPr>
        <w:ind w:left="440" w:hanging="291"/>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expected useful life of another asset or a group of assets to which the useful life of the intangible asset may relate.</w:t>
      </w:r>
    </w:p>
    <w:p>
      <w:pPr>
        <w:spacing w:after="0" w:line="53" w:lineRule="exact"/>
        <w:rPr>
          <w:rFonts w:ascii="Arial" w:cs="Arial" w:eastAsia="Arial" w:hAnsi="Arial"/>
          <w:sz w:val="17"/>
          <w:szCs w:val="17"/>
          <w:color w:val="auto"/>
        </w:rPr>
      </w:pPr>
    </w:p>
    <w:p>
      <w:pPr>
        <w:ind w:left="440" w:hanging="291"/>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legal, regulatory, or contractual provisions that may limit the useful life.</w:t>
      </w:r>
    </w:p>
    <w:p>
      <w:pPr>
        <w:spacing w:after="0" w:line="53" w:lineRule="exact"/>
        <w:rPr>
          <w:rFonts w:ascii="Arial" w:cs="Arial" w:eastAsia="Arial" w:hAnsi="Arial"/>
          <w:sz w:val="17"/>
          <w:szCs w:val="17"/>
          <w:color w:val="auto"/>
        </w:rPr>
      </w:pPr>
    </w:p>
    <w:p>
      <w:pPr>
        <w:ind w:left="440" w:right="740" w:hanging="291"/>
        <w:spacing w:after="0" w:line="264" w:lineRule="auto"/>
        <w:tabs>
          <w:tab w:leader="none" w:pos="4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own historical experience in renewing or extending similar arrangements, consistent with our intended use of the asset, regardless of whether those arrangements have explicit renewal or extension provisions.</w:t>
      </w:r>
    </w:p>
    <w:p>
      <w:pPr>
        <w:spacing w:after="0" w:line="17" w:lineRule="exact"/>
        <w:rPr>
          <w:rFonts w:ascii="Arial" w:cs="Arial" w:eastAsia="Arial" w:hAnsi="Arial"/>
          <w:sz w:val="17"/>
          <w:szCs w:val="17"/>
          <w:color w:val="auto"/>
        </w:rPr>
      </w:pPr>
    </w:p>
    <w:p>
      <w:pPr>
        <w:ind w:left="440" w:hanging="291"/>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effects of obsolescence, demand, competition, and other economic factors.</w:t>
      </w:r>
    </w:p>
    <w:p>
      <w:pPr>
        <w:spacing w:after="0" w:line="53" w:lineRule="exact"/>
        <w:rPr>
          <w:rFonts w:ascii="Arial" w:cs="Arial" w:eastAsia="Arial" w:hAnsi="Arial"/>
          <w:sz w:val="17"/>
          <w:szCs w:val="17"/>
          <w:color w:val="auto"/>
        </w:rPr>
      </w:pPr>
    </w:p>
    <w:p>
      <w:pPr>
        <w:ind w:left="440" w:hanging="291"/>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level of maintenance expenditures required to obtain the expected future cash flows from the asset.</w:t>
      </w:r>
    </w:p>
    <w:p>
      <w:pPr>
        <w:spacing w:after="0" w:line="10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If no legal, regulatory, contractual, competitive, economic, or other factors limit the useful life of an intangible asset to the reporting entity, the useful life of the asset is considered to be indefinite. The term indefinite does not mean the same as infinite or indeterminate. The useful life of an intangible asset is indefinite if that life extends beyond the foreseeable horizon; that is, there is no foreseeable limit on the period of time over which it is expected to contribute to the cash flows of the acquired business.</w:t>
      </w:r>
    </w:p>
    <w:p>
      <w:pPr>
        <w:spacing w:after="0" w:line="78"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Although we believe the assumptions and estimates we have made have been reasonable and appropriate, they are based in part on historical experience and information obtained from the management of the acquired entity and are inherently uncertain. Examples of critical estimates in accounting for acquisitions include but are not limited to future expected cash flows from sales of products and services and related contracts and agreements and discount and long-term growth rates. Unanticipated events and circumstances may occur which could affect the accuracy or validity of our assumptions, estimates or actual results.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w:t>
      </w:r>
    </w:p>
    <w:p>
      <w:pPr>
        <w:spacing w:after="0" w:line="10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We have several financial instruments that we are required to disclose at fair value on a recurring basis. See Footnote 7 “Financial Instruments” for further information.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We also apply the provisions of fair value measurement to various non-recurring measurements for our financial and non-financial assets and liabilities.</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6" w:lineRule="exact"/>
        <w:rPr>
          <w:sz w:val="20"/>
          <w:szCs w:val="20"/>
          <w:color w:val="auto"/>
        </w:rPr>
      </w:pPr>
    </w:p>
    <w:p>
      <w:pPr>
        <w:ind w:left="440" w:hanging="291"/>
        <w:spacing w:after="0"/>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Level 1 inputs are unadjusted quoted prices in active markets for identical assets or liabilities that we have the ability to access at the measurement date.</w:t>
      </w:r>
    </w:p>
    <w:p>
      <w:pPr>
        <w:spacing w:after="0" w:line="126" w:lineRule="exact"/>
        <w:rPr>
          <w:rFonts w:ascii="Arial" w:cs="Arial" w:eastAsia="Arial" w:hAnsi="Arial"/>
          <w:sz w:val="15"/>
          <w:szCs w:val="15"/>
          <w:color w:val="auto"/>
        </w:rPr>
      </w:pPr>
    </w:p>
    <w:p>
      <w:pPr>
        <w:jc w:val="both"/>
        <w:ind w:left="440" w:right="60" w:hanging="291"/>
        <w:spacing w:after="0" w:line="277" w:lineRule="auto"/>
        <w:tabs>
          <w:tab w:leader="none" w:pos="4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9" w:lineRule="exact"/>
        <w:rPr>
          <w:rFonts w:ascii="Arial" w:cs="Arial" w:eastAsia="Arial" w:hAnsi="Arial"/>
          <w:sz w:val="16"/>
          <w:szCs w:val="16"/>
          <w:color w:val="auto"/>
        </w:rPr>
      </w:pPr>
    </w:p>
    <w:p>
      <w:pPr>
        <w:ind w:left="440" w:right="260" w:hanging="291"/>
        <w:spacing w:after="0" w:line="264" w:lineRule="auto"/>
        <w:tabs>
          <w:tab w:leader="none" w:pos="4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consider all highly liquid investments with an initial purchase maturity of three months or less at the date of purchase to be cash equivalents.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03" w:lineRule="exact"/>
        <w:rPr>
          <w:sz w:val="20"/>
          <w:szCs w:val="20"/>
          <w:color w:val="auto"/>
        </w:rPr>
      </w:pPr>
    </w:p>
    <w:p>
      <w:pPr>
        <w:jc w:val="both"/>
        <w:ind w:right="140"/>
        <w:spacing w:after="0" w:line="277" w:lineRule="auto"/>
        <w:rPr>
          <w:sz w:val="20"/>
          <w:szCs w:val="20"/>
          <w:color w:val="auto"/>
        </w:rPr>
      </w:pPr>
      <w:r>
        <w:rPr>
          <w:rFonts w:ascii="Arial" w:cs="Arial" w:eastAsia="Arial" w:hAnsi="Arial"/>
          <w:sz w:val="16"/>
          <w:szCs w:val="16"/>
          <w:color w:val="auto"/>
        </w:rPr>
        <w:t>Restricted cash primarily consists of cash restricted for use by consolidated owners’ associations which is designated for resort operations and other specific uses, such as reserves, cash held in a reserve account related to vacation ownership notes receivable securitizations, cash collected for maintenance fees to be remitted to owners’ associations, and deposits received and held in escrow, primarily associated with the sale of vacation ownership products.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Accounts receivable are comprised of amounts due from customers, primarily owners’ associations, resort developers, owners and members, credit card receivables, amounts due from taxing authorities, indemnification assets, and other miscellaneous receivables. Accounts receivable outstanding longer than the contractual payment terms are considered past due. We determine our credit loss reserve for accounts receivable by considering a number of factors, including previous loss history, our judgment as to the specific customer’s current ability to pay its obligation and the condition of the general economy. We write off accounts receivable when they become uncollectible once we have exhausted all means of collection. Accounts receivable is presented net of a reserve for credit losses of $4 million and $14 million at December 31, 2022 and December 31, 2021, respectively. Accounts receivable also includes interest receivable on vacation ownership notes receivable. Write-offs of interest receivable are recorded as a reversal of previously recorded interest income.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Loss Reserves</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Acquired Vacation Ownership Notes Receivable Reserve for Credit Losses</w:t>
      </w:r>
    </w:p>
    <w:p>
      <w:pPr>
        <w:spacing w:after="0" w:line="10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As part of the ILG Acquisition, we acquired existing portfolios of vacation ownership notes receivable. At acquisition, we recorded these vacation ownership notes receivable at fair value. Upon adoption of Accounting Standards Update (“ASU”) 2016-13 – “</w:t>
      </w:r>
      <w:r>
        <w:rPr>
          <w:rFonts w:ascii="Arial" w:cs="Arial" w:eastAsia="Arial" w:hAnsi="Arial"/>
          <w:sz w:val="17"/>
          <w:szCs w:val="17"/>
          <w:i w:val="1"/>
          <w:iCs w:val="1"/>
          <w:color w:val="auto"/>
        </w:rPr>
        <w:t>Financial Instruments - Credit Losses (Topic 326),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on Financial Instruments</w:t>
      </w:r>
      <w:r>
        <w:rPr>
          <w:rFonts w:ascii="Arial" w:cs="Arial" w:eastAsia="Arial" w:hAnsi="Arial"/>
          <w:sz w:val="17"/>
          <w:szCs w:val="17"/>
          <w:color w:val="auto"/>
        </w:rPr>
        <w:t>”</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(“ASU 2016-13”) on January 1, 2020, we account for these acquired vacation ownership notes receivable using the purchased credit deteriorated assets provision of the current expected credit loss model, whereby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 For acquired vacation ownership note receivables, the estimated collateral value is transferred from vacation ownership notes receivable to inventory upon foreclosure or revocation of the related vacation ownership note receivable.</w:t>
      </w:r>
    </w:p>
    <w:p>
      <w:pPr>
        <w:spacing w:after="0" w:line="7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vacation ownership notes receivable acquired as part of the Welk Acquisition were recorded at fair value using the purchased credit deteriorated assets provision of the current expected credit loss model, consistent with the principles outlined above.</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Contracts Receivable and Originated Vacation Ownership Notes Receivable Reserve</w:t>
      </w:r>
    </w:p>
    <w:p>
      <w:pPr>
        <w:spacing w:after="0" w:line="103" w:lineRule="exact"/>
        <w:rPr>
          <w:sz w:val="20"/>
          <w:szCs w:val="20"/>
          <w:color w:val="auto"/>
        </w:rPr>
      </w:pPr>
    </w:p>
    <w:p>
      <w:pPr>
        <w:jc w:val="both"/>
        <w:ind w:right="120"/>
        <w:spacing w:after="0" w:line="254" w:lineRule="auto"/>
        <w:rPr>
          <w:sz w:val="20"/>
          <w:szCs w:val="20"/>
          <w:color w:val="auto"/>
        </w:rPr>
      </w:pPr>
      <w:r>
        <w:rPr>
          <w:rFonts w:ascii="Arial" w:cs="Arial" w:eastAsia="Arial" w:hAnsi="Arial"/>
          <w:sz w:val="17"/>
          <w:szCs w:val="17"/>
          <w:color w:val="auto"/>
        </w:rPr>
        <w:t>We record the difference between the contract receivable or vacation ownership note receivable and the variable consideration included in the transaction price for the sale of the related vacation ownership product as a reserve on our contracts receivable or originated vacation ownership notes receivable, as applicable. See “Financing Revenues” above for further information.</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Past Due and Defaulted</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For Legacy-MVW vacation ownership notes receivable, we consider loans over 150 days past due to be in default and fully reserve such amounts. For Legacy-ILG and Legacy-Welk vacation ownership notes receivable, we consider loans over 120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certain circumstances, when revocation is complete.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0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inventory consists primarily of completed vacation ownership products.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the cost of vacation ownership products related to variable consideration which has not been included within the transaction price (accordingly, no adjustment is made when inventory is reacquired upon default of the related originated vacation ownership note receivable). These standards provide for changes in estimates within the relative sales value calculations to be accounted for as real estate inventory true-ups, which we refer to as product cost true-up activity, and are recorded in Cost of vacation ownership product expenses on the Income Statements to retrospectively adjust the margin previously recorded subject to those estimates. Product cost true-up activity relating to vacation ownership products increased carrying values of inventory by $24 million, $10 million and $6 million during 2022, 2021 and 2020,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0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Property and equipment includes our sales centers, golf courses, information technology, including internally developed capitalized software,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VOIs are classified as property and equipment until they are registered and available for sale. We record property and equipment at cost, including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71"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color w:val="auto"/>
        </w:rPr>
        <w:t>We also capitalize certain qualified costs incurred in connection with the development of internal use software. Capitalization of internal use software costs begins when the preliminary project stage is completed, management with the relevant authority authorizes and commits to the funding of the software project, and it is probable that the project will be completed and the software will be used to perform the function intended.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0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account for leases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(“ASC 842”). We determine if an arrangement is or contains a lease at contract inception. Operating leases include lease arrangements for various land, corporate facilities, real estate and equipment. Corporate facilities leases are for office space, including our current corporate headquarters in Orlando, Florida. Other operating leases are primarily for office, off-site sales centers and retail space, as well as various equipment supporting our operations, with varying terms and renewal option periods.</w:t>
      </w:r>
    </w:p>
    <w:p>
      <w:pPr>
        <w:spacing w:after="0" w:line="78" w:lineRule="exact"/>
        <w:rPr>
          <w:sz w:val="20"/>
          <w:szCs w:val="20"/>
          <w:color w:val="auto"/>
        </w:rPr>
      </w:pPr>
    </w:p>
    <w:p>
      <w:pPr>
        <w:jc w:val="both"/>
        <w:ind w:right="60"/>
        <w:spacing w:after="0" w:line="277" w:lineRule="auto"/>
        <w:rPr>
          <w:sz w:val="20"/>
          <w:szCs w:val="20"/>
          <w:color w:val="auto"/>
        </w:rPr>
      </w:pPr>
      <w:r>
        <w:rPr>
          <w:rFonts w:ascii="Arial" w:cs="Arial" w:eastAsia="Arial" w:hAnsi="Arial"/>
          <w:sz w:val="16"/>
          <w:szCs w:val="16"/>
          <w:color w:val="auto"/>
        </w:rPr>
        <w:t>Finance leases include lease arrangements for ancillary and operations space. We also have a long-term finance lease for land underlying an operating hotel. In addition, we also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6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Right-of-use assets and lease liabilities are recognized based on the present value of lease payments over the lease term at commencement date. Short-term leases, which have an initial term of a year or less, are not recorded on the balance sheet.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Right-of-use assets exclude the unamortized portion of lease incentives received. Certain of our lease agreements include variable rental payments that are based on a percentage of retail sales over contractual levels and others include rental payments adjusted periodically for inflation. Additionally, with respect to our real estate leases, we do not separate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i w:val="1"/>
          <w:iCs w:val="1"/>
          <w:color w:val="auto"/>
        </w:rPr>
        <w:t>Impairment of Long-Lived Assets and Other Intangible Assets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5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We perform an annual review for the potential impairment of the carrying value of goodwill in the fourth quarter,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5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81"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10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 xml:space="preserve">In accounting for convertible notes issued prior to the adoption of ASU 2020-06 (as defined in </w:t>
      </w:r>
      <w:r>
        <w:rPr>
          <w:rFonts w:ascii="Arial" w:cs="Arial" w:eastAsia="Arial" w:hAnsi="Arial"/>
          <w:sz w:val="16"/>
          <w:szCs w:val="16"/>
          <w:i w:val="1"/>
          <w:iCs w:val="1"/>
          <w:color w:val="auto"/>
        </w:rPr>
        <w:t>New Accounting Standards</w:t>
      </w:r>
      <w:r>
        <w:rPr>
          <w:rFonts w:ascii="Arial" w:cs="Arial" w:eastAsia="Arial" w:hAnsi="Arial"/>
          <w:sz w:val="16"/>
          <w:szCs w:val="16"/>
          <w:color w:val="auto"/>
        </w:rPr>
        <w:t xml:space="preserve"> below) in the first quarter of 2022, we bifurcated our convertible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notes. The excess of the principal amount of the liability over its carrying amount was amortized to interest expense over the term of the convertible notes using the effective interest method. Upon adoption of ASU 2020-06, we are no longer required to bifurcate our convertible notes into liability and equity components.</w:t>
      </w:r>
    </w:p>
    <w:p>
      <w:pPr>
        <w:spacing w:after="0" w:line="71" w:lineRule="exact"/>
        <w:rPr>
          <w:sz w:val="20"/>
          <w:szCs w:val="20"/>
          <w:color w:val="auto"/>
        </w:rPr>
      </w:pPr>
    </w:p>
    <w:p>
      <w:pPr>
        <w:ind w:right="460"/>
        <w:spacing w:after="0" w:line="264" w:lineRule="auto"/>
        <w:rPr>
          <w:sz w:val="20"/>
          <w:szCs w:val="20"/>
          <w:color w:val="auto"/>
        </w:rPr>
      </w:pPr>
      <w:r>
        <w:rPr>
          <w:rFonts w:ascii="Arial" w:cs="Arial" w:eastAsia="Arial" w:hAnsi="Arial"/>
          <w:sz w:val="17"/>
          <w:szCs w:val="17"/>
          <w:color w:val="auto"/>
        </w:rPr>
        <w:t>Further, upon adoption of the new guidance, we are required to calculate the impact of our convertible notes on diluted earnings per share using the “if-converted” method, regardless of our intent to settle or partially settle the debt in cash.</w:t>
      </w:r>
    </w:p>
    <w:p>
      <w:pPr>
        <w:spacing w:after="0" w:line="68" w:lineRule="exact"/>
        <w:rPr>
          <w:sz w:val="20"/>
          <w:szCs w:val="20"/>
          <w:color w:val="auto"/>
        </w:rPr>
      </w:pPr>
    </w:p>
    <w:p>
      <w:pPr>
        <w:ind w:right="400"/>
        <w:spacing w:after="0" w:line="264" w:lineRule="auto"/>
        <w:rPr>
          <w:sz w:val="20"/>
          <w:szCs w:val="20"/>
          <w:color w:val="auto"/>
        </w:rPr>
      </w:pPr>
      <w:r>
        <w:rPr>
          <w:rFonts w:ascii="Arial" w:cs="Arial" w:eastAsia="Arial" w:hAnsi="Arial"/>
          <w:sz w:val="17"/>
          <w:szCs w:val="17"/>
          <w:color w:val="auto"/>
        </w:rPr>
        <w:t xml:space="preserve">See Footnote 8 “Earnings per Share” and Footnote 16 “Debt” for more information and also see </w:t>
      </w:r>
      <w:r>
        <w:rPr>
          <w:rFonts w:ascii="Arial" w:cs="Arial" w:eastAsia="Arial" w:hAnsi="Arial"/>
          <w:sz w:val="17"/>
          <w:szCs w:val="17"/>
          <w:i w:val="1"/>
          <w:iCs w:val="1"/>
          <w:color w:val="auto"/>
        </w:rPr>
        <w:t>New Accounting Standards</w:t>
      </w:r>
      <w:r>
        <w:rPr>
          <w:rFonts w:ascii="Arial" w:cs="Arial" w:eastAsia="Arial" w:hAnsi="Arial"/>
          <w:sz w:val="17"/>
          <w:szCs w:val="17"/>
          <w:color w:val="auto"/>
        </w:rPr>
        <w:t xml:space="preserve"> below for information on the impact of adoption of ASU 2020-06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03"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81"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7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As a matter of policy, we only enter into transactions that we believe will be highly effective at offsetting the underlying risk, and we do not use derivatives for trading or speculative purposes.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0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w:t>
      </w:r>
    </w:p>
    <w:p>
      <w:pPr>
        <w:spacing w:after="0" w:line="103" w:lineRule="exact"/>
        <w:rPr>
          <w:sz w:val="20"/>
          <w:szCs w:val="20"/>
          <w:color w:val="auto"/>
        </w:rPr>
      </w:pPr>
    </w:p>
    <w:p>
      <w:pPr>
        <w:ind w:right="360"/>
        <w:spacing w:after="0" w:line="304" w:lineRule="auto"/>
        <w:rPr>
          <w:sz w:val="20"/>
          <w:szCs w:val="20"/>
          <w:color w:val="auto"/>
        </w:rPr>
      </w:pPr>
      <w:r>
        <w:rPr>
          <w:rFonts w:ascii="Arial" w:cs="Arial" w:eastAsia="Arial" w:hAnsi="Arial"/>
          <w:sz w:val="15"/>
          <w:szCs w:val="15"/>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owners’ associations) for our participating employees totaling $23 million in 2022, $19 million in 2021 and $12 million in 2020.</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10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7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who were employees of Marriott Vacations Worldwide at the time of the Marriott Spin-Off, including earnings thereon.</w:t>
      </w:r>
    </w:p>
    <w:p>
      <w:pPr>
        <w:spacing w:after="0" w:line="78" w:lineRule="exact"/>
        <w:rPr>
          <w:sz w:val="20"/>
          <w:szCs w:val="20"/>
          <w:color w:val="auto"/>
        </w:rPr>
      </w:pPr>
    </w:p>
    <w:p>
      <w:pPr>
        <w:jc w:val="both"/>
        <w:ind w:right="20"/>
        <w:spacing w:after="0" w:line="295" w:lineRule="auto"/>
        <w:rPr>
          <w:sz w:val="20"/>
          <w:szCs w:val="20"/>
          <w:color w:val="auto"/>
        </w:rPr>
      </w:pPr>
      <w:r>
        <w:rPr>
          <w:rFonts w:ascii="Arial" w:cs="Arial" w:eastAsia="Arial" w:hAnsi="Arial"/>
          <w:sz w:val="15"/>
          <w:szCs w:val="15"/>
          <w:color w:val="auto"/>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2022 and 2021, participants were able to select a rate of return based on market-based investment alternatives for up to 100% of their contributions and existing balances, with one of those options being a fixed rate of return of 3.5%.</w:t>
      </w:r>
    </w:p>
    <w:p>
      <w:pPr>
        <w:spacing w:after="0" w:line="48" w:lineRule="exact"/>
        <w:rPr>
          <w:sz w:val="20"/>
          <w:szCs w:val="20"/>
          <w:color w:val="auto"/>
        </w:rPr>
      </w:pPr>
    </w:p>
    <w:p>
      <w:pPr>
        <w:ind w:right="400"/>
        <w:spacing w:after="0" w:line="304" w:lineRule="auto"/>
        <w:rPr>
          <w:sz w:val="20"/>
          <w:szCs w:val="20"/>
          <w:color w:val="auto"/>
        </w:rPr>
      </w:pPr>
      <w:r>
        <w:rPr>
          <w:rFonts w:ascii="Arial" w:cs="Arial" w:eastAsia="Arial" w:hAnsi="Arial"/>
          <w:sz w:val="15"/>
          <w:szCs w:val="15"/>
          <w:color w:val="auto"/>
        </w:rPr>
        <w:t>We consolidate the liabilities of the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December 31, 2022, the value of the assets held in the rabbi trust was $76 million, which is included in the Other line within assets on our Balance Sheets.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3" w:right="35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i w:val="1"/>
          <w:iCs w:val="1"/>
          <w:color w:val="auto"/>
        </w:rPr>
        <w:t>Share-Based Compensation Costs</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During the second quarter of 2020, our shareholders approved the Marriott Vacations Worldwide Corporation 2020 Equity Incentive Plan (the “MVW Equity Plan”), which supersedes both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78"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The MVW Equity Plan is maintained for the benefit of our officers, directors, and employees. Under the MVW Equity Plan, we are authorized to award: (1) restricted shares of our common stock and restricted stock units (“RSUs”) of our common stock, (2) stock appreciation rights (“SARs”) relating to our common stock, and (3) options to purchase our common stock.</w:t>
      </w:r>
    </w:p>
    <w:p>
      <w:pPr>
        <w:spacing w:after="0" w:line="76"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We follow the provisions of ASC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performance period (typically three years) based upon the cumulative achievement over that period of specific quantitative operating financial measures and we recognize compensation expense once it is probable that the corresponding performance condition will be achieved.</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SARs awarded under the MVW Equity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issue shares from authorized shares upon the exercise of SARs or stock options held by our employees and directors.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For share-based awards granted to non-employee directors, we recognize compensation expense on the grant date based on the fair value of the awards as of that date.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See Footnote 18 “Share-Based Compensation” for more information on the MVW Equity Plan.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Operations</w:t>
      </w:r>
    </w:p>
    <w:p>
      <w:pPr>
        <w:spacing w:after="0" w:line="103" w:lineRule="exact"/>
        <w:rPr>
          <w:sz w:val="20"/>
          <w:szCs w:val="20"/>
          <w:color w:val="auto"/>
        </w:rPr>
      </w:pPr>
    </w:p>
    <w:p>
      <w:pPr>
        <w:ind w:right="140"/>
        <w:spacing w:after="0" w:line="339" w:lineRule="auto"/>
        <w:rPr>
          <w:sz w:val="20"/>
          <w:szCs w:val="20"/>
          <w:color w:val="auto"/>
        </w:rPr>
      </w:pPr>
      <w:r>
        <w:rPr>
          <w:rFonts w:ascii="Arial" w:cs="Arial" w:eastAsia="Arial" w:hAnsi="Arial"/>
          <w:sz w:val="13"/>
          <w:szCs w:val="13"/>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in the Gains (losses) and other income (expense), net line on our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provision for income tax in the period that includes the enactment date.</w:t>
      </w:r>
    </w:p>
    <w:p>
      <w:pPr>
        <w:spacing w:after="0" w:line="68"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7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record a valuation allowance on deferred taxes if we determine it is more likely than not that we will not fully realize the future benefit of deferred tax assets.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8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We file tax returns after the close of our fiscal year end and adjust our estimated tax receivable or liability to the actual tax receivable or tax due per the filed tax returns in the provision for income tax.</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For purposes of Global Intangible Low-Taxed Income, we have elected to use the period cost method and therefore have not recorded deferred taxes for basis differences expected to reverse in future periods.</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w:t>
      </w:r>
    </w:p>
    <w:p>
      <w:pPr>
        <w:spacing w:after="0" w:line="103"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Accounting Standards Update 2020-06 – “</w:t>
      </w:r>
      <w:r>
        <w:rPr>
          <w:rFonts w:ascii="Arial" w:cs="Arial" w:eastAsia="Arial" w:hAnsi="Arial"/>
          <w:sz w:val="16"/>
          <w:szCs w:val="16"/>
          <w:i w:val="1"/>
          <w:iCs w:val="1"/>
          <w:color w:val="auto"/>
        </w:rPr>
        <w:t>Debt — Debt With Conversion and Other Options (Subtopic 470-20) and Derivatives and Hedging — Contracts in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Own Equity (Subtopic 815-40): Accounting for Convertible Instruments and Contracts in an Entity’s Own Equity” </w:t>
      </w:r>
      <w:r>
        <w:rPr>
          <w:rFonts w:ascii="Arial" w:cs="Arial" w:eastAsia="Arial" w:hAnsi="Arial"/>
          <w:sz w:val="16"/>
          <w:szCs w:val="16"/>
          <w:color w:val="auto"/>
        </w:rPr>
        <w:t>(“ASU 2020-06”)</w:t>
      </w:r>
    </w:p>
    <w:p>
      <w:pPr>
        <w:spacing w:after="0" w:line="4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the first quarter of 2022, we adopted ASU 2020-06, using the modified retrospective method. Upon adoption of ASU 2020-06, we were no longer required to separate our convertible notes into liability and equity components, and were required to calculate the impact of our convertible notes on diluted earnings per share using the “if-converted” method, regardless of intent to settle or partially settle the debt in cash. Under the “if-converted” method, diluted earnings per share is generally calculated assuming that all of our convertible notes are converted solely into shares of common stock at the beginning of the reporting period, unless the result would be anti-dilutive. The application of the “if-converted” method reduces our reported diluted earnings per share. The impacts of the adoption were recorded as a cumulative effect in the opening balance of retained earnings and the conversion feature related to our convertible notes was reclassified from equity to liabilities. In addition, we eliminated the related equity adjustment associated with the deferred tax liability. The adoption of ASU 2020-06 on January 1, 2022 resulted in an increase in debt of $107 million, a decrease in additional paid-in capital of $111 million, and a decrease in deferred taxes of $27 million, as well as a cumulative effect adjustment to the opening balance of retained earnings of $31 million. We will continue to amortize the remaining debt issuance costs associated with our convertible notes over the respective terms of our convertible notes. The prior period consolidated financial statements have not been retrospectively restated and continue to be reported under the accounting standards in effect for those periods. See Footnote 16 “Debt” for further information on accounting for the convertible notes and the convertible note hedges, subsequent to the adoption of ASU 2020-06.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92" w:name="page93"/>
    <w:bookmarkEnd w:id="92"/>
    <w:p>
      <w:pPr>
        <w:ind w:right="60"/>
        <w:spacing w:after="0" w:line="264" w:lineRule="auto"/>
        <w:rPr>
          <w:sz w:val="20"/>
          <w:szCs w:val="20"/>
          <w:color w:val="auto"/>
        </w:rPr>
      </w:pPr>
      <w:r>
        <w:rPr>
          <w:rFonts w:ascii="Arial" w:cs="Arial" w:eastAsia="Arial" w:hAnsi="Arial"/>
          <w:sz w:val="17"/>
          <w:szCs w:val="17"/>
          <w:color w:val="auto"/>
        </w:rPr>
        <w:t>Accounting Standards Update 2021-08 - “</w:t>
      </w:r>
      <w:r>
        <w:rPr>
          <w:rFonts w:ascii="Arial" w:cs="Arial" w:eastAsia="Arial" w:hAnsi="Arial"/>
          <w:sz w:val="17"/>
          <w:szCs w:val="17"/>
          <w:i w:val="1"/>
          <w:iCs w:val="1"/>
          <w:color w:val="auto"/>
        </w:rPr>
        <w:t>Business Combinations (Topic 805): Accounting for Contract Assets and Contract Liabilities from Contracts with Customers”</w:t>
      </w:r>
      <w:r>
        <w:rPr>
          <w:rFonts w:ascii="Arial" w:cs="Arial" w:eastAsia="Arial" w:hAnsi="Arial"/>
          <w:sz w:val="17"/>
          <w:szCs w:val="17"/>
          <w:color w:val="auto"/>
        </w:rPr>
        <w:t xml:space="preserve"> (“ASU 2021-08”)</w:t>
      </w:r>
    </w:p>
    <w:p>
      <w:pPr>
        <w:spacing w:after="0" w:line="6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the first quarter of 2022, we adopted ASU 2021-08, which amended ASC 805 “Business Combinations,” to require entities to apply ASC 606 to recognize and measure contract assets and contract liabilities from contracts with customers in a business combination. The adoption of ASU 2021-08 on January 1, 2022 did not have a material impact on our financial statements or disclosures. In the event that we complete business combinations in the future, the application of ASU 2021-08 could result in higher acquired deferred revenue.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Adoption of Accounting Standards</w:t>
      </w:r>
    </w:p>
    <w:p>
      <w:pPr>
        <w:spacing w:after="0" w:line="103" w:lineRule="exact"/>
        <w:rPr>
          <w:sz w:val="20"/>
          <w:szCs w:val="20"/>
          <w:color w:val="auto"/>
        </w:rPr>
      </w:pPr>
    </w:p>
    <w:p>
      <w:pPr>
        <w:ind w:right="380"/>
        <w:spacing w:after="0" w:line="331" w:lineRule="auto"/>
        <w:rPr>
          <w:sz w:val="20"/>
          <w:szCs w:val="20"/>
          <w:color w:val="auto"/>
        </w:rPr>
      </w:pPr>
      <w:r>
        <w:rPr>
          <w:rFonts w:ascii="Arial" w:cs="Arial" w:eastAsia="Arial" w:hAnsi="Arial"/>
          <w:sz w:val="15"/>
          <w:szCs w:val="15"/>
          <w:color w:val="auto"/>
        </w:rPr>
        <w:t>Accounting Standards Update 2020-04 –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(“ASU 2020-04”) and Accounting Standards Update 2022-06 – “</w:t>
      </w:r>
      <w:r>
        <w:rPr>
          <w:rFonts w:ascii="Arial" w:cs="Arial" w:eastAsia="Arial" w:hAnsi="Arial"/>
          <w:sz w:val="15"/>
          <w:szCs w:val="15"/>
          <w:i w:val="1"/>
          <w:iCs w:val="1"/>
          <w:color w:val="auto"/>
        </w:rPr>
        <w:t>Reference Rate Reform (Topic 848), Deferral of the Sunset Date of Topic 848</w:t>
      </w:r>
      <w:r>
        <w:rPr>
          <w:rFonts w:ascii="Arial" w:cs="Arial" w:eastAsia="Arial" w:hAnsi="Arial"/>
          <w:sz w:val="15"/>
          <w:szCs w:val="15"/>
          <w:color w:val="auto"/>
        </w:rPr>
        <w:t>” (“ASU 2022-06”)</w:t>
      </w:r>
    </w:p>
    <w:p>
      <w:pPr>
        <w:spacing w:after="0" w:line="2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In March 2020, the Financial Accounting Standards Board (“FASB”) issued ASU 2020-04, as amended, which provides optional expedients and exceptions to existing guidance on contract modifications and hedge accounting in an effort to ease the financial reporting burdens related to the expected market transition from the USD London Interbank Offered Rate (“LIBOR”) and other interbank offered rates to alternative reference rates. This update was effective upon issuance and issuers may generally elect to adopt the optional expedients and exceptions over time through a period ending on December 31, 2022. In December 2022, the FASB issued ASU 2022-06 to extend the temporary accounting rules under Topic 848 from December 31, 2022 to December 31, 2024. During 2022, we amended the terms of our Warehouse Credit Facility and our Revolving Corporate Credit Facility, both as defined and discussed further in Footnote 15 “Securitized Debt” and Footnote 16 “Debt,” respectively, to, among other things, reference SOFR (as defined in Footnote 15 “Securitized Debt”) rather than LIBOR. Our Term Loan and certain interest rate swaps and collars have not yet discontinued the use of LIBOR. To the extent these instruments are amended to reference a different benchmark interest rate, we may elect to utilize the relief available in ASU 2020-04. When we renew or amend these debt instruments, we will determine a replacement rate for LIBOR. We have not adopted any of the optional expedients or exceptions as of December 31, 2022, but will continue to evaluate their adoption during the effective period as circumstances evolve.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Accounting Standards Update 2022-02 – “</w:t>
      </w:r>
      <w:r>
        <w:rPr>
          <w:rFonts w:ascii="Arial" w:cs="Arial" w:eastAsia="Arial" w:hAnsi="Arial"/>
          <w:sz w:val="15"/>
          <w:szCs w:val="15"/>
          <w:i w:val="1"/>
          <w:iCs w:val="1"/>
          <w:color w:val="auto"/>
        </w:rPr>
        <w:t>Financial Instruments</w:t>
      </w:r>
      <w:r>
        <w:rPr>
          <w:rFonts w:ascii="Arial" w:cs="Arial" w:eastAsia="Arial" w:hAnsi="Arial"/>
          <w:sz w:val="15"/>
          <w:szCs w:val="15"/>
          <w:color w:val="auto"/>
        </w:rPr>
        <w:t>–</w:t>
      </w:r>
      <w:r>
        <w:rPr>
          <w:rFonts w:ascii="Arial" w:cs="Arial" w:eastAsia="Arial" w:hAnsi="Arial"/>
          <w:sz w:val="15"/>
          <w:szCs w:val="15"/>
          <w:i w:val="1"/>
          <w:iCs w:val="1"/>
          <w:color w:val="auto"/>
        </w:rPr>
        <w:t>Credit Losses (Topic 326) - Troubled Debt Restructurings and Vintage Disclosures</w:t>
      </w:r>
      <w:r>
        <w:rPr>
          <w:rFonts w:ascii="Arial" w:cs="Arial" w:eastAsia="Arial" w:hAnsi="Arial"/>
          <w:sz w:val="15"/>
          <w:szCs w:val="15"/>
          <w:color w:val="auto"/>
        </w:rPr>
        <w:t>” (“ASU 2022-02”)</w:t>
      </w:r>
    </w:p>
    <w:p>
      <w:pPr>
        <w:spacing w:after="0" w:line="76"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In March 2022, the FASB issued ASU 2022-02, which eliminates the recognition and measurement guidance applicable to troubled debt restructurings for creditors and enhances disclosure requirements with respect to loan modifications for borrowers experiencing financial difficulty. ASU 2022-02 also requires disclosure of current-period gross write-offs by year of origination to be presented in the vintage disclosures for financing receivables. This update is effective for fiscal years beginning after December 15, 2022, including interim periods within those fiscal years, with early adoption permitted. We are evaluating the impact that the adoption of ASU 2022-02 will have on our financial statements and disclosures; however, we do not expect adoption to have a material effect on our financial statements or disclosures other than the disclosure changes related to vintage disclosures for financing receivables. We expect to adopt ASU 2022-02 in the first quarter of 2023.</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 AND DISPOSITIONS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Welk Acquisition</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We completed the Welk Acquisition on April 1, 2021. The following table presents the fair value of each type of consideration transferred in the Welk Acquisition, as finalized at March 31,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(in millions, except per share amounts)</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22"/>
        </w:trPr>
        <w:tc>
          <w:tcPr>
            <w:tcW w:w="6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 shares of Marriott Vacations Worldwide common stock issued</w:t>
            </w: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880" w:type="dxa"/>
            <w:vAlign w:val="bottom"/>
          </w:tcPr>
          <w:p>
            <w:pPr>
              <w:spacing w:after="0"/>
              <w:rPr>
                <w:sz w:val="20"/>
                <w:szCs w:val="20"/>
                <w:color w:val="auto"/>
              </w:rPr>
            </w:pPr>
          </w:p>
        </w:tc>
      </w:tr>
      <w:tr>
        <w:trPr>
          <w:trHeight w:val="23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8"/>
              </w:rPr>
              <w:t>Marriott Vacations Worldwide common stock price per share as of Welk Acquisition Date</w:t>
            </w:r>
          </w:p>
        </w:tc>
        <w:tc>
          <w:tcPr>
            <w:tcW w:w="660" w:type="dxa"/>
            <w:vAlign w:val="bottom"/>
            <w:tcBorders>
              <w:bottom w:val="single" w:sz="8" w:color="auto"/>
            </w:tcBorders>
          </w:tcPr>
          <w:p>
            <w:pPr>
              <w:jc w:val="right"/>
              <w:ind w:right="4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174.18</w:t>
            </w:r>
          </w:p>
        </w:tc>
        <w:tc>
          <w:tcPr>
            <w:tcW w:w="2880" w:type="dxa"/>
            <w:vAlign w:val="bottom"/>
          </w:tcPr>
          <w:p>
            <w:pPr>
              <w:spacing w:after="0"/>
              <w:rPr>
                <w:sz w:val="20"/>
                <w:szCs w:val="20"/>
                <w:color w:val="auto"/>
              </w:rPr>
            </w:pPr>
          </w:p>
        </w:tc>
      </w:tr>
      <w:tr>
        <w:trPr>
          <w:trHeight w:val="216"/>
        </w:trPr>
        <w:tc>
          <w:tcPr>
            <w:tcW w:w="6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Fair value of Marriott Vacations Worldwide common stock issued</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880" w:type="dxa"/>
            <w:vAlign w:val="bottom"/>
          </w:tcPr>
          <w:p>
            <w:pPr>
              <w:spacing w:after="0"/>
              <w:rPr>
                <w:sz w:val="18"/>
                <w:szCs w:val="18"/>
                <w:color w:val="auto"/>
              </w:rPr>
            </w:pPr>
          </w:p>
        </w:tc>
      </w:tr>
      <w:tr>
        <w:trPr>
          <w:trHeight w:val="23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consideration to Welk, net of cash and restricted cash acquired of $48 million</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880" w:type="dxa"/>
            <w:vAlign w:val="bottom"/>
          </w:tcPr>
          <w:p>
            <w:pPr>
              <w:spacing w:after="0"/>
              <w:rPr>
                <w:sz w:val="20"/>
                <w:szCs w:val="20"/>
                <w:color w:val="auto"/>
              </w:rPr>
            </w:pPr>
          </w:p>
        </w:tc>
      </w:tr>
      <w:tr>
        <w:trPr>
          <w:trHeight w:val="216"/>
        </w:trPr>
        <w:tc>
          <w:tcPr>
            <w:tcW w:w="6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consideration transferred, net of cash and restricted cash acquired</w:t>
            </w:r>
          </w:p>
        </w:tc>
        <w:tc>
          <w:tcPr>
            <w:tcW w:w="66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2880" w:type="dxa"/>
            <w:vAlign w:val="bottom"/>
          </w:tcPr>
          <w:p>
            <w:pPr>
              <w:spacing w:after="0"/>
              <w:rPr>
                <w:sz w:val="18"/>
                <w:szCs w:val="18"/>
                <w:color w:val="auto"/>
              </w:rPr>
            </w:pPr>
          </w:p>
        </w:tc>
      </w:tr>
      <w:tr>
        <w:trPr>
          <w:trHeight w:val="983"/>
        </w:trPr>
        <w:tc>
          <w:tcPr>
            <w:tcW w:w="6600" w:type="dxa"/>
            <w:vAlign w:val="bottom"/>
          </w:tcPr>
          <w:p>
            <w:pPr>
              <w:ind w:left="5540"/>
              <w:spacing w:after="0"/>
              <w:rPr>
                <w:sz w:val="20"/>
                <w:szCs w:val="20"/>
                <w:color w:val="auto"/>
              </w:rPr>
            </w:pPr>
            <w:r>
              <w:rPr>
                <w:rFonts w:ascii="Arial" w:cs="Arial" w:eastAsia="Arial" w:hAnsi="Arial"/>
                <w:sz w:val="17"/>
                <w:szCs w:val="17"/>
                <w:color w:val="auto"/>
              </w:rPr>
              <w:t>91</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04"/>
        </w:trPr>
        <w:tc>
          <w:tcPr>
            <w:tcW w:w="66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i w:val="1"/>
          <w:iCs w:val="1"/>
          <w:color w:val="auto"/>
        </w:rPr>
        <w:t>Fair Values of Assets Acquired and Liabilities Assumed</w:t>
      </w:r>
    </w:p>
    <w:p>
      <w:pPr>
        <w:spacing w:after="0" w:line="103"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We accounted for the Welk Acquisition as a business combination, which requires us to record the assets acquired and liabilities assumed at fair value as of the Welk Acquisition Date. The values attributed to Vacation ownership notes receivable, Inventory, Property and equipment, Intangible assets, and Securitized debt from VIEs were based on valuations prepared using Level 3 inputs and assumptions in accordance with 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(“ASC 820”). The value attributed to Debt was based on Level 2 inputs in accordance with ASC 820. During the first quarter of 2022, we finalized our allocation of the purchase price to the acquired assets and liabilities. The following table presents the fair value of the assets that we acquired and the liabilities that we assumed in connection with the business combination as finalized.</w:t>
      </w:r>
    </w:p>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8"/>
              <w:spacing w:after="0" w:line="169" w:lineRule="exact"/>
              <w:rPr>
                <w:sz w:val="20"/>
                <w:szCs w:val="20"/>
                <w:color w:val="auto"/>
              </w:rPr>
            </w:pPr>
            <w:r>
              <w:rPr>
                <w:rFonts w:ascii="Arial" w:cs="Arial" w:eastAsia="Arial" w:hAnsi="Arial"/>
                <w:sz w:val="15"/>
                <w:szCs w:val="15"/>
                <w:b w:val="1"/>
                <w:bCs w:val="1"/>
                <w:color w:val="auto"/>
              </w:rPr>
              <w:t>April 1, 2021</w:t>
            </w:r>
          </w:p>
        </w:tc>
      </w:tr>
      <w:tr>
        <w:trPr>
          <w:trHeight w:val="19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(as finalized)</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r>
      <w:tr>
        <w:trPr>
          <w:trHeight w:val="236"/>
        </w:trPr>
        <w:tc>
          <w:tcPr>
            <w:tcW w:w="660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660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6"/>
        </w:trPr>
        <w:tc>
          <w:tcPr>
            <w:tcW w:w="660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36"/>
        </w:trPr>
        <w:tc>
          <w:tcPr>
            <w:tcW w:w="6600" w:type="dxa"/>
            <w:vAlign w:val="bottom"/>
          </w:tcPr>
          <w:p>
            <w:pPr>
              <w:ind w:left="20"/>
              <w:spacing w:after="0"/>
              <w:rPr>
                <w:sz w:val="20"/>
                <w:szCs w:val="20"/>
                <w:color w:val="auto"/>
              </w:rPr>
            </w:pPr>
            <w:r>
              <w:rPr>
                <w:rFonts w:ascii="Arial" w:cs="Arial" w:eastAsia="Arial" w:hAnsi="Arial"/>
                <w:sz w:val="17"/>
                <w:szCs w:val="17"/>
                <w:color w:val="auto"/>
              </w:rPr>
              <w:t>Securitized debt</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Net assets acquired</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r>
              <w:rPr>
                <w:rFonts w:ascii="Arial" w:cs="Arial" w:eastAsia="Arial" w:hAnsi="Arial"/>
                <w:sz w:val="8"/>
                <w:szCs w:val="8"/>
                <w:color w:val="auto"/>
              </w:rPr>
              <w:t>(1)</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r>
      <w:tr>
        <w:trPr>
          <w:trHeight w:val="204"/>
        </w:trPr>
        <w:tc>
          <w:tcPr>
            <w:tcW w:w="660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w:t>
      </w:r>
    </w:p>
    <w:p>
      <w:pPr>
        <w:spacing w:after="0" w:line="44" w:lineRule="exact"/>
        <w:rPr>
          <w:sz w:val="20"/>
          <w:szCs w:val="20"/>
          <w:color w:val="auto"/>
        </w:rPr>
      </w:pPr>
    </w:p>
    <w:p>
      <w:pPr>
        <w:ind w:left="300" w:hanging="300"/>
        <w:spacing w:after="0" w:line="219" w:lineRule="auto"/>
        <w:tabs>
          <w:tab w:leader="none" w:pos="289"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Goodwill is calculated as total consideration transferred, net of cash acquired, less identified net assets acquired. It represents the value that we expect to obtain from growth opportunities from our combined operations and is not deductible for tax purposes.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Results of Operations</w:t>
      </w:r>
    </w:p>
    <w:p>
      <w:pPr>
        <w:spacing w:after="0" w:line="103"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color w:val="auto"/>
        </w:rPr>
        <w:t>The following unaudited pro forma information presents the combined results of operations of Marriott Vacations Worldwide and Legacy-Welk as if we had completed the Welk Acquisition on December 31, 2019, the last day of our 2019 fiscal year, but using the estimates of the fair values of assets and liabilities as of the Welk Acquisition Date set forth above.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Welk Acquisition had occurred at the beginning of the period presented, nor are they indicative of future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Welk Acquisition-related costs included in the unaudited pro forma results below for 2021, and $19 million for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 except per share data)</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5"/>
                <w:szCs w:val="15"/>
                <w:b w:val="1"/>
                <w:bCs w:val="1"/>
                <w:color w:val="auto"/>
              </w:rPr>
              <w:t>2020</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w:t>
            </w:r>
          </w:p>
        </w:tc>
      </w:tr>
      <w:tr>
        <w:trPr>
          <w:trHeight w:val="236"/>
        </w:trPr>
        <w:tc>
          <w:tcPr>
            <w:tcW w:w="48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120" w:type="dxa"/>
            <w:vAlign w:val="bottom"/>
          </w:tcPr>
          <w:p>
            <w:pPr>
              <w:jc w:val="right"/>
              <w:ind w:right="93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0"/>
                <w:szCs w:val="20"/>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(272)</w:t>
            </w: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shareholders</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170"/>
        </w:trPr>
        <w:tc>
          <w:tcPr>
            <w:tcW w:w="486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EARNINGS (LOSS) PER SHARE ATTRIBUTABLE TO</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6"/>
        </w:trPr>
        <w:tc>
          <w:tcPr>
            <w:tcW w:w="4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r>
      <w:tr>
        <w:trPr>
          <w:trHeight w:val="237"/>
        </w:trPr>
        <w:tc>
          <w:tcPr>
            <w:tcW w:w="4860" w:type="dxa"/>
            <w:vAlign w:val="bottom"/>
          </w:tcPr>
          <w:p>
            <w:pPr>
              <w:ind w:left="200"/>
              <w:spacing w:after="0"/>
              <w:rPr>
                <w:sz w:val="20"/>
                <w:szCs w:val="20"/>
                <w:color w:val="auto"/>
              </w:rPr>
            </w:pPr>
            <w:r>
              <w:rPr>
                <w:rFonts w:ascii="Arial" w:cs="Arial" w:eastAsia="Arial" w:hAnsi="Arial"/>
                <w:sz w:val="17"/>
                <w:szCs w:val="17"/>
                <w:color w:val="auto"/>
              </w:rPr>
              <w:t>Diluted</w:t>
            </w:r>
          </w:p>
        </w:tc>
        <w:tc>
          <w:tcPr>
            <w:tcW w:w="1120" w:type="dxa"/>
            <w:vAlign w:val="bottom"/>
          </w:tcPr>
          <w:p>
            <w:pPr>
              <w:jc w:val="right"/>
              <w:ind w:right="93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0"/>
                <w:szCs w:val="20"/>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(7.04)</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Welk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Legacy-Welk operations included in our Income Statement for 2022 and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b w:val="1"/>
                <w:bCs w:val="1"/>
                <w:color w:val="auto"/>
              </w:rPr>
              <w:t>2021</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0" w:type="dxa"/>
            <w:vAlign w:val="bottom"/>
            <w:shd w:val="clear" w:color="auto" w:fill="CCEEFF"/>
          </w:tcPr>
          <w:p>
            <w:pPr>
              <w:jc w:val="right"/>
              <w:ind w:right="101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49"/>
        </w:trPr>
        <w:tc>
          <w:tcPr>
            <w:tcW w:w="48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200" w:type="dxa"/>
            <w:vAlign w:val="bottom"/>
          </w:tcPr>
          <w:p>
            <w:pPr>
              <w:jc w:val="right"/>
              <w:ind w:right="1017"/>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1"/>
                <w:szCs w:val="21"/>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i w:val="1"/>
          <w:iCs w:val="1"/>
          <w:color w:val="auto"/>
        </w:rPr>
        <w:t>Other Acquisitions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Bali</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During 2022, we acquired 88 completed vacation ownership units, as well as a sales center, located in Bali, Indonesia for $36 million. The transaction was accounted for as an asset acquisition and the purchase price was allocated to Property and equipment. As consideration for the acquisition, we paid $12 million in cash and issued a non-interest bearing note payable for $11 million. Further, we reclassified $13 million of previous deposits associated with the project from Other assets to Property and equipment.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Costa Rica</w:t>
      </w:r>
    </w:p>
    <w:p>
      <w:pPr>
        <w:spacing w:after="0" w:line="103" w:lineRule="exact"/>
        <w:rPr>
          <w:sz w:val="20"/>
          <w:szCs w:val="20"/>
          <w:color w:val="auto"/>
        </w:rPr>
      </w:pPr>
    </w:p>
    <w:p>
      <w:pPr>
        <w:jc w:val="both"/>
        <w:ind w:right="220"/>
        <w:spacing w:after="0" w:line="254" w:lineRule="auto"/>
        <w:rPr>
          <w:sz w:val="20"/>
          <w:szCs w:val="20"/>
          <w:color w:val="auto"/>
        </w:rPr>
      </w:pPr>
      <w:r>
        <w:rPr>
          <w:rFonts w:ascii="Arial" w:cs="Arial" w:eastAsia="Arial" w:hAnsi="Arial"/>
          <w:sz w:val="17"/>
          <w:szCs w:val="17"/>
          <w:color w:val="auto"/>
        </w:rPr>
        <w:t>During 2021, we acquired 24 completed vacation ownership units and an operations building located at our Marriott Vacation Club at Los Suenos resort in Costa Rica for $14 million. We accounted for the transaction as an asset acquisition with the purchase price allocated to Inventory ($13 million) and Property and equipment ($1 million).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New York</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During 2021, we acquired the remaining 120 completed vacation ownership units located at our Marriott Vacation Club Pulse, New York City property for $98 million.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 accounted for the transaction as an asset acquisition with the purchase price allocated to Property and equipment.</w:t>
      </w:r>
    </w:p>
    <w:p>
      <w:pPr>
        <w:spacing w:after="0" w:line="90" w:lineRule="exact"/>
        <w:rPr>
          <w:sz w:val="20"/>
          <w:szCs w:val="20"/>
          <w:color w:val="auto"/>
        </w:rPr>
      </w:pPr>
    </w:p>
    <w:p>
      <w:pPr>
        <w:ind w:right="340"/>
        <w:spacing w:after="0" w:line="304" w:lineRule="auto"/>
        <w:rPr>
          <w:sz w:val="20"/>
          <w:szCs w:val="20"/>
          <w:color w:val="auto"/>
        </w:rPr>
      </w:pPr>
      <w:r>
        <w:rPr>
          <w:rFonts w:ascii="Arial" w:cs="Arial" w:eastAsia="Arial" w:hAnsi="Arial"/>
          <w:sz w:val="15"/>
          <w:szCs w:val="15"/>
          <w:color w:val="auto"/>
        </w:rPr>
        <w:t>During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2019. We accounted for the transaction as an asset acquisition with the purchase price allocated to Property and equipment ($67 million) and Other assets ($22 million).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 Francisco, California</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During 2021, we acquired 44 completed vacation ownership units at our Marriott Vacation Club Pulse, San Francisco property for $34 million. We accounted for the transaction as an asset acquisition with the purchase price allocated to Inventory ($29 million) and Other assets ($5 million).</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Additionally, during 2021, we completed the purchase of the remaining inventory at our Marriott Vacation Club Pulse, San Francisco property and wrote off the outstanding management fee receivables deemed uncollectible of $7 million, which was recorded in the Management and exchange expense line on our Income Statement for the year ended December 31, 2021. As part of the purchase, we acquired the remaining 78 completed vacation ownership units, as well as an onsite garage, for $59 million. We accounted for the purchase as an asset acquisition with the purchase price allocated to Inventory ($41 million) and Property and equipment ($18 million). Further, we reclassified $10 million of previous deposits associated with the project from Other assets to Inventory.</w:t>
      </w:r>
    </w:p>
    <w:p>
      <w:pPr>
        <w:spacing w:after="0" w:line="68"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During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Other assets ($5 million), and Property and equipment ($3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Dispositions</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During 2022, we disposed of VRI Americas for proceeds of $56 million, net of cash and restricted cash transferred to the buyer of $12 million, after determining that this business was not a core component of our future growth strategy and operating model. The results of VRI Americas are included in our Exchange and Third-Party Management segment through the date of the sale. The net carrying value of VRI Americas as of the date of the disposition was $51 million, including $25 million of goodwill and $20 million of intangible assets. As a result of the disposition, we recorded a gain of $17 million in Gains (losses) and other income (expense), net on our Income Statements for the year ended December 31, 2022.</w:t>
      </w:r>
    </w:p>
    <w:p>
      <w:pPr>
        <w:spacing w:after="0" w:line="81"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Additionally, during 2022, we disposed of entities that owned and operated a Vacation Ownership segment hotel in Puerto Vallarta, Mexico, for proceeds of $38 million, net of cash and restricted cash transferred to the buyer of $3 million, consistent with our strategy to dispose of non-strategic assets. The net carrying value of the business disposed of as of the date of the disposition, excluding the cumulative translation adjustment, was $18 million, substantially all of which was for property and equipment. As a result of this disposition, we recorded a gain of $33 million in Gains (losses) and other income (expense), net on our Income Statements for the year ended December 31, 2022, which included the realization of cumulative foreign currency translation gains of $10 million associated with the disposition of these entities.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We made no significant dispositions in 2021.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95" w:name="page96"/>
    <w:bookmarkEnd w:id="95"/>
    <w:p>
      <w:pPr>
        <w:ind w:right="40"/>
        <w:spacing w:after="0" w:line="304" w:lineRule="auto"/>
        <w:rPr>
          <w:sz w:val="20"/>
          <w:szCs w:val="20"/>
          <w:color w:val="auto"/>
        </w:rPr>
      </w:pPr>
      <w:r>
        <w:rPr>
          <w:rFonts w:ascii="Arial" w:cs="Arial" w:eastAsia="Arial" w:hAnsi="Arial"/>
          <w:sz w:val="15"/>
          <w:szCs w:val="15"/>
          <w:color w:val="auto"/>
        </w:rPr>
        <w:t>During 2020, we recorded a loss of $5 million in the Gains (losses) and other income (expense), net line on our Income Statement for the year ended December 31, 2020 relating to the redemption of our interest in a joint venture in our Exchange &amp; Third-Party Management segment which was consolidated under the voting interest model. We received nominal cash proceeds and a note receivable which we measured at a fair value of $1 million using Level 3 inputs.</w:t>
      </w:r>
    </w:p>
    <w:p>
      <w:pPr>
        <w:spacing w:after="0" w:line="4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Additionally, during 2020, we disposed of excess Vacation Ownership segment land parcels in Orlando, Florida and Steamboat Springs, Colorado for combined proceeds of $15 million, as part of our strategic decision to reduce holdings in markets where we have excess supply. We recorded a combined net gain of $6 million in the Gains (losses) and other income (expense), net line on our Income Statement for the year ended December 31, 2020 relating to these transactions.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 AND RECEIVABLES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Revenue by Segment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2022</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Vacation</w:t>
            </w:r>
          </w:p>
        </w:tc>
        <w:tc>
          <w:tcPr>
            <w:tcW w:w="1440" w:type="dxa"/>
            <w:vAlign w:val="bottom"/>
            <w:gridSpan w:val="3"/>
          </w:tcPr>
          <w:p>
            <w:pPr>
              <w:ind w:left="40"/>
              <w:spacing w:after="0"/>
              <w:rPr>
                <w:sz w:val="20"/>
                <w:szCs w:val="20"/>
                <w:color w:val="auto"/>
              </w:rPr>
            </w:pPr>
            <w:r>
              <w:rPr>
                <w:rFonts w:ascii="Arial" w:cs="Arial" w:eastAsia="Arial" w:hAnsi="Arial"/>
                <w:sz w:val="15"/>
                <w:szCs w:val="15"/>
                <w:b w:val="1"/>
                <w:bCs w:val="1"/>
                <w:color w:val="auto"/>
              </w:rPr>
              <w:t>Exchange &amp; Third-</w:t>
            </w:r>
          </w:p>
        </w:tc>
        <w:tc>
          <w:tcPr>
            <w:tcW w:w="14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Corporate and</w:t>
            </w:r>
          </w:p>
        </w:tc>
        <w:tc>
          <w:tcPr>
            <w:tcW w:w="300" w:type="dxa"/>
            <w:vAlign w:val="bottom"/>
          </w:tcPr>
          <w:p>
            <w:pPr>
              <w:spacing w:after="0"/>
              <w:rPr>
                <w:sz w:val="24"/>
                <w:szCs w:val="24"/>
                <w:color w:val="auto"/>
              </w:rPr>
            </w:pPr>
          </w:p>
        </w:tc>
        <w:tc>
          <w:tcPr>
            <w:tcW w:w="1000" w:type="dxa"/>
            <w:vAlign w:val="bottom"/>
            <w:vMerge w:val="restart"/>
          </w:tcPr>
          <w:p>
            <w:pPr>
              <w:jc w:val="right"/>
              <w:ind w:right="398"/>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5"/>
                <w:szCs w:val="15"/>
                <w:b w:val="1"/>
                <w:bCs w:val="1"/>
                <w:color w:val="auto"/>
                <w:w w:val="92"/>
              </w:rPr>
              <w:t>Ownership</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Party Management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Sale of vacation ownership products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Ancillary revenues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36"/>
        </w:trPr>
        <w:tc>
          <w:tcPr>
            <w:tcW w:w="2760" w:type="dxa"/>
            <w:vAlign w:val="bottom"/>
          </w:tcPr>
          <w:p>
            <w:pPr>
              <w:ind w:left="200"/>
              <w:spacing w:after="0"/>
              <w:rPr>
                <w:sz w:val="20"/>
                <w:szCs w:val="20"/>
                <w:color w:val="auto"/>
              </w:rPr>
            </w:pPr>
            <w:r>
              <w:rPr>
                <w:rFonts w:ascii="Arial" w:cs="Arial" w:eastAsia="Arial" w:hAnsi="Arial"/>
                <w:sz w:val="17"/>
                <w:szCs w:val="17"/>
                <w:color w:val="auto"/>
              </w:rPr>
              <w:t>Management fee revenues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86"/>
              </w:rPr>
              <w:t>Exchange and other services revenues</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tcPr>
          <w:p>
            <w:pPr>
              <w:ind w:left="20"/>
              <w:spacing w:after="0"/>
              <w:rPr>
                <w:sz w:val="20"/>
                <w:szCs w:val="20"/>
                <w:color w:val="auto"/>
              </w:rPr>
            </w:pPr>
            <w:r>
              <w:rPr>
                <w:rFonts w:ascii="Arial" w:cs="Arial" w:eastAsia="Arial" w:hAnsi="Arial"/>
                <w:sz w:val="17"/>
                <w:szCs w:val="17"/>
                <w:color w:val="auto"/>
              </w:rPr>
              <w:t>Rental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200"/>
              <w:spacing w:after="0" w:line="142" w:lineRule="exact"/>
              <w:rPr>
                <w:sz w:val="20"/>
                <w:szCs w:val="20"/>
                <w:color w:val="auto"/>
              </w:rPr>
            </w:pPr>
            <w:r>
              <w:rPr>
                <w:rFonts w:ascii="Arial" w:cs="Arial" w:eastAsia="Arial" w:hAnsi="Arial"/>
                <w:sz w:val="16"/>
                <w:szCs w:val="16"/>
                <w:color w:val="auto"/>
              </w:rPr>
              <w:t>Revenue from contracts with</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customers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w:t>
            </w: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4"/>
        </w:trPr>
        <w:tc>
          <w:tcPr>
            <w:tcW w:w="2760" w:type="dxa"/>
            <w:vAlign w:val="bottom"/>
          </w:tcPr>
          <w:p>
            <w:pPr>
              <w:ind w:left="200"/>
              <w:spacing w:after="0"/>
              <w:rPr>
                <w:sz w:val="20"/>
                <w:szCs w:val="20"/>
                <w:color w:val="auto"/>
              </w:rPr>
            </w:pPr>
            <w:r>
              <w:rPr>
                <w:rFonts w:ascii="Arial" w:cs="Arial" w:eastAsia="Arial" w:hAnsi="Arial"/>
                <w:sz w:val="17"/>
                <w:szCs w:val="17"/>
                <w:color w:val="auto"/>
              </w:rPr>
              <w:t>Total Revenues</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4,342</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4,656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2021</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Vacation</w:t>
            </w:r>
          </w:p>
        </w:tc>
        <w:tc>
          <w:tcPr>
            <w:tcW w:w="1440" w:type="dxa"/>
            <w:vAlign w:val="bottom"/>
            <w:gridSpan w:val="3"/>
          </w:tcPr>
          <w:p>
            <w:pPr>
              <w:ind w:left="40"/>
              <w:spacing w:after="0"/>
              <w:rPr>
                <w:sz w:val="20"/>
                <w:szCs w:val="20"/>
                <w:color w:val="auto"/>
              </w:rPr>
            </w:pPr>
            <w:r>
              <w:rPr>
                <w:rFonts w:ascii="Arial" w:cs="Arial" w:eastAsia="Arial" w:hAnsi="Arial"/>
                <w:sz w:val="15"/>
                <w:szCs w:val="15"/>
                <w:b w:val="1"/>
                <w:bCs w:val="1"/>
                <w:color w:val="auto"/>
              </w:rPr>
              <w:t>Exchange &amp; Third-</w:t>
            </w:r>
          </w:p>
        </w:tc>
        <w:tc>
          <w:tcPr>
            <w:tcW w:w="14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Corporate and</w:t>
            </w:r>
          </w:p>
        </w:tc>
        <w:tc>
          <w:tcPr>
            <w:tcW w:w="300" w:type="dxa"/>
            <w:vAlign w:val="bottom"/>
          </w:tcPr>
          <w:p>
            <w:pPr>
              <w:spacing w:after="0"/>
              <w:rPr>
                <w:sz w:val="24"/>
                <w:szCs w:val="24"/>
                <w:color w:val="auto"/>
              </w:rPr>
            </w:pPr>
          </w:p>
        </w:tc>
        <w:tc>
          <w:tcPr>
            <w:tcW w:w="1000" w:type="dxa"/>
            <w:vAlign w:val="bottom"/>
            <w:vMerge w:val="restart"/>
          </w:tcPr>
          <w:p>
            <w:pPr>
              <w:jc w:val="right"/>
              <w:ind w:right="398"/>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5"/>
                <w:szCs w:val="15"/>
                <w:b w:val="1"/>
                <w:bCs w:val="1"/>
                <w:color w:val="auto"/>
                <w:w w:val="92"/>
              </w:rPr>
              <w:t>Ownership</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Party Management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Sale of vacation ownership products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Ancillary revenues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36"/>
        </w:trPr>
        <w:tc>
          <w:tcPr>
            <w:tcW w:w="2760" w:type="dxa"/>
            <w:vAlign w:val="bottom"/>
          </w:tcPr>
          <w:p>
            <w:pPr>
              <w:ind w:left="200"/>
              <w:spacing w:after="0"/>
              <w:rPr>
                <w:sz w:val="20"/>
                <w:szCs w:val="20"/>
                <w:color w:val="auto"/>
              </w:rPr>
            </w:pPr>
            <w:r>
              <w:rPr>
                <w:rFonts w:ascii="Arial" w:cs="Arial" w:eastAsia="Arial" w:hAnsi="Arial"/>
                <w:sz w:val="17"/>
                <w:szCs w:val="17"/>
                <w:color w:val="auto"/>
              </w:rPr>
              <w:t>Management fee revenues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86"/>
              </w:rPr>
              <w:t>Exchange and other services revenues</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tcPr>
          <w:p>
            <w:pPr>
              <w:ind w:left="20"/>
              <w:spacing w:after="0"/>
              <w:rPr>
                <w:sz w:val="20"/>
                <w:szCs w:val="20"/>
                <w:color w:val="auto"/>
              </w:rPr>
            </w:pPr>
            <w:r>
              <w:rPr>
                <w:rFonts w:ascii="Arial" w:cs="Arial" w:eastAsia="Arial" w:hAnsi="Arial"/>
                <w:sz w:val="17"/>
                <w:szCs w:val="17"/>
                <w:color w:val="auto"/>
              </w:rPr>
              <w:t>Rental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486</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1,202</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200"/>
              <w:spacing w:after="0" w:line="142" w:lineRule="exact"/>
              <w:rPr>
                <w:sz w:val="20"/>
                <w:szCs w:val="20"/>
                <w:color w:val="auto"/>
              </w:rPr>
            </w:pPr>
            <w:r>
              <w:rPr>
                <w:rFonts w:ascii="Arial" w:cs="Arial" w:eastAsia="Arial" w:hAnsi="Arial"/>
                <w:sz w:val="16"/>
                <w:szCs w:val="16"/>
                <w:color w:val="auto"/>
              </w:rPr>
              <w:t>Revenue from contracts with</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customers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w:t>
            </w: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4"/>
        </w:trPr>
        <w:tc>
          <w:tcPr>
            <w:tcW w:w="2760" w:type="dxa"/>
            <w:vAlign w:val="bottom"/>
          </w:tcPr>
          <w:p>
            <w:pPr>
              <w:ind w:left="200"/>
              <w:spacing w:after="0"/>
              <w:rPr>
                <w:sz w:val="20"/>
                <w:szCs w:val="20"/>
                <w:color w:val="auto"/>
              </w:rPr>
            </w:pPr>
            <w:r>
              <w:rPr>
                <w:rFonts w:ascii="Arial" w:cs="Arial" w:eastAsia="Arial" w:hAnsi="Arial"/>
                <w:sz w:val="17"/>
                <w:szCs w:val="17"/>
                <w:color w:val="auto"/>
              </w:rPr>
              <w:t>Total Revenues</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3,539</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3,890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2020</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5"/>
                <w:szCs w:val="15"/>
                <w:b w:val="1"/>
                <w:bCs w:val="1"/>
                <w:color w:val="auto"/>
              </w:rPr>
              <w:t>Vacation</w:t>
            </w:r>
          </w:p>
        </w:tc>
        <w:tc>
          <w:tcPr>
            <w:tcW w:w="1440" w:type="dxa"/>
            <w:vAlign w:val="bottom"/>
            <w:gridSpan w:val="3"/>
          </w:tcPr>
          <w:p>
            <w:pPr>
              <w:ind w:left="40"/>
              <w:spacing w:after="0"/>
              <w:rPr>
                <w:sz w:val="20"/>
                <w:szCs w:val="20"/>
                <w:color w:val="auto"/>
              </w:rPr>
            </w:pPr>
            <w:r>
              <w:rPr>
                <w:rFonts w:ascii="Arial" w:cs="Arial" w:eastAsia="Arial" w:hAnsi="Arial"/>
                <w:sz w:val="15"/>
                <w:szCs w:val="15"/>
                <w:b w:val="1"/>
                <w:bCs w:val="1"/>
                <w:color w:val="auto"/>
              </w:rPr>
              <w:t>Exchange &amp; Third-</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5"/>
                <w:szCs w:val="15"/>
                <w:b w:val="1"/>
                <w:bCs w:val="1"/>
                <w:color w:val="auto"/>
              </w:rPr>
              <w:t>Corporate and</w:t>
            </w:r>
          </w:p>
        </w:tc>
        <w:tc>
          <w:tcPr>
            <w:tcW w:w="300" w:type="dxa"/>
            <w:vAlign w:val="bottom"/>
          </w:tcPr>
          <w:p>
            <w:pPr>
              <w:spacing w:after="0"/>
              <w:rPr>
                <w:sz w:val="24"/>
                <w:szCs w:val="24"/>
                <w:color w:val="auto"/>
              </w:rPr>
            </w:pPr>
          </w:p>
        </w:tc>
        <w:tc>
          <w:tcPr>
            <w:tcW w:w="1000" w:type="dxa"/>
            <w:vAlign w:val="bottom"/>
            <w:vMerge w:val="restart"/>
          </w:tcPr>
          <w:p>
            <w:pPr>
              <w:jc w:val="right"/>
              <w:ind w:right="398"/>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Ownership</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Party Management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5"/>
                <w:szCs w:val="15"/>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Sale of vacation ownership products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Ancillary revenues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36"/>
        </w:trPr>
        <w:tc>
          <w:tcPr>
            <w:tcW w:w="2760" w:type="dxa"/>
            <w:vAlign w:val="bottom"/>
          </w:tcPr>
          <w:p>
            <w:pPr>
              <w:ind w:left="200"/>
              <w:spacing w:after="0"/>
              <w:rPr>
                <w:sz w:val="20"/>
                <w:szCs w:val="20"/>
                <w:color w:val="auto"/>
              </w:rPr>
            </w:pPr>
            <w:r>
              <w:rPr>
                <w:rFonts w:ascii="Arial" w:cs="Arial" w:eastAsia="Arial" w:hAnsi="Arial"/>
                <w:sz w:val="17"/>
                <w:szCs w:val="17"/>
                <w:color w:val="auto"/>
              </w:rPr>
              <w:t>Management fee revenues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86"/>
              </w:rPr>
              <w:t>Exchange and other services revenues</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tcPr>
          <w:p>
            <w:pPr>
              <w:ind w:left="20"/>
              <w:spacing w:after="0"/>
              <w:rPr>
                <w:sz w:val="20"/>
                <w:szCs w:val="20"/>
                <w:color w:val="auto"/>
              </w:rPr>
            </w:pPr>
            <w:r>
              <w:rPr>
                <w:rFonts w:ascii="Arial" w:cs="Arial" w:eastAsia="Arial" w:hAnsi="Arial"/>
                <w:sz w:val="17"/>
                <w:szCs w:val="17"/>
                <w:color w:val="auto"/>
              </w:rPr>
              <w:t>Rental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200"/>
              <w:spacing w:after="0" w:line="142" w:lineRule="exact"/>
              <w:rPr>
                <w:sz w:val="20"/>
                <w:szCs w:val="20"/>
                <w:color w:val="auto"/>
              </w:rPr>
            </w:pPr>
            <w:r>
              <w:rPr>
                <w:rFonts w:ascii="Arial" w:cs="Arial" w:eastAsia="Arial" w:hAnsi="Arial"/>
                <w:sz w:val="16"/>
                <w:szCs w:val="16"/>
                <w:color w:val="auto"/>
              </w:rPr>
              <w:t>Revenue from contracts with</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customers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2,619</w:t>
            </w: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4"/>
        </w:trPr>
        <w:tc>
          <w:tcPr>
            <w:tcW w:w="2760" w:type="dxa"/>
            <w:vAlign w:val="bottom"/>
          </w:tcPr>
          <w:p>
            <w:pPr>
              <w:ind w:left="200"/>
              <w:spacing w:after="0"/>
              <w:rPr>
                <w:sz w:val="20"/>
                <w:szCs w:val="20"/>
                <w:color w:val="auto"/>
              </w:rPr>
            </w:pPr>
            <w:r>
              <w:rPr>
                <w:rFonts w:ascii="Arial" w:cs="Arial" w:eastAsia="Arial" w:hAnsi="Arial"/>
                <w:sz w:val="17"/>
                <w:szCs w:val="17"/>
                <w:color w:val="auto"/>
              </w:rPr>
              <w:t>Total Revenues</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2,530</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Revenue from Contracts with Customers by Segment</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detail the timing of revenue from contracts with customers by segment for each of the last three fiscal years.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285"/>
              <w:spacing w:after="0"/>
              <w:rPr>
                <w:sz w:val="20"/>
                <w:szCs w:val="20"/>
                <w:color w:val="auto"/>
              </w:rPr>
            </w:pPr>
            <w:r>
              <w:rPr>
                <w:rFonts w:ascii="Arial" w:cs="Arial" w:eastAsia="Arial" w:hAnsi="Arial"/>
                <w:sz w:val="15"/>
                <w:szCs w:val="15"/>
                <w:b w:val="1"/>
                <w:bCs w:val="1"/>
                <w:color w:val="auto"/>
              </w:rPr>
              <w:t>2022</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0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Vacation</w:t>
            </w:r>
          </w:p>
        </w:tc>
        <w:tc>
          <w:tcPr>
            <w:tcW w:w="1180" w:type="dxa"/>
            <w:vAlign w:val="bottom"/>
          </w:tcPr>
          <w:p>
            <w:pPr>
              <w:jc w:val="center"/>
              <w:ind w:left="165"/>
              <w:spacing w:after="0" w:line="145" w:lineRule="exact"/>
              <w:rPr>
                <w:sz w:val="20"/>
                <w:szCs w:val="20"/>
                <w:color w:val="auto"/>
              </w:rPr>
            </w:pPr>
            <w:r>
              <w:rPr>
                <w:rFonts w:ascii="Arial" w:cs="Arial" w:eastAsia="Arial" w:hAnsi="Arial"/>
                <w:sz w:val="15"/>
                <w:szCs w:val="15"/>
                <w:b w:val="1"/>
                <w:bCs w:val="1"/>
                <w:color w:val="auto"/>
                <w:w w:val="90"/>
              </w:rPr>
              <w:t>Exchange &amp;</w:t>
            </w:r>
          </w:p>
        </w:tc>
        <w:tc>
          <w:tcPr>
            <w:tcW w:w="17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Corporate and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180" w:type="dxa"/>
            <w:vAlign w:val="bottom"/>
          </w:tcPr>
          <w:p>
            <w:pPr>
              <w:jc w:val="center"/>
              <w:ind w:left="165"/>
              <w:spacing w:after="0" w:line="149" w:lineRule="exact"/>
              <w:rPr>
                <w:sz w:val="20"/>
                <w:szCs w:val="20"/>
                <w:color w:val="auto"/>
              </w:rPr>
            </w:pPr>
            <w:r>
              <w:rPr>
                <w:rFonts w:ascii="Arial" w:cs="Arial" w:eastAsia="Arial" w:hAnsi="Arial"/>
                <w:sz w:val="15"/>
                <w:szCs w:val="15"/>
                <w:b w:val="1"/>
                <w:bCs w:val="1"/>
                <w:color w:val="auto"/>
                <w:w w:val="97"/>
              </w:rPr>
              <w:t>Third-Party</w:t>
            </w:r>
          </w:p>
        </w:tc>
        <w:tc>
          <w:tcPr>
            <w:tcW w:w="1720" w:type="dxa"/>
            <w:vAlign w:val="bottom"/>
            <w:vMerge w:val="continue"/>
          </w:tcPr>
          <w:p>
            <w:pPr>
              <w:spacing w:after="0"/>
              <w:rPr>
                <w:sz w:val="12"/>
                <w:szCs w:val="12"/>
                <w:color w:val="auto"/>
              </w:rPr>
            </w:pPr>
          </w:p>
        </w:tc>
        <w:tc>
          <w:tcPr>
            <w:tcW w:w="112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Arial" w:cs="Arial" w:eastAsia="Arial" w:hAnsi="Arial"/>
                <w:sz w:val="13"/>
                <w:szCs w:val="13"/>
                <w:b w:val="1"/>
                <w:bCs w:val="1"/>
                <w:i w:val="1"/>
                <w:iCs w:val="1"/>
                <w:color w:val="auto"/>
              </w:rPr>
              <w:t>($ in millions)</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1180" w:type="dxa"/>
            <w:vAlign w:val="bottom"/>
          </w:tcPr>
          <w:p>
            <w:pPr>
              <w:jc w:val="center"/>
              <w:ind w:left="185"/>
              <w:spacing w:after="0"/>
              <w:rPr>
                <w:sz w:val="20"/>
                <w:szCs w:val="20"/>
                <w:color w:val="auto"/>
              </w:rPr>
            </w:pPr>
            <w:r>
              <w:rPr>
                <w:rFonts w:ascii="Arial" w:cs="Arial" w:eastAsia="Arial" w:hAnsi="Arial"/>
                <w:sz w:val="15"/>
                <w:szCs w:val="15"/>
                <w:b w:val="1"/>
                <w:bCs w:val="1"/>
                <w:color w:val="auto"/>
                <w:w w:val="91"/>
              </w:rPr>
              <w:t>Management</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w w:val="94"/>
              </w:rPr>
              <w:t>Other</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7"/>
                <w:szCs w:val="17"/>
                <w:color w:val="auto"/>
                <w:w w:val="96"/>
              </w:rPr>
              <w:t>Goods or services transferred at a point 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Arial" w:cs="Arial" w:eastAsia="Arial" w:hAnsi="Arial"/>
                <w:sz w:val="17"/>
                <w:szCs w:val="17"/>
                <w:color w:val="auto"/>
              </w:rPr>
              <w:t>time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w w:val="95"/>
              </w:rPr>
              <w:t>Revenue from contracts with customers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3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89"/>
              </w:rPr>
              <w:t>Vacation</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90"/>
              </w:rPr>
              <w:t>Exchange &amp;</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Corporate and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5"/>
                <w:szCs w:val="15"/>
                <w:b w:val="1"/>
                <w:bCs w:val="1"/>
                <w:color w:val="auto"/>
                <w:w w:val="97"/>
              </w:rPr>
              <w:t>Third-Party</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Ownership</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Management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Other</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174"/>
        </w:trPr>
        <w:tc>
          <w:tcPr>
            <w:tcW w:w="3080" w:type="dxa"/>
            <w:vAlign w:val="bottom"/>
          </w:tcPr>
          <w:p>
            <w:pPr>
              <w:ind w:left="20"/>
              <w:spacing w:after="0" w:line="174" w:lineRule="exact"/>
              <w:rPr>
                <w:sz w:val="20"/>
                <w:szCs w:val="20"/>
                <w:color w:val="auto"/>
              </w:rPr>
            </w:pPr>
            <w:r>
              <w:rPr>
                <w:rFonts w:ascii="Arial" w:cs="Arial" w:eastAsia="Arial" w:hAnsi="Arial"/>
                <w:sz w:val="17"/>
                <w:szCs w:val="17"/>
                <w:color w:val="auto"/>
                <w:w w:val="96"/>
              </w:rPr>
              <w:t>Goods or services transferred at a point in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080" w:type="dxa"/>
            <w:vAlign w:val="bottom"/>
          </w:tcPr>
          <w:p>
            <w:pPr>
              <w:ind w:left="20"/>
              <w:spacing w:after="0"/>
              <w:rPr>
                <w:sz w:val="20"/>
                <w:szCs w:val="20"/>
                <w:color w:val="auto"/>
              </w:rPr>
            </w:pPr>
            <w:r>
              <w:rPr>
                <w:rFonts w:ascii="Arial" w:cs="Arial" w:eastAsia="Arial" w:hAnsi="Arial"/>
                <w:sz w:val="17"/>
                <w:szCs w:val="17"/>
                <w:color w:val="auto"/>
              </w:rPr>
              <w:t>time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w w:val="95"/>
              </w:rPr>
              <w:t>Revenue from contracts with customers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3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89"/>
              </w:rPr>
              <w:t>Vacation</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90"/>
              </w:rPr>
              <w:t>Exchange &amp;</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Corporate and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5"/>
                <w:szCs w:val="15"/>
                <w:b w:val="1"/>
                <w:bCs w:val="1"/>
                <w:color w:val="auto"/>
                <w:w w:val="97"/>
              </w:rPr>
              <w:t>Third-Party</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Ownership</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Management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Other</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7"/>
                <w:szCs w:val="17"/>
                <w:color w:val="auto"/>
                <w:w w:val="96"/>
              </w:rPr>
              <w:t>Goods or services transferred at a point 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Arial" w:cs="Arial" w:eastAsia="Arial" w:hAnsi="Arial"/>
                <w:sz w:val="17"/>
                <w:szCs w:val="17"/>
                <w:color w:val="auto"/>
              </w:rPr>
              <w:t>time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w w:val="95"/>
              </w:rPr>
              <w:t>Revenue from contracts with customers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1098" w:right="1440"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i w:val="1"/>
          <w:iCs w:val="1"/>
          <w:color w:val="auto"/>
        </w:rPr>
        <w:t>Receivables from Contracts with Customers, Contract Assets, &amp; Contract Liabilities</w:t>
      </w:r>
    </w:p>
    <w:p>
      <w:pPr>
        <w:spacing w:after="0" w:line="103"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The following table shows the composition of our receivables from contracts with customers and contract liabilities. We had no contract assets at either December 31, 2022 or December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Pr>
          <w:p>
            <w:pPr>
              <w:spacing w:after="0"/>
              <w:rPr>
                <w:sz w:val="17"/>
                <w:szCs w:val="17"/>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b w:val="1"/>
                <w:bCs w:val="1"/>
                <w:color w:val="auto"/>
              </w:rPr>
              <w:t>At December 31, 2022</w:t>
            </w:r>
          </w:p>
        </w:tc>
        <w:tc>
          <w:tcPr>
            <w:tcW w:w="140" w:type="dxa"/>
            <w:vAlign w:val="bottom"/>
          </w:tcPr>
          <w:p>
            <w:pPr>
              <w:spacing w:after="0"/>
              <w:rPr>
                <w:sz w:val="17"/>
                <w:szCs w:val="17"/>
                <w:color w:val="auto"/>
              </w:rPr>
            </w:pPr>
          </w:p>
        </w:tc>
        <w:tc>
          <w:tcPr>
            <w:tcW w:w="1580" w:type="dxa"/>
            <w:vAlign w:val="bottom"/>
          </w:tcPr>
          <w:p>
            <w:pPr>
              <w:jc w:val="right"/>
              <w:ind w:right="78"/>
              <w:spacing w:after="0"/>
              <w:rPr>
                <w:sz w:val="20"/>
                <w:szCs w:val="20"/>
                <w:color w:val="auto"/>
              </w:rPr>
            </w:pPr>
            <w:r>
              <w:rPr>
                <w:rFonts w:ascii="Arial" w:cs="Arial" w:eastAsia="Arial" w:hAnsi="Arial"/>
                <w:sz w:val="15"/>
                <w:szCs w:val="15"/>
                <w:b w:val="1"/>
                <w:bCs w:val="1"/>
                <w:color w:val="auto"/>
                <w:w w:val="90"/>
              </w:rPr>
              <w:t>At December 31, 2021</w:t>
            </w:r>
          </w:p>
        </w:tc>
      </w:tr>
      <w:tr>
        <w:trPr>
          <w:trHeight w:val="19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Receivables</w:t>
            </w: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6"/>
        </w:trPr>
        <w:tc>
          <w:tcPr>
            <w:tcW w:w="4800" w:type="dxa"/>
            <w:vAlign w:val="bottom"/>
          </w:tcPr>
          <w:p>
            <w:pPr>
              <w:ind w:left="200"/>
              <w:spacing w:after="0"/>
              <w:rPr>
                <w:sz w:val="20"/>
                <w:szCs w:val="20"/>
                <w:color w:val="auto"/>
              </w:rPr>
            </w:pPr>
            <w:r>
              <w:rPr>
                <w:rFonts w:ascii="Arial" w:cs="Arial" w:eastAsia="Arial" w:hAnsi="Arial"/>
                <w:sz w:val="17"/>
                <w:szCs w:val="17"/>
                <w:color w:val="auto"/>
              </w:rPr>
              <w:t>Accounts and contracts receivable, net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36"/>
        </w:trPr>
        <w:tc>
          <w:tcPr>
            <w:tcW w:w="4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Vacation ownership notes receivable, net</w:t>
            </w: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2,045</w:t>
            </w:r>
          </w:p>
        </w:tc>
      </w:tr>
      <w:tr>
        <w:trPr>
          <w:trHeight w:val="204"/>
        </w:trPr>
        <w:tc>
          <w:tcPr>
            <w:tcW w:w="48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1"/>
        </w:trPr>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6"/>
        </w:trPr>
        <w:tc>
          <w:tcPr>
            <w:tcW w:w="4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Advance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36"/>
        </w:trPr>
        <w:tc>
          <w:tcPr>
            <w:tcW w:w="48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Deferred revenue</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r>
      <w:tr>
        <w:trPr>
          <w:trHeight w:val="229"/>
        </w:trPr>
        <w:tc>
          <w:tcPr>
            <w:tcW w:w="4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900"/>
        <w:spacing w:after="0" w:line="397" w:lineRule="auto"/>
        <w:rPr>
          <w:sz w:val="20"/>
          <w:szCs w:val="20"/>
          <w:color w:val="auto"/>
        </w:rPr>
      </w:pPr>
      <w:r>
        <w:rPr>
          <w:rFonts w:ascii="Arial" w:cs="Arial" w:eastAsia="Arial" w:hAnsi="Arial"/>
          <w:sz w:val="17"/>
          <w:szCs w:val="17"/>
          <w:color w:val="auto"/>
        </w:rPr>
        <w:t xml:space="preserve">Revenue recognized during the year ended December 31, 2022 that was included in our contract liabilities balance at December 31, 2021 was $423 million. </w:t>
      </w:r>
      <w:r>
        <w:rPr>
          <w:rFonts w:ascii="Arial" w:cs="Arial" w:eastAsia="Arial" w:hAnsi="Arial"/>
          <w:sz w:val="17"/>
          <w:szCs w:val="17"/>
          <w:b w:val="1"/>
          <w:bCs w:val="1"/>
          <w:i w:val="1"/>
          <w:iCs w:val="1"/>
          <w:color w:val="auto"/>
        </w:rPr>
        <w:t>Remaining Performance Obligations</w:t>
      </w:r>
    </w:p>
    <w:p>
      <w:pPr>
        <w:ind w:right="100"/>
        <w:spacing w:after="0" w:line="331" w:lineRule="auto"/>
        <w:rPr>
          <w:sz w:val="20"/>
          <w:szCs w:val="20"/>
          <w:color w:val="auto"/>
        </w:rPr>
      </w:pPr>
      <w:r>
        <w:rPr>
          <w:rFonts w:ascii="Arial" w:cs="Arial" w:eastAsia="Arial" w:hAnsi="Arial"/>
          <w:sz w:val="15"/>
          <w:szCs w:val="15"/>
          <w:color w:val="auto"/>
        </w:rPr>
        <w:t>Our remaining performance obligations represent the expected transaction price allocated to our contracts that we expect to recognize as revenue in future periods when we perform under the contracts. At December 31, 2022, approximately 92% of this amount is expected to be recognized as revenue over the next two years.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and Contracts Receivable</w:t>
      </w:r>
    </w:p>
    <w:p>
      <w:pPr>
        <w:spacing w:after="0" w:line="103"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Pr>
          <w:p>
            <w:pPr>
              <w:spacing w:after="0"/>
              <w:rPr>
                <w:sz w:val="17"/>
                <w:szCs w:val="17"/>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b w:val="1"/>
                <w:bCs w:val="1"/>
                <w:color w:val="auto"/>
              </w:rPr>
              <w:t>At December 31, 2022</w:t>
            </w:r>
          </w:p>
        </w:tc>
        <w:tc>
          <w:tcPr>
            <w:tcW w:w="140" w:type="dxa"/>
            <w:vAlign w:val="bottom"/>
          </w:tcPr>
          <w:p>
            <w:pPr>
              <w:spacing w:after="0"/>
              <w:rPr>
                <w:sz w:val="17"/>
                <w:szCs w:val="17"/>
                <w:color w:val="auto"/>
              </w:rPr>
            </w:pPr>
          </w:p>
        </w:tc>
        <w:tc>
          <w:tcPr>
            <w:tcW w:w="1580" w:type="dxa"/>
            <w:vAlign w:val="bottom"/>
          </w:tcPr>
          <w:p>
            <w:pPr>
              <w:jc w:val="right"/>
              <w:ind w:right="78"/>
              <w:spacing w:after="0"/>
              <w:rPr>
                <w:sz w:val="20"/>
                <w:szCs w:val="20"/>
                <w:color w:val="auto"/>
              </w:rPr>
            </w:pPr>
            <w:r>
              <w:rPr>
                <w:rFonts w:ascii="Arial" w:cs="Arial" w:eastAsia="Arial" w:hAnsi="Arial"/>
                <w:sz w:val="15"/>
                <w:szCs w:val="15"/>
                <w:b w:val="1"/>
                <w:bCs w:val="1"/>
                <w:color w:val="auto"/>
                <w:w w:val="90"/>
              </w:rPr>
              <w:t>At December 31, 2021</w:t>
            </w:r>
          </w:p>
        </w:tc>
      </w:tr>
      <w:tr>
        <w:trPr>
          <w:trHeight w:val="21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Receivables from contracts with customers,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36"/>
        </w:trPr>
        <w:tc>
          <w:tcPr>
            <w:tcW w:w="480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receivable</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36"/>
        </w:trPr>
        <w:tc>
          <w:tcPr>
            <w:tcW w:w="4800" w:type="dxa"/>
            <w:vAlign w:val="bottom"/>
          </w:tcPr>
          <w:p>
            <w:pPr>
              <w:ind w:left="20"/>
              <w:spacing w:after="0"/>
              <w:rPr>
                <w:sz w:val="20"/>
                <w:szCs w:val="20"/>
                <w:color w:val="auto"/>
              </w:rPr>
            </w:pPr>
            <w:r>
              <w:rPr>
                <w:rFonts w:ascii="Arial" w:cs="Arial" w:eastAsia="Arial" w:hAnsi="Arial"/>
                <w:sz w:val="17"/>
                <w:szCs w:val="17"/>
                <w:color w:val="auto"/>
              </w:rPr>
              <w:t>Indemnification assets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tax credit receivable</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29"/>
        </w:trPr>
        <w:tc>
          <w:tcPr>
            <w:tcW w:w="4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Income (loss) before income taxes and noncontrolling interests for the last three fiscal years: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2020</w:t>
            </w:r>
          </w:p>
        </w:tc>
        <w:tc>
          <w:tcPr>
            <w:tcW w:w="2880" w:type="dxa"/>
            <w:vAlign w:val="bottom"/>
          </w:tcPr>
          <w:p>
            <w:pPr>
              <w:spacing w:after="0"/>
              <w:rPr>
                <w:sz w:val="17"/>
                <w:szCs w:val="17"/>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2880" w:type="dxa"/>
            <w:vAlign w:val="bottom"/>
          </w:tcPr>
          <w:p>
            <w:pPr>
              <w:spacing w:after="0"/>
              <w:rPr>
                <w:sz w:val="19"/>
                <w:szCs w:val="19"/>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Non-U.S. jurisdictions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99"/>
              </w:rPr>
              <w:t>(25)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2880" w:type="dxa"/>
            <w:vAlign w:val="bottom"/>
          </w:tcPr>
          <w:p>
            <w:pPr>
              <w:spacing w:after="0"/>
              <w:rPr>
                <w:sz w:val="20"/>
                <w:szCs w:val="20"/>
                <w:color w:val="auto"/>
              </w:rPr>
            </w:pPr>
          </w:p>
        </w:tc>
      </w:tr>
      <w:tr>
        <w:trPr>
          <w:trHeight w:val="229"/>
        </w:trPr>
        <w:tc>
          <w:tcPr>
            <w:tcW w:w="4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880" w:type="dxa"/>
            <w:vAlign w:val="bottom"/>
          </w:tcPr>
          <w:p>
            <w:pPr>
              <w:spacing w:after="0"/>
              <w:rPr>
                <w:sz w:val="19"/>
                <w:szCs w:val="19"/>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953"/>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04"/>
        </w:trPr>
        <w:tc>
          <w:tcPr>
            <w:tcW w:w="47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Our (provision for) benefit from income taxes for the last three years consisted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2020</w:t>
            </w:r>
          </w:p>
        </w:tc>
      </w:tr>
      <w:tr>
        <w:trPr>
          <w:trHeight w:val="219"/>
        </w:trPr>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4040" w:type="dxa"/>
            <w:vAlign w:val="bottom"/>
            <w:shd w:val="clear" w:color="auto" w:fill="CCEEFF"/>
          </w:tcPr>
          <w:p>
            <w:pPr>
              <w:ind w:left="80"/>
              <w:spacing w:after="0"/>
              <w:rPr>
                <w:sz w:val="20"/>
                <w:szCs w:val="20"/>
                <w:color w:val="auto"/>
              </w:rPr>
            </w:pPr>
            <w:r>
              <w:rPr>
                <w:rFonts w:ascii="Arial" w:cs="Arial" w:eastAsia="Arial" w:hAnsi="Arial"/>
                <w:sz w:val="17"/>
                <w:szCs w:val="17"/>
                <w:color w:val="auto"/>
              </w:rPr>
              <w:t>– U.S. Federal</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36"/>
        </w:trPr>
        <w:tc>
          <w:tcPr>
            <w:tcW w:w="680" w:type="dxa"/>
            <w:vAlign w:val="bottom"/>
          </w:tcPr>
          <w:p>
            <w:pPr>
              <w:spacing w:after="0"/>
              <w:rPr>
                <w:sz w:val="20"/>
                <w:szCs w:val="20"/>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 U.S. State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6"/>
        </w:trPr>
        <w:tc>
          <w:tcPr>
            <w:tcW w:w="680" w:type="dxa"/>
            <w:vAlign w:val="bottom"/>
            <w:shd w:val="clear" w:color="auto" w:fill="CCEEFF"/>
          </w:tcPr>
          <w:p>
            <w:pPr>
              <w:spacing w:after="0"/>
              <w:rPr>
                <w:sz w:val="20"/>
                <w:szCs w:val="20"/>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7"/>
                <w:szCs w:val="17"/>
                <w:color w:val="auto"/>
              </w:rPr>
              <w:t>– Non-U.S.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6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6"/>
        </w:trPr>
        <w:tc>
          <w:tcPr>
            <w:tcW w:w="68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6"/>
        </w:trPr>
        <w:tc>
          <w:tcPr>
            <w:tcW w:w="680" w:type="dxa"/>
            <w:vAlign w:val="bottom"/>
          </w:tcPr>
          <w:p>
            <w:pPr>
              <w:ind w:left="20"/>
              <w:spacing w:after="0"/>
              <w:rPr>
                <w:sz w:val="20"/>
                <w:szCs w:val="20"/>
                <w:color w:val="auto"/>
              </w:rPr>
            </w:pPr>
            <w:r>
              <w:rPr>
                <w:rFonts w:ascii="Arial" w:cs="Arial" w:eastAsia="Arial" w:hAnsi="Arial"/>
                <w:sz w:val="17"/>
                <w:szCs w:val="17"/>
                <w:color w:val="auto"/>
                <w:w w:val="96"/>
              </w:rPr>
              <w:t>Deferred</w:t>
            </w:r>
          </w:p>
        </w:tc>
        <w:tc>
          <w:tcPr>
            <w:tcW w:w="4040" w:type="dxa"/>
            <w:vAlign w:val="bottom"/>
          </w:tcPr>
          <w:p>
            <w:pPr>
              <w:ind w:left="80"/>
              <w:spacing w:after="0"/>
              <w:rPr>
                <w:sz w:val="20"/>
                <w:szCs w:val="20"/>
                <w:color w:val="auto"/>
              </w:rPr>
            </w:pPr>
            <w:r>
              <w:rPr>
                <w:rFonts w:ascii="Arial" w:cs="Arial" w:eastAsia="Arial" w:hAnsi="Arial"/>
                <w:sz w:val="17"/>
                <w:szCs w:val="17"/>
                <w:color w:val="auto"/>
              </w:rPr>
              <w:t>– U.S. Federal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36"/>
        </w:trPr>
        <w:tc>
          <w:tcPr>
            <w:tcW w:w="680" w:type="dxa"/>
            <w:vAlign w:val="bottom"/>
            <w:shd w:val="clear" w:color="auto" w:fill="CCEEFF"/>
          </w:tcPr>
          <w:p>
            <w:pPr>
              <w:spacing w:after="0"/>
              <w:rPr>
                <w:sz w:val="20"/>
                <w:szCs w:val="20"/>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7"/>
                <w:szCs w:val="17"/>
                <w:color w:val="auto"/>
              </w:rPr>
              <w:t>– U.S. State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680" w:type="dxa"/>
            <w:vAlign w:val="bottom"/>
            <w:tcBorders>
              <w:bottom w:val="single" w:sz="8" w:color="CCEEFF"/>
            </w:tcBorders>
          </w:tcPr>
          <w:p>
            <w:pPr>
              <w:spacing w:after="0"/>
              <w:rPr>
                <w:sz w:val="20"/>
                <w:szCs w:val="20"/>
                <w:color w:val="auto"/>
              </w:rPr>
            </w:pPr>
          </w:p>
        </w:tc>
        <w:tc>
          <w:tcPr>
            <w:tcW w:w="40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 Non-U.S.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6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04"/>
        </w:trPr>
        <w:tc>
          <w:tcPr>
            <w:tcW w:w="6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U.S. Federal Statutory Income Tax Rate to Actual Income Tax Rate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U.S. statutory income tax rate to our effective income tax rate: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statutory income tax rate</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21.0%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21.0%</w:t>
            </w:r>
          </w:p>
        </w:tc>
      </w:tr>
      <w:tr>
        <w:trPr>
          <w:trHeight w:val="236"/>
        </w:trPr>
        <w:tc>
          <w:tcPr>
            <w:tcW w:w="4800" w:type="dxa"/>
            <w:vAlign w:val="bottom"/>
          </w:tcPr>
          <w:p>
            <w:pPr>
              <w:ind w:left="20"/>
              <w:spacing w:after="0"/>
              <w:rPr>
                <w:sz w:val="20"/>
                <w:szCs w:val="20"/>
                <w:color w:val="auto"/>
              </w:rPr>
            </w:pPr>
            <w:r>
              <w:rPr>
                <w:rFonts w:ascii="Arial" w:cs="Arial" w:eastAsia="Arial" w:hAnsi="Arial"/>
                <w:sz w:val="17"/>
                <w:szCs w:val="17"/>
                <w:color w:val="auto"/>
              </w:rPr>
              <w:t>U.S. state income taxes, net of U.S. federal tax benefit</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5.0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4.5</w:t>
            </w: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net of Section 162(m) limitation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(0.2)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1.9</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0.2</w:t>
            </w:r>
          </w:p>
        </w:tc>
      </w:tr>
      <w:tr>
        <w:trPr>
          <w:trHeight w:val="236"/>
        </w:trPr>
        <w:tc>
          <w:tcPr>
            <w:tcW w:w="4800" w:type="dxa"/>
            <w:vAlign w:val="bottom"/>
          </w:tcPr>
          <w:p>
            <w:pPr>
              <w:ind w:left="20"/>
              <w:spacing w:after="0"/>
              <w:rPr>
                <w:sz w:val="20"/>
                <w:szCs w:val="20"/>
                <w:color w:val="auto"/>
              </w:rPr>
            </w:pPr>
            <w:r>
              <w:rPr>
                <w:rFonts w:ascii="Arial" w:cs="Arial" w:eastAsia="Arial" w:hAnsi="Arial"/>
                <w:sz w:val="17"/>
                <w:szCs w:val="17"/>
                <w:color w:val="auto"/>
              </w:rPr>
              <w:t>Other permanent differences</w:t>
            </w:r>
            <w:r>
              <w:rPr>
                <w:rFonts w:ascii="Arial" w:cs="Arial" w:eastAsia="Arial" w:hAnsi="Arial"/>
                <w:sz w:val="8"/>
                <w:szCs w:val="8"/>
                <w:color w:val="auto"/>
              </w:rPr>
              <w:t>(1)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(5.5)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(9.1)</w:t>
            </w: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related to the CARES Act of 2020</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6.0</w:t>
            </w:r>
          </w:p>
        </w:tc>
      </w:tr>
      <w:tr>
        <w:trPr>
          <w:trHeight w:val="236"/>
        </w:trPr>
        <w:tc>
          <w:tcPr>
            <w:tcW w:w="4800" w:type="dxa"/>
            <w:vAlign w:val="bottom"/>
          </w:tcPr>
          <w:p>
            <w:pPr>
              <w:ind w:left="20"/>
              <w:spacing w:after="0"/>
              <w:rPr>
                <w:sz w:val="20"/>
                <w:szCs w:val="20"/>
                <w:color w:val="auto"/>
              </w:rPr>
            </w:pPr>
            <w:r>
              <w:rPr>
                <w:rFonts w:ascii="Arial" w:cs="Arial" w:eastAsia="Arial" w:hAnsi="Arial"/>
                <w:sz w:val="17"/>
                <w:szCs w:val="17"/>
                <w:color w:val="auto"/>
              </w:rPr>
              <w:t>Tax rate changes</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2.8</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(3.8)</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0.4</w:t>
            </w: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Non-U.S. income (loss)</w:t>
            </w:r>
            <w:r>
              <w:rPr>
                <w:rFonts w:ascii="Arial" w:cs="Arial" w:eastAsia="Arial" w:hAnsi="Arial"/>
                <w:sz w:val="8"/>
                <w:szCs w:val="8"/>
                <w:color w:val="auto"/>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12.9</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4.2</w:t>
            </w:r>
          </w:p>
        </w:tc>
      </w:tr>
      <w:tr>
        <w:trPr>
          <w:trHeight w:val="236"/>
        </w:trPr>
        <w:tc>
          <w:tcPr>
            <w:tcW w:w="4800" w:type="dxa"/>
            <w:vAlign w:val="bottom"/>
          </w:tcPr>
          <w:p>
            <w:pPr>
              <w:ind w:left="20"/>
              <w:spacing w:after="0"/>
              <w:rPr>
                <w:sz w:val="20"/>
                <w:szCs w:val="20"/>
                <w:color w:val="auto"/>
              </w:rPr>
            </w:pPr>
            <w:r>
              <w:rPr>
                <w:rFonts w:ascii="Arial" w:cs="Arial" w:eastAsia="Arial" w:hAnsi="Arial"/>
                <w:sz w:val="17"/>
                <w:szCs w:val="17"/>
                <w:color w:val="auto"/>
              </w:rPr>
              <w:t>Tax credits</w:t>
            </w: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(0.2)</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(0.9)</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0.2</w:t>
            </w: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(2.7)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17.9</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5.2</w:t>
            </w:r>
          </w:p>
        </w:tc>
      </w:tr>
      <w:tr>
        <w:trPr>
          <w:trHeight w:val="236"/>
        </w:trPr>
        <w:tc>
          <w:tcPr>
            <w:tcW w:w="4800" w:type="dxa"/>
            <w:vAlign w:val="bottom"/>
          </w:tcPr>
          <w:p>
            <w:pPr>
              <w:ind w:left="20"/>
              <w:spacing w:after="0"/>
              <w:rPr>
                <w:sz w:val="20"/>
                <w:szCs w:val="20"/>
                <w:color w:val="auto"/>
              </w:rPr>
            </w:pPr>
            <w:r>
              <w:rPr>
                <w:rFonts w:ascii="Arial" w:cs="Arial" w:eastAsia="Arial" w:hAnsi="Arial"/>
                <w:sz w:val="17"/>
                <w:szCs w:val="17"/>
                <w:color w:val="auto"/>
              </w:rPr>
              <w:t>Change in valuation allowance</w:t>
            </w:r>
            <w:r>
              <w:rPr>
                <w:rFonts w:ascii="Arial" w:cs="Arial" w:eastAsia="Arial" w:hAnsi="Arial"/>
                <w:sz w:val="8"/>
                <w:szCs w:val="8"/>
                <w:color w:val="auto"/>
              </w:rPr>
              <w:t>(3)</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1.0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4"/>
              </w:rPr>
              <w:t>10.4</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(7.5)</w:t>
            </w: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items</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0.2</w:t>
            </w:r>
          </w:p>
        </w:tc>
        <w:tc>
          <w:tcPr>
            <w:tcW w:w="10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0.2</w:t>
            </w:r>
          </w:p>
        </w:tc>
        <w:tc>
          <w:tcPr>
            <w:tcW w:w="12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(0.5)</w:t>
            </w:r>
          </w:p>
        </w:tc>
      </w:tr>
      <w:tr>
        <w:trPr>
          <w:trHeight w:val="204"/>
        </w:trPr>
        <w:tc>
          <w:tcPr>
            <w:tcW w:w="4800" w:type="dxa"/>
            <w:vAlign w:val="bottom"/>
          </w:tcPr>
          <w:p>
            <w:pPr>
              <w:ind w:left="200"/>
              <w:spacing w:after="0"/>
              <w:rPr>
                <w:sz w:val="20"/>
                <w:szCs w:val="20"/>
                <w:color w:val="auto"/>
              </w:rPr>
            </w:pPr>
            <w:r>
              <w:rPr>
                <w:rFonts w:ascii="Arial" w:cs="Arial" w:eastAsia="Arial" w:hAnsi="Arial"/>
                <w:sz w:val="17"/>
                <w:szCs w:val="17"/>
                <w:color w:val="auto"/>
              </w:rPr>
              <w:t>Effective rate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32.9%</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58.4%</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24.6%</w:t>
            </w:r>
          </w:p>
        </w:tc>
      </w:tr>
      <w:tr>
        <w:trPr>
          <w:trHeight w:val="20"/>
        </w:trPr>
        <w:tc>
          <w:tcPr>
            <w:tcW w:w="4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hanging="300"/>
        <w:spacing w:after="0" w:line="219" w:lineRule="auto"/>
        <w:tabs>
          <w:tab w:leader="none" w:pos="289"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The 2022 impact is primarily due to non-deductible interest. The 2021 impact is primarily due to the deduction of foreign taxes paid in the U.S. The 2020 impact is primarily attributable to non-deductible goodwill impairment recorded due to the impact of COVID-19.</w:t>
      </w:r>
    </w:p>
    <w:p>
      <w:pPr>
        <w:spacing w:after="0" w:line="38" w:lineRule="exact"/>
        <w:rPr>
          <w:rFonts w:ascii="Arial" w:cs="Arial" w:eastAsia="Arial" w:hAnsi="Arial"/>
          <w:sz w:val="22"/>
          <w:szCs w:val="22"/>
          <w:color w:val="auto"/>
          <w:vertAlign w:val="superscript"/>
        </w:rPr>
      </w:pPr>
    </w:p>
    <w:p>
      <w:pPr>
        <w:ind w:left="300" w:right="480" w:hanging="300"/>
        <w:spacing w:after="0" w:line="227" w:lineRule="auto"/>
        <w:tabs>
          <w:tab w:leader="none" w:pos="289"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The 2022 impact is primarily due to adjustments to deferred tax liability balances in foreign jurisdictions. The 2021 impact is primarily due to increases in permanent differences in foreign jurisdictions. The 2020 impact is attributable to the difference between U.S. and foreign income tax rates and other foreign adjustments.</w:t>
      </w:r>
    </w:p>
    <w:p>
      <w:pPr>
        <w:spacing w:after="0" w:line="38" w:lineRule="exact"/>
        <w:rPr>
          <w:rFonts w:ascii="Arial" w:cs="Arial" w:eastAsia="Arial" w:hAnsi="Arial"/>
          <w:sz w:val="22"/>
          <w:szCs w:val="22"/>
          <w:color w:val="auto"/>
          <w:vertAlign w:val="superscript"/>
        </w:rPr>
      </w:pPr>
    </w:p>
    <w:p>
      <w:pPr>
        <w:ind w:left="300" w:right="640" w:hanging="300"/>
        <w:spacing w:after="0" w:line="238" w:lineRule="auto"/>
        <w:tabs>
          <w:tab w:leader="none" w:pos="289"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The 2022 impact is primarily due to the increase of the valuation allowance on certain foreign entities. The 2021 impact is primarily due to new valuation allowances. The 2020 impact is primarily attributable to the increase of the valuation allowance on certain foreign entities.</w:t>
      </w:r>
    </w:p>
    <w:p>
      <w:pPr>
        <w:spacing w:after="0" w:line="13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For the years ended December 31, 2022, 2021 and 2020, the provision for income taxes included $3 million, $4 million, and $4 million of excess tax benefits resulting from equity incentive plan activities,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We conduct business in countries that grant “holidays” from income taxes for ten to thirty-year periods. These holidays expire through 2034.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20"/>
          </w:cols>
          <w:pgMar w:left="320" w:top="1172" w:right="4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i w:val="1"/>
          <w:iCs w:val="1"/>
          <w:color w:val="auto"/>
        </w:rPr>
        <w:t>Other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During 2022, we completed the purchase accounting and established certain non-income tax reserves for the Welk Acquisition.</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of December 31, 2022, the balance of the reserve for non-income tax issues related to the ILG Acquisition and the Welk Acquisition was $47 million. We expect that we will be indemnified for liabilities of $3 million in connection with the Legacy-ILG non-income tax matters pursuant to a Tax Matters Agreement dated May 11, 2016 by and among Starwood Hotels &amp; Resorts Worldwide, Inc., Vistana Signature Experiences, Inc., and Interval Leisure Group, Inc., and consequently have recorded a corresponding indemnification asset.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Income Taxes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significant components of our deferred tax assets and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b w:val="1"/>
                <w:bCs w:val="1"/>
                <w:color w:val="auto"/>
              </w:rPr>
              <w:t>At Year-End 2022</w:t>
            </w:r>
          </w:p>
        </w:tc>
        <w:tc>
          <w:tcPr>
            <w:tcW w:w="120" w:type="dxa"/>
            <w:vAlign w:val="bottom"/>
          </w:tcPr>
          <w:p>
            <w:pPr>
              <w:spacing w:after="0"/>
              <w:rPr>
                <w:sz w:val="18"/>
                <w:szCs w:val="18"/>
                <w:color w:val="auto"/>
              </w:rPr>
            </w:pPr>
          </w:p>
        </w:tc>
        <w:tc>
          <w:tcPr>
            <w:tcW w:w="1420" w:type="dxa"/>
            <w:vAlign w:val="bottom"/>
          </w:tcPr>
          <w:p>
            <w:pPr>
              <w:jc w:val="right"/>
              <w:ind w:right="57"/>
              <w:spacing w:after="0"/>
              <w:rPr>
                <w:sz w:val="20"/>
                <w:szCs w:val="20"/>
                <w:color w:val="auto"/>
              </w:rPr>
            </w:pPr>
            <w:r>
              <w:rPr>
                <w:rFonts w:ascii="Arial" w:cs="Arial" w:eastAsia="Arial" w:hAnsi="Arial"/>
                <w:sz w:val="15"/>
                <w:szCs w:val="15"/>
                <w:b w:val="1"/>
                <w:bCs w:val="1"/>
                <w:color w:val="auto"/>
                <w:w w:val="90"/>
              </w:rPr>
              <w:t>At Year-End 2021</w:t>
            </w:r>
            <w:r>
              <w:rPr>
                <w:rFonts w:ascii="Arial" w:cs="Arial" w:eastAsia="Arial" w:hAnsi="Arial"/>
                <w:sz w:val="19"/>
                <w:szCs w:val="19"/>
                <w:b w:val="1"/>
                <w:bCs w:val="1"/>
                <w:color w:val="auto"/>
                <w:w w:val="90"/>
                <w:vertAlign w:val="superscript"/>
              </w:rPr>
              <w:t>(1)</w:t>
            </w: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Arial" w:cs="Arial" w:eastAsia="Arial" w:hAnsi="Arial"/>
                <w:sz w:val="17"/>
                <w:szCs w:val="17"/>
                <w:color w:val="auto"/>
              </w:rPr>
              <w:t>Inventory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Reserves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Arial" w:cs="Arial" w:eastAsia="Arial" w:hAnsi="Arial"/>
                <w:sz w:val="17"/>
                <w:szCs w:val="17"/>
                <w:color w:val="auto"/>
              </w:rPr>
              <w:t>Convertible debt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compensation</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Arial" w:cs="Arial" w:eastAsia="Arial" w:hAnsi="Arial"/>
                <w:sz w:val="17"/>
                <w:szCs w:val="17"/>
                <w:color w:val="auto"/>
              </w:rPr>
              <w:t>Non-cash compensation</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operating loss and capital loss carryforwards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Arial" w:cs="Arial" w:eastAsia="Arial" w:hAnsi="Arial"/>
                <w:sz w:val="17"/>
                <w:szCs w:val="17"/>
                <w:color w:val="auto"/>
              </w:rPr>
              <w:t>Tax credits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Right-of-use asset</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net</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Less valuation allowance</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Arial" w:cs="Arial" w:eastAsia="Arial" w:hAnsi="Arial"/>
                <w:sz w:val="17"/>
                <w:szCs w:val="17"/>
                <w:color w:val="auto"/>
              </w:rPr>
              <w:t>Long lived intangible assets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sales of VOIs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Arial" w:cs="Arial" w:eastAsia="Arial" w:hAnsi="Arial"/>
                <w:sz w:val="17"/>
                <w:szCs w:val="17"/>
                <w:color w:val="auto"/>
              </w:rPr>
              <w:t>Right-of-use liability</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Convertible debt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net</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tax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80" w:hanging="280"/>
        <w:spacing w:after="0" w:line="236" w:lineRule="auto"/>
        <w:tabs>
          <w:tab w:leader="none" w:pos="28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Certain prior year deferred tax assets and liabilities have been reclassified to align with the current year presentation.</w:t>
      </w:r>
    </w:p>
    <w:p>
      <w:pPr>
        <w:spacing w:after="0" w:line="13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Valuation allowances are provided when it is considered more likely than not that deferred tax assets will not be realized. In 2022 we established an additional valuation allowance of $11 million.</w:t>
      </w:r>
    </w:p>
    <w:p>
      <w:pPr>
        <w:spacing w:after="0" w:line="68" w:lineRule="exact"/>
        <w:rPr>
          <w:sz w:val="20"/>
          <w:szCs w:val="20"/>
          <w:color w:val="auto"/>
        </w:rPr>
      </w:pPr>
    </w:p>
    <w:p>
      <w:pPr>
        <w:ind w:right="400"/>
        <w:spacing w:after="0" w:line="254" w:lineRule="auto"/>
        <w:rPr>
          <w:sz w:val="20"/>
          <w:szCs w:val="20"/>
          <w:color w:val="auto"/>
        </w:rPr>
      </w:pPr>
      <w:r>
        <w:rPr>
          <w:rFonts w:ascii="Arial" w:cs="Arial" w:eastAsia="Arial" w:hAnsi="Arial"/>
          <w:sz w:val="17"/>
          <w:szCs w:val="17"/>
          <w:color w:val="auto"/>
        </w:rPr>
        <w:t>We have $117 million of foreign net operating loss carryforwards, some of which begin expiring in 2023; however, a significant portion of these have indefinite carryforward periods. We have $14 million of state net operating loss carryforwards, the majority of which will not expire within the next five years. We have U.S. federal foreign tax credit carryforwards of $20 million and $9 million of state tax credit carryforwards.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72" w:right="379" w:bottom="1440" w:gutter="0" w:footer="0" w:header="0"/>
        </w:sectPr>
      </w:pPr>
    </w:p>
    <w:bookmarkStart w:id="100" w:name="page101"/>
    <w:bookmarkEnd w:id="100"/>
    <w:p>
      <w:pPr>
        <w:spacing w:after="0" w:line="271" w:lineRule="auto"/>
        <w:rPr>
          <w:sz w:val="20"/>
          <w:szCs w:val="20"/>
          <w:color w:val="auto"/>
        </w:rPr>
      </w:pPr>
      <w:r>
        <w:rPr>
          <w:rFonts w:ascii="Arial" w:cs="Arial" w:eastAsia="Arial" w:hAnsi="Arial"/>
          <w:sz w:val="16"/>
          <w:szCs w:val="16"/>
          <w:color w:val="auto"/>
        </w:rPr>
        <w:t>As a result of the Tax Cuts and Jobs Act of 2017, distribution of profits from non-U.S. subsidiaries is not expected to cause a significant incremental U.S. tax impact in the future. However, distributions may be subject to non-U.S. withholding taxes if profits are distributed from certain jurisdictions. Our present intention is to indefinitely reinvest residual historic undistributed accumulated earnings associated with certain foreign subsidiaries. We have not provided for deferred taxes on outside basis differences in our investments in these foreign subsidiaries, and such estimates are not practicable to be determined.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(excluding interest and penalties)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2020</w:t>
            </w:r>
          </w:p>
        </w:tc>
      </w:tr>
      <w:tr>
        <w:trPr>
          <w:trHeight w:val="23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at beginning of year</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49"/>
        </w:trPr>
        <w:tc>
          <w:tcPr>
            <w:tcW w:w="4680" w:type="dxa"/>
            <w:vAlign w:val="bottom"/>
          </w:tcPr>
          <w:p>
            <w:pPr>
              <w:ind w:left="200"/>
              <w:spacing w:after="0"/>
              <w:rPr>
                <w:sz w:val="20"/>
                <w:szCs w:val="20"/>
                <w:color w:val="auto"/>
              </w:rPr>
            </w:pPr>
            <w:r>
              <w:rPr>
                <w:rFonts w:ascii="Arial" w:cs="Arial" w:eastAsia="Arial" w:hAnsi="Arial"/>
                <w:sz w:val="17"/>
                <w:szCs w:val="17"/>
                <w:color w:val="auto"/>
                <w:w w:val="98"/>
              </w:rPr>
              <w:t>Increases related to tax positions taken during a prior period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49"/>
        </w:trPr>
        <w:tc>
          <w:tcPr>
            <w:tcW w:w="46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1"/>
              </w:rPr>
              <w:t>Increases related to tax positions taken during the current period</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9"/>
        </w:trPr>
        <w:tc>
          <w:tcPr>
            <w:tcW w:w="4680" w:type="dxa"/>
            <w:vAlign w:val="bottom"/>
          </w:tcPr>
          <w:p>
            <w:pPr>
              <w:ind w:left="200"/>
              <w:spacing w:after="0"/>
              <w:rPr>
                <w:sz w:val="20"/>
                <w:szCs w:val="20"/>
                <w:color w:val="auto"/>
              </w:rPr>
            </w:pPr>
            <w:r>
              <w:rPr>
                <w:rFonts w:ascii="Arial" w:cs="Arial" w:eastAsia="Arial" w:hAnsi="Arial"/>
                <w:sz w:val="17"/>
                <w:szCs w:val="17"/>
                <w:color w:val="auto"/>
              </w:rPr>
              <w:t>Decreases related to settlements with taxing authorities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9"/>
        </w:trPr>
        <w:tc>
          <w:tcPr>
            <w:tcW w:w="46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7"/>
              </w:rPr>
              <w:t>Decreases related to tax positions taken during a prior period</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62"/>
        </w:trPr>
        <w:tc>
          <w:tcPr>
            <w:tcW w:w="4680" w:type="dxa"/>
            <w:vAlign w:val="bottom"/>
          </w:tcPr>
          <w:p>
            <w:pPr>
              <w:ind w:left="200"/>
              <w:spacing w:after="0" w:line="162" w:lineRule="exact"/>
              <w:rPr>
                <w:sz w:val="20"/>
                <w:szCs w:val="20"/>
                <w:color w:val="auto"/>
              </w:rPr>
            </w:pPr>
            <w:r>
              <w:rPr>
                <w:rFonts w:ascii="Arial" w:cs="Arial" w:eastAsia="Arial" w:hAnsi="Arial"/>
                <w:sz w:val="17"/>
                <w:szCs w:val="17"/>
                <w:color w:val="auto"/>
                <w:w w:val="99"/>
              </w:rPr>
              <w:t>Decreases as a result of a lapse of the applicable statute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4"/>
        </w:trPr>
        <w:tc>
          <w:tcPr>
            <w:tcW w:w="4680" w:type="dxa"/>
            <w:vAlign w:val="bottom"/>
          </w:tcPr>
          <w:p>
            <w:pPr>
              <w:ind w:left="200"/>
              <w:spacing w:after="0"/>
              <w:rPr>
                <w:sz w:val="20"/>
                <w:szCs w:val="20"/>
                <w:color w:val="auto"/>
              </w:rPr>
            </w:pPr>
            <w:r>
              <w:rPr>
                <w:rFonts w:ascii="Arial" w:cs="Arial" w:eastAsia="Arial" w:hAnsi="Arial"/>
                <w:sz w:val="17"/>
                <w:szCs w:val="17"/>
                <w:color w:val="auto"/>
              </w:rPr>
              <w:t>limitations</w:t>
            </w: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9"/>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at end of year</w:t>
            </w: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total amount of gross interest and penalties accrued was $28 million at December 31, 2022 and $42 million at December 31, 2021. This decrease was primarily related to a reassessment of the interest and penalty period for certain tax matters, which resulted in a reduction of interest and penalties offset by accruing additional amounts attributed to the passage of time. We anticipate $15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71"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VACATION OWNERSHIP NOTES RECEIVABLE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vacation ownership notes receivable balances, net of reserves.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w w:val="88"/>
              </w:rPr>
              <w:t>December 31, 2022</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8"/>
              </w:rPr>
              <w:t>December 31, 2021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2"/>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Originated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Acquired</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Originated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5"/>
              </w:rPr>
              <w:t>Acquired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Total</w:t>
            </w: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w:t>
            </w:r>
          </w:p>
        </w:tc>
      </w:tr>
      <w:tr>
        <w:trPr>
          <w:trHeight w:val="212"/>
        </w:trPr>
        <w:tc>
          <w:tcPr>
            <w:tcW w:w="2180" w:type="dxa"/>
            <w:vAlign w:val="bottom"/>
          </w:tcPr>
          <w:p>
            <w:pPr>
              <w:ind w:left="20"/>
              <w:spacing w:after="0"/>
              <w:rPr>
                <w:sz w:val="20"/>
                <w:szCs w:val="20"/>
                <w:color w:val="auto"/>
              </w:rPr>
            </w:pPr>
            <w:r>
              <w:rPr>
                <w:rFonts w:ascii="Arial" w:cs="Arial" w:eastAsia="Arial" w:hAnsi="Arial"/>
                <w:sz w:val="17"/>
                <w:szCs w:val="17"/>
                <w:color w:val="auto"/>
              </w:rPr>
              <w:t>Non-securitized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2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Eligible for securitization</w:t>
            </w:r>
            <w:r>
              <w:rPr>
                <w:rFonts w:ascii="Arial" w:cs="Arial" w:eastAsia="Arial" w:hAnsi="Arial"/>
                <w:sz w:val="8"/>
                <w:szCs w:val="8"/>
                <w:color w:val="auto"/>
              </w:rPr>
              <w:t>(1)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162"/>
        </w:trPr>
        <w:tc>
          <w:tcPr>
            <w:tcW w:w="2180" w:type="dxa"/>
            <w:vAlign w:val="bottom"/>
          </w:tcPr>
          <w:p>
            <w:pPr>
              <w:ind w:left="200"/>
              <w:spacing w:after="0" w:line="162" w:lineRule="exact"/>
              <w:rPr>
                <w:sz w:val="20"/>
                <w:szCs w:val="20"/>
                <w:color w:val="auto"/>
              </w:rPr>
            </w:pPr>
            <w:r>
              <w:rPr>
                <w:rFonts w:ascii="Arial" w:cs="Arial" w:eastAsia="Arial" w:hAnsi="Arial"/>
                <w:sz w:val="17"/>
                <w:szCs w:val="17"/>
                <w:color w:val="auto"/>
              </w:rPr>
              <w:t>Not eligible for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4"/>
        </w:trPr>
        <w:tc>
          <w:tcPr>
            <w:tcW w:w="21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securitization</w:t>
            </w:r>
            <w:r>
              <w:rPr>
                <w:rFonts w:ascii="Arial" w:cs="Arial" w:eastAsia="Arial" w:hAnsi="Arial"/>
                <w:sz w:val="8"/>
                <w:szCs w:val="8"/>
                <w:color w:val="auto"/>
              </w:rPr>
              <w:t>(1)</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r>
      <w:tr>
        <w:trPr>
          <w:trHeight w:val="216"/>
        </w:trPr>
        <w:tc>
          <w:tcPr>
            <w:tcW w:w="2180" w:type="dxa"/>
            <w:vAlign w:val="bottom"/>
            <w:shd w:val="clear" w:color="auto" w:fill="CCEEFF"/>
          </w:tcPr>
          <w:p>
            <w:pPr>
              <w:ind w:left="420"/>
              <w:spacing w:after="0" w:line="192" w:lineRule="exact"/>
              <w:rPr>
                <w:sz w:val="20"/>
                <w:szCs w:val="20"/>
                <w:color w:val="auto"/>
              </w:rPr>
            </w:pPr>
            <w:r>
              <w:rPr>
                <w:rFonts w:ascii="Arial" w:cs="Arial" w:eastAsia="Arial" w:hAnsi="Arial"/>
                <w:sz w:val="17"/>
                <w:szCs w:val="17"/>
                <w:color w:val="auto"/>
              </w:rPr>
              <w:t>Subtotal</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r>
      <w:tr>
        <w:trPr>
          <w:trHeight w:val="204"/>
        </w:trPr>
        <w:tc>
          <w:tcPr>
            <w:tcW w:w="2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2,198</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2,045</w:t>
            </w:r>
          </w:p>
        </w:tc>
      </w:tr>
      <w:tr>
        <w:trPr>
          <w:trHeight w:val="20"/>
        </w:trPr>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2" w:lineRule="exact"/>
        <w:rPr>
          <w:sz w:val="20"/>
          <w:szCs w:val="20"/>
          <w:color w:val="auto"/>
        </w:rPr>
      </w:pPr>
    </w:p>
    <w:p>
      <w:pPr>
        <w:ind w:left="280" w:hanging="280"/>
        <w:spacing w:after="0"/>
        <w:tabs>
          <w:tab w:leader="none" w:pos="28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Refer to Footnote 7 “Financial Instruments” for discussion of eligibility of our vacation ownership notes receivable for securitization.</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84"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3" w:right="379" w:bottom="1440" w:gutter="0" w:footer="0" w:header="0"/>
        </w:sectPr>
      </w:pPr>
    </w:p>
    <w:bookmarkStart w:id="101" w:name="page102"/>
    <w:bookmarkEnd w:id="101"/>
    <w:p>
      <w:pPr>
        <w:ind w:right="520"/>
        <w:spacing w:after="0" w:line="264" w:lineRule="auto"/>
        <w:rPr>
          <w:sz w:val="20"/>
          <w:szCs w:val="20"/>
          <w:color w:val="auto"/>
        </w:rPr>
      </w:pPr>
      <w:r>
        <w:rPr>
          <w:rFonts w:ascii="Arial" w:cs="Arial" w:eastAsia="Arial" w:hAnsi="Arial"/>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2020</w:t>
            </w:r>
          </w:p>
        </w:tc>
      </w:tr>
      <w:tr>
        <w:trPr>
          <w:trHeight w:val="145"/>
        </w:trPr>
        <w:tc>
          <w:tcPr>
            <w:tcW w:w="51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Interest income associated with vacation ownership notes receivable —</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r>
      <w:tr>
        <w:trPr>
          <w:trHeight w:val="162"/>
        </w:trPr>
        <w:tc>
          <w:tcPr>
            <w:tcW w:w="5160" w:type="dxa"/>
            <w:vAlign w:val="bottom"/>
          </w:tcPr>
          <w:p>
            <w:pPr>
              <w:ind w:left="20"/>
              <w:spacing w:after="0" w:line="162" w:lineRule="exact"/>
              <w:rPr>
                <w:sz w:val="20"/>
                <w:szCs w:val="20"/>
                <w:color w:val="auto"/>
              </w:rPr>
            </w:pPr>
            <w:r>
              <w:rPr>
                <w:rFonts w:ascii="Arial" w:cs="Arial" w:eastAsia="Arial" w:hAnsi="Arial"/>
                <w:sz w:val="17"/>
                <w:szCs w:val="17"/>
                <w:color w:val="auto"/>
                <w:w w:val="95"/>
              </w:rPr>
              <w:t>Interest income associated with vacation ownership notes receivable —</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non-securitized</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29"/>
        </w:trPr>
        <w:tc>
          <w:tcPr>
            <w:tcW w:w="51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w w:val="91"/>
              </w:rPr>
              <w:t>Total interest income associated with vacation ownership notes receivable</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 on Vacation Ownership Notes Receivable Reserves</w:t>
      </w:r>
    </w:p>
    <w:p>
      <w:pPr>
        <w:spacing w:after="0" w:line="10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4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2020, we increased our vacation ownership notes receivable reserves by $69 million as a result of higher actual and projected default activity which was predominantly due to the COVID-19 pandemic. At that time, we allocated $59 million of the reserve to our originated vacation ownership notes receivable reserve (recorded as a reduction of Sale of vacation ownership products), $10 million to our acquired vacation ownership notes receivable reserve (recorded as an increase in Financing expenses), and a corresponding $19 million reduction in Cost of vacation ownership products on our Income Statement for the year ended December 31, 2020. Given the uncertainty as to which vacation ownership notes receivable (originated or acquired) would default, from 2020 through the second quarter of 2022, we assessed the sufficiency of our reserves for all vacation ownership notes receivable in total.</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the third quarter of 2022, in connection with the stabilization of default rates and the combination and alignment of the reserves for the Marriott-, Sheraton-, and Westin-brands (see Footnote 2 “Summary of Significant Accounting Policies”), we recorded a reversal of credit loss expense for the acquired vacation ownership notes receivable of $19 million, which was recorded in Financing expenses on our Income Statement for the year ended December 31, 2022, and an increase in the reserve for our originated vacation ownership notes receivable of $21 million, which was recorded as a reduction of Sale of vacation ownership products and partially offset by a corresponding $5 million increase in Cost of vacation ownership ownership products on our Income Statement for the year ended December 31, 2022. There were no additional adjustments to our vacation ownership notes receivables reserves due to the COVID-19 pandemic during either 2021 or 2022.</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Quality Indicators - Vacation Ownership Notes Receivable</w:t>
      </w:r>
    </w:p>
    <w:p>
      <w:pPr>
        <w:spacing w:after="0" w:line="10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Prior to the third quarter of 2022, we used the aging of the vacation ownership notes receivable as the primary credit quality indicator for Legacy-MVW vacation ownership notes receivable, and FICO score of the borrower by brand as the primary credit quality indicator for the Sheraton, Westin, Hyatt and Legacy-Welk vacation ownership notes receivable.</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At December 31, 2022, the weighted average FICO score within our consolidated vacation ownership notes receivable pool was 721, based upon the FICO score of the borrower at the time of origination.</w:t>
      </w:r>
    </w:p>
    <w:p>
      <w:pPr>
        <w:spacing w:after="0" w:line="68"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At December 31, 2021, the weighted average FICO score of the borrower within our consolidated Legacy-ILG and Legacy-Welk vacation ownership notes receivable pools was 707, based upon the FICO score of the borrower at the time of origination.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172" w:right="39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i w:val="1"/>
          <w:iCs w:val="1"/>
          <w:color w:val="auto"/>
        </w:rPr>
        <w:t>Acquired Vacation Ownership Notes Receivable</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December 31,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5"/>
                <w:szCs w:val="15"/>
                <w:b w:val="1"/>
                <w:bCs w:val="1"/>
                <w:color w:val="auto"/>
                <w:w w:val="88"/>
              </w:rPr>
              <w:t>Acquired Vacation Ownership Notes Receivable</w:t>
            </w:r>
          </w:p>
        </w:tc>
      </w:tr>
      <w:tr>
        <w:trPr>
          <w:trHeight w:val="192"/>
        </w:trPr>
        <w:tc>
          <w:tcPr>
            <w:tcW w:w="39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Non-Securitized</w:t>
            </w: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Securitized</w:t>
            </w:r>
          </w:p>
        </w:tc>
        <w:tc>
          <w:tcPr>
            <w:tcW w:w="140" w:type="dxa"/>
            <w:vAlign w:val="bottom"/>
          </w:tcPr>
          <w:p>
            <w:pPr>
              <w:spacing w:after="0"/>
              <w:rPr>
                <w:sz w:val="16"/>
                <w:szCs w:val="16"/>
                <w:color w:val="auto"/>
              </w:rPr>
            </w:pPr>
          </w:p>
        </w:tc>
        <w:tc>
          <w:tcPr>
            <w:tcW w:w="1220" w:type="dxa"/>
            <w:vAlign w:val="bottom"/>
          </w:tcPr>
          <w:p>
            <w:pPr>
              <w:jc w:val="center"/>
              <w:ind w:right="58"/>
              <w:spacing w:after="0"/>
              <w:rPr>
                <w:sz w:val="20"/>
                <w:szCs w:val="20"/>
                <w:color w:val="auto"/>
              </w:rPr>
            </w:pPr>
            <w:r>
              <w:rPr>
                <w:rFonts w:ascii="Arial" w:cs="Arial" w:eastAsia="Arial" w:hAnsi="Arial"/>
                <w:sz w:val="15"/>
                <w:szCs w:val="15"/>
                <w:b w:val="1"/>
                <w:bCs w:val="1"/>
                <w:color w:val="auto"/>
                <w:w w:val="89"/>
              </w:rPr>
              <w:t>Total</w:t>
            </w:r>
          </w:p>
        </w:tc>
      </w:tr>
      <w:tr>
        <w:trPr>
          <w:trHeight w:val="21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36"/>
        </w:trPr>
        <w:tc>
          <w:tcPr>
            <w:tcW w:w="396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6"/>
        </w:trPr>
        <w:tc>
          <w:tcPr>
            <w:tcW w:w="3960" w:type="dxa"/>
            <w:vAlign w:val="bottom"/>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36"/>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2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960" w:type="dxa"/>
            <w:vAlign w:val="bottom"/>
          </w:tcPr>
          <w:p>
            <w:pPr>
              <w:ind w:left="20"/>
              <w:spacing w:after="0" w:line="194" w:lineRule="exact"/>
              <w:rPr>
                <w:sz w:val="20"/>
                <w:szCs w:val="20"/>
                <w:color w:val="auto"/>
              </w:rPr>
            </w:pPr>
            <w:r>
              <w:rPr>
                <w:rFonts w:ascii="Arial" w:cs="Arial" w:eastAsia="Arial" w:hAnsi="Arial"/>
                <w:sz w:val="17"/>
                <w:szCs w:val="17"/>
                <w:color w:val="auto"/>
              </w:rPr>
              <w:t>Weighted average stated interest rate</w:t>
            </w:r>
          </w:p>
        </w:tc>
        <w:tc>
          <w:tcPr>
            <w:tcW w:w="140" w:type="dxa"/>
            <w:vAlign w:val="bottom"/>
          </w:tcPr>
          <w:p>
            <w:pPr>
              <w:spacing w:after="0"/>
              <w:rPr>
                <w:sz w:val="16"/>
                <w:szCs w:val="16"/>
                <w:color w:val="auto"/>
              </w:rPr>
            </w:pPr>
          </w:p>
        </w:tc>
        <w:tc>
          <w:tcPr>
            <w:tcW w:w="1260" w:type="dxa"/>
            <w:vAlign w:val="bottom"/>
          </w:tcPr>
          <w:p>
            <w:pPr>
              <w:jc w:val="center"/>
              <w:ind w:right="79"/>
              <w:spacing w:after="0" w:line="194" w:lineRule="exact"/>
              <w:rPr>
                <w:sz w:val="20"/>
                <w:szCs w:val="20"/>
                <w:color w:val="auto"/>
              </w:rPr>
            </w:pPr>
            <w:r>
              <w:rPr>
                <w:rFonts w:ascii="Arial" w:cs="Arial" w:eastAsia="Arial" w:hAnsi="Arial"/>
                <w:sz w:val="17"/>
                <w:szCs w:val="17"/>
                <w:color w:val="auto"/>
                <w:w w:val="87"/>
              </w:rPr>
              <w:t>13.7%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8"/>
              <w:spacing w:after="0" w:line="194" w:lineRule="exact"/>
              <w:rPr>
                <w:sz w:val="20"/>
                <w:szCs w:val="20"/>
                <w:color w:val="auto"/>
              </w:rPr>
            </w:pPr>
            <w:r>
              <w:rPr>
                <w:rFonts w:ascii="Arial" w:cs="Arial" w:eastAsia="Arial" w:hAnsi="Arial"/>
                <w:sz w:val="17"/>
                <w:szCs w:val="17"/>
                <w:color w:val="auto"/>
                <w:w w:val="87"/>
              </w:rPr>
              <w:t>14.2%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8"/>
              <w:spacing w:after="0" w:line="194" w:lineRule="exact"/>
              <w:rPr>
                <w:sz w:val="20"/>
                <w:szCs w:val="20"/>
                <w:color w:val="auto"/>
              </w:rPr>
            </w:pPr>
            <w:r>
              <w:rPr>
                <w:rFonts w:ascii="Arial" w:cs="Arial" w:eastAsia="Arial" w:hAnsi="Arial"/>
                <w:sz w:val="17"/>
                <w:szCs w:val="17"/>
                <w:color w:val="auto"/>
                <w:w w:val="91"/>
              </w:rPr>
              <w:t>14.1%</w:t>
            </w:r>
          </w:p>
        </w:tc>
      </w:tr>
      <w:tr>
        <w:trPr>
          <w:trHeight w:val="249"/>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88"/>
              </w:rPr>
              <w:t>0.0% to 21.9%</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88"/>
              </w:rPr>
              <w:t>0.0% to 21.9%</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right="58"/>
              <w:spacing w:after="0"/>
              <w:rPr>
                <w:sz w:val="20"/>
                <w:szCs w:val="20"/>
                <w:color w:val="auto"/>
              </w:rPr>
            </w:pPr>
            <w:r>
              <w:rPr>
                <w:rFonts w:ascii="Arial" w:cs="Arial" w:eastAsia="Arial" w:hAnsi="Arial"/>
                <w:sz w:val="17"/>
                <w:szCs w:val="17"/>
                <w:color w:val="auto"/>
                <w:w w:val="90"/>
              </w:rPr>
              <w:t>0.0% to 21.9%</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our acquired vacation ownership notes receivable reserve.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4"/>
              </w:rPr>
              <w:t>Acquired Vacation Ownership Notes Receivable Reserve</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92"/>
              </w:rPr>
              <w:t>Non-Securitized</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Securitized</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Total</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 2019,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95"/>
              </w:rPr>
              <w:t>$</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Impact of adoption of ASU 2016-13</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29</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Opening Balance at January 1, 2020</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96"/>
        </w:trPr>
        <w:tc>
          <w:tcPr>
            <w:tcW w:w="3960" w:type="dxa"/>
            <w:vAlign w:val="bottom"/>
          </w:tcPr>
          <w:p>
            <w:pPr>
              <w:ind w:left="100"/>
              <w:spacing w:after="0"/>
              <w:rPr>
                <w:sz w:val="20"/>
                <w:szCs w:val="20"/>
                <w:color w:val="auto"/>
              </w:rPr>
            </w:pPr>
            <w:r>
              <w:rPr>
                <w:rFonts w:ascii="Arial" w:cs="Arial" w:eastAsia="Arial" w:hAnsi="Arial"/>
                <w:sz w:val="15"/>
                <w:szCs w:val="15"/>
                <w:color w:val="auto"/>
              </w:rPr>
              <w:t>Securitizations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Clean-up call</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960" w:type="dxa"/>
            <w:vAlign w:val="bottom"/>
          </w:tcPr>
          <w:p>
            <w:pPr>
              <w:ind w:left="100"/>
              <w:spacing w:after="0"/>
              <w:rPr>
                <w:sz w:val="20"/>
                <w:szCs w:val="20"/>
                <w:color w:val="auto"/>
              </w:rPr>
            </w:pPr>
            <w:r>
              <w:rPr>
                <w:rFonts w:ascii="Arial" w:cs="Arial" w:eastAsia="Arial" w:hAnsi="Arial"/>
                <w:sz w:val="15"/>
                <w:szCs w:val="15"/>
                <w:color w:val="auto"/>
              </w:rPr>
              <w:t>Write-offs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Recoveries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49"/>
        </w:trPr>
        <w:tc>
          <w:tcPr>
            <w:tcW w:w="3960" w:type="dxa"/>
            <w:vAlign w:val="bottom"/>
          </w:tcPr>
          <w:p>
            <w:pPr>
              <w:ind w:left="120"/>
              <w:spacing w:after="0" w:line="149" w:lineRule="exact"/>
              <w:rPr>
                <w:sz w:val="20"/>
                <w:szCs w:val="20"/>
                <w:color w:val="auto"/>
              </w:rPr>
            </w:pPr>
            <w:r>
              <w:rPr>
                <w:rFonts w:ascii="Arial" w:cs="Arial" w:eastAsia="Arial" w:hAnsi="Arial"/>
                <w:sz w:val="15"/>
                <w:szCs w:val="15"/>
                <w:color w:val="auto"/>
                <w:w w:val="98"/>
              </w:rPr>
              <w:t>Defaulted vacation ownership notes receivable repurchase</w:t>
            </w:r>
          </w:p>
        </w:tc>
        <w:tc>
          <w:tcPr>
            <w:tcW w:w="140" w:type="dxa"/>
            <w:vAlign w:val="bottom"/>
          </w:tcPr>
          <w:p>
            <w:pPr>
              <w:spacing w:after="0"/>
              <w:rPr>
                <w:sz w:val="12"/>
                <w:szCs w:val="12"/>
                <w:color w:val="auto"/>
              </w:rPr>
            </w:pPr>
          </w:p>
        </w:tc>
        <w:tc>
          <w:tcPr>
            <w:tcW w:w="1260" w:type="dxa"/>
            <w:vAlign w:val="bottom"/>
            <w:vMerge w:val="restart"/>
          </w:tcPr>
          <w:p>
            <w:pPr>
              <w:jc w:val="right"/>
              <w:ind w:right="5"/>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w w:val="97"/>
              </w:rPr>
              <w:t>(17)</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960" w:type="dxa"/>
            <w:vAlign w:val="bottom"/>
          </w:tcPr>
          <w:p>
            <w:pPr>
              <w:ind w:left="120"/>
              <w:spacing w:after="0" w:line="199" w:lineRule="exact"/>
              <w:rPr>
                <w:sz w:val="20"/>
                <w:szCs w:val="20"/>
                <w:color w:val="auto"/>
              </w:rPr>
            </w:pPr>
            <w:r>
              <w:rPr>
                <w:rFonts w:ascii="Arial" w:cs="Arial" w:eastAsia="Arial" w:hAnsi="Arial"/>
                <w:sz w:val="15"/>
                <w:szCs w:val="15"/>
                <w:color w:val="auto"/>
              </w:rPr>
              <w:t>activity</w:t>
            </w:r>
            <w:r>
              <w:rPr>
                <w:rFonts w:ascii="Arial" w:cs="Arial" w:eastAsia="Arial" w:hAnsi="Arial"/>
                <w:sz w:val="19"/>
                <w:szCs w:val="19"/>
                <w:color w:val="auto"/>
                <w:vertAlign w:val="superscript"/>
              </w:rPr>
              <w:t>(1)</w:t>
            </w: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100"/>
              <w:spacing w:after="0" w:line="199" w:lineRule="exact"/>
              <w:rPr>
                <w:sz w:val="20"/>
                <w:szCs w:val="20"/>
                <w:color w:val="auto"/>
              </w:rPr>
            </w:pPr>
            <w:r>
              <w:rPr>
                <w:rFonts w:ascii="Arial" w:cs="Arial" w:eastAsia="Arial" w:hAnsi="Arial"/>
                <w:sz w:val="15"/>
                <w:szCs w:val="15"/>
                <w:color w:val="auto"/>
                <w:w w:val="98"/>
              </w:rPr>
              <w:t>Increase in vacation ownership notes receivable reserve</w:t>
            </w:r>
            <w:r>
              <w:rPr>
                <w:rFonts w:ascii="Arial" w:cs="Arial" w:eastAsia="Arial" w:hAnsi="Arial"/>
                <w:sz w:val="19"/>
                <w:szCs w:val="19"/>
                <w:color w:val="auto"/>
                <w:w w:val="98"/>
                <w:vertAlign w:val="superscript"/>
              </w:rPr>
              <w:t>(2)</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5"/>
                <w:szCs w:val="15"/>
                <w:color w:val="auto"/>
              </w:rPr>
              <w:t>Balance at December 31, 2020</w:t>
            </w:r>
          </w:p>
        </w:tc>
        <w:tc>
          <w:tcPr>
            <w:tcW w:w="140" w:type="dxa"/>
            <w:vAlign w:val="bottom"/>
          </w:tcPr>
          <w:p>
            <w:pPr>
              <w:spacing w:after="0"/>
              <w:rPr>
                <w:sz w:val="16"/>
                <w:szCs w:val="16"/>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jc w:val="right"/>
              <w:ind w:right="5"/>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Securitizations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960" w:type="dxa"/>
            <w:vAlign w:val="bottom"/>
          </w:tcPr>
          <w:p>
            <w:pPr>
              <w:ind w:left="120"/>
              <w:spacing w:after="0"/>
              <w:rPr>
                <w:sz w:val="20"/>
                <w:szCs w:val="20"/>
                <w:color w:val="auto"/>
              </w:rPr>
            </w:pPr>
            <w:r>
              <w:rPr>
                <w:rFonts w:ascii="Arial" w:cs="Arial" w:eastAsia="Arial" w:hAnsi="Arial"/>
                <w:sz w:val="15"/>
                <w:szCs w:val="15"/>
                <w:color w:val="auto"/>
              </w:rPr>
              <w:t>Clean-up call</w:t>
            </w:r>
          </w:p>
        </w:tc>
        <w:tc>
          <w:tcPr>
            <w:tcW w:w="14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Write-offs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96"/>
        </w:trPr>
        <w:tc>
          <w:tcPr>
            <w:tcW w:w="3960" w:type="dxa"/>
            <w:vAlign w:val="bottom"/>
          </w:tcPr>
          <w:p>
            <w:pPr>
              <w:ind w:left="100"/>
              <w:spacing w:after="0"/>
              <w:rPr>
                <w:sz w:val="20"/>
                <w:szCs w:val="20"/>
                <w:color w:val="auto"/>
              </w:rPr>
            </w:pPr>
            <w:r>
              <w:rPr>
                <w:rFonts w:ascii="Arial" w:cs="Arial" w:eastAsia="Arial" w:hAnsi="Arial"/>
                <w:sz w:val="15"/>
                <w:szCs w:val="15"/>
                <w:color w:val="auto"/>
              </w:rPr>
              <w:t>Recoveries</w:t>
            </w:r>
          </w:p>
        </w:tc>
        <w:tc>
          <w:tcPr>
            <w:tcW w:w="14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7"/>
                <w:szCs w:val="17"/>
                <w:color w:val="auto"/>
              </w:rPr>
            </w:pP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52"/>
        </w:trPr>
        <w:tc>
          <w:tcPr>
            <w:tcW w:w="3960" w:type="dxa"/>
            <w:vAlign w:val="bottom"/>
            <w:shd w:val="clear" w:color="auto" w:fill="CCEEFF"/>
          </w:tcPr>
          <w:p>
            <w:pPr>
              <w:ind w:left="100"/>
              <w:spacing w:after="0" w:line="152" w:lineRule="exact"/>
              <w:rPr>
                <w:sz w:val="20"/>
                <w:szCs w:val="20"/>
                <w:color w:val="auto"/>
              </w:rPr>
            </w:pPr>
            <w:r>
              <w:rPr>
                <w:rFonts w:ascii="Arial" w:cs="Arial" w:eastAsia="Arial" w:hAnsi="Arial"/>
                <w:sz w:val="15"/>
                <w:szCs w:val="15"/>
                <w:color w:val="auto"/>
                <w:w w:val="98"/>
              </w:rPr>
              <w:t>Defaulted vacation ownership notes receivable repurchase</w:t>
            </w:r>
          </w:p>
        </w:tc>
        <w:tc>
          <w:tcPr>
            <w:tcW w:w="1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7"/>
              </w:rPr>
              <w:t>(32)</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100"/>
              <w:spacing w:after="0" w:line="199" w:lineRule="exact"/>
              <w:rPr>
                <w:sz w:val="20"/>
                <w:szCs w:val="20"/>
                <w:color w:val="auto"/>
              </w:rPr>
            </w:pPr>
            <w:r>
              <w:rPr>
                <w:rFonts w:ascii="Arial" w:cs="Arial" w:eastAsia="Arial" w:hAnsi="Arial"/>
                <w:sz w:val="15"/>
                <w:szCs w:val="15"/>
                <w:color w:val="auto"/>
              </w:rPr>
              <w:t>activity</w:t>
            </w:r>
            <w:r>
              <w:rPr>
                <w:rFonts w:ascii="Arial" w:cs="Arial" w:eastAsia="Arial" w:hAnsi="Arial"/>
                <w:sz w:val="19"/>
                <w:szCs w:val="19"/>
                <w:color w:val="auto"/>
                <w:vertAlign w:val="superscript"/>
              </w:rPr>
              <w:t>(1)</w:t>
            </w:r>
          </w:p>
        </w:tc>
        <w:tc>
          <w:tcPr>
            <w:tcW w:w="1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960" w:type="dxa"/>
            <w:vAlign w:val="bottom"/>
          </w:tcPr>
          <w:p>
            <w:pPr>
              <w:ind w:left="100"/>
              <w:spacing w:after="0" w:line="154" w:lineRule="exact"/>
              <w:rPr>
                <w:sz w:val="20"/>
                <w:szCs w:val="20"/>
                <w:color w:val="auto"/>
              </w:rPr>
            </w:pPr>
            <w:r>
              <w:rPr>
                <w:rFonts w:ascii="Arial" w:cs="Arial" w:eastAsia="Arial" w:hAnsi="Arial"/>
                <w:sz w:val="15"/>
                <w:szCs w:val="15"/>
                <w:color w:val="auto"/>
                <w:w w:val="99"/>
              </w:rPr>
              <w:t>Initial allowance for credit losses for Legacy-Welk vacation</w:t>
            </w:r>
          </w:p>
        </w:tc>
        <w:tc>
          <w:tcPr>
            <w:tcW w:w="140" w:type="dxa"/>
            <w:vAlign w:val="bottom"/>
          </w:tcPr>
          <w:p>
            <w:pPr>
              <w:spacing w:after="0"/>
              <w:rPr>
                <w:sz w:val="13"/>
                <w:szCs w:val="13"/>
                <w:color w:val="auto"/>
              </w:rPr>
            </w:pPr>
          </w:p>
        </w:tc>
        <w:tc>
          <w:tcPr>
            <w:tcW w:w="1260" w:type="dxa"/>
            <w:vAlign w:val="bottom"/>
            <w:vMerge w:val="restart"/>
          </w:tcPr>
          <w:p>
            <w:pPr>
              <w:jc w:val="right"/>
              <w:ind w:right="5"/>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vMerge w:val="restart"/>
          </w:tcPr>
          <w:p>
            <w:pPr>
              <w:jc w:val="right"/>
              <w:ind w:right="5"/>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vMerge w:val="restart"/>
          </w:tcPr>
          <w:p>
            <w:pPr>
              <w:jc w:val="right"/>
              <w:ind w:right="5"/>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2"/>
        </w:trPr>
        <w:tc>
          <w:tcPr>
            <w:tcW w:w="3960" w:type="dxa"/>
            <w:vAlign w:val="bottom"/>
          </w:tcPr>
          <w:p>
            <w:pPr>
              <w:ind w:left="100"/>
              <w:spacing w:after="0"/>
              <w:rPr>
                <w:sz w:val="20"/>
                <w:szCs w:val="20"/>
                <w:color w:val="auto"/>
              </w:rPr>
            </w:pPr>
            <w:r>
              <w:rPr>
                <w:rFonts w:ascii="Arial" w:cs="Arial" w:eastAsia="Arial" w:hAnsi="Arial"/>
                <w:sz w:val="15"/>
                <w:szCs w:val="15"/>
                <w:color w:val="auto"/>
              </w:rPr>
              <w:t>ownership notes receivable</w:t>
            </w: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ind w:left="100"/>
              <w:spacing w:after="0" w:line="156" w:lineRule="exact"/>
              <w:rPr>
                <w:sz w:val="20"/>
                <w:szCs w:val="20"/>
                <w:color w:val="auto"/>
              </w:rPr>
            </w:pPr>
            <w:r>
              <w:rPr>
                <w:rFonts w:ascii="Arial" w:cs="Arial" w:eastAsia="Arial" w:hAnsi="Arial"/>
                <w:sz w:val="15"/>
                <w:szCs w:val="15"/>
                <w:color w:val="auto"/>
                <w:w w:val="96"/>
              </w:rPr>
              <w:t>(Decrease) increase in vacation ownership notes receivable</w:t>
            </w:r>
          </w:p>
        </w:tc>
        <w:tc>
          <w:tcPr>
            <w:tcW w:w="1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reserve</w:t>
            </w: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5"/>
                <w:szCs w:val="15"/>
                <w:color w:val="auto"/>
              </w:rPr>
              <w:t>Balance at December 31, 2021</w:t>
            </w:r>
          </w:p>
        </w:tc>
        <w:tc>
          <w:tcPr>
            <w:tcW w:w="140" w:type="dxa"/>
            <w:vAlign w:val="bottom"/>
          </w:tcPr>
          <w:p>
            <w:pPr>
              <w:spacing w:after="0"/>
              <w:rPr>
                <w:sz w:val="16"/>
                <w:szCs w:val="16"/>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jc w:val="right"/>
              <w:ind w:right="5"/>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Securitizations</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960" w:type="dxa"/>
            <w:vAlign w:val="bottom"/>
          </w:tcPr>
          <w:p>
            <w:pPr>
              <w:ind w:left="120"/>
              <w:spacing w:after="0"/>
              <w:rPr>
                <w:sz w:val="20"/>
                <w:szCs w:val="20"/>
                <w:color w:val="auto"/>
              </w:rPr>
            </w:pPr>
            <w:r>
              <w:rPr>
                <w:rFonts w:ascii="Arial" w:cs="Arial" w:eastAsia="Arial" w:hAnsi="Arial"/>
                <w:sz w:val="15"/>
                <w:szCs w:val="15"/>
                <w:color w:val="auto"/>
              </w:rPr>
              <w:t>Clean-up call</w:t>
            </w:r>
          </w:p>
        </w:tc>
        <w:tc>
          <w:tcPr>
            <w:tcW w:w="14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Write-offs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6"/>
        </w:trPr>
        <w:tc>
          <w:tcPr>
            <w:tcW w:w="3960" w:type="dxa"/>
            <w:vAlign w:val="bottom"/>
          </w:tcPr>
          <w:p>
            <w:pPr>
              <w:ind w:left="100"/>
              <w:spacing w:after="0"/>
              <w:rPr>
                <w:sz w:val="20"/>
                <w:szCs w:val="20"/>
                <w:color w:val="auto"/>
              </w:rPr>
            </w:pPr>
            <w:r>
              <w:rPr>
                <w:rFonts w:ascii="Arial" w:cs="Arial" w:eastAsia="Arial" w:hAnsi="Arial"/>
                <w:sz w:val="15"/>
                <w:szCs w:val="15"/>
                <w:color w:val="auto"/>
              </w:rPr>
              <w:t>Recoveries</w:t>
            </w:r>
          </w:p>
        </w:tc>
        <w:tc>
          <w:tcPr>
            <w:tcW w:w="14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7"/>
                <w:szCs w:val="17"/>
                <w:color w:val="auto"/>
              </w:rPr>
            </w:pP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52"/>
        </w:trPr>
        <w:tc>
          <w:tcPr>
            <w:tcW w:w="3960" w:type="dxa"/>
            <w:vAlign w:val="bottom"/>
            <w:shd w:val="clear" w:color="auto" w:fill="CCEEFF"/>
          </w:tcPr>
          <w:p>
            <w:pPr>
              <w:ind w:left="100"/>
              <w:spacing w:after="0" w:line="152" w:lineRule="exact"/>
              <w:rPr>
                <w:sz w:val="20"/>
                <w:szCs w:val="20"/>
                <w:color w:val="auto"/>
              </w:rPr>
            </w:pPr>
            <w:r>
              <w:rPr>
                <w:rFonts w:ascii="Arial" w:cs="Arial" w:eastAsia="Arial" w:hAnsi="Arial"/>
                <w:sz w:val="15"/>
                <w:szCs w:val="15"/>
                <w:color w:val="auto"/>
                <w:w w:val="98"/>
              </w:rPr>
              <w:t>Defaulted vacation ownership notes receivable repurchase</w:t>
            </w:r>
          </w:p>
        </w:tc>
        <w:tc>
          <w:tcPr>
            <w:tcW w:w="1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7"/>
              </w:rPr>
              <w:t>(25)</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100"/>
              <w:spacing w:after="0" w:line="199" w:lineRule="exact"/>
              <w:rPr>
                <w:sz w:val="20"/>
                <w:szCs w:val="20"/>
                <w:color w:val="auto"/>
              </w:rPr>
            </w:pPr>
            <w:r>
              <w:rPr>
                <w:rFonts w:ascii="Arial" w:cs="Arial" w:eastAsia="Arial" w:hAnsi="Arial"/>
                <w:sz w:val="15"/>
                <w:szCs w:val="15"/>
                <w:color w:val="auto"/>
              </w:rPr>
              <w:t>activity</w:t>
            </w:r>
            <w:r>
              <w:rPr>
                <w:rFonts w:ascii="Arial" w:cs="Arial" w:eastAsia="Arial" w:hAnsi="Arial"/>
                <w:sz w:val="19"/>
                <w:szCs w:val="19"/>
                <w:color w:val="auto"/>
                <w:vertAlign w:val="superscript"/>
              </w:rPr>
              <w:t>(1)</w:t>
            </w:r>
          </w:p>
        </w:tc>
        <w:tc>
          <w:tcPr>
            <w:tcW w:w="1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960" w:type="dxa"/>
            <w:vAlign w:val="bottom"/>
          </w:tcPr>
          <w:p>
            <w:pPr>
              <w:ind w:left="100"/>
              <w:spacing w:after="0" w:line="154" w:lineRule="exact"/>
              <w:rPr>
                <w:sz w:val="20"/>
                <w:szCs w:val="20"/>
                <w:color w:val="auto"/>
              </w:rPr>
            </w:pPr>
            <w:r>
              <w:rPr>
                <w:rFonts w:ascii="Arial" w:cs="Arial" w:eastAsia="Arial" w:hAnsi="Arial"/>
                <w:sz w:val="15"/>
                <w:szCs w:val="15"/>
                <w:color w:val="auto"/>
                <w:w w:val="96"/>
              </w:rPr>
              <w:t>(Decrease) increase in vacation ownership notes receivable</w:t>
            </w:r>
          </w:p>
        </w:tc>
        <w:tc>
          <w:tcPr>
            <w:tcW w:w="1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vMerge w:val="restart"/>
          </w:tcPr>
          <w:p>
            <w:pPr>
              <w:jc w:val="right"/>
              <w:ind w:right="5"/>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reserve</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right="240" w:hanging="300"/>
        <w:spacing w:after="0" w:line="267" w:lineRule="auto"/>
        <w:tabs>
          <w:tab w:leader="none" w:pos="289"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Reflects the change attributable to the transfer of the reserve from the securitized vacation ownership notes receivable reserve to the non-securitized vacation ownership notes receivable reserve when we voluntarily repurchased defaulted securitized vacation ownership notes receivable.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40"/>
          </w:cols>
          <w:pgMar w:left="320" w:top="1123" w:right="639" w:bottom="1440" w:gutter="0" w:footer="0" w:header="0"/>
        </w:sectPr>
      </w:pPr>
    </w:p>
    <w:bookmarkStart w:id="103" w:name="page104"/>
    <w:bookmarkEnd w:id="103"/>
    <w:p>
      <w:pPr>
        <w:ind w:left="300" w:right="280" w:hanging="300"/>
        <w:spacing w:after="0" w:line="219" w:lineRule="auto"/>
        <w:tabs>
          <w:tab w:leader="none" w:pos="289"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Increase in vacation ownership notes receivable reserve includes $10 million ($8 million non-securitized and $2 million securitized) attributable to the increased reserve as a result of the COVID-19 pandemic.</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show the acquired vacation ownership notes receivable, before reserves, by brand and FICO score.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gridSpan w:val="16"/>
          </w:tcPr>
          <w:p>
            <w:pPr>
              <w:jc w:val="center"/>
              <w:ind w:left="59"/>
              <w:spacing w:after="0"/>
              <w:rPr>
                <w:sz w:val="20"/>
                <w:szCs w:val="20"/>
                <w:color w:val="auto"/>
              </w:rPr>
            </w:pPr>
            <w:r>
              <w:rPr>
                <w:rFonts w:ascii="Arial" w:cs="Arial" w:eastAsia="Arial" w:hAnsi="Arial"/>
                <w:sz w:val="15"/>
                <w:szCs w:val="15"/>
                <w:b w:val="1"/>
                <w:bCs w:val="1"/>
                <w:color w:val="auto"/>
                <w:w w:val="88"/>
              </w:rPr>
              <w:t>Acquired Vacation Ownership Notes Receivable as of December 31, 2022</w:t>
            </w:r>
          </w:p>
        </w:tc>
        <w:tc>
          <w:tcPr>
            <w:tcW w:w="360" w:type="dxa"/>
            <w:vAlign w:val="bottom"/>
            <w:tcBorders>
              <w:bottom w:val="single" w:sz="8" w:color="auto"/>
            </w:tcBorders>
          </w:tcPr>
          <w:p>
            <w:pPr>
              <w:spacing w:after="0"/>
              <w:rPr>
                <w:sz w:val="17"/>
                <w:szCs w:val="17"/>
                <w:color w:val="auto"/>
              </w:rPr>
            </w:pPr>
          </w:p>
        </w:tc>
      </w:tr>
      <w:tr>
        <w:trPr>
          <w:trHeight w:val="192"/>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700 +</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600 - 699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w w:val="89"/>
              </w:rPr>
              <w:t>&lt; 600</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No Score</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auto"/>
            </w:tcBorders>
          </w:tcPr>
          <w:p>
            <w:pPr>
              <w:spacing w:after="0"/>
              <w:rPr>
                <w:sz w:val="16"/>
                <w:szCs w:val="16"/>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136</w:t>
            </w:r>
          </w:p>
        </w:tc>
      </w:tr>
      <w:tr>
        <w:trPr>
          <w:trHeight w:val="236"/>
        </w:trPr>
        <w:tc>
          <w:tcPr>
            <w:tcW w:w="2380" w:type="dxa"/>
            <w:vAlign w:val="bottom"/>
            <w:gridSpan w:val="2"/>
          </w:tcPr>
          <w:p>
            <w:pPr>
              <w:ind w:left="20"/>
              <w:spacing w:after="0"/>
              <w:rPr>
                <w:sz w:val="20"/>
                <w:szCs w:val="20"/>
                <w:color w:val="auto"/>
              </w:rPr>
            </w:pPr>
            <w:r>
              <w:rPr>
                <w:rFonts w:ascii="Arial" w:cs="Arial" w:eastAsia="Arial" w:hAnsi="Arial"/>
                <w:sz w:val="17"/>
                <w:szCs w:val="17"/>
                <w:color w:val="auto"/>
              </w:rPr>
              <w:t>Hyatt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w:t>
            </w: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Welk</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127</w:t>
            </w:r>
          </w:p>
        </w:tc>
      </w:tr>
      <w:tr>
        <w:trPr>
          <w:trHeight w:val="204"/>
        </w:trPr>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17</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271</w:t>
            </w:r>
          </w:p>
        </w:tc>
      </w:tr>
      <w:tr>
        <w:trPr>
          <w:trHeight w:val="20"/>
        </w:trPr>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8"/>
        </w:trPr>
        <w:tc>
          <w:tcPr>
            <w:tcW w:w="2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16"/>
          </w:tcPr>
          <w:p>
            <w:pPr>
              <w:jc w:val="center"/>
              <w:ind w:left="39"/>
              <w:spacing w:after="0"/>
              <w:rPr>
                <w:sz w:val="20"/>
                <w:szCs w:val="20"/>
                <w:color w:val="auto"/>
              </w:rPr>
            </w:pPr>
            <w:r>
              <w:rPr>
                <w:rFonts w:ascii="Arial" w:cs="Arial" w:eastAsia="Arial" w:hAnsi="Arial"/>
                <w:sz w:val="15"/>
                <w:szCs w:val="15"/>
                <w:b w:val="1"/>
                <w:bCs w:val="1"/>
                <w:color w:val="auto"/>
                <w:w w:val="89"/>
              </w:rPr>
              <w:t>Acquired Vacation Ownership Notes Receivable as of December 31, 2021</w:t>
            </w:r>
          </w:p>
        </w:tc>
        <w:tc>
          <w:tcPr>
            <w:tcW w:w="360" w:type="dxa"/>
            <w:vAlign w:val="bottom"/>
            <w:tcBorders>
              <w:bottom w:val="single" w:sz="8" w:color="auto"/>
            </w:tcBorders>
          </w:tcPr>
          <w:p>
            <w:pPr>
              <w:spacing w:after="0"/>
              <w:rPr>
                <w:sz w:val="24"/>
                <w:szCs w:val="24"/>
                <w:color w:val="auto"/>
              </w:rPr>
            </w:pPr>
          </w:p>
        </w:tc>
      </w:tr>
      <w:tr>
        <w:trPr>
          <w:trHeight w:val="192"/>
        </w:trPr>
        <w:tc>
          <w:tcPr>
            <w:tcW w:w="23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2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Arial" w:cs="Arial" w:eastAsia="Arial" w:hAnsi="Arial"/>
                <w:sz w:val="15"/>
                <w:szCs w:val="15"/>
                <w:b w:val="1"/>
                <w:bCs w:val="1"/>
                <w:color w:val="auto"/>
              </w:rPr>
              <w:t>700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78"/>
              <w:spacing w:after="0"/>
              <w:rPr>
                <w:sz w:val="20"/>
                <w:szCs w:val="20"/>
                <w:color w:val="auto"/>
              </w:rPr>
            </w:pPr>
            <w:r>
              <w:rPr>
                <w:rFonts w:ascii="Arial" w:cs="Arial" w:eastAsia="Arial" w:hAnsi="Arial"/>
                <w:sz w:val="15"/>
                <w:szCs w:val="15"/>
                <w:b w:val="1"/>
                <w:bCs w:val="1"/>
                <w:color w:val="auto"/>
              </w:rPr>
              <w:t>600 - 699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ind w:left="203"/>
              <w:spacing w:after="0"/>
              <w:rPr>
                <w:sz w:val="20"/>
                <w:szCs w:val="20"/>
                <w:color w:val="auto"/>
              </w:rPr>
            </w:pPr>
            <w:r>
              <w:rPr>
                <w:rFonts w:ascii="Arial" w:cs="Arial" w:eastAsia="Arial" w:hAnsi="Arial"/>
                <w:sz w:val="15"/>
                <w:szCs w:val="15"/>
                <w:b w:val="1"/>
                <w:bCs w:val="1"/>
                <w:color w:val="auto"/>
                <w:w w:val="89"/>
              </w:rPr>
              <w:t>&lt; 600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No Score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360" w:type="dxa"/>
            <w:vAlign w:val="bottom"/>
          </w:tcPr>
          <w:p>
            <w:pPr>
              <w:spacing w:after="0"/>
              <w:rPr>
                <w:sz w:val="16"/>
                <w:szCs w:val="16"/>
                <w:color w:val="auto"/>
              </w:rPr>
            </w:pPr>
          </w:p>
        </w:tc>
      </w:tr>
      <w:tr>
        <w:trPr>
          <w:trHeight w:val="219"/>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Westin</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36"/>
        </w:trPr>
        <w:tc>
          <w:tcPr>
            <w:tcW w:w="2380" w:type="dxa"/>
            <w:vAlign w:val="bottom"/>
            <w:gridSpan w:val="2"/>
          </w:tcPr>
          <w:p>
            <w:pPr>
              <w:ind w:left="20"/>
              <w:spacing w:after="0"/>
              <w:rPr>
                <w:sz w:val="20"/>
                <w:szCs w:val="20"/>
                <w:color w:val="auto"/>
              </w:rPr>
            </w:pPr>
            <w:r>
              <w:rPr>
                <w:rFonts w:ascii="Arial" w:cs="Arial" w:eastAsia="Arial" w:hAnsi="Arial"/>
                <w:sz w:val="17"/>
                <w:szCs w:val="17"/>
                <w:color w:val="auto"/>
              </w:rPr>
              <w:t>Sheraton</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4"/>
              </w:rPr>
              <w:t>23</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1"/>
              </w:rPr>
              <w:t>133</w:t>
            </w:r>
          </w:p>
        </w:tc>
      </w:tr>
      <w:tr>
        <w:trPr>
          <w:trHeight w:val="23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Hyatt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w:t>
            </w: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2380" w:type="dxa"/>
            <w:vAlign w:val="bottom"/>
            <w:gridSpan w:val="2"/>
          </w:tcPr>
          <w:p>
            <w:pPr>
              <w:ind w:left="20"/>
              <w:spacing w:after="0"/>
              <w:rPr>
                <w:sz w:val="20"/>
                <w:szCs w:val="20"/>
                <w:color w:val="auto"/>
              </w:rPr>
            </w:pPr>
            <w:r>
              <w:rPr>
                <w:rFonts w:ascii="Arial" w:cs="Arial" w:eastAsia="Arial" w:hAnsi="Arial"/>
                <w:sz w:val="17"/>
                <w:szCs w:val="17"/>
                <w:color w:val="auto"/>
              </w:rPr>
              <w:t>Welk</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1"/>
              </w:rPr>
              <w:t>197</w:t>
            </w:r>
          </w:p>
        </w:tc>
      </w:tr>
      <w:tr>
        <w:trPr>
          <w:trHeight w:val="23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23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35</w:t>
            </w:r>
          </w:p>
        </w:tc>
        <w:tc>
          <w:tcPr>
            <w:tcW w:w="1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444</w:t>
            </w:r>
          </w:p>
        </w:tc>
      </w:tr>
      <w:tr>
        <w:trPr>
          <w:trHeight w:val="20"/>
        </w:trPr>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detail the origination year of our acquired vacation ownership notes receivable, before reserves, by brand and FICO score as of December 31,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gridSpan w:val="18"/>
          </w:tcPr>
          <w:p>
            <w:pPr>
              <w:jc w:val="center"/>
              <w:ind w:right="220"/>
              <w:spacing w:after="0"/>
              <w:rPr>
                <w:sz w:val="20"/>
                <w:szCs w:val="20"/>
                <w:color w:val="auto"/>
              </w:rPr>
            </w:pPr>
            <w:r>
              <w:rPr>
                <w:rFonts w:ascii="Arial" w:cs="Arial" w:eastAsia="Arial" w:hAnsi="Arial"/>
                <w:sz w:val="15"/>
                <w:szCs w:val="15"/>
                <w:b w:val="1"/>
                <w:bCs w:val="1"/>
                <w:color w:val="auto"/>
                <w:w w:val="90"/>
              </w:rPr>
              <w:t>Acquired Vacation Ownership Notes Receivable - Combined Marriott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2"/>
        </w:trPr>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2018 &amp; Prior</w:t>
            </w:r>
          </w:p>
        </w:tc>
        <w:tc>
          <w:tcPr>
            <w:tcW w:w="120" w:type="dxa"/>
            <w:vAlign w:val="bottom"/>
            <w:tcBorders>
              <w:bottom w:val="single" w:sz="8" w:color="CCEEFF"/>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Total</w:t>
            </w:r>
          </w:p>
        </w:tc>
      </w:tr>
      <w:tr>
        <w:trPr>
          <w:trHeight w:val="219"/>
        </w:trPr>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7"/>
              </w:rPr>
              <w:t>700</w:t>
            </w:r>
          </w:p>
        </w:tc>
        <w:tc>
          <w:tcPr>
            <w:tcW w:w="1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4"/>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36"/>
        </w:trPr>
        <w:tc>
          <w:tcPr>
            <w:tcW w:w="260" w:type="dxa"/>
            <w:vAlign w:val="bottom"/>
          </w:tcPr>
          <w:p>
            <w:pPr>
              <w:ind w:left="20"/>
              <w:spacing w:after="0"/>
              <w:rPr>
                <w:sz w:val="20"/>
                <w:szCs w:val="20"/>
                <w:color w:val="auto"/>
              </w:rPr>
            </w:pPr>
            <w:r>
              <w:rPr>
                <w:rFonts w:ascii="Arial" w:cs="Arial" w:eastAsia="Arial" w:hAnsi="Arial"/>
                <w:sz w:val="15"/>
                <w:szCs w:val="15"/>
                <w:color w:val="auto"/>
                <w:w w:val="87"/>
              </w:rPr>
              <w:t>600</w:t>
            </w:r>
          </w:p>
        </w:tc>
        <w:tc>
          <w:tcPr>
            <w:tcW w:w="1080" w:type="dxa"/>
            <w:vAlign w:val="bottom"/>
          </w:tcPr>
          <w:p>
            <w:pPr>
              <w:ind w:left="20"/>
              <w:spacing w:after="0"/>
              <w:rPr>
                <w:sz w:val="20"/>
                <w:szCs w:val="20"/>
                <w:color w:val="auto"/>
              </w:rPr>
            </w:pPr>
            <w:r>
              <w:rPr>
                <w:rFonts w:ascii="Arial" w:cs="Arial" w:eastAsia="Arial" w:hAnsi="Arial"/>
                <w:sz w:val="15"/>
                <w:szCs w:val="15"/>
                <w:color w:val="auto"/>
              </w:rPr>
              <w:t>- 699</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4"/>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36"/>
        </w:trPr>
        <w:tc>
          <w:tcPr>
            <w:tcW w:w="1340" w:type="dxa"/>
            <w:vAlign w:val="bottom"/>
            <w:gridSpan w:val="2"/>
          </w:tcPr>
          <w:p>
            <w:pPr>
              <w:ind w:left="20"/>
              <w:spacing w:after="0"/>
              <w:rPr>
                <w:sz w:val="20"/>
                <w:szCs w:val="20"/>
                <w:color w:val="auto"/>
              </w:rPr>
            </w:pPr>
            <w:r>
              <w:rPr>
                <w:rFonts w:ascii="Arial" w:cs="Arial" w:eastAsia="Arial" w:hAnsi="Arial"/>
                <w:sz w:val="15"/>
                <w:szCs w:val="15"/>
                <w:color w:val="auto"/>
              </w:rPr>
              <w:t>No Score</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4"/>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9"/>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8"/>
          </w:tcPr>
          <w:p>
            <w:pPr>
              <w:jc w:val="center"/>
              <w:ind w:right="200"/>
              <w:spacing w:after="0"/>
              <w:rPr>
                <w:sz w:val="20"/>
                <w:szCs w:val="20"/>
                <w:color w:val="auto"/>
              </w:rPr>
            </w:pPr>
            <w:r>
              <w:rPr>
                <w:rFonts w:ascii="Arial" w:cs="Arial" w:eastAsia="Arial" w:hAnsi="Arial"/>
                <w:sz w:val="15"/>
                <w:szCs w:val="15"/>
                <w:b w:val="1"/>
                <w:bCs w:val="1"/>
                <w:color w:val="auto"/>
                <w:w w:val="90"/>
              </w:rPr>
              <w:t>Acquired Vacation Ownership Notes Receivable - Hyatt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2"/>
        </w:trPr>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2018 &amp; Prior</w:t>
            </w:r>
          </w:p>
        </w:tc>
        <w:tc>
          <w:tcPr>
            <w:tcW w:w="120" w:type="dxa"/>
            <w:vAlign w:val="bottom"/>
            <w:tcBorders>
              <w:bottom w:val="single" w:sz="8" w:color="CCEEFF"/>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Total</w:t>
            </w:r>
          </w:p>
        </w:tc>
      </w:tr>
      <w:tr>
        <w:trPr>
          <w:trHeight w:val="219"/>
        </w:trPr>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7"/>
              </w:rPr>
              <w:t>700</w:t>
            </w:r>
          </w:p>
        </w:tc>
        <w:tc>
          <w:tcPr>
            <w:tcW w:w="1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4"/>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260" w:type="dxa"/>
            <w:vAlign w:val="bottom"/>
          </w:tcPr>
          <w:p>
            <w:pPr>
              <w:ind w:left="20"/>
              <w:spacing w:after="0"/>
              <w:rPr>
                <w:sz w:val="20"/>
                <w:szCs w:val="20"/>
                <w:color w:val="auto"/>
              </w:rPr>
            </w:pPr>
            <w:r>
              <w:rPr>
                <w:rFonts w:ascii="Arial" w:cs="Arial" w:eastAsia="Arial" w:hAnsi="Arial"/>
                <w:sz w:val="15"/>
                <w:szCs w:val="15"/>
                <w:color w:val="auto"/>
                <w:w w:val="87"/>
              </w:rPr>
              <w:t>600</w:t>
            </w:r>
          </w:p>
        </w:tc>
        <w:tc>
          <w:tcPr>
            <w:tcW w:w="1080" w:type="dxa"/>
            <w:vAlign w:val="bottom"/>
          </w:tcPr>
          <w:p>
            <w:pPr>
              <w:ind w:left="20"/>
              <w:spacing w:after="0"/>
              <w:rPr>
                <w:sz w:val="20"/>
                <w:szCs w:val="20"/>
                <w:color w:val="auto"/>
              </w:rPr>
            </w:pPr>
            <w:r>
              <w:rPr>
                <w:rFonts w:ascii="Arial" w:cs="Arial" w:eastAsia="Arial" w:hAnsi="Arial"/>
                <w:sz w:val="15"/>
                <w:szCs w:val="15"/>
                <w:color w:val="auto"/>
              </w:rPr>
              <w:t>- 699</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4"/>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1340" w:type="dxa"/>
            <w:vAlign w:val="bottom"/>
            <w:gridSpan w:val="2"/>
          </w:tcPr>
          <w:p>
            <w:pPr>
              <w:ind w:left="20"/>
              <w:spacing w:after="0"/>
              <w:rPr>
                <w:sz w:val="20"/>
                <w:szCs w:val="20"/>
                <w:color w:val="auto"/>
              </w:rPr>
            </w:pPr>
            <w:r>
              <w:rPr>
                <w:rFonts w:ascii="Arial" w:cs="Arial" w:eastAsia="Arial" w:hAnsi="Arial"/>
                <w:sz w:val="15"/>
                <w:szCs w:val="15"/>
                <w:color w:val="auto"/>
              </w:rPr>
              <w:t>No Score</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4"/>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8"/>
          </w:tcPr>
          <w:p>
            <w:pPr>
              <w:jc w:val="center"/>
              <w:ind w:right="200"/>
              <w:spacing w:after="0"/>
              <w:rPr>
                <w:sz w:val="20"/>
                <w:szCs w:val="20"/>
                <w:color w:val="auto"/>
              </w:rPr>
            </w:pPr>
            <w:r>
              <w:rPr>
                <w:rFonts w:ascii="Arial" w:cs="Arial" w:eastAsia="Arial" w:hAnsi="Arial"/>
                <w:sz w:val="15"/>
                <w:szCs w:val="15"/>
                <w:b w:val="1"/>
                <w:bCs w:val="1"/>
                <w:color w:val="auto"/>
                <w:w w:val="89"/>
              </w:rPr>
              <w:t>Acquired Vacation Ownership Notes Receivable - Welk</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2"/>
        </w:trPr>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2018 &amp; Prior</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Total</w:t>
            </w:r>
          </w:p>
        </w:tc>
      </w:tr>
      <w:tr>
        <w:trPr>
          <w:trHeight w:val="219"/>
        </w:trPr>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7"/>
              </w:rPr>
              <w:t>700</w:t>
            </w:r>
          </w:p>
        </w:tc>
        <w:tc>
          <w:tcPr>
            <w:tcW w:w="1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36"/>
        </w:trPr>
        <w:tc>
          <w:tcPr>
            <w:tcW w:w="260" w:type="dxa"/>
            <w:vAlign w:val="bottom"/>
          </w:tcPr>
          <w:p>
            <w:pPr>
              <w:ind w:left="20"/>
              <w:spacing w:after="0"/>
              <w:rPr>
                <w:sz w:val="20"/>
                <w:szCs w:val="20"/>
                <w:color w:val="auto"/>
              </w:rPr>
            </w:pPr>
            <w:r>
              <w:rPr>
                <w:rFonts w:ascii="Arial" w:cs="Arial" w:eastAsia="Arial" w:hAnsi="Arial"/>
                <w:sz w:val="15"/>
                <w:szCs w:val="15"/>
                <w:color w:val="auto"/>
                <w:w w:val="87"/>
              </w:rPr>
              <w:t>600</w:t>
            </w:r>
          </w:p>
        </w:tc>
        <w:tc>
          <w:tcPr>
            <w:tcW w:w="1080" w:type="dxa"/>
            <w:vAlign w:val="bottom"/>
          </w:tcPr>
          <w:p>
            <w:pPr>
              <w:ind w:left="20"/>
              <w:spacing w:after="0"/>
              <w:rPr>
                <w:sz w:val="20"/>
                <w:szCs w:val="20"/>
                <w:color w:val="auto"/>
              </w:rPr>
            </w:pPr>
            <w:r>
              <w:rPr>
                <w:rFonts w:ascii="Arial" w:cs="Arial" w:eastAsia="Arial" w:hAnsi="Arial"/>
                <w:sz w:val="15"/>
                <w:szCs w:val="15"/>
                <w:color w:val="auto"/>
              </w:rPr>
              <w:t>- 699</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36"/>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6"/>
        </w:trPr>
        <w:tc>
          <w:tcPr>
            <w:tcW w:w="1340" w:type="dxa"/>
            <w:vAlign w:val="bottom"/>
            <w:gridSpan w:val="2"/>
          </w:tcPr>
          <w:p>
            <w:pPr>
              <w:ind w:left="20"/>
              <w:spacing w:after="0"/>
              <w:rPr>
                <w:sz w:val="20"/>
                <w:szCs w:val="20"/>
                <w:color w:val="auto"/>
              </w:rPr>
            </w:pPr>
            <w:r>
              <w:rPr>
                <w:rFonts w:ascii="Arial" w:cs="Arial" w:eastAsia="Arial" w:hAnsi="Arial"/>
                <w:sz w:val="15"/>
                <w:szCs w:val="15"/>
                <w:color w:val="auto"/>
              </w:rPr>
              <w:t>No Score</w:t>
            </w:r>
          </w:p>
        </w:tc>
        <w:tc>
          <w:tcPr>
            <w:tcW w:w="220" w:type="dxa"/>
            <w:vAlign w:val="bottom"/>
          </w:tcPr>
          <w:p>
            <w:pPr>
              <w:spacing w:after="0"/>
              <w:rPr>
                <w:sz w:val="20"/>
                <w:szCs w:val="20"/>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9"/>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073" w:right="35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i w:val="1"/>
          <w:iCs w:val="1"/>
          <w:color w:val="auto"/>
        </w:rPr>
        <w:t>Originated Vacation Ownership Notes Receivable</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December 31,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gridSpan w:val="7"/>
          </w:tcPr>
          <w:p>
            <w:pPr>
              <w:jc w:val="center"/>
              <w:ind w:right="38"/>
              <w:spacing w:after="0"/>
              <w:rPr>
                <w:sz w:val="20"/>
                <w:szCs w:val="20"/>
                <w:color w:val="auto"/>
              </w:rPr>
            </w:pPr>
            <w:r>
              <w:rPr>
                <w:rFonts w:ascii="Arial" w:cs="Arial" w:eastAsia="Arial" w:hAnsi="Arial"/>
                <w:sz w:val="15"/>
                <w:szCs w:val="15"/>
                <w:b w:val="1"/>
                <w:bCs w:val="1"/>
                <w:color w:val="auto"/>
                <w:w w:val="89"/>
              </w:rPr>
              <w:t>Originated Vacation Ownership Notes Receivable</w:t>
            </w:r>
          </w:p>
        </w:tc>
        <w:tc>
          <w:tcPr>
            <w:tcW w:w="0" w:type="dxa"/>
            <w:vAlign w:val="bottom"/>
          </w:tcPr>
          <w:p>
            <w:pPr>
              <w:spacing w:after="0"/>
              <w:rPr>
                <w:sz w:val="1"/>
                <w:szCs w:val="1"/>
                <w:color w:val="auto"/>
              </w:rPr>
            </w:pPr>
          </w:p>
        </w:tc>
      </w:tr>
      <w:tr>
        <w:trPr>
          <w:trHeight w:val="192"/>
        </w:trPr>
        <w:tc>
          <w:tcPr>
            <w:tcW w:w="39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Non-Securitized</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Securitized</w:t>
            </w:r>
          </w:p>
        </w:tc>
        <w:tc>
          <w:tcPr>
            <w:tcW w:w="140" w:type="dxa"/>
            <w:vAlign w:val="bottom"/>
          </w:tcPr>
          <w:p>
            <w:pPr>
              <w:spacing w:after="0"/>
              <w:rPr>
                <w:sz w:val="16"/>
                <w:szCs w:val="16"/>
                <w:color w:val="auto"/>
              </w:rPr>
            </w:pPr>
          </w:p>
        </w:tc>
        <w:tc>
          <w:tcPr>
            <w:tcW w:w="1240" w:type="dxa"/>
            <w:vAlign w:val="bottom"/>
          </w:tcPr>
          <w:p>
            <w:pPr>
              <w:jc w:val="center"/>
              <w:ind w:right="58"/>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1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9"/>
              <w:spacing w:after="0" w:line="181" w:lineRule="exact"/>
              <w:rPr>
                <w:sz w:val="20"/>
                <w:szCs w:val="20"/>
                <w:color w:val="auto"/>
              </w:rPr>
            </w:pPr>
            <w:r>
              <w:rPr>
                <w:rFonts w:ascii="Arial" w:cs="Arial" w:eastAsia="Arial" w:hAnsi="Arial"/>
                <w:sz w:val="17"/>
                <w:szCs w:val="17"/>
                <w:color w:val="auto"/>
                <w:w w:val="91"/>
              </w:rPr>
              <w:t>12.5%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8"/>
              <w:spacing w:after="0" w:line="181" w:lineRule="exact"/>
              <w:rPr>
                <w:sz w:val="20"/>
                <w:szCs w:val="20"/>
                <w:color w:val="auto"/>
              </w:rPr>
            </w:pPr>
            <w:r>
              <w:rPr>
                <w:rFonts w:ascii="Arial" w:cs="Arial" w:eastAsia="Arial" w:hAnsi="Arial"/>
                <w:sz w:val="17"/>
                <w:szCs w:val="17"/>
                <w:color w:val="auto"/>
                <w:w w:val="91"/>
              </w:rPr>
              <w:t>13.1%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8"/>
              <w:spacing w:after="0" w:line="181" w:lineRule="exact"/>
              <w:rPr>
                <w:sz w:val="20"/>
                <w:szCs w:val="20"/>
                <w:color w:val="auto"/>
              </w:rPr>
            </w:pPr>
            <w:r>
              <w:rPr>
                <w:rFonts w:ascii="Arial" w:cs="Arial" w:eastAsia="Arial" w:hAnsi="Arial"/>
                <w:sz w:val="17"/>
                <w:szCs w:val="17"/>
                <w:color w:val="auto"/>
                <w:w w:val="87"/>
              </w:rPr>
              <w:t>13.0%</w:t>
            </w: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0"/>
              </w:rPr>
              <w:t>0.0% to 20.9%</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0"/>
              </w:rPr>
              <w:t>0.0% to 19.9%</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right="58"/>
              <w:spacing w:after="0"/>
              <w:rPr>
                <w:sz w:val="20"/>
                <w:szCs w:val="20"/>
                <w:color w:val="auto"/>
              </w:rPr>
            </w:pPr>
            <w:r>
              <w:rPr>
                <w:rFonts w:ascii="Arial" w:cs="Arial" w:eastAsia="Arial" w:hAnsi="Arial"/>
                <w:sz w:val="17"/>
                <w:szCs w:val="17"/>
                <w:color w:val="auto"/>
                <w:w w:val="88"/>
              </w:rPr>
              <w:t>0.0% to 20.9%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Originated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16510</wp:posOffset>
            </wp:positionV>
            <wp:extent cx="278955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789555" cy="7620"/>
                    </a:xfrm>
                    <a:prstGeom prst="rect">
                      <a:avLst/>
                    </a:prstGeom>
                    <a:noFill/>
                  </pic:spPr>
                </pic:pic>
              </a:graphicData>
            </a:graphic>
          </wp:anchor>
        </w:drawing>
      </w:r>
    </w:p>
    <w:p>
      <w:pPr>
        <w:spacing w:after="0" w:line="19" w:lineRule="exact"/>
        <w:rPr>
          <w:sz w:val="20"/>
          <w:szCs w:val="20"/>
          <w:color w:val="auto"/>
        </w:rPr>
      </w:pPr>
    </w:p>
    <w:p>
      <w:pPr>
        <w:ind w:left="20"/>
        <w:spacing w:after="0"/>
        <w:tabs>
          <w:tab w:leader="none" w:pos="4140" w:val="left"/>
          <w:tab w:leader="none" w:pos="5800" w:val="left"/>
          <w:tab w:leader="none" w:pos="7500" w:val="left"/>
        </w:tabs>
        <w:rPr>
          <w:sz w:val="20"/>
          <w:szCs w:val="20"/>
          <w:color w:val="auto"/>
        </w:rPr>
      </w:pPr>
      <w:r>
        <w:rPr>
          <w:rFonts w:ascii="Arial" w:cs="Arial" w:eastAsia="Arial" w:hAnsi="Arial"/>
          <w:sz w:val="13"/>
          <w:szCs w:val="13"/>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309870" cy="149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sectPr>
      </w:pPr>
    </w:p>
    <w:p>
      <w:pPr>
        <w:spacing w:after="0" w:line="39" w:lineRule="exact"/>
        <w:rPr>
          <w:sz w:val="20"/>
          <w:szCs w:val="20"/>
          <w:color w:val="auto"/>
        </w:rPr>
      </w:pPr>
    </w:p>
    <w:p>
      <w:pPr>
        <w:ind w:left="20"/>
        <w:spacing w:after="0"/>
        <w:tabs>
          <w:tab w:leader="none" w:pos="3960" w:val="left"/>
        </w:tabs>
        <w:rPr>
          <w:sz w:val="20"/>
          <w:szCs w:val="20"/>
          <w:color w:val="auto"/>
        </w:rPr>
      </w:pPr>
      <w:r>
        <w:rPr>
          <w:rFonts w:ascii="Arial" w:cs="Arial" w:eastAsia="Arial" w:hAnsi="Arial"/>
          <w:sz w:val="17"/>
          <w:szCs w:val="17"/>
          <w:color w:val="auto"/>
        </w:rPr>
        <w:t>Balance at December 31, 2019</w:t>
      </w:r>
      <w:r>
        <w:rPr>
          <w:sz w:val="20"/>
          <w:szCs w:val="20"/>
          <w:color w:val="auto"/>
        </w:rPr>
        <w:tab/>
      </w:r>
      <w:r>
        <w:rPr>
          <w:rFonts w:ascii="Arial" w:cs="Arial" w:eastAsia="Arial" w:hAnsi="Arial"/>
          <w:sz w:val="13"/>
          <w:szCs w:val="13"/>
          <w:color w:val="auto"/>
        </w:rPr>
        <w: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5309870" cy="1498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Clean-up call</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Write-offs</w:t>
      </w:r>
    </w:p>
    <w:p>
      <w:pPr>
        <w:spacing w:after="0" w:line="29" w:lineRule="exact"/>
        <w:rPr>
          <w:sz w:val="20"/>
          <w:szCs w:val="20"/>
          <w:color w:val="auto"/>
        </w:rPr>
      </w:pPr>
    </w:p>
    <w:p>
      <w:pPr>
        <w:ind w:left="120" w:right="1000"/>
        <w:spacing w:after="0" w:line="229" w:lineRule="auto"/>
        <w:rPr>
          <w:sz w:val="20"/>
          <w:szCs w:val="20"/>
          <w:color w:val="auto"/>
        </w:rPr>
      </w:pPr>
      <w:r>
        <w:rPr>
          <w:rFonts w:ascii="Arial" w:cs="Arial" w:eastAsia="Arial" w:hAnsi="Arial"/>
          <w:sz w:val="17"/>
          <w:szCs w:val="17"/>
          <w:color w:val="auto"/>
        </w:rPr>
        <w:t>Defaulted vacation ownership notes receivable repurchase activity</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5309870" cy="2451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309870" cy="24511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Increase in vacation ownership notes receivable reserve</w:t>
      </w:r>
      <w:r>
        <w:rPr>
          <w:rFonts w:ascii="Arial" w:cs="Arial" w:eastAsia="Arial" w:hAnsi="Arial"/>
          <w:sz w:val="7"/>
          <w:szCs w:val="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309870" cy="149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2020</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Increase in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5309870" cy="149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Securitizations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Clean-up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5309870" cy="149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Write-offs</w:t>
      </w:r>
    </w:p>
    <w:p>
      <w:pPr>
        <w:spacing w:after="0" w:line="29" w:lineRule="exact"/>
        <w:rPr>
          <w:sz w:val="20"/>
          <w:szCs w:val="20"/>
          <w:color w:val="auto"/>
        </w:rPr>
      </w:pPr>
    </w:p>
    <w:p>
      <w:pPr>
        <w:ind w:left="200" w:right="940"/>
        <w:spacing w:after="0" w:line="229" w:lineRule="auto"/>
        <w:rPr>
          <w:sz w:val="20"/>
          <w:szCs w:val="20"/>
          <w:color w:val="auto"/>
        </w:rPr>
      </w:pPr>
      <w:r>
        <w:rPr>
          <w:rFonts w:ascii="Arial" w:cs="Arial" w:eastAsia="Arial" w:hAnsi="Arial"/>
          <w:sz w:val="17"/>
          <w:szCs w:val="17"/>
          <w:color w:val="auto"/>
        </w:rPr>
        <w:t>Defaulted vacation ownership notes receivable repurchase activity</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309870"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2021</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Increase in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5309870" cy="149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ind w:left="200"/>
              <w:spacing w:after="0"/>
              <w:rPr>
                <w:sz w:val="20"/>
                <w:szCs w:val="20"/>
                <w:color w:val="auto"/>
              </w:rPr>
            </w:pPr>
            <w:r>
              <w:rPr>
                <w:rFonts w:ascii="Arial" w:cs="Arial" w:eastAsia="Arial" w:hAnsi="Arial"/>
                <w:sz w:val="17"/>
                <w:szCs w:val="17"/>
                <w:color w:val="auto"/>
              </w:rPr>
              <w:t>Securitizations</w:t>
            </w:r>
          </w:p>
        </w:tc>
        <w:tc>
          <w:tcPr>
            <w:tcW w:w="420" w:type="dxa"/>
            <w:vAlign w:val="bottom"/>
          </w:tcPr>
          <w:p>
            <w:pPr>
              <w:spacing w:after="0"/>
              <w:rPr>
                <w:sz w:val="18"/>
                <w:szCs w:val="18"/>
                <w:color w:val="auto"/>
              </w:rPr>
            </w:pPr>
          </w:p>
        </w:tc>
      </w:tr>
      <w:tr>
        <w:trPr>
          <w:trHeight w:val="236"/>
        </w:trPr>
        <w:tc>
          <w:tcPr>
            <w:tcW w:w="3640" w:type="dxa"/>
            <w:vAlign w:val="bottom"/>
          </w:tcPr>
          <w:p>
            <w:pPr>
              <w:ind w:left="200"/>
              <w:spacing w:after="0"/>
              <w:rPr>
                <w:sz w:val="20"/>
                <w:szCs w:val="20"/>
                <w:color w:val="auto"/>
              </w:rPr>
            </w:pPr>
            <w:r>
              <w:rPr>
                <w:rFonts w:ascii="Arial" w:cs="Arial" w:eastAsia="Arial" w:hAnsi="Arial"/>
                <w:sz w:val="17"/>
                <w:szCs w:val="17"/>
                <w:color w:val="auto"/>
              </w:rPr>
              <w:t>Clean-up call</w:t>
            </w:r>
          </w:p>
        </w:tc>
        <w:tc>
          <w:tcPr>
            <w:tcW w:w="420" w:type="dxa"/>
            <w:vAlign w:val="bottom"/>
          </w:tcPr>
          <w:p>
            <w:pPr>
              <w:spacing w:after="0"/>
              <w:rPr>
                <w:sz w:val="20"/>
                <w:szCs w:val="20"/>
                <w:color w:val="auto"/>
              </w:rPr>
            </w:pPr>
          </w:p>
        </w:tc>
      </w:tr>
      <w:tr>
        <w:trPr>
          <w:trHeight w:val="236"/>
        </w:trPr>
        <w:tc>
          <w:tcPr>
            <w:tcW w:w="3640" w:type="dxa"/>
            <w:vAlign w:val="bottom"/>
          </w:tcPr>
          <w:p>
            <w:pPr>
              <w:ind w:left="200"/>
              <w:spacing w:after="0"/>
              <w:rPr>
                <w:sz w:val="20"/>
                <w:szCs w:val="20"/>
                <w:color w:val="auto"/>
              </w:rPr>
            </w:pPr>
            <w:r>
              <w:rPr>
                <w:rFonts w:ascii="Arial" w:cs="Arial" w:eastAsia="Arial" w:hAnsi="Arial"/>
                <w:sz w:val="17"/>
                <w:szCs w:val="17"/>
                <w:color w:val="auto"/>
              </w:rPr>
              <w:t>Write-offs</w:t>
            </w:r>
          </w:p>
        </w:tc>
        <w:tc>
          <w:tcPr>
            <w:tcW w:w="420" w:type="dxa"/>
            <w:vAlign w:val="bottom"/>
          </w:tcPr>
          <w:p>
            <w:pPr>
              <w:spacing w:after="0"/>
              <w:rPr>
                <w:sz w:val="20"/>
                <w:szCs w:val="20"/>
                <w:color w:val="auto"/>
              </w:rPr>
            </w:pPr>
          </w:p>
        </w:tc>
      </w:tr>
      <w:tr>
        <w:trPr>
          <w:trHeight w:val="174"/>
        </w:trPr>
        <w:tc>
          <w:tcPr>
            <w:tcW w:w="3640" w:type="dxa"/>
            <w:vAlign w:val="bottom"/>
          </w:tcPr>
          <w:p>
            <w:pPr>
              <w:ind w:left="200"/>
              <w:spacing w:after="0" w:line="174" w:lineRule="exact"/>
              <w:rPr>
                <w:sz w:val="20"/>
                <w:szCs w:val="20"/>
                <w:color w:val="auto"/>
              </w:rPr>
            </w:pPr>
            <w:r>
              <w:rPr>
                <w:rFonts w:ascii="Arial" w:cs="Arial" w:eastAsia="Arial" w:hAnsi="Arial"/>
                <w:sz w:val="17"/>
                <w:szCs w:val="17"/>
                <w:color w:val="auto"/>
                <w:w w:val="97"/>
              </w:rPr>
              <w:t>Defaulted vacation ownership notes receivable</w:t>
            </w:r>
          </w:p>
        </w:tc>
        <w:tc>
          <w:tcPr>
            <w:tcW w:w="420" w:type="dxa"/>
            <w:vAlign w:val="bottom"/>
          </w:tcPr>
          <w:p>
            <w:pPr>
              <w:spacing w:after="0"/>
              <w:rPr>
                <w:sz w:val="15"/>
                <w:szCs w:val="15"/>
                <w:color w:val="auto"/>
              </w:rPr>
            </w:pPr>
          </w:p>
        </w:tc>
      </w:tr>
      <w:tr>
        <w:trPr>
          <w:trHeight w:val="212"/>
        </w:trPr>
        <w:tc>
          <w:tcPr>
            <w:tcW w:w="3640" w:type="dxa"/>
            <w:vAlign w:val="bottom"/>
          </w:tcPr>
          <w:p>
            <w:pPr>
              <w:ind w:left="200"/>
              <w:spacing w:after="0"/>
              <w:rPr>
                <w:sz w:val="20"/>
                <w:szCs w:val="20"/>
                <w:color w:val="auto"/>
              </w:rPr>
            </w:pPr>
            <w:r>
              <w:rPr>
                <w:rFonts w:ascii="Arial" w:cs="Arial" w:eastAsia="Arial" w:hAnsi="Arial"/>
                <w:sz w:val="17"/>
                <w:szCs w:val="17"/>
                <w:color w:val="auto"/>
              </w:rPr>
              <w:t>repurchase activity</w:t>
            </w:r>
            <w:r>
              <w:rPr>
                <w:rFonts w:ascii="Arial" w:cs="Arial" w:eastAsia="Arial" w:hAnsi="Arial"/>
                <w:sz w:val="8"/>
                <w:szCs w:val="8"/>
                <w:color w:val="auto"/>
              </w:rPr>
              <w:t>(1)</w:t>
            </w:r>
          </w:p>
        </w:tc>
        <w:tc>
          <w:tcPr>
            <w:tcW w:w="420" w:type="dxa"/>
            <w:vAlign w:val="bottom"/>
          </w:tcPr>
          <w:p>
            <w:pPr>
              <w:spacing w:after="0"/>
              <w:rPr>
                <w:sz w:val="18"/>
                <w:szCs w:val="18"/>
                <w:color w:val="auto"/>
              </w:rPr>
            </w:pPr>
          </w:p>
        </w:tc>
      </w:tr>
      <w:tr>
        <w:trPr>
          <w:trHeight w:val="274"/>
        </w:trPr>
        <w:tc>
          <w:tcPr>
            <w:tcW w:w="364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11"/>
        </w:trPr>
        <w:tc>
          <w:tcPr>
            <w:tcW w:w="3640" w:type="dxa"/>
            <w:vAlign w:val="bottom"/>
          </w:tcPr>
          <w:p>
            <w:pPr>
              <w:spacing w:after="0"/>
              <w:rPr>
                <w:sz w:val="20"/>
                <w:szCs w:val="20"/>
                <w:color w:val="auto"/>
              </w:rPr>
            </w:pPr>
            <w:r>
              <w:rPr>
                <w:rFonts w:ascii="Arial" w:cs="Arial" w:eastAsia="Arial" w:hAnsi="Arial"/>
                <w:sz w:val="17"/>
                <w:szCs w:val="17"/>
                <w:color w:val="auto"/>
              </w:rPr>
              <w:t>_________________________</w:t>
            </w: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-758190</wp:posOffset>
            </wp:positionV>
            <wp:extent cx="5309870" cy="149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309870" cy="149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-354965</wp:posOffset>
            </wp:positionV>
            <wp:extent cx="5309870" cy="1581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30987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90</w:t>
            </w:r>
          </w:p>
        </w:tc>
        <w:tc>
          <w:tcPr>
            <w:tcW w:w="600" w:type="dxa"/>
            <w:vAlign w:val="bottom"/>
          </w:tcPr>
          <w:p>
            <w:pPr>
              <w:jc w:val="right"/>
              <w:ind w:right="417"/>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8"/>
                <w:szCs w:val="18"/>
                <w:color w:val="auto"/>
              </w:rPr>
            </w:pPr>
          </w:p>
        </w:tc>
        <w:tc>
          <w:tcPr>
            <w:tcW w:w="540" w:type="dxa"/>
            <w:vAlign w:val="bottom"/>
          </w:tcPr>
          <w:p>
            <w:pPr>
              <w:jc w:val="right"/>
              <w:ind w:right="35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36"/>
        </w:trPr>
        <w:tc>
          <w:tcPr>
            <w:tcW w:w="520" w:type="dxa"/>
            <w:vAlign w:val="bottom"/>
          </w:tcPr>
          <w:p>
            <w:pPr>
              <w:jc w:val="right"/>
              <w:ind w:right="77"/>
              <w:spacing w:after="0"/>
              <w:rPr>
                <w:sz w:val="20"/>
                <w:szCs w:val="20"/>
                <w:color w:val="auto"/>
              </w:rPr>
            </w:pPr>
            <w:r>
              <w:rPr>
                <w:rFonts w:ascii="Arial" w:cs="Arial" w:eastAsia="Arial" w:hAnsi="Arial"/>
                <w:sz w:val="17"/>
                <w:szCs w:val="17"/>
                <w:color w:val="auto"/>
              </w:rPr>
              <w:t>(70)</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37</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0" w:type="dxa"/>
            <w:vAlign w:val="bottom"/>
          </w:tcPr>
          <w:p>
            <w:pPr>
              <w:jc w:val="right"/>
              <w:ind w:right="77"/>
              <w:spacing w:after="0"/>
              <w:rPr>
                <w:sz w:val="20"/>
                <w:szCs w:val="20"/>
                <w:color w:val="auto"/>
              </w:rPr>
            </w:pPr>
            <w:r>
              <w:rPr>
                <w:rFonts w:ascii="Arial" w:cs="Arial" w:eastAsia="Arial" w:hAnsi="Arial"/>
                <w:sz w:val="17"/>
                <w:szCs w:val="17"/>
                <w:color w:val="auto"/>
              </w:rPr>
              <w:t>(31)</w:t>
            </w:r>
          </w:p>
        </w:tc>
        <w:tc>
          <w:tcPr>
            <w:tcW w:w="6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8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80</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87</w:t>
            </w: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r>
      <w:tr>
        <w:trPr>
          <w:trHeight w:val="217"/>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193</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310</w:t>
            </w:r>
          </w:p>
        </w:tc>
      </w:tr>
      <w:tr>
        <w:trPr>
          <w:trHeight w:val="23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78</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36"/>
        </w:trPr>
        <w:tc>
          <w:tcPr>
            <w:tcW w:w="520" w:type="dxa"/>
            <w:vAlign w:val="bottom"/>
          </w:tcPr>
          <w:p>
            <w:pPr>
              <w:jc w:val="right"/>
              <w:ind w:right="77"/>
              <w:spacing w:after="0"/>
              <w:rPr>
                <w:sz w:val="20"/>
                <w:szCs w:val="20"/>
                <w:color w:val="auto"/>
              </w:rPr>
            </w:pPr>
            <w:r>
              <w:rPr>
                <w:rFonts w:ascii="Arial" w:cs="Arial" w:eastAsia="Arial" w:hAnsi="Arial"/>
                <w:sz w:val="17"/>
                <w:szCs w:val="17"/>
                <w:color w:val="auto"/>
              </w:rPr>
              <w:t>(76)</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12</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0" w:type="dxa"/>
            <w:vAlign w:val="bottom"/>
          </w:tcPr>
          <w:p>
            <w:pPr>
              <w:jc w:val="right"/>
              <w:ind w:right="77"/>
              <w:spacing w:after="0"/>
              <w:rPr>
                <w:sz w:val="20"/>
                <w:szCs w:val="20"/>
                <w:color w:val="auto"/>
              </w:rPr>
            </w:pPr>
            <w:r>
              <w:rPr>
                <w:rFonts w:ascii="Arial" w:cs="Arial" w:eastAsia="Arial" w:hAnsi="Arial"/>
                <w:sz w:val="17"/>
                <w:szCs w:val="17"/>
                <w:color w:val="auto"/>
              </w:rPr>
              <w:t>(79)</w:t>
            </w:r>
          </w:p>
        </w:tc>
        <w:tc>
          <w:tcPr>
            <w:tcW w:w="6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38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65</w:t>
            </w: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193</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23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118</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165</w:t>
            </w:r>
          </w:p>
        </w:tc>
      </w:tr>
      <w:tr>
        <w:trPr>
          <w:trHeight w:val="236"/>
        </w:trPr>
        <w:tc>
          <w:tcPr>
            <w:tcW w:w="520" w:type="dxa"/>
            <w:vAlign w:val="bottom"/>
          </w:tcPr>
          <w:p>
            <w:pPr>
              <w:jc w:val="right"/>
              <w:ind w:right="77"/>
              <w:spacing w:after="0"/>
              <w:rPr>
                <w:sz w:val="20"/>
                <w:szCs w:val="20"/>
                <w:color w:val="auto"/>
              </w:rPr>
            </w:pPr>
            <w:r>
              <w:rPr>
                <w:rFonts w:ascii="Arial" w:cs="Arial" w:eastAsia="Arial" w:hAnsi="Arial"/>
                <w:sz w:val="17"/>
                <w:szCs w:val="17"/>
                <w:color w:val="auto"/>
                <w:w w:val="85"/>
              </w:rPr>
              <w:t>(132)</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37</w:t>
            </w: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0" w:type="dxa"/>
            <w:vAlign w:val="bottom"/>
          </w:tcPr>
          <w:p>
            <w:pPr>
              <w:jc w:val="right"/>
              <w:ind w:right="77"/>
              <w:spacing w:after="0"/>
              <w:rPr>
                <w:sz w:val="20"/>
                <w:szCs w:val="20"/>
                <w:color w:val="auto"/>
              </w:rPr>
            </w:pPr>
            <w:r>
              <w:rPr>
                <w:rFonts w:ascii="Arial" w:cs="Arial" w:eastAsia="Arial" w:hAnsi="Arial"/>
                <w:sz w:val="17"/>
                <w:szCs w:val="17"/>
                <w:color w:val="auto"/>
                <w:w w:val="85"/>
              </w:rPr>
              <w:t>(136)</w:t>
            </w:r>
          </w:p>
        </w:tc>
        <w:tc>
          <w:tcPr>
            <w:tcW w:w="6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398"/>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69</w:t>
            </w: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520" w:type="dxa"/>
            <w:vAlign w:val="bottom"/>
          </w:tcPr>
          <w:p>
            <w:pPr>
              <w:jc w:val="right"/>
              <w:ind w:right="117"/>
              <w:spacing w:after="0"/>
              <w:rPr>
                <w:sz w:val="20"/>
                <w:szCs w:val="20"/>
                <w:color w:val="auto"/>
              </w:rPr>
            </w:pPr>
            <w:r>
              <w:rPr>
                <w:rFonts w:ascii="Arial" w:cs="Arial" w:eastAsia="Arial" w:hAnsi="Arial"/>
                <w:sz w:val="17"/>
                <w:szCs w:val="17"/>
                <w:color w:val="auto"/>
              </w:rPr>
              <w:t>149</w:t>
            </w:r>
          </w:p>
        </w:tc>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r>
      <w:tr>
        <w:trPr>
          <w:trHeight w:val="20"/>
        </w:trPr>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-15240</wp:posOffset>
            </wp:positionV>
            <wp:extent cx="88519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85190" cy="7620"/>
                    </a:xfrm>
                    <a:prstGeom prst="rect">
                      <a:avLst/>
                    </a:prstGeom>
                    <a:noFill/>
                  </pic:spPr>
                </pic:pic>
              </a:graphicData>
            </a:graphic>
          </wp:anchor>
        </w:drawing>
      </w:r>
    </w:p>
    <w:p>
      <w:pPr>
        <w:spacing w:after="0" w:line="323" w:lineRule="exact"/>
        <w:rPr>
          <w:sz w:val="20"/>
          <w:szCs w:val="20"/>
          <w:color w:val="auto"/>
        </w:rPr>
      </w:pPr>
    </w:p>
    <w:p>
      <w:pPr>
        <w:sectPr>
          <w:pgSz w:w="11900" w:h="16838" w:orient="portrait"/>
          <w:cols w:equalWidth="0" w:num="2">
            <w:col w:w="4240" w:space="720"/>
            <w:col w:w="6240"/>
          </w:cols>
          <w:pgMar w:left="320" w:top="1222" w:right="379" w:bottom="1440" w:gutter="0" w:footer="0" w:header="0"/>
          <w:type w:val="continuous"/>
        </w:sectPr>
      </w:pPr>
    </w:p>
    <w:p>
      <w:pPr>
        <w:ind w:left="300" w:right="500" w:hanging="300"/>
        <w:spacing w:after="0" w:line="238" w:lineRule="auto"/>
        <w:tabs>
          <w:tab w:leader="none" w:pos="289" w:val="left"/>
        </w:tabs>
        <w:numPr>
          <w:ilvl w:val="0"/>
          <w:numId w:val="28"/>
        </w:numPr>
        <w:rPr>
          <w:rFonts w:ascii="Arial" w:cs="Arial" w:eastAsia="Arial" w:hAnsi="Arial"/>
          <w:sz w:val="20"/>
          <w:szCs w:val="20"/>
          <w:color w:val="auto"/>
          <w:vertAlign w:val="superscript"/>
        </w:rPr>
      </w:pPr>
      <w:r>
        <w:rPr>
          <w:rFonts w:ascii="Arial" w:cs="Arial" w:eastAsia="Arial" w:hAnsi="Arial"/>
          <w:sz w:val="16"/>
          <w:szCs w:val="16"/>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37" w:lineRule="exact"/>
        <w:rPr>
          <w:rFonts w:ascii="Arial" w:cs="Arial" w:eastAsia="Arial" w:hAnsi="Arial"/>
          <w:sz w:val="20"/>
          <w:szCs w:val="20"/>
          <w:color w:val="auto"/>
          <w:vertAlign w:val="superscript"/>
        </w:rPr>
      </w:pPr>
    </w:p>
    <w:p>
      <w:pPr>
        <w:ind w:left="300" w:right="100" w:hanging="300"/>
        <w:spacing w:after="0" w:line="219" w:lineRule="auto"/>
        <w:tabs>
          <w:tab w:leader="none" w:pos="289"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Increase in vacation ownership notes receivable reserve includes $59 million ($32 million non-securitized and $27 million securitized) attributable to the increased reserve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7"/>
          <w:szCs w:val="17"/>
          <w:color w:val="auto"/>
        </w:rPr>
        <w:t>The following tables show the originated vacation ownership notes receivable, before reserves, by brand and FICO score.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760" w:type="dxa"/>
            <w:vAlign w:val="bottom"/>
            <w:tcBorders>
              <w:bottom w:val="single" w:sz="8" w:color="auto"/>
            </w:tcBorders>
            <w:gridSpan w:val="18"/>
          </w:tcPr>
          <w:p>
            <w:pPr>
              <w:jc w:val="center"/>
              <w:ind w:right="159"/>
              <w:spacing w:after="0"/>
              <w:rPr>
                <w:sz w:val="20"/>
                <w:szCs w:val="20"/>
                <w:color w:val="auto"/>
              </w:rPr>
            </w:pPr>
            <w:r>
              <w:rPr>
                <w:rFonts w:ascii="Arial" w:cs="Arial" w:eastAsia="Arial" w:hAnsi="Arial"/>
                <w:sz w:val="15"/>
                <w:szCs w:val="15"/>
                <w:b w:val="1"/>
                <w:bCs w:val="1"/>
                <w:color w:val="auto"/>
                <w:w w:val="89"/>
              </w:rPr>
              <w:t>Originated Vacation Ownership Notes Receivable as of December 31, 2022</w:t>
            </w:r>
          </w:p>
        </w:tc>
      </w:tr>
      <w:tr>
        <w:trPr>
          <w:trHeight w:val="192"/>
        </w:trPr>
        <w:tc>
          <w:tcPr>
            <w:tcW w:w="23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40" w:type="dxa"/>
            <w:vAlign w:val="bottom"/>
          </w:tcPr>
          <w:p>
            <w:pPr>
              <w:spacing w:after="0"/>
              <w:rPr>
                <w:sz w:val="16"/>
                <w:szCs w:val="16"/>
                <w:color w:val="auto"/>
              </w:rPr>
            </w:pPr>
          </w:p>
        </w:tc>
        <w:tc>
          <w:tcPr>
            <w:tcW w:w="860" w:type="dxa"/>
            <w:vAlign w:val="bottom"/>
          </w:tcPr>
          <w:p>
            <w:pPr>
              <w:jc w:val="right"/>
              <w:ind w:right="280"/>
              <w:spacing w:after="0"/>
              <w:rPr>
                <w:sz w:val="20"/>
                <w:szCs w:val="20"/>
                <w:color w:val="auto"/>
              </w:rPr>
            </w:pPr>
            <w:r>
              <w:rPr>
                <w:rFonts w:ascii="Arial" w:cs="Arial" w:eastAsia="Arial" w:hAnsi="Arial"/>
                <w:sz w:val="15"/>
                <w:szCs w:val="15"/>
                <w:b w:val="1"/>
                <w:bCs w:val="1"/>
                <w:color w:val="auto"/>
              </w:rPr>
              <w:t>700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5"/>
                <w:szCs w:val="15"/>
                <w:b w:val="1"/>
                <w:bCs w:val="1"/>
                <w:color w:val="auto"/>
              </w:rPr>
              <w:t>600 - 699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ind w:left="203"/>
              <w:spacing w:after="0"/>
              <w:rPr>
                <w:sz w:val="20"/>
                <w:szCs w:val="20"/>
                <w:color w:val="auto"/>
              </w:rPr>
            </w:pPr>
            <w:r>
              <w:rPr>
                <w:rFonts w:ascii="Arial" w:cs="Arial" w:eastAsia="Arial" w:hAnsi="Arial"/>
                <w:sz w:val="15"/>
                <w:szCs w:val="15"/>
                <w:b w:val="1"/>
                <w:bCs w:val="1"/>
                <w:color w:val="auto"/>
                <w:w w:val="89"/>
              </w:rPr>
              <w:t>&lt; 600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No Score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5"/>
                <w:szCs w:val="15"/>
                <w:b w:val="1"/>
                <w:bCs w:val="1"/>
                <w:color w:val="auto"/>
              </w:rPr>
              <w:t>Total</w:t>
            </w:r>
          </w:p>
        </w:tc>
      </w:tr>
      <w:tr>
        <w:trPr>
          <w:trHeight w:val="219"/>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549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w:t>
            </w: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Hyatt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Welk</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51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r>
      <w:tr>
        <w:trPr>
          <w:trHeight w:val="204"/>
        </w:trPr>
        <w:tc>
          <w:tcPr>
            <w:tcW w:w="236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613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w:t>
            </w:r>
          </w:p>
        </w:tc>
      </w:tr>
      <w:tr>
        <w:trPr>
          <w:trHeight w:val="20"/>
        </w:trPr>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450"/>
        </w:trPr>
        <w:tc>
          <w:tcPr>
            <w:tcW w:w="2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18"/>
          </w:tcPr>
          <w:p>
            <w:pPr>
              <w:jc w:val="center"/>
              <w:ind w:right="159"/>
              <w:spacing w:after="0"/>
              <w:rPr>
                <w:sz w:val="20"/>
                <w:szCs w:val="20"/>
                <w:color w:val="auto"/>
              </w:rPr>
            </w:pPr>
            <w:r>
              <w:rPr>
                <w:rFonts w:ascii="Arial" w:cs="Arial" w:eastAsia="Arial" w:hAnsi="Arial"/>
                <w:sz w:val="15"/>
                <w:szCs w:val="15"/>
                <w:b w:val="1"/>
                <w:bCs w:val="1"/>
                <w:color w:val="auto"/>
                <w:w w:val="88"/>
              </w:rPr>
              <w:t>Originated Vacation Ownership Notes Receivable as of December 31, 2021</w:t>
            </w:r>
            <w:r>
              <w:rPr>
                <w:rFonts w:ascii="Arial" w:cs="Arial" w:eastAsia="Arial" w:hAnsi="Arial"/>
                <w:sz w:val="19"/>
                <w:szCs w:val="19"/>
                <w:b w:val="1"/>
                <w:bCs w:val="1"/>
                <w:color w:val="auto"/>
                <w:w w:val="88"/>
                <w:vertAlign w:val="superscript"/>
              </w:rPr>
              <w:t>(1)</w:t>
            </w:r>
          </w:p>
        </w:tc>
      </w:tr>
      <w:tr>
        <w:trPr>
          <w:trHeight w:val="189"/>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700 +</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600 - 699</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w w:val="89"/>
              </w:rPr>
              <w:t>&lt; 600</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No Score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Total</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Westin</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36"/>
        </w:trPr>
        <w:tc>
          <w:tcPr>
            <w:tcW w:w="2360" w:type="dxa"/>
            <w:vAlign w:val="bottom"/>
          </w:tcPr>
          <w:p>
            <w:pPr>
              <w:ind w:left="20"/>
              <w:spacing w:after="0"/>
              <w:rPr>
                <w:sz w:val="20"/>
                <w:szCs w:val="20"/>
                <w:color w:val="auto"/>
              </w:rPr>
            </w:pPr>
            <w:r>
              <w:rPr>
                <w:rFonts w:ascii="Arial" w:cs="Arial" w:eastAsia="Arial" w:hAnsi="Arial"/>
                <w:sz w:val="17"/>
                <w:szCs w:val="17"/>
                <w:color w:val="auto"/>
              </w:rPr>
              <w:t>Sheraton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Arial" w:cs="Arial" w:eastAsia="Arial" w:hAnsi="Arial"/>
                <w:sz w:val="17"/>
                <w:szCs w:val="17"/>
                <w:color w:val="auto"/>
              </w:rPr>
              <w:t>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Hyatt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6"/>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Welk</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27</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29"/>
        </w:trPr>
        <w:tc>
          <w:tcPr>
            <w:tcW w:w="2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198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right="260" w:hanging="300"/>
        <w:spacing w:after="0" w:line="219" w:lineRule="auto"/>
        <w:tabs>
          <w:tab w:leader="none" w:pos="289"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Balances as of December 31, 2021 exclude $1,329 million of Marriott-branded vacation ownership notes receivable as the change in credit quality indicator occurred during the third quarter of 2022.</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following tables detail the origination year of our originated vacation ownership notes receivable, before reserves, by brand and FICO score as of December 31,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gridSpan w:val="27"/>
          </w:tcPr>
          <w:p>
            <w:pPr>
              <w:jc w:val="center"/>
              <w:ind w:right="280"/>
              <w:spacing w:after="0"/>
              <w:rPr>
                <w:sz w:val="20"/>
                <w:szCs w:val="20"/>
                <w:color w:val="auto"/>
              </w:rPr>
            </w:pPr>
            <w:r>
              <w:rPr>
                <w:rFonts w:ascii="Arial" w:cs="Arial" w:eastAsia="Arial" w:hAnsi="Arial"/>
                <w:sz w:val="15"/>
                <w:szCs w:val="15"/>
                <w:b w:val="1"/>
                <w:bCs w:val="1"/>
                <w:color w:val="auto"/>
                <w:w w:val="91"/>
              </w:rPr>
              <w:t>Originated Vacation Ownership Notes Receivable - Combined Marriott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2"/>
        </w:trPr>
        <w:tc>
          <w:tcPr>
            <w:tcW w:w="9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8"/>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5"/>
                <w:szCs w:val="15"/>
                <w:b w:val="1"/>
                <w:bCs w:val="1"/>
                <w:color w:val="auto"/>
              </w:rPr>
              <w:t>2019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Arial" w:cs="Arial" w:eastAsia="Arial" w:hAnsi="Arial"/>
                <w:sz w:val="15"/>
                <w:szCs w:val="15"/>
                <w:b w:val="1"/>
                <w:bCs w:val="1"/>
                <w:color w:val="auto"/>
              </w:rPr>
              <w:t>2018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5"/>
                <w:szCs w:val="15"/>
                <w:b w:val="1"/>
                <w:bCs w:val="1"/>
                <w:color w:val="auto"/>
                <w:w w:val="95"/>
              </w:rPr>
              <w:t>2017 &amp; Prior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38"/>
              <w:spacing w:after="0"/>
              <w:rPr>
                <w:sz w:val="20"/>
                <w:szCs w:val="20"/>
                <w:color w:val="auto"/>
              </w:rPr>
            </w:pPr>
            <w:r>
              <w:rPr>
                <w:rFonts w:ascii="Arial" w:cs="Arial" w:eastAsia="Arial" w:hAnsi="Arial"/>
                <w:sz w:val="15"/>
                <w:szCs w:val="15"/>
                <w:b w:val="1"/>
                <w:bCs w:val="1"/>
                <w:color w:val="auto"/>
              </w:rPr>
              <w:t>Total</w:t>
            </w:r>
          </w:p>
        </w:tc>
      </w:tr>
      <w:tr>
        <w:trPr>
          <w:trHeight w:val="219"/>
        </w:trPr>
        <w:tc>
          <w:tcPr>
            <w:tcW w:w="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87"/>
              </w:rPr>
              <w:t>700</w:t>
            </w:r>
          </w:p>
        </w:tc>
        <w:tc>
          <w:tcPr>
            <w:tcW w:w="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auto"/>
            </w:tcBorders>
            <w:gridSpan w:val="3"/>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3"/>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3"/>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3"/>
            <w:shd w:val="clear" w:color="auto" w:fill="CCEEFF"/>
          </w:tcPr>
          <w:p>
            <w:pPr>
              <w:jc w:val="right"/>
              <w:ind w:right="246"/>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3"/>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w:t>
            </w:r>
          </w:p>
        </w:tc>
      </w:tr>
      <w:tr>
        <w:trPr>
          <w:trHeight w:val="236"/>
        </w:trPr>
        <w:tc>
          <w:tcPr>
            <w:tcW w:w="260" w:type="dxa"/>
            <w:vAlign w:val="bottom"/>
          </w:tcPr>
          <w:p>
            <w:pPr>
              <w:ind w:left="20"/>
              <w:spacing w:after="0"/>
              <w:rPr>
                <w:sz w:val="20"/>
                <w:szCs w:val="20"/>
                <w:color w:val="auto"/>
              </w:rPr>
            </w:pPr>
            <w:r>
              <w:rPr>
                <w:rFonts w:ascii="Arial" w:cs="Arial" w:eastAsia="Arial" w:hAnsi="Arial"/>
                <w:sz w:val="15"/>
                <w:szCs w:val="15"/>
                <w:color w:val="auto"/>
                <w:w w:val="87"/>
              </w:rPr>
              <w:t>600</w:t>
            </w:r>
          </w:p>
        </w:tc>
        <w:tc>
          <w:tcPr>
            <w:tcW w:w="720" w:type="dxa"/>
            <w:vAlign w:val="bottom"/>
          </w:tcPr>
          <w:p>
            <w:pPr>
              <w:ind w:left="20"/>
              <w:spacing w:after="0"/>
              <w:rPr>
                <w:sz w:val="20"/>
                <w:szCs w:val="20"/>
                <w:color w:val="auto"/>
              </w:rPr>
            </w:pPr>
            <w:r>
              <w:rPr>
                <w:rFonts w:ascii="Arial" w:cs="Arial" w:eastAsia="Arial" w:hAnsi="Arial"/>
                <w:sz w:val="15"/>
                <w:szCs w:val="15"/>
                <w:color w:val="auto"/>
              </w:rPr>
              <w:t>- 699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549</w:t>
            </w:r>
          </w:p>
        </w:tc>
      </w:tr>
      <w:tr>
        <w:trPr>
          <w:trHeight w:val="236"/>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36"/>
        </w:trPr>
        <w:tc>
          <w:tcPr>
            <w:tcW w:w="9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 Score</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r>
      <w:tr>
        <w:trPr>
          <w:trHeight w:val="229"/>
        </w:trPr>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3"/>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3"/>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3"/>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ind w:right="24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3"/>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4"/>
          </w:tcPr>
          <w:p>
            <w:pPr>
              <w:jc w:val="center"/>
              <w:ind w:left="319"/>
              <w:spacing w:after="0"/>
              <w:rPr>
                <w:sz w:val="20"/>
                <w:szCs w:val="20"/>
                <w:color w:val="auto"/>
              </w:rPr>
            </w:pPr>
            <w:r>
              <w:rPr>
                <w:rFonts w:ascii="Arial" w:cs="Arial" w:eastAsia="Arial" w:hAnsi="Arial"/>
                <w:sz w:val="15"/>
                <w:szCs w:val="15"/>
                <w:b w:val="1"/>
                <w:bCs w:val="1"/>
                <w:color w:val="auto"/>
                <w:w w:val="90"/>
              </w:rPr>
              <w:t>Originated Vacation Ownership Notes Receivable - Hyatt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2"/>
        </w:trPr>
        <w:tc>
          <w:tcPr>
            <w:tcW w:w="9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8"/>
              <w:spacing w:after="0"/>
              <w:rPr>
                <w:sz w:val="20"/>
                <w:szCs w:val="20"/>
                <w:color w:val="auto"/>
              </w:rPr>
            </w:pPr>
            <w:r>
              <w:rPr>
                <w:rFonts w:ascii="Arial" w:cs="Arial" w:eastAsia="Arial" w:hAnsi="Arial"/>
                <w:sz w:val="15"/>
                <w:szCs w:val="15"/>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2018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2017 &amp; Prior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Total</w:t>
            </w:r>
          </w:p>
        </w:tc>
      </w:tr>
      <w:tr>
        <w:trPr>
          <w:trHeight w:val="219"/>
        </w:trPr>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7"/>
              </w:rPr>
              <w:t>700</w:t>
            </w:r>
          </w:p>
        </w:tc>
        <w:tc>
          <w:tcPr>
            <w:tcW w:w="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gridSpan w:val="3"/>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36"/>
        </w:trPr>
        <w:tc>
          <w:tcPr>
            <w:tcW w:w="260" w:type="dxa"/>
            <w:vAlign w:val="bottom"/>
          </w:tcPr>
          <w:p>
            <w:pPr>
              <w:ind w:left="20"/>
              <w:spacing w:after="0"/>
              <w:rPr>
                <w:sz w:val="20"/>
                <w:szCs w:val="20"/>
                <w:color w:val="auto"/>
              </w:rPr>
            </w:pPr>
            <w:r>
              <w:rPr>
                <w:rFonts w:ascii="Arial" w:cs="Arial" w:eastAsia="Arial" w:hAnsi="Arial"/>
                <w:sz w:val="15"/>
                <w:szCs w:val="15"/>
                <w:color w:val="auto"/>
                <w:w w:val="87"/>
              </w:rPr>
              <w:t>600</w:t>
            </w:r>
          </w:p>
        </w:tc>
        <w:tc>
          <w:tcPr>
            <w:tcW w:w="720" w:type="dxa"/>
            <w:vAlign w:val="bottom"/>
          </w:tcPr>
          <w:p>
            <w:pPr>
              <w:ind w:left="20"/>
              <w:spacing w:after="0"/>
              <w:rPr>
                <w:sz w:val="20"/>
                <w:szCs w:val="20"/>
                <w:color w:val="auto"/>
              </w:rPr>
            </w:pPr>
            <w:r>
              <w:rPr>
                <w:rFonts w:ascii="Arial" w:cs="Arial" w:eastAsia="Arial" w:hAnsi="Arial"/>
                <w:sz w:val="15"/>
                <w:szCs w:val="15"/>
                <w:color w:val="auto"/>
              </w:rPr>
              <w:t>- 699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6"/>
        </w:trPr>
        <w:tc>
          <w:tcPr>
            <w:tcW w:w="980" w:type="dxa"/>
            <w:vAlign w:val="bottom"/>
            <w:gridSpan w:val="2"/>
          </w:tcPr>
          <w:p>
            <w:pPr>
              <w:ind w:left="20"/>
              <w:spacing w:after="0"/>
              <w:rPr>
                <w:sz w:val="20"/>
                <w:szCs w:val="20"/>
                <w:color w:val="auto"/>
              </w:rPr>
            </w:pPr>
            <w:r>
              <w:rPr>
                <w:rFonts w:ascii="Arial" w:cs="Arial" w:eastAsia="Arial" w:hAnsi="Arial"/>
                <w:sz w:val="15"/>
                <w:szCs w:val="15"/>
                <w:color w:val="auto"/>
              </w:rPr>
              <w:t>No Score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9"/>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4"/>
          </w:tcPr>
          <w:p>
            <w:pPr>
              <w:jc w:val="center"/>
              <w:ind w:left="319"/>
              <w:spacing w:after="0"/>
              <w:rPr>
                <w:sz w:val="20"/>
                <w:szCs w:val="20"/>
                <w:color w:val="auto"/>
              </w:rPr>
            </w:pPr>
            <w:r>
              <w:rPr>
                <w:rFonts w:ascii="Arial" w:cs="Arial" w:eastAsia="Arial" w:hAnsi="Arial"/>
                <w:sz w:val="15"/>
                <w:szCs w:val="15"/>
                <w:b w:val="1"/>
                <w:bCs w:val="1"/>
                <w:color w:val="auto"/>
                <w:w w:val="89"/>
              </w:rPr>
              <w:t>Originated Vacation Ownership Notes Receivable - Welk</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2"/>
        </w:trPr>
        <w:tc>
          <w:tcPr>
            <w:tcW w:w="9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2019</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2018</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2017 &amp; Prior</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Total</w:t>
            </w:r>
          </w:p>
        </w:tc>
      </w:tr>
      <w:tr>
        <w:trPr>
          <w:trHeight w:val="219"/>
        </w:trPr>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7"/>
              </w:rPr>
              <w:t>700</w:t>
            </w:r>
          </w:p>
        </w:tc>
        <w:tc>
          <w:tcPr>
            <w:tcW w:w="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gridSpan w:val="3"/>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ind w:right="47"/>
              <w:spacing w:after="0"/>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246"/>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36"/>
        </w:trPr>
        <w:tc>
          <w:tcPr>
            <w:tcW w:w="260" w:type="dxa"/>
            <w:vAlign w:val="bottom"/>
          </w:tcPr>
          <w:p>
            <w:pPr>
              <w:ind w:left="20"/>
              <w:spacing w:after="0"/>
              <w:rPr>
                <w:sz w:val="20"/>
                <w:szCs w:val="20"/>
                <w:color w:val="auto"/>
              </w:rPr>
            </w:pPr>
            <w:r>
              <w:rPr>
                <w:rFonts w:ascii="Arial" w:cs="Arial" w:eastAsia="Arial" w:hAnsi="Arial"/>
                <w:sz w:val="15"/>
                <w:szCs w:val="15"/>
                <w:color w:val="auto"/>
                <w:w w:val="87"/>
              </w:rPr>
              <w:t>600</w:t>
            </w:r>
          </w:p>
        </w:tc>
        <w:tc>
          <w:tcPr>
            <w:tcW w:w="720" w:type="dxa"/>
            <w:vAlign w:val="bottom"/>
          </w:tcPr>
          <w:p>
            <w:pPr>
              <w:ind w:left="20"/>
              <w:spacing w:after="0"/>
              <w:rPr>
                <w:sz w:val="20"/>
                <w:szCs w:val="20"/>
                <w:color w:val="auto"/>
              </w:rPr>
            </w:pPr>
            <w:r>
              <w:rPr>
                <w:rFonts w:ascii="Arial" w:cs="Arial" w:eastAsia="Arial" w:hAnsi="Arial"/>
                <w:sz w:val="15"/>
                <w:szCs w:val="15"/>
                <w:color w:val="auto"/>
              </w:rPr>
              <w:t>- 699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4"/>
          </w:tcPr>
          <w:p>
            <w:pPr>
              <w:ind w:left="4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980" w:type="dxa"/>
            <w:vAlign w:val="bottom"/>
            <w:gridSpan w:val="2"/>
          </w:tcPr>
          <w:p>
            <w:pPr>
              <w:ind w:left="20"/>
              <w:spacing w:after="0"/>
              <w:rPr>
                <w:sz w:val="20"/>
                <w:szCs w:val="20"/>
                <w:color w:val="auto"/>
              </w:rPr>
            </w:pPr>
            <w:r>
              <w:rPr>
                <w:rFonts w:ascii="Arial" w:cs="Arial" w:eastAsia="Arial" w:hAnsi="Arial"/>
                <w:sz w:val="15"/>
                <w:szCs w:val="15"/>
                <w:color w:val="auto"/>
              </w:rPr>
              <w:t>No Score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4"/>
          </w:tcPr>
          <w:p>
            <w:pPr>
              <w:ind w:left="4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9"/>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00"/>
          </w:cols>
          <w:pgMar w:left="320" w:top="1222" w:right="67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i w:val="1"/>
          <w:iCs w:val="1"/>
          <w:color w:val="auto"/>
        </w:rPr>
        <w:t>Vacation Ownership Notes Receivable on Non-Accrual Status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For both non-securitized and securitized vacation ownership notes receivable, we estimated the average remaining default rate of 11.62% as of December 31, 2022 and 11.75% as of December 31, 2021. A 0.5 percentage point increase in the estimated default rate would have resulted in an increase in the related vacation ownership notes receivable reserve of $12 million as of December 31, 2022 and $10 million as of December 31, 2021.</w:t>
      </w:r>
    </w:p>
    <w:p>
      <w:pPr>
        <w:spacing w:after="0" w:line="6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following table shows our recorded investment in non-accrual vacation ownership notes receivable, which are vacation ownership notes receivable that are 90 days or more past due.</w:t>
      </w:r>
    </w:p>
    <w:p>
      <w:pPr>
        <w:spacing w:after="0" w:line="105"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16510</wp:posOffset>
            </wp:positionV>
            <wp:extent cx="279717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797175" cy="7620"/>
                    </a:xfrm>
                    <a:prstGeom prst="rect">
                      <a:avLst/>
                    </a:prstGeom>
                    <a:noFill/>
                  </pic:spPr>
                </pic:pic>
              </a:graphicData>
            </a:graphic>
          </wp:anchor>
        </w:drawing>
      </w:r>
    </w:p>
    <w:p>
      <w:pPr>
        <w:spacing w:after="0" w:line="19" w:lineRule="exact"/>
        <w:rPr>
          <w:sz w:val="20"/>
          <w:szCs w:val="20"/>
          <w:color w:val="auto"/>
        </w:rPr>
      </w:pPr>
    </w:p>
    <w:p>
      <w:pPr>
        <w:ind w:left="20"/>
        <w:spacing w:after="0"/>
        <w:tabs>
          <w:tab w:leader="none" w:pos="4120" w:val="left"/>
          <w:tab w:leader="none" w:pos="5800" w:val="left"/>
          <w:tab w:leader="none" w:pos="7500" w:val="left"/>
        </w:tabs>
        <w:rPr>
          <w:sz w:val="20"/>
          <w:szCs w:val="20"/>
          <w:color w:val="auto"/>
        </w:rPr>
      </w:pPr>
      <w:r>
        <w:rPr>
          <w:rFonts w:ascii="Arial" w:cs="Arial" w:eastAsia="Arial" w:hAnsi="Arial"/>
          <w:sz w:val="13"/>
          <w:szCs w:val="13"/>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3"/>
          <w:szCs w:val="13"/>
          <w:b w:val="1"/>
          <w:bCs w:val="1"/>
          <w:color w:val="auto"/>
        </w:rPr>
        <w:t>Total</w:t>
      </w:r>
    </w:p>
    <w:p>
      <w:pPr>
        <w:sectPr>
          <w:pgSz w:w="11900" w:h="16838" w:orient="portrait"/>
          <w:cols w:equalWidth="0" w:num="1">
            <w:col w:w="11240"/>
          </w:cols>
          <w:pgMar w:left="320" w:top="1222" w:right="339" w:bottom="1440" w:gutter="0" w:footer="0" w:header="0"/>
        </w:sectPr>
      </w:pPr>
    </w:p>
    <w:p>
      <w:pPr>
        <w:spacing w:after="0" w:line="26" w:lineRule="exact"/>
        <w:rPr>
          <w:sz w:val="20"/>
          <w:szCs w:val="20"/>
          <w:color w:val="auto"/>
        </w:rPr>
      </w:pPr>
    </w:p>
    <w:p>
      <w:pPr>
        <w:ind w:left="20"/>
        <w:spacing w:after="0" w:line="229" w:lineRule="auto"/>
        <w:rPr>
          <w:sz w:val="20"/>
          <w:szCs w:val="20"/>
          <w:color w:val="auto"/>
        </w:rPr>
      </w:pPr>
      <w:r>
        <w:rPr>
          <w:rFonts w:ascii="Arial" w:cs="Arial" w:eastAsia="Arial" w:hAnsi="Arial"/>
          <w:sz w:val="17"/>
          <w:szCs w:val="17"/>
          <w:color w:val="auto"/>
        </w:rPr>
        <w:t>Investment in vacation ownership notes receivable on non-accrual status at December 31, 2022</w:t>
      </w:r>
    </w:p>
    <w:p>
      <w:pPr>
        <w:spacing w:after="0" w:line="25" w:lineRule="exact"/>
        <w:rPr>
          <w:sz w:val="20"/>
          <w:szCs w:val="20"/>
          <w:color w:val="auto"/>
        </w:rPr>
      </w:pPr>
    </w:p>
    <w:p>
      <w:pPr>
        <w:ind w:left="20"/>
        <w:spacing w:after="0" w:line="229" w:lineRule="auto"/>
        <w:rPr>
          <w:sz w:val="20"/>
          <w:szCs w:val="20"/>
          <w:color w:val="auto"/>
        </w:rPr>
      </w:pPr>
      <w:r>
        <w:rPr>
          <w:rFonts w:ascii="Arial" w:cs="Arial" w:eastAsia="Arial" w:hAnsi="Arial"/>
          <w:sz w:val="17"/>
          <w:szCs w:val="17"/>
          <w:color w:val="auto"/>
        </w:rPr>
        <w:t>Investment in vacation ownership notes receivable on non-accrual status at December 31, 2021</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-157480</wp:posOffset>
            </wp:positionV>
            <wp:extent cx="5309870" cy="2527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309870" cy="25273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jc w:val="right"/>
              <w:ind w:right="17"/>
              <w:spacing w:after="0"/>
              <w:rPr>
                <w:sz w:val="20"/>
                <w:szCs w:val="20"/>
                <w:color w:val="auto"/>
              </w:rPr>
            </w:pPr>
            <w:r>
              <w:rPr>
                <w:rFonts w:ascii="Arial" w:cs="Arial" w:eastAsia="Arial" w:hAnsi="Arial"/>
                <w:sz w:val="17"/>
                <w:szCs w:val="17"/>
                <w:color w:val="auto"/>
                <w:w w:val="84"/>
              </w:rPr>
              <w:t>126</w:t>
            </w:r>
          </w:p>
        </w:tc>
        <w:tc>
          <w:tcPr>
            <w:tcW w:w="720" w:type="dxa"/>
            <w:vAlign w:val="bottom"/>
          </w:tcPr>
          <w:p>
            <w:pPr>
              <w:jc w:val="right"/>
              <w:ind w:right="437"/>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24</w:t>
            </w:r>
          </w:p>
        </w:tc>
        <w:tc>
          <w:tcPr>
            <w:tcW w:w="660" w:type="dxa"/>
            <w:vAlign w:val="bottom"/>
          </w:tcPr>
          <w:p>
            <w:pPr>
              <w:jc w:val="right"/>
              <w:ind w:right="37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386"/>
        </w:trPr>
        <w:tc>
          <w:tcPr>
            <w:tcW w:w="360" w:type="dxa"/>
            <w:vAlign w:val="bottom"/>
          </w:tcPr>
          <w:p>
            <w:pPr>
              <w:jc w:val="right"/>
              <w:ind w:right="17"/>
              <w:spacing w:after="0"/>
              <w:rPr>
                <w:sz w:val="20"/>
                <w:szCs w:val="20"/>
                <w:color w:val="auto"/>
              </w:rPr>
            </w:pPr>
            <w:r>
              <w:rPr>
                <w:rFonts w:ascii="Arial" w:cs="Arial" w:eastAsia="Arial" w:hAnsi="Arial"/>
                <w:sz w:val="17"/>
                <w:szCs w:val="17"/>
                <w:color w:val="auto"/>
                <w:w w:val="84"/>
              </w:rPr>
              <w:t>202</w:t>
            </w:r>
          </w:p>
        </w:tc>
        <w:tc>
          <w:tcPr>
            <w:tcW w:w="720" w:type="dxa"/>
            <w:vAlign w:val="bottom"/>
          </w:tcPr>
          <w:p>
            <w:pPr>
              <w:jc w:val="right"/>
              <w:ind w:right="437"/>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660" w:type="dxa"/>
            <w:vAlign w:val="bottom"/>
          </w:tcPr>
          <w:p>
            <w:pPr>
              <w:jc w:val="right"/>
              <w:ind w:right="37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220</w:t>
            </w:r>
          </w:p>
        </w:tc>
      </w:tr>
    </w:tbl>
    <w:p>
      <w:pPr>
        <w:spacing w:after="0" w:line="274" w:lineRule="exact"/>
        <w:rPr>
          <w:sz w:val="20"/>
          <w:szCs w:val="20"/>
          <w:color w:val="auto"/>
        </w:rPr>
      </w:pPr>
    </w:p>
    <w:p>
      <w:pPr>
        <w:sectPr>
          <w:pgSz w:w="11900" w:h="16838" w:orient="portrait"/>
          <w:cols w:equalWidth="0" w:num="3">
            <w:col w:w="3920" w:space="60"/>
            <w:col w:w="320" w:space="720"/>
            <w:col w:w="6220"/>
          </w:cols>
          <w:pgMar w:left="320" w:top="1222" w:right="339" w:bottom="1440" w:gutter="0" w:footer="0" w:header="0"/>
          <w:type w:val="continuous"/>
        </w:sectPr>
      </w:pPr>
    </w:p>
    <w:p>
      <w:pPr>
        <w:spacing w:after="0" w:line="99" w:lineRule="exact"/>
        <w:rPr>
          <w:sz w:val="20"/>
          <w:szCs w:val="20"/>
          <w:color w:val="auto"/>
        </w:rPr>
      </w:pPr>
    </w:p>
    <w:p>
      <w:pPr>
        <w:ind w:right="460"/>
        <w:spacing w:after="0" w:line="264" w:lineRule="auto"/>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 December 31, 2022 and December 31, 2021.</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8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December 31, 2022</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auto"/>
                <w:w w:val="90"/>
              </w:rPr>
              <w:t>December 31, 2021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920" w:type="dxa"/>
            <w:vAlign w:val="bottom"/>
          </w:tcPr>
          <w:p>
            <w:pPr>
              <w:jc w:val="center"/>
              <w:ind w:left="5"/>
              <w:spacing w:after="0" w:line="145" w:lineRule="exact"/>
              <w:rPr>
                <w:sz w:val="20"/>
                <w:szCs w:val="20"/>
                <w:color w:val="auto"/>
              </w:rPr>
            </w:pPr>
            <w:r>
              <w:rPr>
                <w:rFonts w:ascii="Arial" w:cs="Arial" w:eastAsia="Arial" w:hAnsi="Arial"/>
                <w:sz w:val="15"/>
                <w:szCs w:val="15"/>
                <w:b w:val="1"/>
                <w:bCs w:val="1"/>
                <w:color w:val="auto"/>
                <w:w w:val="93"/>
              </w:rPr>
              <w:t>Non-</w:t>
            </w:r>
          </w:p>
        </w:tc>
        <w:tc>
          <w:tcPr>
            <w:tcW w:w="146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Securitized</w:t>
            </w:r>
          </w:p>
        </w:tc>
        <w:tc>
          <w:tcPr>
            <w:tcW w:w="9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Total</w:t>
            </w:r>
          </w:p>
        </w:tc>
        <w:tc>
          <w:tcPr>
            <w:tcW w:w="920" w:type="dxa"/>
            <w:vAlign w:val="bottom"/>
          </w:tcPr>
          <w:p>
            <w:pPr>
              <w:jc w:val="center"/>
              <w:ind w:left="5"/>
              <w:spacing w:after="0" w:line="145" w:lineRule="exact"/>
              <w:rPr>
                <w:sz w:val="20"/>
                <w:szCs w:val="20"/>
                <w:color w:val="auto"/>
              </w:rPr>
            </w:pPr>
            <w:r>
              <w:rPr>
                <w:rFonts w:ascii="Arial" w:cs="Arial" w:eastAsia="Arial" w:hAnsi="Arial"/>
                <w:sz w:val="15"/>
                <w:szCs w:val="15"/>
                <w:b w:val="1"/>
                <w:bCs w:val="1"/>
                <w:color w:val="auto"/>
                <w:w w:val="93"/>
              </w:rPr>
              <w:t>Non-</w:t>
            </w:r>
          </w:p>
        </w:tc>
        <w:tc>
          <w:tcPr>
            <w:tcW w:w="14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7"/>
              </w:rPr>
              <w:t>Securitized</w:t>
            </w:r>
          </w:p>
        </w:tc>
        <w:tc>
          <w:tcPr>
            <w:tcW w:w="8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3"/>
        </w:trPr>
        <w:tc>
          <w:tcPr>
            <w:tcW w:w="1860" w:type="dxa"/>
            <w:vAlign w:val="bottom"/>
          </w:tcPr>
          <w:p>
            <w:pPr>
              <w:spacing w:after="0"/>
              <w:rPr>
                <w:sz w:val="20"/>
                <w:szCs w:val="20"/>
                <w:color w:val="auto"/>
              </w:rPr>
            </w:pPr>
            <w:r>
              <w:rPr>
                <w:rFonts w:ascii="Arial" w:cs="Arial" w:eastAsia="Arial" w:hAnsi="Arial"/>
                <w:sz w:val="13"/>
                <w:szCs w:val="13"/>
                <w:b w:val="1"/>
                <w:bCs w:val="1"/>
                <w:i w:val="1"/>
                <w:iCs w:val="1"/>
                <w:color w:val="auto"/>
              </w:rPr>
              <w:t>($ in millions)</w:t>
            </w:r>
          </w:p>
        </w:tc>
        <w:tc>
          <w:tcPr>
            <w:tcW w:w="920" w:type="dxa"/>
            <w:vAlign w:val="bottom"/>
          </w:tcPr>
          <w:p>
            <w:pPr>
              <w:jc w:val="center"/>
              <w:ind w:left="5"/>
              <w:spacing w:after="0"/>
              <w:rPr>
                <w:sz w:val="20"/>
                <w:szCs w:val="20"/>
                <w:color w:val="auto"/>
              </w:rPr>
            </w:pPr>
            <w:r>
              <w:rPr>
                <w:rFonts w:ascii="Arial" w:cs="Arial" w:eastAsia="Arial" w:hAnsi="Arial"/>
                <w:sz w:val="15"/>
                <w:szCs w:val="15"/>
                <w:b w:val="1"/>
                <w:bCs w:val="1"/>
                <w:color w:val="auto"/>
                <w:w w:val="89"/>
              </w:rPr>
              <w:t>Securitized</w:t>
            </w:r>
          </w:p>
        </w:tc>
        <w:tc>
          <w:tcPr>
            <w:tcW w:w="1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20" w:type="dxa"/>
            <w:vAlign w:val="bottom"/>
          </w:tcPr>
          <w:p>
            <w:pPr>
              <w:jc w:val="center"/>
              <w:ind w:left="5"/>
              <w:spacing w:after="0"/>
              <w:rPr>
                <w:sz w:val="20"/>
                <w:szCs w:val="20"/>
                <w:color w:val="auto"/>
              </w:rPr>
            </w:pPr>
            <w:r>
              <w:rPr>
                <w:rFonts w:ascii="Arial" w:cs="Arial" w:eastAsia="Arial" w:hAnsi="Arial"/>
                <w:sz w:val="15"/>
                <w:szCs w:val="15"/>
                <w:b w:val="1"/>
                <w:bCs w:val="1"/>
                <w:color w:val="auto"/>
                <w:w w:val="89"/>
              </w:rPr>
              <w:t>Securitized</w:t>
            </w:r>
          </w:p>
        </w:tc>
        <w:tc>
          <w:tcPr>
            <w:tcW w:w="14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240"/>
          </w:cols>
          <w:pgMar w:left="320" w:top="1222" w:right="339" w:bottom="1440" w:gutter="0" w:footer="0" w:header="0"/>
          <w:type w:val="continuous"/>
        </w:sectPr>
      </w:pPr>
    </w:p>
    <w:p>
      <w:pPr>
        <w:ind w:left="20"/>
        <w:spacing w:after="0"/>
        <w:tabs>
          <w:tab w:leader="none" w:pos="1880" w:val="left"/>
        </w:tabs>
        <w:rPr>
          <w:sz w:val="20"/>
          <w:szCs w:val="20"/>
          <w:color w:val="auto"/>
        </w:rPr>
      </w:pPr>
      <w:r>
        <w:rPr>
          <w:rFonts w:ascii="Arial" w:cs="Arial" w:eastAsia="Arial" w:hAnsi="Arial"/>
          <w:sz w:val="17"/>
          <w:szCs w:val="17"/>
          <w:color w:val="auto"/>
        </w:rPr>
        <w:t>31 – 90 days past due</w:t>
      </w:r>
      <w:r>
        <w:rPr>
          <w:sz w:val="20"/>
          <w:szCs w:val="20"/>
          <w:color w:val="auto"/>
        </w:rPr>
        <w:tab/>
      </w:r>
      <w:r>
        <w:rPr>
          <w:rFonts w:ascii="Arial" w:cs="Arial" w:eastAsia="Arial" w:hAnsi="Arial"/>
          <w:sz w:val="13"/>
          <w:szCs w:val="13"/>
          <w:color w:val="auto"/>
        </w:rPr>
        <w: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91 – 120 days past due</w:t>
      </w:r>
    </w:p>
    <w:p>
      <w:pPr>
        <w:spacing w:after="0" w:line="41" w:lineRule="exact"/>
        <w:rPr>
          <w:sz w:val="20"/>
          <w:szCs w:val="20"/>
          <w:color w:val="auto"/>
        </w:rPr>
      </w:pPr>
    </w:p>
    <w:p>
      <w:pPr>
        <w:ind w:left="20" w:right="200"/>
        <w:spacing w:after="0" w:line="229" w:lineRule="auto"/>
        <w:rPr>
          <w:sz w:val="20"/>
          <w:szCs w:val="20"/>
          <w:color w:val="auto"/>
        </w:rPr>
      </w:pPr>
      <w:r>
        <w:rPr>
          <w:rFonts w:ascii="Arial" w:cs="Arial" w:eastAsia="Arial" w:hAnsi="Arial"/>
          <w:sz w:val="17"/>
          <w:szCs w:val="17"/>
          <w:color w:val="auto"/>
        </w:rPr>
        <w:t>Greater than 120 days past due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jc w:val="right"/>
              <w:ind w:right="17"/>
              <w:spacing w:after="0"/>
              <w:rPr>
                <w:sz w:val="20"/>
                <w:szCs w:val="20"/>
                <w:color w:val="auto"/>
              </w:rPr>
            </w:pPr>
            <w:r>
              <w:rPr>
                <w:rFonts w:ascii="Arial" w:cs="Arial" w:eastAsia="Arial" w:hAnsi="Arial"/>
                <w:sz w:val="17"/>
                <w:szCs w:val="17"/>
                <w:color w:val="auto"/>
              </w:rPr>
              <w:t>25</w:t>
            </w:r>
          </w:p>
        </w:tc>
        <w:tc>
          <w:tcPr>
            <w:tcW w:w="52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56</w:t>
            </w:r>
          </w:p>
        </w:tc>
        <w:tc>
          <w:tcPr>
            <w:tcW w:w="4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81</w:t>
            </w:r>
          </w:p>
        </w:tc>
        <w:tc>
          <w:tcPr>
            <w:tcW w:w="48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22</w:t>
            </w:r>
          </w:p>
        </w:tc>
        <w:tc>
          <w:tcPr>
            <w:tcW w:w="52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44</w:t>
            </w:r>
          </w:p>
        </w:tc>
        <w:tc>
          <w:tcPr>
            <w:tcW w:w="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36"/>
        </w:trPr>
        <w:tc>
          <w:tcPr>
            <w:tcW w:w="340" w:type="dxa"/>
            <w:vAlign w:val="bottom"/>
          </w:tcPr>
          <w:p>
            <w:pPr>
              <w:jc w:val="right"/>
              <w:ind w:right="17"/>
              <w:spacing w:after="0"/>
              <w:rPr>
                <w:sz w:val="20"/>
                <w:szCs w:val="20"/>
                <w:color w:val="auto"/>
              </w:rPr>
            </w:pPr>
            <w:r>
              <w:rPr>
                <w:rFonts w:ascii="Arial" w:cs="Arial" w:eastAsia="Arial" w:hAnsi="Arial"/>
                <w:sz w:val="17"/>
                <w:szCs w:val="17"/>
                <w:color w:val="auto"/>
              </w:rPr>
              <w:t>7</w:t>
            </w:r>
          </w:p>
        </w:tc>
        <w:tc>
          <w:tcPr>
            <w:tcW w:w="52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46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23</w:t>
            </w:r>
          </w:p>
        </w:tc>
        <w:tc>
          <w:tcPr>
            <w:tcW w:w="480" w:type="dxa"/>
            <w:vAlign w:val="bottom"/>
          </w:tcPr>
          <w:p>
            <w:pPr>
              <w:spacing w:after="0"/>
              <w:rPr>
                <w:sz w:val="20"/>
                <w:szCs w:val="20"/>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7</w:t>
            </w:r>
          </w:p>
        </w:tc>
        <w:tc>
          <w:tcPr>
            <w:tcW w:w="52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4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86"/>
        </w:trPr>
        <w:tc>
          <w:tcPr>
            <w:tcW w:w="340" w:type="dxa"/>
            <w:vAlign w:val="bottom"/>
          </w:tcPr>
          <w:p>
            <w:pPr>
              <w:jc w:val="right"/>
              <w:ind w:right="17"/>
              <w:spacing w:after="0"/>
              <w:rPr>
                <w:sz w:val="20"/>
                <w:szCs w:val="20"/>
                <w:color w:val="auto"/>
              </w:rPr>
            </w:pPr>
            <w:r>
              <w:rPr>
                <w:rFonts w:ascii="Arial" w:cs="Arial" w:eastAsia="Arial" w:hAnsi="Arial"/>
                <w:sz w:val="17"/>
                <w:szCs w:val="17"/>
                <w:color w:val="auto"/>
                <w:w w:val="77"/>
              </w:rPr>
              <w:t>119</w:t>
            </w:r>
          </w:p>
        </w:tc>
        <w:tc>
          <w:tcPr>
            <w:tcW w:w="52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8</w:t>
            </w:r>
          </w:p>
        </w:tc>
        <w:tc>
          <w:tcPr>
            <w:tcW w:w="46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127</w:t>
            </w:r>
          </w:p>
        </w:tc>
        <w:tc>
          <w:tcPr>
            <w:tcW w:w="48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195</w:t>
            </w:r>
          </w:p>
        </w:tc>
        <w:tc>
          <w:tcPr>
            <w:tcW w:w="52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8</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-244475</wp:posOffset>
            </wp:positionV>
            <wp:extent cx="5309870" cy="2451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309870" cy="24511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-544830</wp:posOffset>
            </wp:positionV>
            <wp:extent cx="5309870" cy="149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309870" cy="1498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980" w:space="580"/>
            <w:col w:w="8680"/>
          </w:cols>
          <w:pgMar w:left="320" w:top="122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200"/>
              <w:spacing w:after="0"/>
              <w:rPr>
                <w:sz w:val="20"/>
                <w:szCs w:val="20"/>
                <w:color w:val="auto"/>
              </w:rPr>
            </w:pPr>
            <w:r>
              <w:rPr>
                <w:rFonts w:ascii="Arial" w:cs="Arial" w:eastAsia="Arial" w:hAnsi="Arial"/>
                <w:sz w:val="17"/>
                <w:szCs w:val="17"/>
                <w:color w:val="auto"/>
              </w:rPr>
              <w:t>Total past due</w:t>
            </w: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36"/>
        </w:trPr>
        <w:tc>
          <w:tcPr>
            <w:tcW w:w="1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w:t>
            </w:r>
          </w:p>
        </w:tc>
        <w:tc>
          <w:tcPr>
            <w:tcW w:w="0" w:type="dxa"/>
            <w:vAlign w:val="bottom"/>
          </w:tcPr>
          <w:p>
            <w:pPr>
              <w:spacing w:after="0"/>
              <w:rPr>
                <w:sz w:val="1"/>
                <w:szCs w:val="1"/>
                <w:color w:val="auto"/>
              </w:rPr>
            </w:pPr>
          </w:p>
        </w:tc>
      </w:tr>
      <w:tr>
        <w:trPr>
          <w:trHeight w:val="142"/>
        </w:trPr>
        <w:tc>
          <w:tcPr>
            <w:tcW w:w="1880" w:type="dxa"/>
            <w:vAlign w:val="bottom"/>
          </w:tcPr>
          <w:p>
            <w:pPr>
              <w:ind w:left="200"/>
              <w:spacing w:after="0" w:line="142" w:lineRule="exact"/>
              <w:rPr>
                <w:sz w:val="20"/>
                <w:szCs w:val="20"/>
                <w:color w:val="auto"/>
              </w:rPr>
            </w:pPr>
            <w:r>
              <w:rPr>
                <w:rFonts w:ascii="Arial" w:cs="Arial" w:eastAsia="Arial" w:hAnsi="Arial"/>
                <w:sz w:val="16"/>
                <w:szCs w:val="16"/>
                <w:color w:val="auto"/>
              </w:rPr>
              <w:t>Total vacation</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200"/>
              <w:spacing w:after="0" w:line="162" w:lineRule="exact"/>
              <w:rPr>
                <w:sz w:val="20"/>
                <w:szCs w:val="20"/>
                <w:color w:val="auto"/>
              </w:rPr>
            </w:pPr>
            <w:r>
              <w:rPr>
                <w:rFonts w:ascii="Arial" w:cs="Arial" w:eastAsia="Arial" w:hAnsi="Arial"/>
                <w:sz w:val="17"/>
                <w:szCs w:val="17"/>
                <w:color w:val="auto"/>
              </w:rPr>
              <w:t>ownership notes</w:t>
            </w:r>
          </w:p>
        </w:tc>
        <w:tc>
          <w:tcPr>
            <w:tcW w:w="380" w:type="dxa"/>
            <w:vAlign w:val="bottom"/>
            <w:vMerge w:val="restart"/>
          </w:tcPr>
          <w:p>
            <w:pPr>
              <w:jc w:val="right"/>
              <w:ind w:right="197"/>
              <w:spacing w:after="0"/>
              <w:rPr>
                <w:sz w:val="20"/>
                <w:szCs w:val="20"/>
                <w:color w:val="auto"/>
              </w:rPr>
            </w:pPr>
            <w:r>
              <w:rPr>
                <w:rFonts w:ascii="Arial" w:cs="Arial" w:eastAsia="Arial" w:hAnsi="Arial"/>
                <w:sz w:val="17"/>
                <w:szCs w:val="17"/>
                <w:color w:val="auto"/>
                <w:w w:val="84"/>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14"/>
                <w:szCs w:val="14"/>
                <w:color w:val="auto"/>
              </w:rPr>
            </w:pPr>
          </w:p>
        </w:tc>
        <w:tc>
          <w:tcPr>
            <w:tcW w:w="320" w:type="dxa"/>
            <w:vAlign w:val="bottom"/>
            <w:vMerge w:val="restart"/>
          </w:tcPr>
          <w:p>
            <w:pPr>
              <w:jc w:val="right"/>
              <w:ind w:right="137"/>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4"/>
                <w:szCs w:val="14"/>
                <w:color w:val="auto"/>
              </w:rPr>
            </w:pPr>
          </w:p>
        </w:tc>
        <w:tc>
          <w:tcPr>
            <w:tcW w:w="300" w:type="dxa"/>
            <w:vAlign w:val="bottom"/>
            <w:vMerge w:val="restart"/>
          </w:tcPr>
          <w:p>
            <w:pPr>
              <w:jc w:val="right"/>
              <w:ind w:right="117"/>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2,589</w:t>
            </w:r>
          </w:p>
        </w:tc>
        <w:tc>
          <w:tcPr>
            <w:tcW w:w="120" w:type="dxa"/>
            <w:vAlign w:val="bottom"/>
          </w:tcPr>
          <w:p>
            <w:pPr>
              <w:spacing w:after="0"/>
              <w:rPr>
                <w:sz w:val="14"/>
                <w:szCs w:val="14"/>
                <w:color w:val="auto"/>
              </w:rPr>
            </w:pPr>
          </w:p>
        </w:tc>
        <w:tc>
          <w:tcPr>
            <w:tcW w:w="380" w:type="dxa"/>
            <w:vAlign w:val="bottom"/>
            <w:vMerge w:val="restart"/>
          </w:tcPr>
          <w:p>
            <w:pPr>
              <w:jc w:val="right"/>
              <w:ind w:right="197"/>
              <w:spacing w:after="0"/>
              <w:rPr>
                <w:sz w:val="20"/>
                <w:szCs w:val="20"/>
                <w:color w:val="auto"/>
              </w:rPr>
            </w:pPr>
            <w:r>
              <w:rPr>
                <w:rFonts w:ascii="Arial" w:cs="Arial" w:eastAsia="Arial" w:hAnsi="Arial"/>
                <w:sz w:val="17"/>
                <w:szCs w:val="17"/>
                <w:color w:val="auto"/>
                <w:w w:val="84"/>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623</w:t>
            </w:r>
          </w:p>
        </w:tc>
        <w:tc>
          <w:tcPr>
            <w:tcW w:w="100" w:type="dxa"/>
            <w:vAlign w:val="bottom"/>
          </w:tcPr>
          <w:p>
            <w:pPr>
              <w:spacing w:after="0"/>
              <w:rPr>
                <w:sz w:val="14"/>
                <w:szCs w:val="14"/>
                <w:color w:val="auto"/>
              </w:rPr>
            </w:pPr>
          </w:p>
        </w:tc>
        <w:tc>
          <w:tcPr>
            <w:tcW w:w="340" w:type="dxa"/>
            <w:vAlign w:val="bottom"/>
            <w:vMerge w:val="restart"/>
          </w:tcPr>
          <w:p>
            <w:pPr>
              <w:jc w:val="right"/>
              <w:ind w:right="157"/>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1,824</w:t>
            </w:r>
          </w:p>
        </w:tc>
        <w:tc>
          <w:tcPr>
            <w:tcW w:w="100" w:type="dxa"/>
            <w:vAlign w:val="bottom"/>
          </w:tcPr>
          <w:p>
            <w:pPr>
              <w:spacing w:after="0"/>
              <w:rPr>
                <w:sz w:val="14"/>
                <w:szCs w:val="14"/>
                <w:color w:val="auto"/>
              </w:rPr>
            </w:pPr>
          </w:p>
        </w:tc>
        <w:tc>
          <w:tcPr>
            <w:tcW w:w="300" w:type="dxa"/>
            <w:vAlign w:val="bottom"/>
            <w:vMerge w:val="restart"/>
          </w:tcPr>
          <w:p>
            <w:pPr>
              <w:jc w:val="right"/>
              <w:ind w:right="117"/>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2,447</w:t>
            </w:r>
          </w:p>
        </w:tc>
        <w:tc>
          <w:tcPr>
            <w:tcW w:w="0" w:type="dxa"/>
            <w:vAlign w:val="bottom"/>
          </w:tcPr>
          <w:p>
            <w:pPr>
              <w:spacing w:after="0"/>
              <w:rPr>
                <w:sz w:val="1"/>
                <w:szCs w:val="1"/>
                <w:color w:val="auto"/>
              </w:rPr>
            </w:pPr>
          </w:p>
        </w:tc>
      </w:tr>
      <w:tr>
        <w:trPr>
          <w:trHeight w:val="204"/>
        </w:trPr>
        <w:tc>
          <w:tcPr>
            <w:tcW w:w="1880" w:type="dxa"/>
            <w:vAlign w:val="bottom"/>
          </w:tcPr>
          <w:p>
            <w:pPr>
              <w:ind w:left="200"/>
              <w:spacing w:after="0"/>
              <w:rPr>
                <w:sz w:val="20"/>
                <w:szCs w:val="20"/>
                <w:color w:val="auto"/>
              </w:rPr>
            </w:pPr>
            <w:r>
              <w:rPr>
                <w:rFonts w:ascii="Arial" w:cs="Arial" w:eastAsia="Arial" w:hAnsi="Arial"/>
                <w:sz w:val="17"/>
                <w:szCs w:val="17"/>
                <w:color w:val="auto"/>
              </w:rPr>
              <w:t>receivable</w:t>
            </w: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7. FINANCIAL INSTRUMENTS</w:t>
      </w:r>
    </w:p>
    <w:p>
      <w:pPr>
        <w:spacing w:after="0" w:line="10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5"/>
                <w:szCs w:val="15"/>
                <w:b w:val="1"/>
                <w:bCs w:val="1"/>
                <w:color w:val="auto"/>
              </w:rPr>
              <w:t>At December 31, 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5"/>
                <w:szCs w:val="15"/>
                <w:b w:val="1"/>
                <w:bCs w:val="1"/>
                <w:color w:val="auto"/>
              </w:rPr>
              <w:t>At December 31, 2021</w:t>
            </w:r>
          </w:p>
        </w:tc>
      </w:tr>
      <w:tr>
        <w:trPr>
          <w:trHeight w:val="145"/>
        </w:trPr>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5" w:lineRule="exact"/>
              <w:rPr>
                <w:sz w:val="20"/>
                <w:szCs w:val="20"/>
                <w:color w:val="auto"/>
              </w:rPr>
            </w:pPr>
            <w:r>
              <w:rPr>
                <w:rFonts w:ascii="Arial" w:cs="Arial" w:eastAsia="Arial" w:hAnsi="Arial"/>
                <w:sz w:val="15"/>
                <w:szCs w:val="15"/>
                <w:b w:val="1"/>
                <w:bCs w:val="1"/>
                <w:color w:val="auto"/>
                <w:w w:val="97"/>
              </w:rPr>
              <w:t>Carrying</w:t>
            </w:r>
          </w:p>
        </w:tc>
        <w:tc>
          <w:tcPr>
            <w:tcW w:w="240" w:type="dxa"/>
            <w:vAlign w:val="bottom"/>
          </w:tcPr>
          <w:p>
            <w:pPr>
              <w:spacing w:after="0"/>
              <w:rPr>
                <w:sz w:val="12"/>
                <w:szCs w:val="12"/>
                <w:color w:val="auto"/>
              </w:rPr>
            </w:pPr>
          </w:p>
        </w:tc>
        <w:tc>
          <w:tcPr>
            <w:tcW w:w="1020" w:type="dxa"/>
            <w:vAlign w:val="bottom"/>
            <w:gridSpan w:val="2"/>
          </w:tcPr>
          <w:p>
            <w:pPr>
              <w:jc w:val="center"/>
              <w:ind w:right="340"/>
              <w:spacing w:after="0" w:line="145" w:lineRule="exact"/>
              <w:rPr>
                <w:sz w:val="20"/>
                <w:szCs w:val="20"/>
                <w:color w:val="auto"/>
              </w:rPr>
            </w:pPr>
            <w:r>
              <w:rPr>
                <w:rFonts w:ascii="Arial" w:cs="Arial" w:eastAsia="Arial" w:hAnsi="Arial"/>
                <w:sz w:val="15"/>
                <w:szCs w:val="15"/>
                <w:b w:val="1"/>
                <w:bCs w:val="1"/>
                <w:color w:val="auto"/>
              </w:rPr>
              <w:t>Fair</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5"/>
                <w:szCs w:val="15"/>
                <w:b w:val="1"/>
                <w:bCs w:val="1"/>
                <w:color w:val="auto"/>
                <w:w w:val="93"/>
              </w:rPr>
              <w:t>Carrying</w:t>
            </w:r>
          </w:p>
        </w:tc>
        <w:tc>
          <w:tcPr>
            <w:tcW w:w="240" w:type="dxa"/>
            <w:vAlign w:val="bottom"/>
          </w:tcPr>
          <w:p>
            <w:pPr>
              <w:spacing w:after="0"/>
              <w:rPr>
                <w:sz w:val="12"/>
                <w:szCs w:val="12"/>
                <w:color w:val="auto"/>
              </w:rPr>
            </w:pPr>
          </w:p>
        </w:tc>
        <w:tc>
          <w:tcPr>
            <w:tcW w:w="900" w:type="dxa"/>
            <w:vAlign w:val="bottom"/>
          </w:tcPr>
          <w:p>
            <w:pPr>
              <w:jc w:val="right"/>
              <w:ind w:right="358"/>
              <w:spacing w:after="0" w:line="145" w:lineRule="exact"/>
              <w:rPr>
                <w:sz w:val="20"/>
                <w:szCs w:val="20"/>
                <w:color w:val="auto"/>
              </w:rPr>
            </w:pPr>
            <w:r>
              <w:rPr>
                <w:rFonts w:ascii="Arial" w:cs="Arial" w:eastAsia="Arial" w:hAnsi="Arial"/>
                <w:sz w:val="15"/>
                <w:szCs w:val="15"/>
                <w:b w:val="1"/>
                <w:bCs w:val="1"/>
                <w:color w:val="auto"/>
              </w:rPr>
              <w:t>Fair</w:t>
            </w:r>
          </w:p>
        </w:tc>
      </w:tr>
      <w:tr>
        <w:trPr>
          <w:trHeight w:val="196"/>
        </w:trPr>
        <w:tc>
          <w:tcPr>
            <w:tcW w:w="34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Amount</w:t>
            </w:r>
          </w:p>
        </w:tc>
        <w:tc>
          <w:tcPr>
            <w:tcW w:w="2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Value</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Amount</w:t>
            </w:r>
          </w:p>
        </w:tc>
        <w:tc>
          <w:tcPr>
            <w:tcW w:w="240" w:type="dxa"/>
            <w:vAlign w:val="bottom"/>
          </w:tcPr>
          <w:p>
            <w:pPr>
              <w:spacing w:after="0"/>
              <w:rPr>
                <w:sz w:val="17"/>
                <w:szCs w:val="17"/>
                <w:color w:val="auto"/>
              </w:rPr>
            </w:pPr>
          </w:p>
        </w:tc>
        <w:tc>
          <w:tcPr>
            <w:tcW w:w="900" w:type="dxa"/>
            <w:vAlign w:val="bottom"/>
          </w:tcPr>
          <w:p>
            <w:pPr>
              <w:jc w:val="right"/>
              <w:ind w:right="318"/>
              <w:spacing w:after="0"/>
              <w:rPr>
                <w:sz w:val="20"/>
                <w:szCs w:val="20"/>
                <w:color w:val="auto"/>
              </w:rPr>
            </w:pPr>
            <w:r>
              <w:rPr>
                <w:rFonts w:ascii="Arial" w:cs="Arial" w:eastAsia="Arial" w:hAnsi="Arial"/>
                <w:sz w:val="15"/>
                <w:szCs w:val="15"/>
                <w:b w:val="1"/>
                <w:bCs w:val="1"/>
                <w:color w:val="auto"/>
              </w:rPr>
              <w:t>Value</w:t>
            </w:r>
          </w:p>
        </w:tc>
      </w:tr>
      <w:tr>
        <w:trPr>
          <w:trHeight w:val="232"/>
        </w:trPr>
        <w:tc>
          <w:tcPr>
            <w:tcW w:w="3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2,045</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2,102</w:t>
            </w:r>
          </w:p>
        </w:tc>
      </w:tr>
      <w:tr>
        <w:trPr>
          <w:trHeight w:val="249"/>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r>
      <w:tr>
        <w:trPr>
          <w:trHeight w:val="229"/>
        </w:trPr>
        <w:tc>
          <w:tcPr>
            <w:tcW w:w="3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financial assets</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2,178</w:t>
            </w:r>
          </w:p>
        </w:tc>
      </w:tr>
      <w:tr>
        <w:trPr>
          <w:trHeight w:val="20"/>
        </w:trPr>
        <w:tc>
          <w:tcPr>
            <w:tcW w:w="34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r>
      <w:tr>
        <w:trPr>
          <w:trHeight w:val="249"/>
        </w:trPr>
        <w:tc>
          <w:tcPr>
            <w:tcW w:w="360" w:type="dxa"/>
            <w:vAlign w:val="bottom"/>
          </w:tcPr>
          <w:p>
            <w:pPr>
              <w:ind w:left="20"/>
              <w:spacing w:after="0"/>
              <w:rPr>
                <w:sz w:val="20"/>
                <w:szCs w:val="20"/>
                <w:color w:val="auto"/>
              </w:rPr>
            </w:pPr>
            <w:r>
              <w:rPr>
                <w:rFonts w:ascii="Arial" w:cs="Arial" w:eastAsia="Arial" w:hAnsi="Arial"/>
                <w:sz w:val="17"/>
                <w:szCs w:val="17"/>
                <w:color w:val="auto"/>
                <w:w w:val="84"/>
              </w:rPr>
              <w:t>2025</w:t>
            </w:r>
          </w:p>
        </w:tc>
        <w:tc>
          <w:tcPr>
            <w:tcW w:w="3080" w:type="dxa"/>
            <w:vAlign w:val="bottom"/>
          </w:tcPr>
          <w:p>
            <w:pPr>
              <w:ind w:left="20"/>
              <w:spacing w:after="0"/>
              <w:rPr>
                <w:sz w:val="20"/>
                <w:szCs w:val="20"/>
                <w:color w:val="auto"/>
              </w:rPr>
            </w:pPr>
            <w:r>
              <w:rPr>
                <w:rFonts w:ascii="Arial" w:cs="Arial" w:eastAsia="Arial" w:hAnsi="Arial"/>
                <w:sz w:val="17"/>
                <w:szCs w:val="17"/>
                <w:color w:val="auto"/>
              </w:rPr>
              <w:t>Notes,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(261)</w:t>
            </w:r>
          </w:p>
        </w:tc>
      </w:tr>
      <w:tr>
        <w:trPr>
          <w:trHeight w:val="249"/>
        </w:trPr>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2028</w:t>
            </w:r>
          </w:p>
        </w:tc>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net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r>
      <w:tr>
        <w:trPr>
          <w:trHeight w:val="249"/>
        </w:trPr>
        <w:tc>
          <w:tcPr>
            <w:tcW w:w="360" w:type="dxa"/>
            <w:vAlign w:val="bottom"/>
          </w:tcPr>
          <w:p>
            <w:pPr>
              <w:ind w:left="20"/>
              <w:spacing w:after="0"/>
              <w:rPr>
                <w:sz w:val="20"/>
                <w:szCs w:val="20"/>
                <w:color w:val="auto"/>
              </w:rPr>
            </w:pPr>
            <w:r>
              <w:rPr>
                <w:rFonts w:ascii="Arial" w:cs="Arial" w:eastAsia="Arial" w:hAnsi="Arial"/>
                <w:sz w:val="17"/>
                <w:szCs w:val="17"/>
                <w:color w:val="auto"/>
                <w:w w:val="84"/>
              </w:rPr>
              <w:t>2029</w:t>
            </w:r>
          </w:p>
        </w:tc>
        <w:tc>
          <w:tcPr>
            <w:tcW w:w="3080" w:type="dxa"/>
            <w:vAlign w:val="bottom"/>
          </w:tcPr>
          <w:p>
            <w:pPr>
              <w:ind w:left="20"/>
              <w:spacing w:after="0"/>
              <w:rPr>
                <w:sz w:val="20"/>
                <w:szCs w:val="20"/>
                <w:color w:val="auto"/>
              </w:rPr>
            </w:pPr>
            <w:r>
              <w:rPr>
                <w:rFonts w:ascii="Arial" w:cs="Arial" w:eastAsia="Arial" w:hAnsi="Arial"/>
                <w:sz w:val="17"/>
                <w:szCs w:val="17"/>
                <w:color w:val="auto"/>
              </w:rPr>
              <w:t>Notes,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(505)</w:t>
            </w:r>
          </w:p>
        </w:tc>
      </w:tr>
      <w:tr>
        <w:trPr>
          <w:trHeight w:val="24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Term Loan, net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r>
      <w:tr>
        <w:trPr>
          <w:trHeight w:val="249"/>
        </w:trPr>
        <w:tc>
          <w:tcPr>
            <w:tcW w:w="360" w:type="dxa"/>
            <w:vAlign w:val="bottom"/>
          </w:tcPr>
          <w:p>
            <w:pPr>
              <w:ind w:left="20"/>
              <w:spacing w:after="0"/>
              <w:rPr>
                <w:sz w:val="20"/>
                <w:szCs w:val="20"/>
                <w:color w:val="auto"/>
              </w:rPr>
            </w:pPr>
            <w:r>
              <w:rPr>
                <w:rFonts w:ascii="Arial" w:cs="Arial" w:eastAsia="Arial" w:hAnsi="Arial"/>
                <w:sz w:val="17"/>
                <w:szCs w:val="17"/>
                <w:color w:val="auto"/>
                <w:w w:val="84"/>
              </w:rPr>
              <w:t>2022</w:t>
            </w:r>
          </w:p>
        </w:tc>
        <w:tc>
          <w:tcPr>
            <w:tcW w:w="3080" w:type="dxa"/>
            <w:vAlign w:val="bottom"/>
          </w:tcPr>
          <w:p>
            <w:pPr>
              <w:ind w:left="20"/>
              <w:spacing w:after="0"/>
              <w:rPr>
                <w:sz w:val="20"/>
                <w:szCs w:val="20"/>
                <w:color w:val="auto"/>
              </w:rPr>
            </w:pPr>
            <w:r>
              <w:rPr>
                <w:rFonts w:ascii="Arial" w:cs="Arial" w:eastAsia="Arial" w:hAnsi="Arial"/>
                <w:sz w:val="17"/>
                <w:szCs w:val="17"/>
                <w:color w:val="auto"/>
              </w:rPr>
              <w:t>Convertible notes, net</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(280)</w:t>
            </w:r>
          </w:p>
        </w:tc>
      </w:tr>
      <w:tr>
        <w:trPr>
          <w:trHeight w:val="249"/>
        </w:trPr>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2026</w:t>
            </w:r>
          </w:p>
        </w:tc>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 net</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r>
      <w:tr>
        <w:trPr>
          <w:trHeight w:val="249"/>
        </w:trPr>
        <w:tc>
          <w:tcPr>
            <w:tcW w:w="360" w:type="dxa"/>
            <w:vAlign w:val="bottom"/>
          </w:tcPr>
          <w:p>
            <w:pPr>
              <w:ind w:left="20"/>
              <w:spacing w:after="0"/>
              <w:rPr>
                <w:sz w:val="20"/>
                <w:szCs w:val="20"/>
                <w:color w:val="auto"/>
              </w:rPr>
            </w:pPr>
            <w:r>
              <w:rPr>
                <w:rFonts w:ascii="Arial" w:cs="Arial" w:eastAsia="Arial" w:hAnsi="Arial"/>
                <w:sz w:val="17"/>
                <w:szCs w:val="17"/>
                <w:color w:val="auto"/>
                <w:w w:val="84"/>
              </w:rPr>
              <w:t>2027</w:t>
            </w:r>
          </w:p>
        </w:tc>
        <w:tc>
          <w:tcPr>
            <w:tcW w:w="3080" w:type="dxa"/>
            <w:vAlign w:val="bottom"/>
          </w:tcPr>
          <w:p>
            <w:pPr>
              <w:ind w:left="20"/>
              <w:spacing w:after="0"/>
              <w:rPr>
                <w:sz w:val="20"/>
                <w:szCs w:val="20"/>
                <w:color w:val="auto"/>
              </w:rPr>
            </w:pPr>
            <w:r>
              <w:rPr>
                <w:rFonts w:ascii="Arial" w:cs="Arial" w:eastAsia="Arial" w:hAnsi="Arial"/>
                <w:sz w:val="17"/>
                <w:szCs w:val="17"/>
                <w:color w:val="auto"/>
              </w:rPr>
              <w:t>Convertible notes, net</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Non-interest bearing note payable, net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3440" w:type="dxa"/>
            <w:vAlign w:val="bottom"/>
            <w:gridSpan w:val="2"/>
          </w:tcPr>
          <w:p>
            <w:pPr>
              <w:ind w:left="200"/>
              <w:spacing w:after="0"/>
              <w:rPr>
                <w:sz w:val="20"/>
                <w:szCs w:val="20"/>
                <w:color w:val="auto"/>
              </w:rPr>
            </w:pPr>
            <w:r>
              <w:rPr>
                <w:rFonts w:ascii="Arial" w:cs="Arial" w:eastAsia="Arial" w:hAnsi="Arial"/>
                <w:sz w:val="17"/>
                <w:szCs w:val="17"/>
                <w:color w:val="auto"/>
              </w:rPr>
              <w:t>Total financial liabilities</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(4,723)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(4,404)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(4,774)</w:t>
            </w:r>
          </w:p>
        </w:tc>
      </w:tr>
      <w:tr>
        <w:trPr>
          <w:trHeight w:val="20"/>
        </w:trPr>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right="420" w:hanging="300"/>
        <w:spacing w:after="0" w:line="219" w:lineRule="auto"/>
        <w:tabs>
          <w:tab w:leader="none" w:pos="289"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Prior period amounts have not been adjusted to reflect our adoption of ASU 2020-06 under the modified retrospective method. See “Footnote 2” “Summary of Significant Accounting Policies” for information on our adoption of ASU 2020-06.</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5"/>
                <w:szCs w:val="15"/>
                <w:b w:val="1"/>
                <w:bCs w:val="1"/>
                <w:color w:val="auto"/>
              </w:rPr>
              <w:t>At December 31, 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5"/>
                <w:szCs w:val="15"/>
                <w:b w:val="1"/>
                <w:bCs w:val="1"/>
                <w:color w:val="auto"/>
              </w:rPr>
              <w:t>At December 31, 2021</w:t>
            </w:r>
          </w:p>
        </w:tc>
      </w:tr>
      <w:tr>
        <w:trPr>
          <w:trHeight w:val="145"/>
        </w:trPr>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5" w:lineRule="exact"/>
              <w:rPr>
                <w:sz w:val="20"/>
                <w:szCs w:val="20"/>
                <w:color w:val="auto"/>
              </w:rPr>
            </w:pPr>
            <w:r>
              <w:rPr>
                <w:rFonts w:ascii="Arial" w:cs="Arial" w:eastAsia="Arial" w:hAnsi="Arial"/>
                <w:sz w:val="15"/>
                <w:szCs w:val="15"/>
                <w:b w:val="1"/>
                <w:bCs w:val="1"/>
                <w:color w:val="auto"/>
                <w:w w:val="97"/>
              </w:rPr>
              <w:t>Carrying</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Arial" w:cs="Arial" w:eastAsia="Arial" w:hAnsi="Arial"/>
                <w:sz w:val="15"/>
                <w:szCs w:val="15"/>
                <w:b w:val="1"/>
                <w:bCs w:val="1"/>
                <w:color w:val="auto"/>
              </w:rPr>
              <w:t>Fair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5"/>
                <w:szCs w:val="15"/>
                <w:b w:val="1"/>
                <w:bCs w:val="1"/>
                <w:color w:val="auto"/>
                <w:w w:val="93"/>
              </w:rPr>
              <w:t>Carrying</w:t>
            </w:r>
          </w:p>
        </w:tc>
        <w:tc>
          <w:tcPr>
            <w:tcW w:w="260" w:type="dxa"/>
            <w:vAlign w:val="bottom"/>
          </w:tcPr>
          <w:p>
            <w:pPr>
              <w:spacing w:after="0"/>
              <w:rPr>
                <w:sz w:val="12"/>
                <w:szCs w:val="12"/>
                <w:color w:val="auto"/>
              </w:rPr>
            </w:pPr>
          </w:p>
        </w:tc>
        <w:tc>
          <w:tcPr>
            <w:tcW w:w="880" w:type="dxa"/>
            <w:vAlign w:val="bottom"/>
          </w:tcPr>
          <w:p>
            <w:pPr>
              <w:jc w:val="right"/>
              <w:ind w:right="339"/>
              <w:spacing w:after="0" w:line="145" w:lineRule="exact"/>
              <w:rPr>
                <w:sz w:val="20"/>
                <w:szCs w:val="20"/>
                <w:color w:val="auto"/>
              </w:rPr>
            </w:pPr>
            <w:r>
              <w:rPr>
                <w:rFonts w:ascii="Arial" w:cs="Arial" w:eastAsia="Arial" w:hAnsi="Arial"/>
                <w:sz w:val="15"/>
                <w:szCs w:val="15"/>
                <w:b w:val="1"/>
                <w:bCs w:val="1"/>
                <w:color w:val="auto"/>
              </w:rPr>
              <w:t>Fair</w:t>
            </w:r>
          </w:p>
        </w:tc>
      </w:tr>
      <w:tr>
        <w:trPr>
          <w:trHeight w:val="196"/>
        </w:trPr>
        <w:tc>
          <w:tcPr>
            <w:tcW w:w="35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Amount</w:t>
            </w: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Value</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Amount</w:t>
            </w:r>
          </w:p>
        </w:tc>
        <w:tc>
          <w:tcPr>
            <w:tcW w:w="260" w:type="dxa"/>
            <w:vAlign w:val="bottom"/>
          </w:tcPr>
          <w:p>
            <w:pPr>
              <w:spacing w:after="0"/>
              <w:rPr>
                <w:sz w:val="17"/>
                <w:szCs w:val="17"/>
                <w:color w:val="auto"/>
              </w:rPr>
            </w:pPr>
          </w:p>
        </w:tc>
        <w:tc>
          <w:tcPr>
            <w:tcW w:w="880" w:type="dxa"/>
            <w:vAlign w:val="bottom"/>
          </w:tcPr>
          <w:p>
            <w:pPr>
              <w:jc w:val="right"/>
              <w:ind w:right="299"/>
              <w:spacing w:after="0"/>
              <w:rPr>
                <w:sz w:val="20"/>
                <w:szCs w:val="20"/>
                <w:color w:val="auto"/>
              </w:rPr>
            </w:pPr>
            <w:r>
              <w:rPr>
                <w:rFonts w:ascii="Arial" w:cs="Arial" w:eastAsia="Arial" w:hAnsi="Arial"/>
                <w:sz w:val="15"/>
                <w:szCs w:val="15"/>
                <w:b w:val="1"/>
                <w:bCs w:val="1"/>
                <w:color w:val="auto"/>
              </w:rPr>
              <w:t>Value</w:t>
            </w:r>
          </w:p>
        </w:tc>
      </w:tr>
      <w:tr>
        <w:trPr>
          <w:trHeight w:val="23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r>
      <w:tr>
        <w:trPr>
          <w:trHeight w:val="249"/>
        </w:trPr>
        <w:tc>
          <w:tcPr>
            <w:tcW w:w="3500" w:type="dxa"/>
            <w:vAlign w:val="bottom"/>
          </w:tcPr>
          <w:p>
            <w:pPr>
              <w:ind w:left="200"/>
              <w:spacing w:after="0"/>
              <w:rPr>
                <w:sz w:val="20"/>
                <w:szCs w:val="20"/>
                <w:color w:val="auto"/>
              </w:rPr>
            </w:pPr>
            <w:r>
              <w:rPr>
                <w:rFonts w:ascii="Arial" w:cs="Arial" w:eastAsia="Arial" w:hAnsi="Arial"/>
                <w:sz w:val="17"/>
                <w:szCs w:val="17"/>
                <w:color w:val="auto"/>
              </w:rPr>
              <w:t>Securitized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1,792</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1,662</w:t>
            </w:r>
          </w:p>
        </w:tc>
        <w:tc>
          <w:tcPr>
            <w:tcW w:w="100" w:type="dxa"/>
            <w:vAlign w:val="bottom"/>
          </w:tcPr>
          <w:p>
            <w:pPr>
              <w:spacing w:after="0"/>
              <w:rPr>
                <w:sz w:val="21"/>
                <w:szCs w:val="21"/>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1,712</w:t>
            </w:r>
          </w:p>
        </w:tc>
      </w:tr>
      <w:tr>
        <w:trPr>
          <w:trHeight w:val="249"/>
        </w:trPr>
        <w:tc>
          <w:tcPr>
            <w:tcW w:w="3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9"/>
        </w:trPr>
        <w:tc>
          <w:tcPr>
            <w:tcW w:w="3500" w:type="dxa"/>
            <w:vAlign w:val="bottom"/>
          </w:tcPr>
          <w:p>
            <w:pPr>
              <w:ind w:left="420"/>
              <w:spacing w:after="0"/>
              <w:rPr>
                <w:sz w:val="20"/>
                <w:szCs w:val="20"/>
                <w:color w:val="auto"/>
              </w:rPr>
            </w:pPr>
            <w:r>
              <w:rPr>
                <w:rFonts w:ascii="Arial" w:cs="Arial" w:eastAsia="Arial" w:hAnsi="Arial"/>
                <w:sz w:val="17"/>
                <w:szCs w:val="17"/>
                <w:color w:val="auto"/>
              </w:rPr>
              <w:t>Eligible for securitization</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49"/>
        </w:trPr>
        <w:tc>
          <w:tcPr>
            <w:tcW w:w="3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Not eligible for securitization</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29"/>
        </w:trPr>
        <w:tc>
          <w:tcPr>
            <w:tcW w:w="35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Non-securitized</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r>
      <w:tr>
        <w:trPr>
          <w:trHeight w:val="229"/>
        </w:trPr>
        <w:tc>
          <w:tcPr>
            <w:tcW w:w="3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08" w:name="page109"/>
    <w:bookmarkEnd w:id="108"/>
    <w:p>
      <w:pPr>
        <w:ind w:right="220"/>
        <w:spacing w:after="0" w:line="295" w:lineRule="auto"/>
        <w:rPr>
          <w:sz w:val="20"/>
          <w:szCs w:val="20"/>
          <w:color w:val="auto"/>
        </w:rPr>
      </w:pPr>
      <w:r>
        <w:rPr>
          <w:rFonts w:ascii="Arial" w:cs="Arial" w:eastAsia="Arial" w:hAnsi="Arial"/>
          <w:sz w:val="15"/>
          <w:szCs w:val="15"/>
          <w:color w:val="auto"/>
        </w:rPr>
        <w:t>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Other assets include $76 million of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Securitized Debt</w:t>
      </w:r>
    </w:p>
    <w:p>
      <w:pPr>
        <w:spacing w:after="0" w:line="10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estimate the fair value of our senior notes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03" w:lineRule="exact"/>
        <w:rPr>
          <w:sz w:val="20"/>
          <w:szCs w:val="20"/>
          <w:color w:val="auto"/>
        </w:rPr>
      </w:pPr>
    </w:p>
    <w:p>
      <w:pPr>
        <w:jc w:val="both"/>
        <w:ind w:right="220"/>
        <w:spacing w:after="0" w:line="254" w:lineRule="auto"/>
        <w:rPr>
          <w:sz w:val="20"/>
          <w:szCs w:val="20"/>
          <w:color w:val="auto"/>
        </w:rPr>
      </w:pPr>
      <w:r>
        <w:rPr>
          <w:rFonts w:ascii="Arial" w:cs="Arial" w:eastAsia="Arial" w:hAnsi="Arial"/>
          <w:sz w:val="17"/>
          <w:szCs w:val="17"/>
          <w:color w:val="auto"/>
        </w:rPr>
        <w:t>We estimate the fair value of our Term Loan (as defined in Footnote 16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0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2022 Convertible Notes (as defined in Footnote 16 “Debt”) matured on September 15, 2022, and were repaid in full during the third quarter of 2022. See Footnote 16 “Debt” for further information on our convertible notes.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Bearing Note Payable</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carrying value of our non-interest bearing note payable issued in connection with the acquisition of vacation ownership units located in Bali, Indonesia approximates fair value. We concluded that this fair value measurement should be categorized within Level 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auto"/>
        </w:rPr>
        <w:t>8. EARNINGS PER SHARE</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57" w:lineRule="exact"/>
        <w:rPr>
          <w:sz w:val="20"/>
          <w:szCs w:val="20"/>
          <w:color w:val="auto"/>
        </w:rPr>
      </w:pPr>
    </w:p>
    <w:p>
      <w:pPr>
        <w:ind w:right="60"/>
        <w:spacing w:after="0" w:line="339" w:lineRule="auto"/>
        <w:rPr>
          <w:sz w:val="20"/>
          <w:szCs w:val="20"/>
          <w:color w:val="auto"/>
        </w:rPr>
      </w:pPr>
      <w:r>
        <w:rPr>
          <w:rFonts w:ascii="Arial" w:cs="Arial" w:eastAsia="Arial" w:hAnsi="Arial"/>
          <w:sz w:val="13"/>
          <w:szCs w:val="13"/>
          <w:color w:val="auto"/>
        </w:rPr>
        <w:t>We adopted ASU 2020-06 on January 1, 2022 using the modified retrospective method. ASU 2020-06 is applicable to our convertible notes outstanding as of adoption and requires us to calculate the impact of our convertible notes on diluted earnings per share using the “if-converted” method, regardless of our intent to settle or partially settle the debt in cash. Under the “if-converted” method, shares issuable upon conversion of our convertible notes are assumed to be converted into common stock at the beginning of the period, to the extent dilutive. We issued notice of our intent to settle the 2022 Convertible Notes in cash, which became irrevocable on June 15, 2022, and as a result, we suspended the use of the “if-converted” method for the 2022 Convertible Notes at that time, as there was no longer a share settlement option. Earnings per share for 2021 and 2020 have not been retrospectively restated and continue to be reported under the accounting standards in effect for that period.</w:t>
      </w:r>
    </w:p>
    <w:p>
      <w:pPr>
        <w:spacing w:after="0" w:line="27"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the convertible notes are considered to be anti-dilutive and do not impact our calculation of diluted earnings per share attributable to common shareholders for any periods presented herein. The 2022 Convertible Notes and the 2022 Convertible Note Hedges (as defined in Footnote 16 “Debt”) matured on September 15, 2022. However, a portion of the 2022 Warrants (as defined in Footnote 16 “Debt”) remained outstanding as of December 31, 2022.</w:t>
      </w:r>
    </w:p>
    <w:p>
      <w:pPr>
        <w:spacing w:after="0" w:line="54"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basic earnings or loss per share attributable to common shareholders.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(in millions, except per share amounts)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2020</w:t>
            </w:r>
          </w:p>
        </w:tc>
        <w:tc>
          <w:tcPr>
            <w:tcW w:w="2880" w:type="dxa"/>
            <w:vAlign w:val="bottom"/>
          </w:tcPr>
          <w:p>
            <w:pPr>
              <w:spacing w:after="0"/>
              <w:rPr>
                <w:sz w:val="17"/>
                <w:szCs w:val="17"/>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Net income (loss) attributable to common shareholders</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540" w:type="dxa"/>
            <w:vAlign w:val="bottom"/>
            <w:gridSpan w:val="2"/>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2880" w:type="dxa"/>
            <w:vAlign w:val="bottom"/>
          </w:tcPr>
          <w:p>
            <w:pPr>
              <w:spacing w:after="0"/>
              <w:rPr>
                <w:sz w:val="19"/>
                <w:szCs w:val="19"/>
                <w:color w:val="auto"/>
              </w:rPr>
            </w:pPr>
          </w:p>
        </w:tc>
      </w:tr>
      <w:tr>
        <w:trPr>
          <w:trHeight w:val="23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for basic earnings (loss) per share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w:t>
            </w:r>
          </w:p>
        </w:tc>
        <w:tc>
          <w:tcPr>
            <w:tcW w:w="2880" w:type="dxa"/>
            <w:vAlign w:val="bottom"/>
          </w:tcPr>
          <w:p>
            <w:pPr>
              <w:spacing w:after="0"/>
              <w:rPr>
                <w:sz w:val="20"/>
                <w:szCs w:val="20"/>
                <w:color w:val="auto"/>
              </w:rPr>
            </w:pPr>
          </w:p>
        </w:tc>
      </w:tr>
      <w:tr>
        <w:trPr>
          <w:trHeight w:val="22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(loss) per share</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2880" w:type="dxa"/>
            <w:vAlign w:val="bottom"/>
          </w:tcPr>
          <w:p>
            <w:pPr>
              <w:spacing w:after="0"/>
              <w:rPr>
                <w:sz w:val="19"/>
                <w:szCs w:val="19"/>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953"/>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gridSpan w:val="2"/>
          </w:tcPr>
          <w:p>
            <w:pPr>
              <w:jc w:val="right"/>
              <w:ind w:right="117"/>
              <w:spacing w:after="0"/>
              <w:rPr>
                <w:sz w:val="20"/>
                <w:szCs w:val="20"/>
                <w:color w:val="auto"/>
              </w:rPr>
            </w:pPr>
            <w:r>
              <w:rPr>
                <w:rFonts w:ascii="Arial" w:cs="Arial" w:eastAsia="Arial" w:hAnsi="Arial"/>
                <w:sz w:val="17"/>
                <w:szCs w:val="17"/>
                <w:color w:val="auto"/>
              </w:rPr>
              <w:t>108</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04"/>
        </w:trPr>
        <w:tc>
          <w:tcPr>
            <w:tcW w:w="4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10" w:name="page111"/>
    <w:bookmarkEnd w:id="110"/>
    <w:p>
      <w:pPr>
        <w:ind w:right="380"/>
        <w:spacing w:after="0" w:line="264"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diluted earnings or loss per share attributable to common shareholders.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(in millions, except per share amounts)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2022</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2021</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5"/>
                <w:szCs w:val="15"/>
                <w:b w:val="1"/>
                <w:bCs w:val="1"/>
                <w:color w:val="auto"/>
              </w:rPr>
              <w:t>2020</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income (loss) attributable to common shareholders</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7"/>
                <w:szCs w:val="17"/>
                <w:color w:val="auto"/>
                <w:w w:val="91"/>
              </w:rPr>
              <w:t>Add back of interest expense related to convertible notes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7"/>
                <w:szCs w:val="17"/>
                <w:color w:val="auto"/>
                <w:w w:val="95"/>
              </w:rPr>
              <w:t>subsequent to the adoption of ASU 2020-06, net of tax</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42"/>
        </w:trPr>
        <w:tc>
          <w:tcPr>
            <w:tcW w:w="39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Numerator used to calculate diluted earnings (loss) per</w:t>
            </w:r>
          </w:p>
        </w:tc>
        <w:tc>
          <w:tcPr>
            <w:tcW w:w="3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149"/>
        </w:trPr>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for basic earnings (loss) per share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r>
      <w:tr>
        <w:trPr>
          <w:trHeight w:val="236"/>
        </w:trPr>
        <w:tc>
          <w:tcPr>
            <w:tcW w:w="3940" w:type="dxa"/>
            <w:vAlign w:val="bottom"/>
          </w:tcPr>
          <w:p>
            <w:pPr>
              <w:ind w:left="20"/>
              <w:spacing w:after="0"/>
              <w:rPr>
                <w:sz w:val="20"/>
                <w:szCs w:val="20"/>
                <w:color w:val="auto"/>
              </w:rPr>
            </w:pPr>
            <w:r>
              <w:rPr>
                <w:rFonts w:ascii="Arial" w:cs="Arial" w:eastAsia="Arial" w:hAnsi="Arial"/>
                <w:sz w:val="17"/>
                <w:szCs w:val="17"/>
                <w:color w:val="auto"/>
              </w:rPr>
              <w:t>Effect of dilutive shares outstanding</w:t>
            </w:r>
            <w:r>
              <w:rPr>
                <w:rFonts w:ascii="Arial" w:cs="Arial" w:eastAsia="Arial" w:hAnsi="Arial"/>
                <w:sz w:val="8"/>
                <w:szCs w:val="8"/>
                <w:color w:val="auto"/>
              </w:rPr>
              <w:t>(2)</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3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Employee SARs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3940" w:type="dxa"/>
            <w:vAlign w:val="bottom"/>
          </w:tcPr>
          <w:p>
            <w:pPr>
              <w:ind w:left="100"/>
              <w:spacing w:after="0"/>
              <w:rPr>
                <w:sz w:val="20"/>
                <w:szCs w:val="20"/>
                <w:color w:val="auto"/>
              </w:rPr>
            </w:pPr>
            <w:r>
              <w:rPr>
                <w:rFonts w:ascii="Arial" w:cs="Arial" w:eastAsia="Arial" w:hAnsi="Arial"/>
                <w:sz w:val="17"/>
                <w:szCs w:val="17"/>
                <w:color w:val="auto"/>
              </w:rPr>
              <w:t>Restricted stock units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3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2022 Convertible Notes ($230 million of principal)</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3940" w:type="dxa"/>
            <w:vAlign w:val="bottom"/>
          </w:tcPr>
          <w:p>
            <w:pPr>
              <w:ind w:left="100"/>
              <w:spacing w:after="0"/>
              <w:rPr>
                <w:sz w:val="20"/>
                <w:szCs w:val="20"/>
                <w:color w:val="auto"/>
              </w:rPr>
            </w:pPr>
            <w:r>
              <w:rPr>
                <w:rFonts w:ascii="Arial" w:cs="Arial" w:eastAsia="Arial" w:hAnsi="Arial"/>
                <w:sz w:val="17"/>
                <w:szCs w:val="17"/>
                <w:color w:val="auto"/>
              </w:rPr>
              <w:t>2026 Convertible Notes ($575 million of principal)</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3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2027 Convertible Notes ($575 million of principal)</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for diluted earnings (loss) per share</w:t>
            </w: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w:t>
            </w:r>
          </w:p>
        </w:tc>
      </w:tr>
      <w:tr>
        <w:trPr>
          <w:trHeight w:val="22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 (loss) per share</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hanging="300"/>
        <w:spacing w:after="0" w:line="268" w:lineRule="auto"/>
        <w:tabs>
          <w:tab w:leader="none" w:pos="289"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The computations of diluted earnings per share attributable to common shareholders exclude approximately 129,000 and 166,000 shares of common stock, the maximum number of shares issuable as of December 31, 2022 and December 31, 2021, respectively, upon the vesting of certain performance-based awards, because the performance conditions required to be met for the shares subject to such awards to vest were not achieved by the end of the reporting period.</w:t>
      </w:r>
    </w:p>
    <w:p>
      <w:pPr>
        <w:spacing w:after="0" w:line="17" w:lineRule="exact"/>
        <w:rPr>
          <w:rFonts w:ascii="Arial" w:cs="Arial" w:eastAsia="Arial" w:hAnsi="Arial"/>
          <w:sz w:val="19"/>
          <w:szCs w:val="19"/>
          <w:color w:val="auto"/>
          <w:vertAlign w:val="superscript"/>
        </w:rPr>
      </w:pPr>
    </w:p>
    <w:p>
      <w:pPr>
        <w:ind w:left="300" w:right="240" w:hanging="300"/>
        <w:spacing w:after="0" w:line="219" w:lineRule="auto"/>
        <w:tabs>
          <w:tab w:leader="none" w:pos="289"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For 2020, the following potentially dilutive securities were excluded from the above calculation of diluted net loss per share attributable to common shareholders during the periods presented, as the effects of including these securities would have been anti-dilutive.</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(in millions)</w:t>
            </w: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2020</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SARs</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r>
      <w:tr>
        <w:trPr>
          <w:trHeight w:val="229"/>
        </w:trPr>
        <w:tc>
          <w:tcPr>
            <w:tcW w:w="65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In accordance with the applicable accounting guidance for calculating earnings per share, for the year ended December 31, 2022, we excluded from our calculation of diluted earnings per share 199,813 shares underlying SARs that may settle in shares of common stock because the exercise prices of such SARs, which ranged from $159.27 to $173.88, were greater than the average market price of our common stock for the applicable period.</w:t>
      </w:r>
    </w:p>
    <w:p>
      <w:pPr>
        <w:spacing w:after="0" w:line="60" w:lineRule="exact"/>
        <w:rPr>
          <w:sz w:val="20"/>
          <w:szCs w:val="20"/>
          <w:color w:val="auto"/>
        </w:rPr>
      </w:pPr>
    </w:p>
    <w:p>
      <w:pPr>
        <w:ind w:right="360"/>
        <w:spacing w:after="0" w:line="331" w:lineRule="auto"/>
        <w:rPr>
          <w:sz w:val="20"/>
          <w:szCs w:val="20"/>
          <w:color w:val="auto"/>
        </w:rPr>
      </w:pPr>
      <w:r>
        <w:rPr>
          <w:rFonts w:ascii="Arial" w:cs="Arial" w:eastAsia="Arial" w:hAnsi="Arial"/>
          <w:sz w:val="15"/>
          <w:szCs w:val="15"/>
          <w:color w:val="auto"/>
        </w:rPr>
        <w:t>For the year ended December 31, 2021, we excluded from our calculation of diluted earnings per share 126,804 shares underlying SARs that may settle in shares of common stock because the exercise price of $173.88 of such SARs was greater than the average market price of our common stock for the applicable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INVENTORY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inventory balances: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3"/>
              </w:rPr>
              <w:t>At Year-End 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5"/>
              </w:rPr>
              <w:t>At Year-End 2021</w:t>
            </w:r>
          </w:p>
        </w:tc>
      </w:tr>
      <w:tr>
        <w:trPr>
          <w:trHeight w:val="21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VOI inventory</w:t>
            </w:r>
            <w:r>
              <w:rPr>
                <w:rFonts w:ascii="Arial" w:cs="Arial" w:eastAsia="Arial" w:hAnsi="Arial"/>
                <w:sz w:val="8"/>
                <w:szCs w:val="8"/>
                <w:color w:val="auto"/>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r>
      <w:tr>
        <w:trPr>
          <w:trHeight w:val="236"/>
        </w:trPr>
        <w:tc>
          <w:tcPr>
            <w:tcW w:w="544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9"/>
        </w:trPr>
        <w:tc>
          <w:tcPr>
            <w:tcW w:w="5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right="40" w:hanging="300"/>
        <w:spacing w:after="0" w:line="219" w:lineRule="auto"/>
        <w:tabs>
          <w:tab w:leader="none" w:pos="289"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Represents completed inventory that is registered for sale as VOIs and vacation ownership inventory expected to be reacquired pursuant to estimated future defaults on originated vacation ownership notes receivable.</w:t>
      </w:r>
    </w:p>
    <w:p>
      <w:pPr>
        <w:spacing w:after="0" w:line="89"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We value VOIs at the lower of cost or fair market value less costs to sell, in accordance with applicable accounting guidance, and we record operating supplies at the lower of cost (using the first-in, first-out method) or net realizable value.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111" w:name="page112"/>
    <w:bookmarkEnd w:id="111"/>
    <w:p>
      <w:pPr>
        <w:ind w:right="180"/>
        <w:spacing w:after="0" w:line="254" w:lineRule="auto"/>
        <w:rPr>
          <w:sz w:val="20"/>
          <w:szCs w:val="20"/>
          <w:color w:val="auto"/>
        </w:rPr>
      </w:pPr>
      <w:r>
        <w:rPr>
          <w:rFonts w:ascii="Arial" w:cs="Arial" w:eastAsia="Arial" w:hAnsi="Arial"/>
          <w:sz w:val="17"/>
          <w:szCs w:val="17"/>
          <w:color w:val="auto"/>
        </w:rPr>
        <w:t>In addition to the above, at December 31, 2022 and December 31, 2021, we had $428 million and $460 million, respectively, of completed vacation ownership units which are classified as a component of Property and equipment, net until the time at which they are available and legally registered for sale as vacation ownership products.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PROPERTY AND EQUIPMENT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composition of our property and equipment balances: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5"/>
                <w:szCs w:val="15"/>
                <w:b w:val="1"/>
                <w:bCs w:val="1"/>
                <w:color w:val="auto"/>
              </w:rPr>
              <w:t>At Year-End 2022</w:t>
            </w:r>
          </w:p>
        </w:tc>
        <w:tc>
          <w:tcPr>
            <w:tcW w:w="160" w:type="dxa"/>
            <w:vAlign w:val="bottom"/>
          </w:tcPr>
          <w:p>
            <w:pPr>
              <w:spacing w:after="0"/>
              <w:rPr>
                <w:sz w:val="17"/>
                <w:szCs w:val="17"/>
                <w:color w:val="auto"/>
              </w:rPr>
            </w:pPr>
          </w:p>
        </w:tc>
        <w:tc>
          <w:tcPr>
            <w:tcW w:w="1400" w:type="dxa"/>
            <w:vAlign w:val="bottom"/>
          </w:tcPr>
          <w:p>
            <w:pPr>
              <w:jc w:val="right"/>
              <w:ind w:right="138"/>
              <w:spacing w:after="0"/>
              <w:rPr>
                <w:sz w:val="20"/>
                <w:szCs w:val="20"/>
                <w:color w:val="auto"/>
              </w:rPr>
            </w:pPr>
            <w:r>
              <w:rPr>
                <w:rFonts w:ascii="Arial" w:cs="Arial" w:eastAsia="Arial" w:hAnsi="Arial"/>
                <w:sz w:val="15"/>
                <w:szCs w:val="15"/>
                <w:b w:val="1"/>
                <w:bCs w:val="1"/>
                <w:color w:val="auto"/>
                <w:w w:val="93"/>
              </w:rPr>
              <w:t>At Year-End 2021</w:t>
            </w:r>
          </w:p>
        </w:tc>
      </w:tr>
      <w:tr>
        <w:trPr>
          <w:trHeight w:val="21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and land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w:t>
            </w:r>
          </w:p>
        </w:tc>
      </w:tr>
      <w:tr>
        <w:trPr>
          <w:trHeight w:val="236"/>
        </w:trPr>
        <w:tc>
          <w:tcPr>
            <w:tcW w:w="5120" w:type="dxa"/>
            <w:vAlign w:val="bottom"/>
          </w:tcPr>
          <w:p>
            <w:pPr>
              <w:ind w:left="20"/>
              <w:spacing w:after="0"/>
              <w:rPr>
                <w:sz w:val="20"/>
                <w:szCs w:val="20"/>
                <w:color w:val="auto"/>
              </w:rPr>
            </w:pPr>
            <w:r>
              <w:rPr>
                <w:rFonts w:ascii="Arial" w:cs="Arial" w:eastAsia="Arial" w:hAnsi="Arial"/>
                <w:sz w:val="17"/>
                <w:szCs w:val="17"/>
                <w:color w:val="auto"/>
              </w:rPr>
              <w:t>Buildings and leasehold improvements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697</w:t>
            </w:r>
          </w:p>
        </w:tc>
      </w:tr>
      <w:tr>
        <w:trPr>
          <w:trHeight w:val="236"/>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fixtures and other equipment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36"/>
        </w:trPr>
        <w:tc>
          <w:tcPr>
            <w:tcW w:w="5120" w:type="dxa"/>
            <w:vAlign w:val="bottom"/>
          </w:tcPr>
          <w:p>
            <w:pPr>
              <w:ind w:left="20"/>
              <w:spacing w:after="0"/>
              <w:rPr>
                <w:sz w:val="20"/>
                <w:szCs w:val="20"/>
                <w:color w:val="auto"/>
              </w:rPr>
            </w:pPr>
            <w:r>
              <w:rPr>
                <w:rFonts w:ascii="Arial" w:cs="Arial" w:eastAsia="Arial" w:hAnsi="Arial"/>
                <w:sz w:val="17"/>
                <w:szCs w:val="17"/>
                <w:color w:val="auto"/>
              </w:rPr>
              <w:t>Information technology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413</w:t>
            </w:r>
          </w:p>
        </w:tc>
      </w:tr>
      <w:tr>
        <w:trPr>
          <w:trHeight w:val="236"/>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1,724</w:t>
            </w:r>
          </w:p>
        </w:tc>
      </w:tr>
      <w:tr>
        <w:trPr>
          <w:trHeight w:val="236"/>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r>
      <w:tr>
        <w:trPr>
          <w:trHeight w:val="204"/>
        </w:trPr>
        <w:tc>
          <w:tcPr>
            <w:tcW w:w="5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GOODWILL</w:t>
      </w:r>
    </w:p>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following table details the carrying amount of our goodwill at December 31, 2022 and December 31, 2021, and reflects goodwill attributed to the ILG Acquisition and the Welk Acquisition.</w:t>
      </w:r>
    </w:p>
    <w:tbl>
      <w:tblPr>
        <w:tblLayout w:type="fixed"/>
        <w:tblInd w:w="0" w:type="dxa"/>
        <w:tblCellMar>
          <w:top w:w="0" w:type="dxa"/>
          <w:left w:w="0" w:type="dxa"/>
          <w:bottom w:w="0" w:type="dxa"/>
          <w:right w:w="0" w:type="dxa"/>
        </w:tblCellMar>
      </w:tblPr>
      <w:tr>
        <w:trPr>
          <w:trHeight w:val="155"/>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Vacation Ownership</w:t>
            </w:r>
          </w:p>
        </w:tc>
        <w:tc>
          <w:tcPr>
            <w:tcW w:w="120" w:type="dxa"/>
            <w:vAlign w:val="bottom"/>
          </w:tcPr>
          <w:p>
            <w:pPr>
              <w:spacing w:after="0"/>
              <w:rPr>
                <w:sz w:val="13"/>
                <w:szCs w:val="13"/>
                <w:color w:val="auto"/>
              </w:rPr>
            </w:pPr>
          </w:p>
        </w:tc>
        <w:tc>
          <w:tcPr>
            <w:tcW w:w="1540" w:type="dxa"/>
            <w:vAlign w:val="bottom"/>
            <w:gridSpan w:val="2"/>
          </w:tcPr>
          <w:p>
            <w:pPr>
              <w:ind w:left="40"/>
              <w:spacing w:after="0" w:line="155" w:lineRule="exact"/>
              <w:rPr>
                <w:sz w:val="20"/>
                <w:szCs w:val="20"/>
                <w:color w:val="auto"/>
              </w:rPr>
            </w:pPr>
            <w:r>
              <w:rPr>
                <w:rFonts w:ascii="Arial" w:cs="Arial" w:eastAsia="Arial" w:hAnsi="Arial"/>
                <w:sz w:val="15"/>
                <w:szCs w:val="15"/>
                <w:b w:val="1"/>
                <w:bCs w:val="1"/>
                <w:color w:val="auto"/>
              </w:rPr>
              <w:t>Exchange &amp; Third-</w:t>
            </w:r>
          </w:p>
        </w:tc>
        <w:tc>
          <w:tcPr>
            <w:tcW w:w="140" w:type="dxa"/>
            <w:vAlign w:val="bottom"/>
          </w:tcPr>
          <w:p>
            <w:pPr>
              <w:spacing w:after="0"/>
              <w:rPr>
                <w:sz w:val="13"/>
                <w:szCs w:val="13"/>
                <w:color w:val="auto"/>
              </w:rPr>
            </w:pPr>
          </w:p>
        </w:tc>
        <w:tc>
          <w:tcPr>
            <w:tcW w:w="1400" w:type="dxa"/>
            <w:vAlign w:val="bottom"/>
            <w:vMerge w:val="restart"/>
          </w:tcPr>
          <w:p>
            <w:pPr>
              <w:jc w:val="right"/>
              <w:ind w:right="78"/>
              <w:spacing w:after="0"/>
              <w:rPr>
                <w:sz w:val="20"/>
                <w:szCs w:val="20"/>
                <w:color w:val="auto"/>
              </w:rPr>
            </w:pPr>
            <w:r>
              <w:rPr>
                <w:rFonts w:ascii="Arial" w:cs="Arial" w:eastAsia="Arial" w:hAnsi="Arial"/>
                <w:sz w:val="15"/>
                <w:szCs w:val="15"/>
                <w:b w:val="1"/>
                <w:bCs w:val="1"/>
                <w:color w:val="auto"/>
                <w:w w:val="90"/>
              </w:rPr>
              <w:t>Total Consolidated</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5"/>
                <w:szCs w:val="15"/>
                <w:b w:val="1"/>
                <w:bCs w:val="1"/>
                <w:color w:val="auto"/>
              </w:rPr>
              <w:t>Party Management</w:t>
            </w:r>
          </w:p>
        </w:tc>
        <w:tc>
          <w:tcPr>
            <w:tcW w:w="1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2,817</w:t>
            </w:r>
          </w:p>
        </w:tc>
        <w:tc>
          <w:tcPr>
            <w:tcW w:w="0" w:type="dxa"/>
            <w:vAlign w:val="bottom"/>
          </w:tcPr>
          <w:p>
            <w:pPr>
              <w:spacing w:after="0"/>
              <w:rPr>
                <w:sz w:val="1"/>
                <w:szCs w:val="1"/>
                <w:color w:val="auto"/>
              </w:rPr>
            </w:pPr>
          </w:p>
        </w:tc>
      </w:tr>
      <w:tr>
        <w:trPr>
          <w:trHeight w:val="249"/>
        </w:trPr>
        <w:tc>
          <w:tcPr>
            <w:tcW w:w="3520" w:type="dxa"/>
            <w:vAlign w:val="bottom"/>
          </w:tcPr>
          <w:p>
            <w:pPr>
              <w:ind w:left="220"/>
              <w:spacing w:after="0"/>
              <w:rPr>
                <w:sz w:val="20"/>
                <w:szCs w:val="20"/>
                <w:color w:val="auto"/>
              </w:rPr>
            </w:pPr>
            <w:r>
              <w:rPr>
                <w:rFonts w:ascii="Arial" w:cs="Arial" w:eastAsia="Arial" w:hAnsi="Arial"/>
                <w:sz w:val="17"/>
                <w:szCs w:val="17"/>
                <w:color w:val="auto"/>
              </w:rPr>
              <w:t>Welk Acquisition</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49"/>
        </w:trPr>
        <w:tc>
          <w:tcPr>
            <w:tcW w:w="3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Measurement period adjustments</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2,778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3,150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Measurement period adjustments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49"/>
        </w:trPr>
        <w:tc>
          <w:tcPr>
            <w:tcW w:w="3520" w:type="dxa"/>
            <w:vAlign w:val="bottom"/>
          </w:tcPr>
          <w:p>
            <w:pPr>
              <w:ind w:left="200"/>
              <w:spacing w:after="0"/>
              <w:rPr>
                <w:sz w:val="20"/>
                <w:szCs w:val="20"/>
                <w:color w:val="auto"/>
              </w:rPr>
            </w:pPr>
            <w:r>
              <w:rPr>
                <w:rFonts w:ascii="Arial" w:cs="Arial" w:eastAsia="Arial" w:hAnsi="Arial"/>
                <w:sz w:val="17"/>
                <w:szCs w:val="17"/>
                <w:color w:val="auto"/>
              </w:rPr>
              <w:t>Disposition of VRI Americas</w:t>
            </w:r>
          </w:p>
        </w:tc>
        <w:tc>
          <w:tcPr>
            <w:tcW w:w="1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9"/>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and 2021</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During the fourth quarters of 2022 and 2021, we conducted our annual goodwill impairment test, which was a qualitative evaluation, and no impairment charges were recorded in either year. The estimated fair values of all of our reporting units exceeded their carrying values at the date of their most recent estimated fair value determination.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w:t>
      </w:r>
    </w:p>
    <w:p>
      <w:pPr>
        <w:spacing w:after="0" w:line="103" w:lineRule="exact"/>
        <w:rPr>
          <w:sz w:val="20"/>
          <w:szCs w:val="20"/>
          <w:color w:val="auto"/>
        </w:rPr>
      </w:pPr>
    </w:p>
    <w:p>
      <w:pPr>
        <w:ind w:right="400"/>
        <w:spacing w:after="0" w:line="331" w:lineRule="auto"/>
        <w:rPr>
          <w:sz w:val="20"/>
          <w:szCs w:val="20"/>
          <w:color w:val="auto"/>
        </w:rPr>
      </w:pPr>
      <w:r>
        <w:rPr>
          <w:rFonts w:ascii="Arial" w:cs="Arial" w:eastAsia="Arial" w:hAnsi="Arial"/>
          <w:sz w:val="15"/>
          <w:szCs w:val="15"/>
          <w:color w:val="auto"/>
        </w:rPr>
        <w:t>We recognized a non-cash impairment charge of $73 million in the Impairment line on our Income Statement during 2020 related to the Exchange &amp; Third-Party Management reporting unit, which was primarily driven by the change in expected future operating results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080"/>
          </w:cols>
          <w:pgMar w:left="320" w:top="1122" w:right="49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12.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composition of our intangible asset balances: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2021</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Definite-lived 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6"/>
        </w:trPr>
        <w:tc>
          <w:tcPr>
            <w:tcW w:w="5140" w:type="dxa"/>
            <w:vAlign w:val="bottom"/>
          </w:tcPr>
          <w:p>
            <w:pPr>
              <w:ind w:left="220"/>
              <w:spacing w:after="0"/>
              <w:rPr>
                <w:sz w:val="20"/>
                <w:szCs w:val="20"/>
                <w:color w:val="auto"/>
              </w:rPr>
            </w:pPr>
            <w:r>
              <w:rPr>
                <w:rFonts w:ascii="Arial" w:cs="Arial" w:eastAsia="Arial" w:hAnsi="Arial"/>
                <w:sz w:val="17"/>
                <w:szCs w:val="17"/>
                <w:color w:val="auto"/>
              </w:rPr>
              <w:t>Member relationships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669</w:t>
            </w:r>
          </w:p>
        </w:tc>
        <w:tc>
          <w:tcPr>
            <w:tcW w:w="100" w:type="dxa"/>
            <w:vAlign w:val="bottom"/>
          </w:tcPr>
          <w:p>
            <w:pPr>
              <w:spacing w:after="0"/>
              <w:rPr>
                <w:sz w:val="20"/>
                <w:szCs w:val="20"/>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671</w:t>
            </w:r>
          </w:p>
        </w:tc>
      </w:tr>
      <w:tr>
        <w:trPr>
          <w:trHeight w:val="236"/>
        </w:trPr>
        <w:tc>
          <w:tcPr>
            <w:tcW w:w="5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contracts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w:t>
            </w:r>
          </w:p>
        </w:tc>
      </w:tr>
      <w:tr>
        <w:trPr>
          <w:trHeight w:val="216"/>
        </w:trPr>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1,123</w:t>
            </w: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amortization</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16"/>
        </w:trPr>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929</w:t>
            </w: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Indefinite-lived intangible assets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Trade names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r>
      <w:tr>
        <w:trPr>
          <w:trHeight w:val="229"/>
        </w:trPr>
        <w:tc>
          <w:tcPr>
            <w:tcW w:w="5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Definite-Lived Intangible Assets</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Definite-lived intangible assets, all of which were acquired as part of the ILG and Welk Acquisitions, are amortized on a straight-line basis over their estimated useful lives, ranging from 15 to 20 years. We recorded amortization expense of $61 million in 2022, $61 million in 2021, and $57 million in 2020 in the Depreciation and amortization line of our Income Statements. For these assets, we estimate that our aggregate amortization expense will be $61 million for each of the next five fiscal years.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Indefinite-Lived Intangible Assets</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All of our indefinite-lived intangible assets are related to the Exchange &amp; Third-Party Management segment. We performed our annual impairment test of indefinite-lived intangible assets during the fourth quarters of 2022 and 2021, and no impairment charges were recorded in either year.</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During 2020, we recognized a non-cash impairment charge of $18 million in the Impairment line on our Income Statement related to indefinite-lived intangible assets, which was primarily attributed to the decline in estimated near-term revenues and related recovery of long-term revenues as a result of the impact of the COVID-19 pandemic.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CONTINGENCIES AND COMMITMENTS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 and Letters of Credit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we had the following commitments outstanding:</w:t>
      </w:r>
    </w:p>
    <w:p>
      <w:pPr>
        <w:spacing w:after="0" w:line="103" w:lineRule="exact"/>
        <w:rPr>
          <w:sz w:val="20"/>
          <w:szCs w:val="20"/>
          <w:color w:val="auto"/>
        </w:rPr>
      </w:pPr>
    </w:p>
    <w:p>
      <w:pPr>
        <w:ind w:left="900" w:right="100" w:hanging="303"/>
        <w:spacing w:after="0" w:line="254" w:lineRule="auto"/>
        <w:tabs>
          <w:tab w:leader="none" w:pos="8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 under these contracts was $86 million, of which we expect $59 million, $15 million, $8 million, and $4 million will be paid in 2023, 2024, 2025, and 2026, respectively.</w:t>
      </w:r>
    </w:p>
    <w:p>
      <w:pPr>
        <w:spacing w:after="0" w:line="76" w:lineRule="exact"/>
        <w:rPr>
          <w:rFonts w:ascii="Arial" w:cs="Arial" w:eastAsia="Arial" w:hAnsi="Arial"/>
          <w:sz w:val="17"/>
          <w:szCs w:val="17"/>
          <w:color w:val="auto"/>
        </w:rPr>
      </w:pPr>
    </w:p>
    <w:p>
      <w:pPr>
        <w:ind w:left="900" w:hanging="303"/>
        <w:spacing w:after="0" w:line="264" w:lineRule="auto"/>
        <w:tabs>
          <w:tab w:leader="none" w:pos="8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a commitment to acquire real estate for use in our Vacation Ownership segment via our involvement with a VIE. Refer to Footnote 19 “Variable Interest Entities” for additional information and our activities relating to the VIE involved in this transaction.</w:t>
      </w:r>
    </w:p>
    <w:p>
      <w:pPr>
        <w:spacing w:after="0" w:line="68"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Surety bonds issued as of December 31, 2022 totaled $128 million, the majority of which were requested by federal, state or local governments in connection with our operations.</w:t>
      </w:r>
    </w:p>
    <w:p>
      <w:pPr>
        <w:spacing w:after="0" w:line="6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As of December 31, 2022, we had $1 million of letters of credit outstanding under our Revolving Corporate Credit Facility (as defined in Footnote 16 “Debt”). In addition, as of December 31, 2022,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060"/>
          </w:cols>
          <w:pgMar w:left="320" w:top="1218" w:right="51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i w:val="1"/>
          <w:iCs w:val="1"/>
          <w:color w:val="auto"/>
        </w:rPr>
        <w:t>Guarantees</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(if any) as our fee or we make up the deficit. At December 31, 2022, our maximum exposure under fixed dollar guarantees was $7 million, of which $2 million, $2 million, $1 million, $1 million, and $1 million relate to 2023, 2024, 2025, 2026, 2027 and thereafter, respectively.</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We have a commitment to an owners’ association that we manage to pay for any shortfall between the actual expenses incurred by the owners’ association and the income received by the owners’ association, in lieu of maintenance fees for unsold inventory. The agreement will terminate on the earlier of: 1) sale of 95% of the total ownership interests in the owners’ association; or 2) written notification of termination by either party. At December 31, 2022, our expected commitment for 2023 is $10 million, which will ultimately be recorded as a component of rental expense on our income statement.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Contingencies</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with respect to which the plaintiff was granted leave to amend its complaint. The plaintiff filed an amended complaint and appealed the dismissal of the other claims. In November 2022, the Court granted our motion to dismiss the amended complaint and again granted plaintiff leave to amend. The appeal remains pending. We believe we have meritorious defenses to the claims in this matter and intend to vigorously defend against them.</w:t>
      </w:r>
    </w:p>
    <w:p>
      <w:pPr>
        <w:spacing w:after="0" w:line="7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 In August 2022, the District Court denied plaintiffs’ motion for class certification. In September 2022, the U.S. Court of Appeals for the Third Circuit denied plaintiffs’ petition for leave to appeal the District Court’s order denying class certification. In February 2023, plaintiffs agreed to dismiss the case with prejudice pursuant to a settlement for a nominal amount.</w:t>
      </w:r>
    </w:p>
    <w:p>
      <w:pPr>
        <w:spacing w:after="0" w:line="71"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5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14. LEASES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carrying values of our leases and the classification on our Balance Sheet.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Balance Sheet Classification</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At December 31, 2022</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At December 31, 2021</w:t>
            </w:r>
          </w:p>
        </w:tc>
      </w:tr>
      <w:tr>
        <w:trPr>
          <w:trHeight w:val="232"/>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26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2"/>
              </w:rPr>
              <w:t>Other assets</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49"/>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Finance lease assets</w:t>
            </w:r>
          </w:p>
        </w:tc>
        <w:tc>
          <w:tcPr>
            <w:tcW w:w="2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87"/>
              </w:rPr>
              <w:t>Property and equipment, net</w:t>
            </w: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r>
      <w:tr>
        <w:trPr>
          <w:trHeight w:val="229"/>
        </w:trPr>
        <w:tc>
          <w:tcPr>
            <w:tcW w:w="250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25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9"/>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6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Accrued liabilities</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49"/>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Finance lease liabilities</w:t>
            </w:r>
          </w:p>
        </w:tc>
        <w:tc>
          <w:tcPr>
            <w:tcW w:w="2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86"/>
              </w:rPr>
              <w:t>Debt, net</w:t>
            </w: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r>
      <w:tr>
        <w:trPr>
          <w:trHeight w:val="229"/>
        </w:trPr>
        <w:tc>
          <w:tcPr>
            <w:tcW w:w="250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lease costs and the classification on our Income Statements for the years ended December 31, 2022 and December 31, 2021.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020" w:type="dxa"/>
            <w:vAlign w:val="bottom"/>
            <w:gridSpan w:val="3"/>
          </w:tcPr>
          <w:p>
            <w:pPr>
              <w:jc w:val="center"/>
              <w:ind w:right="377"/>
              <w:spacing w:after="0"/>
              <w:rPr>
                <w:sz w:val="20"/>
                <w:szCs w:val="20"/>
                <w:color w:val="auto"/>
              </w:rPr>
            </w:pPr>
            <w:r>
              <w:rPr>
                <w:rFonts w:ascii="Arial" w:cs="Arial" w:eastAsia="Arial" w:hAnsi="Arial"/>
                <w:sz w:val="15"/>
                <w:szCs w:val="15"/>
                <w:b w:val="1"/>
                <w:bCs w:val="1"/>
                <w:color w:val="auto"/>
                <w:w w:val="88"/>
              </w:rPr>
              <w:t>Income Statement Classification</w:t>
            </w:r>
          </w:p>
        </w:tc>
        <w:tc>
          <w:tcPr>
            <w:tcW w:w="1180" w:type="dxa"/>
            <w:vAlign w:val="bottom"/>
          </w:tcPr>
          <w:p>
            <w:pPr>
              <w:jc w:val="right"/>
              <w:ind w:right="538"/>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8"/>
              <w:spacing w:after="0"/>
              <w:rPr>
                <w:sz w:val="20"/>
                <w:szCs w:val="20"/>
                <w:color w:val="auto"/>
              </w:rPr>
            </w:pPr>
            <w:r>
              <w:rPr>
                <w:rFonts w:ascii="Arial" w:cs="Arial" w:eastAsia="Arial" w:hAnsi="Arial"/>
                <w:sz w:val="15"/>
                <w:szCs w:val="15"/>
                <w:b w:val="1"/>
                <w:bCs w:val="1"/>
                <w:color w:val="auto"/>
              </w:rPr>
              <w:t>2021</w:t>
            </w:r>
          </w:p>
        </w:tc>
      </w:tr>
      <w:tr>
        <w:trPr>
          <w:trHeight w:val="157"/>
        </w:trPr>
        <w:tc>
          <w:tcPr>
            <w:tcW w:w="254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7"/>
                <w:szCs w:val="17"/>
                <w:color w:val="auto"/>
                <w:w w:val="86"/>
              </w:rPr>
              <w:t>Marketing and sales expense</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224"/>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020" w:type="dxa"/>
            <w:vAlign w:val="bottom"/>
            <w:gridSpan w:val="3"/>
            <w:shd w:val="clear" w:color="auto" w:fill="CCEEFF"/>
          </w:tcPr>
          <w:p>
            <w:pPr>
              <w:jc w:val="right"/>
              <w:ind w:right="157"/>
              <w:spacing w:after="0"/>
              <w:rPr>
                <w:sz w:val="20"/>
                <w:szCs w:val="20"/>
                <w:color w:val="auto"/>
              </w:rPr>
            </w:pPr>
            <w:r>
              <w:rPr>
                <w:rFonts w:ascii="Arial" w:cs="Arial" w:eastAsia="Arial" w:hAnsi="Arial"/>
                <w:sz w:val="17"/>
                <w:szCs w:val="17"/>
                <w:color w:val="auto"/>
                <w:w w:val="93"/>
              </w:rPr>
              <w:t>General and administrative expense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49"/>
        </w:trPr>
        <w:tc>
          <w:tcPr>
            <w:tcW w:w="254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9"/>
        </w:trPr>
        <w:tc>
          <w:tcPr>
            <w:tcW w:w="25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3"/>
              </w:rPr>
              <w:t>Amortization of right-of-use assets</w:t>
            </w:r>
          </w:p>
        </w:tc>
        <w:tc>
          <w:tcPr>
            <w:tcW w:w="3020" w:type="dxa"/>
            <w:vAlign w:val="bottom"/>
            <w:gridSpan w:val="3"/>
            <w:shd w:val="clear" w:color="auto" w:fill="CCEEFF"/>
          </w:tcPr>
          <w:p>
            <w:pPr>
              <w:jc w:val="center"/>
              <w:ind w:right="377"/>
              <w:spacing w:after="0"/>
              <w:rPr>
                <w:sz w:val="20"/>
                <w:szCs w:val="20"/>
                <w:color w:val="auto"/>
              </w:rPr>
            </w:pPr>
            <w:r>
              <w:rPr>
                <w:rFonts w:ascii="Arial" w:cs="Arial" w:eastAsia="Arial" w:hAnsi="Arial"/>
                <w:sz w:val="17"/>
                <w:szCs w:val="17"/>
                <w:color w:val="auto"/>
                <w:w w:val="88"/>
              </w:rPr>
              <w:t>Depreciation and amortization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49"/>
        </w:trPr>
        <w:tc>
          <w:tcPr>
            <w:tcW w:w="2540" w:type="dxa"/>
            <w:vAlign w:val="bottom"/>
          </w:tcPr>
          <w:p>
            <w:pPr>
              <w:ind w:left="100"/>
              <w:spacing w:after="0"/>
              <w:rPr>
                <w:sz w:val="20"/>
                <w:szCs w:val="20"/>
                <w:color w:val="auto"/>
              </w:rPr>
            </w:pPr>
            <w:r>
              <w:rPr>
                <w:rFonts w:ascii="Arial" w:cs="Arial" w:eastAsia="Arial" w:hAnsi="Arial"/>
                <w:sz w:val="17"/>
                <w:szCs w:val="17"/>
                <w:color w:val="auto"/>
              </w:rPr>
              <w:t>Interest on lease liabilities</w:t>
            </w:r>
          </w:p>
        </w:tc>
        <w:tc>
          <w:tcPr>
            <w:tcW w:w="3020" w:type="dxa"/>
            <w:vAlign w:val="bottom"/>
            <w:gridSpan w:val="3"/>
          </w:tcPr>
          <w:p>
            <w:pPr>
              <w:jc w:val="center"/>
              <w:ind w:right="377"/>
              <w:spacing w:after="0"/>
              <w:rPr>
                <w:sz w:val="20"/>
                <w:szCs w:val="20"/>
                <w:color w:val="auto"/>
              </w:rPr>
            </w:pPr>
            <w:r>
              <w:rPr>
                <w:rFonts w:ascii="Arial" w:cs="Arial" w:eastAsia="Arial" w:hAnsi="Arial"/>
                <w:sz w:val="17"/>
                <w:szCs w:val="17"/>
                <w:color w:val="auto"/>
                <w:w w:val="86"/>
              </w:rPr>
              <w:t>Financing expense</w:t>
            </w:r>
          </w:p>
        </w:tc>
        <w:tc>
          <w:tcPr>
            <w:tcW w:w="11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w:t>
            </w:r>
          </w:p>
        </w:tc>
        <w:tc>
          <w:tcPr>
            <w:tcW w:w="3020" w:type="dxa"/>
            <w:vAlign w:val="bottom"/>
            <w:gridSpan w:val="3"/>
            <w:shd w:val="clear" w:color="auto" w:fill="CCEEFF"/>
          </w:tcPr>
          <w:p>
            <w:pPr>
              <w:jc w:val="center"/>
              <w:ind w:right="377"/>
              <w:spacing w:after="0"/>
              <w:rPr>
                <w:sz w:val="20"/>
                <w:szCs w:val="20"/>
                <w:color w:val="auto"/>
              </w:rPr>
            </w:pPr>
            <w:r>
              <w:rPr>
                <w:rFonts w:ascii="Arial" w:cs="Arial" w:eastAsia="Arial" w:hAnsi="Arial"/>
                <w:sz w:val="17"/>
                <w:szCs w:val="17"/>
                <w:color w:val="auto"/>
                <w:w w:val="86"/>
              </w:rPr>
              <w:t>Marketing and sales 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4"/>
        </w:trPr>
        <w:tc>
          <w:tcPr>
            <w:tcW w:w="2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0"/>
        </w:trPr>
        <w:tc>
          <w:tcPr>
            <w:tcW w:w="2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maturity of our operating and finance lease liabilities as of December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5"/>
                <w:szCs w:val="15"/>
                <w:b w:val="1"/>
                <w:bCs w:val="1"/>
                <w:color w:val="auto"/>
              </w:rPr>
              <w:t>Operating Leases</w:t>
            </w: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Finance Leases</w:t>
            </w:r>
          </w:p>
        </w:tc>
        <w:tc>
          <w:tcPr>
            <w:tcW w:w="360" w:type="dxa"/>
            <w:vAlign w:val="bottom"/>
          </w:tcPr>
          <w:p>
            <w:pPr>
              <w:spacing w:after="0"/>
              <w:rPr>
                <w:sz w:val="17"/>
                <w:szCs w:val="17"/>
                <w:color w:val="auto"/>
              </w:rPr>
            </w:pPr>
          </w:p>
        </w:tc>
        <w:tc>
          <w:tcPr>
            <w:tcW w:w="1160" w:type="dxa"/>
            <w:vAlign w:val="bottom"/>
          </w:tcPr>
          <w:p>
            <w:pPr>
              <w:jc w:val="right"/>
              <w:ind w:right="518"/>
              <w:spacing w:after="0"/>
              <w:rPr>
                <w:sz w:val="20"/>
                <w:szCs w:val="20"/>
                <w:color w:val="auto"/>
              </w:rPr>
            </w:pPr>
            <w:r>
              <w:rPr>
                <w:rFonts w:ascii="Arial" w:cs="Arial" w:eastAsia="Arial" w:hAnsi="Arial"/>
                <w:sz w:val="15"/>
                <w:szCs w:val="15"/>
                <w:b w:val="1"/>
                <w:bCs w:val="1"/>
                <w:color w:val="auto"/>
              </w:rPr>
              <w:t>Total</w:t>
            </w:r>
          </w:p>
        </w:tc>
      </w:tr>
      <w:tr>
        <w:trPr>
          <w:trHeight w:val="23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49"/>
        </w:trPr>
        <w:tc>
          <w:tcPr>
            <w:tcW w:w="354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9"/>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9"/>
        </w:trPr>
        <w:tc>
          <w:tcPr>
            <w:tcW w:w="354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49"/>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4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r>
      <w:tr>
        <w:trPr>
          <w:trHeight w:val="24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r>
      <w:tr>
        <w:trPr>
          <w:trHeight w:val="229"/>
        </w:trPr>
        <w:tc>
          <w:tcPr>
            <w:tcW w:w="3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Term and Discount Rate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additional information about our lease obligations.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At December 31, 2022</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90"/>
              </w:rPr>
              <w:t>At December 31, 2021</w:t>
            </w:r>
          </w:p>
        </w:tc>
      </w:tr>
      <w:tr>
        <w:trPr>
          <w:trHeight w:val="232"/>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w:t>
            </w:r>
          </w:p>
        </w:tc>
        <w:tc>
          <w:tcPr>
            <w:tcW w:w="15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49"/>
        </w:trPr>
        <w:tc>
          <w:tcPr>
            <w:tcW w:w="518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5"/>
              </w:rPr>
              <w:t>6.8 years</w:t>
            </w:r>
          </w:p>
        </w:tc>
        <w:tc>
          <w:tcPr>
            <w:tcW w:w="1520" w:type="dxa"/>
            <w:vAlign w:val="bottom"/>
          </w:tcPr>
          <w:p>
            <w:pPr>
              <w:jc w:val="center"/>
              <w:spacing w:after="0"/>
              <w:rPr>
                <w:sz w:val="20"/>
                <w:szCs w:val="20"/>
                <w:color w:val="auto"/>
              </w:rPr>
            </w:pPr>
            <w:r>
              <w:rPr>
                <w:rFonts w:ascii="Arial" w:cs="Arial" w:eastAsia="Arial" w:hAnsi="Arial"/>
                <w:sz w:val="17"/>
                <w:szCs w:val="17"/>
                <w:color w:val="auto"/>
                <w:w w:val="85"/>
              </w:rPr>
              <w:t>6.4 years</w:t>
            </w:r>
          </w:p>
        </w:tc>
      </w:tr>
      <w:tr>
        <w:trPr>
          <w:trHeight w:val="249"/>
        </w:trPr>
        <w:tc>
          <w:tcPr>
            <w:tcW w:w="5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Finance leases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5"/>
              </w:rPr>
              <w:t>51.5 years</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53.7 years</w:t>
            </w:r>
          </w:p>
        </w:tc>
      </w:tr>
      <w:tr>
        <w:trPr>
          <w:trHeight w:val="249"/>
        </w:trPr>
        <w:tc>
          <w:tcPr>
            <w:tcW w:w="518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9"/>
        </w:trPr>
        <w:tc>
          <w:tcPr>
            <w:tcW w:w="5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6.2%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5.8%</w:t>
            </w:r>
          </w:p>
        </w:tc>
      </w:tr>
      <w:tr>
        <w:trPr>
          <w:trHeight w:val="249"/>
        </w:trPr>
        <w:tc>
          <w:tcPr>
            <w:tcW w:w="5180" w:type="dxa"/>
            <w:vAlign w:val="bottom"/>
          </w:tcPr>
          <w:p>
            <w:pPr>
              <w:ind w:left="220"/>
              <w:spacing w:after="0"/>
              <w:rPr>
                <w:sz w:val="20"/>
                <w:szCs w:val="20"/>
                <w:color w:val="auto"/>
              </w:rPr>
            </w:pPr>
            <w:r>
              <w:rPr>
                <w:rFonts w:ascii="Arial" w:cs="Arial" w:eastAsia="Arial" w:hAnsi="Arial"/>
                <w:sz w:val="17"/>
                <w:szCs w:val="17"/>
                <w:color w:val="auto"/>
              </w:rPr>
              <w:t>Finance leases</w:t>
            </w:r>
          </w:p>
        </w:tc>
        <w:tc>
          <w:tcPr>
            <w:tcW w:w="1540" w:type="dxa"/>
            <w:vAlign w:val="bottom"/>
          </w:tcPr>
          <w:p>
            <w:pPr>
              <w:jc w:val="center"/>
              <w:spacing w:after="0"/>
              <w:rPr>
                <w:sz w:val="20"/>
                <w:szCs w:val="20"/>
                <w:color w:val="auto"/>
              </w:rPr>
            </w:pPr>
            <w:r>
              <w:rPr>
                <w:rFonts w:ascii="Arial" w:cs="Arial" w:eastAsia="Arial" w:hAnsi="Arial"/>
                <w:sz w:val="17"/>
                <w:szCs w:val="17"/>
                <w:color w:val="auto"/>
                <w:w w:val="87"/>
              </w:rPr>
              <w:t>5.3%</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7"/>
              </w:rPr>
              <w:t>5.3%</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420"/>
          </w:cols>
          <w:pgMar w:left="320" w:top="1218" w:right="115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i w:val="1"/>
          <w:iCs w:val="1"/>
          <w:color w:val="auto"/>
        </w:rPr>
        <w:t>Other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cash flow information for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2021</w:t>
            </w:r>
          </w:p>
        </w:tc>
      </w:tr>
      <w:tr>
        <w:trPr>
          <w:trHeight w:val="23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measurement of lease liabilities</w:t>
            </w: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9"/>
        </w:trPr>
        <w:tc>
          <w:tcPr>
            <w:tcW w:w="5140" w:type="dxa"/>
            <w:vAlign w:val="bottom"/>
          </w:tcPr>
          <w:p>
            <w:pPr>
              <w:ind w:left="200"/>
              <w:spacing w:after="0"/>
              <w:rPr>
                <w:sz w:val="20"/>
                <w:szCs w:val="20"/>
                <w:color w:val="auto"/>
              </w:rPr>
            </w:pPr>
            <w:r>
              <w:rPr>
                <w:rFonts w:ascii="Arial" w:cs="Arial" w:eastAsia="Arial" w:hAnsi="Arial"/>
                <w:sz w:val="17"/>
                <w:szCs w:val="17"/>
                <w:color w:val="auto"/>
              </w:rPr>
              <w:t>Operating cash flows for finance leases</w:t>
            </w:r>
          </w:p>
        </w:tc>
        <w:tc>
          <w:tcPr>
            <w:tcW w:w="1120" w:type="dxa"/>
            <w:vAlign w:val="bottom"/>
          </w:tcPr>
          <w:p>
            <w:pPr>
              <w:jc w:val="right"/>
              <w:ind w:right="938"/>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9"/>
        </w:trPr>
        <w:tc>
          <w:tcPr>
            <w:tcW w:w="5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cash flows for operating leases</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49"/>
        </w:trPr>
        <w:tc>
          <w:tcPr>
            <w:tcW w:w="5140" w:type="dxa"/>
            <w:vAlign w:val="bottom"/>
          </w:tcPr>
          <w:p>
            <w:pPr>
              <w:ind w:left="200"/>
              <w:spacing w:after="0"/>
              <w:rPr>
                <w:sz w:val="20"/>
                <w:szCs w:val="20"/>
                <w:color w:val="auto"/>
              </w:rPr>
            </w:pPr>
            <w:r>
              <w:rPr>
                <w:rFonts w:ascii="Arial" w:cs="Arial" w:eastAsia="Arial" w:hAnsi="Arial"/>
                <w:sz w:val="17"/>
                <w:szCs w:val="17"/>
                <w:color w:val="auto"/>
              </w:rPr>
              <w:t>Financing cash flows for finance leases</w:t>
            </w:r>
          </w:p>
        </w:tc>
        <w:tc>
          <w:tcPr>
            <w:tcW w:w="1120" w:type="dxa"/>
            <w:vAlign w:val="bottom"/>
          </w:tcPr>
          <w:p>
            <w:pPr>
              <w:jc w:val="right"/>
              <w:ind w:right="938"/>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49"/>
        </w:trPr>
        <w:tc>
          <w:tcPr>
            <w:tcW w:w="5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9"/>
        </w:trPr>
        <w:tc>
          <w:tcPr>
            <w:tcW w:w="514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9"/>
        </w:trPr>
        <w:tc>
          <w:tcPr>
            <w:tcW w:w="5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leases</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49"/>
        </w:trPr>
        <w:tc>
          <w:tcPr>
            <w:tcW w:w="5140" w:type="dxa"/>
            <w:vAlign w:val="bottom"/>
          </w:tcPr>
          <w:p>
            <w:pPr>
              <w:ind w:left="200"/>
              <w:spacing w:after="0"/>
              <w:rPr>
                <w:sz w:val="20"/>
                <w:szCs w:val="20"/>
                <w:color w:val="auto"/>
              </w:rPr>
            </w:pPr>
            <w:r>
              <w:rPr>
                <w:rFonts w:ascii="Arial" w:cs="Arial" w:eastAsia="Arial" w:hAnsi="Arial"/>
                <w:sz w:val="17"/>
                <w:szCs w:val="17"/>
                <w:color w:val="auto"/>
              </w:rPr>
              <w:t>Finance leases</w:t>
            </w:r>
            <w:r>
              <w:rPr>
                <w:rFonts w:ascii="Arial" w:cs="Arial" w:eastAsia="Arial" w:hAnsi="Arial"/>
                <w:sz w:val="8"/>
                <w:szCs w:val="8"/>
                <w:color w:val="auto"/>
              </w:rPr>
              <w:t>(1)</w:t>
            </w:r>
          </w:p>
        </w:tc>
        <w:tc>
          <w:tcPr>
            <w:tcW w:w="1120" w:type="dxa"/>
            <w:vAlign w:val="bottom"/>
          </w:tcPr>
          <w:p>
            <w:pPr>
              <w:jc w:val="right"/>
              <w:ind w:right="938"/>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53"/>
        </w:trPr>
        <w:tc>
          <w:tcPr>
            <w:tcW w:w="5140" w:type="dxa"/>
            <w:vAlign w:val="bottom"/>
          </w:tcPr>
          <w:p>
            <w:pPr>
              <w:spacing w:after="0"/>
              <w:rPr>
                <w:sz w:val="20"/>
                <w:szCs w:val="20"/>
                <w:color w:val="auto"/>
              </w:rPr>
            </w:pPr>
            <w:r>
              <w:rPr>
                <w:rFonts w:ascii="Arial" w:cs="Arial" w:eastAsia="Arial" w:hAnsi="Arial"/>
                <w:sz w:val="17"/>
                <w:szCs w:val="17"/>
                <w:color w:val="auto"/>
              </w:rPr>
              <w:t>_________________________</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bl>
    <w:p>
      <w:pPr>
        <w:ind w:left="300" w:hanging="300"/>
        <w:spacing w:after="0" w:line="208" w:lineRule="auto"/>
        <w:tabs>
          <w:tab w:leader="none" w:pos="300" w:val="left"/>
        </w:tabs>
        <w:numPr>
          <w:ilvl w:val="0"/>
          <w:numId w:val="34"/>
        </w:numPr>
        <w:rPr>
          <w:rFonts w:ascii="Arial" w:cs="Arial" w:eastAsia="Arial" w:hAnsi="Arial"/>
          <w:sz w:val="22"/>
          <w:szCs w:val="22"/>
          <w:color w:val="auto"/>
          <w:vertAlign w:val="superscript"/>
        </w:rPr>
      </w:pPr>
      <w:r>
        <w:rPr>
          <w:rFonts w:ascii="Arial" w:cs="Arial" w:eastAsia="Arial" w:hAnsi="Arial"/>
          <w:sz w:val="15"/>
          <w:szCs w:val="15"/>
          <w:color w:val="auto"/>
        </w:rPr>
        <w:t>Includes the reclassification of certain lease components from operating lease to finance lease classification, attributable to the amendment of an existing lease.</w:t>
      </w:r>
    </w:p>
    <w:p>
      <w:pPr>
        <w:spacing w:after="0" w:line="83"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7"/>
          <w:szCs w:val="17"/>
          <w:b w:val="1"/>
          <w:bCs w:val="1"/>
          <w:i w:val="1"/>
          <w:iCs w:val="1"/>
          <w:color w:val="auto"/>
        </w:rPr>
        <w:t>Leases That Have Not Yet Commenced</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2020, we entered into a finance lease arrangement, which was amended in 2021, for our new global headquarters office building, which is being constructed in Orlando, Florida. Total payments for the initial lease term (approximately 16 years) plus, at our option, two five-year renewal terms is $249 million. We expect the lease term of the new office building to commence in the first half of 2023 when construction is substantially complete, at which time we will record a right-of-use asset and corresponding lease liability on our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SECURITIZED DEBT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securitized debt, net of unamortized debt discount and issuance costs.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60" w:type="dxa"/>
            <w:vAlign w:val="bottom"/>
            <w:gridSpan w:val="3"/>
          </w:tcPr>
          <w:p>
            <w:pPr>
              <w:ind w:left="80"/>
              <w:spacing w:after="0"/>
              <w:rPr>
                <w:sz w:val="20"/>
                <w:szCs w:val="20"/>
                <w:color w:val="auto"/>
              </w:rPr>
            </w:pPr>
            <w:r>
              <w:rPr>
                <w:rFonts w:ascii="Arial" w:cs="Arial" w:eastAsia="Arial" w:hAnsi="Arial"/>
                <w:sz w:val="15"/>
                <w:szCs w:val="15"/>
                <w:b w:val="1"/>
                <w:bCs w:val="1"/>
                <w:color w:val="auto"/>
              </w:rPr>
              <w:t>At December 31, 2022</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At December 31, 2021</w:t>
            </w:r>
          </w:p>
        </w:tc>
        <w:tc>
          <w:tcPr>
            <w:tcW w:w="0" w:type="dxa"/>
            <w:vAlign w:val="bottom"/>
          </w:tcPr>
          <w:p>
            <w:pPr>
              <w:spacing w:after="0"/>
              <w:rPr>
                <w:sz w:val="1"/>
                <w:szCs w:val="1"/>
                <w:color w:val="auto"/>
              </w:rPr>
            </w:pPr>
          </w:p>
        </w:tc>
      </w:tr>
      <w:tr>
        <w:trPr>
          <w:trHeight w:val="21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securitizations, gross</w:t>
            </w:r>
            <w:r>
              <w:rPr>
                <w:rFonts w:ascii="Arial" w:cs="Arial" w:eastAsia="Arial" w:hAnsi="Arial"/>
                <w:sz w:val="8"/>
                <w:szCs w:val="8"/>
                <w:color w:val="auto"/>
              </w:rPr>
              <w:t>(1)</w:t>
            </w:r>
          </w:p>
        </w:tc>
        <w:tc>
          <w:tcPr>
            <w:tcW w:w="600" w:type="dxa"/>
            <w:vAlign w:val="bottom"/>
            <w:tcBorders>
              <w:top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1,877</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discount and issuance costs</w:t>
            </w: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Facility, gross</w:t>
            </w:r>
            <w:r>
              <w:rPr>
                <w:rFonts w:ascii="Arial" w:cs="Arial" w:eastAsia="Arial" w:hAnsi="Arial"/>
                <w:sz w:val="8"/>
                <w:szCs w:val="8"/>
                <w:color w:val="auto"/>
              </w:rPr>
              <w:t>(2)</w:t>
            </w: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costs</w:t>
            </w:r>
            <w:r>
              <w:rPr>
                <w:rFonts w:ascii="Arial" w:cs="Arial" w:eastAsia="Arial" w:hAnsi="Arial"/>
                <w:sz w:val="8"/>
                <w:szCs w:val="8"/>
                <w:color w:val="auto"/>
              </w:rPr>
              <w:t>(3)</w:t>
            </w: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_________________________</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40" w:type="dxa"/>
            <w:vAlign w:val="bottom"/>
            <w:vMerge w:val="continue"/>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80" w:hanging="280"/>
        <w:spacing w:after="0" w:line="236" w:lineRule="auto"/>
        <w:tabs>
          <w:tab w:leader="none" w:pos="28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Interest rates as of December 31, 2022 range from 1.5% to 6.4%, with a weighted average interest rate of 3.3%.</w:t>
      </w:r>
    </w:p>
    <w:p>
      <w:pPr>
        <w:spacing w:after="0" w:line="51" w:lineRule="exact"/>
        <w:rPr>
          <w:rFonts w:ascii="Arial" w:cs="Arial" w:eastAsia="Arial" w:hAnsi="Arial"/>
          <w:sz w:val="22"/>
          <w:szCs w:val="22"/>
          <w:color w:val="auto"/>
          <w:vertAlign w:val="superscript"/>
        </w:rPr>
      </w:pPr>
    </w:p>
    <w:p>
      <w:pPr>
        <w:ind w:left="280" w:hanging="280"/>
        <w:spacing w:after="0" w:line="187" w:lineRule="auto"/>
        <w:tabs>
          <w:tab w:leader="none" w:pos="28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Effective interest rate as of December 31, 2022 was 5.5%.</w:t>
      </w:r>
    </w:p>
    <w:p>
      <w:pPr>
        <w:spacing w:after="0" w:line="51" w:lineRule="exact"/>
        <w:rPr>
          <w:rFonts w:ascii="Arial" w:cs="Arial" w:eastAsia="Arial" w:hAnsi="Arial"/>
          <w:sz w:val="22"/>
          <w:szCs w:val="22"/>
          <w:color w:val="auto"/>
          <w:vertAlign w:val="superscript"/>
        </w:rPr>
      </w:pPr>
    </w:p>
    <w:p>
      <w:pPr>
        <w:ind w:left="280" w:hanging="280"/>
        <w:spacing w:after="0" w:line="187" w:lineRule="auto"/>
        <w:tabs>
          <w:tab w:leader="none" w:pos="28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Excludes $2 million of unamortized debt issuance costs as of December 31, 2021 as no cash borrowings were outstanding at that time.</w:t>
      </w:r>
    </w:p>
    <w:p>
      <w:pPr>
        <w:spacing w:after="0" w:line="8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All of our securitized debt is non-recourse to MVWC. See Footnote 19 “Variable Interest Entities” for a discussion of the collateral for the non-recourse debt associated with our securitized debt.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122" w:right="39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The following table shows anticipated future principal payments for our securitized debt as of December 31,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Vacation Ownership</w:t>
            </w:r>
          </w:p>
        </w:tc>
        <w:tc>
          <w:tcPr>
            <w:tcW w:w="14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0"/>
              </w:rPr>
              <w:t>Warehouse Credit</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6"/>
              </w:rPr>
              <w:t>Notes Receivable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8"/>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Securitizations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line="199" w:lineRule="exact"/>
              <w:rPr>
                <w:sz w:val="20"/>
                <w:szCs w:val="20"/>
                <w:color w:val="auto"/>
              </w:rPr>
            </w:pPr>
            <w:r>
              <w:rPr>
                <w:rFonts w:ascii="Arial" w:cs="Arial" w:eastAsia="Arial" w:hAnsi="Arial"/>
                <w:sz w:val="15"/>
                <w:szCs w:val="15"/>
                <w:b w:val="1"/>
                <w:bCs w:val="1"/>
                <w:color w:val="auto"/>
                <w:w w:val="89"/>
              </w:rPr>
              <w:t>Facility</w:t>
            </w:r>
            <w:r>
              <w:rPr>
                <w:rFonts w:ascii="Arial" w:cs="Arial" w:eastAsia="Arial" w:hAnsi="Arial"/>
                <w:sz w:val="19"/>
                <w:szCs w:val="19"/>
                <w:b w:val="1"/>
                <w:bCs w:val="1"/>
                <w:color w:val="auto"/>
                <w:w w:val="89"/>
                <w:vertAlign w:val="superscript"/>
              </w:rPr>
              <w:t>(1)</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Payments Year</w:t>
            </w: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200"/>
              <w:spacing w:after="0"/>
              <w:rPr>
                <w:sz w:val="20"/>
                <w:szCs w:val="20"/>
                <w:color w:val="auto"/>
              </w:rPr>
            </w:pPr>
            <w:r>
              <w:rPr>
                <w:rFonts w:ascii="Arial" w:cs="Arial" w:eastAsia="Arial" w:hAnsi="Arial"/>
                <w:sz w:val="17"/>
                <w:szCs w:val="17"/>
                <w:color w:val="auto"/>
              </w:rPr>
              <w:t>2023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36"/>
        </w:trPr>
        <w:tc>
          <w:tcPr>
            <w:tcW w:w="3540" w:type="dxa"/>
            <w:vAlign w:val="bottom"/>
          </w:tcPr>
          <w:p>
            <w:pPr>
              <w:ind w:left="20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36"/>
        </w:trPr>
        <w:tc>
          <w:tcPr>
            <w:tcW w:w="3540" w:type="dxa"/>
            <w:vAlign w:val="bottom"/>
          </w:tcPr>
          <w:p>
            <w:pPr>
              <w:ind w:left="20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2" w:lineRule="exact"/>
        <w:rPr>
          <w:sz w:val="20"/>
          <w:szCs w:val="20"/>
          <w:color w:val="auto"/>
        </w:rPr>
      </w:pPr>
    </w:p>
    <w:p>
      <w:pPr>
        <w:ind w:left="280" w:hanging="280"/>
        <w:spacing w:after="0"/>
        <w:tabs>
          <w:tab w:leader="none" w:pos="28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Excludes future Warehouse Credit Facility renewals.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 Securitizations</w:t>
      </w:r>
    </w:p>
    <w:p>
      <w:pPr>
        <w:spacing w:after="0" w:line="10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2022, and as of December 31, 2022, we had 14 securitized vacation ownership notes receivable pools outstanding, none of which were out of compliance with their respective established parameters.</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68"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During the second quarter of 2022, we completed the securitization of a pool of $383 million of vacation ownership notes receivable. In connection with the securitization, investors purchased $375 million in vacation ownership loan backed notes issued by MVW 2022-1 LLC (the “2022-1 LLC”) in a private placement. The 2022-1 LLC issued four classes of vacation ownership loan backed notes: $220 million of Class A Notes, $77 million of Class B Notes, $48 million of Class C Notes, and $30 million of Class D Notes. The Class A Notes have an interest rate of 4.15%, the Class B Notes have an interest rate of 4.40%, the Class C Notes have an interest rate of 5.23%, and the Class D Notes have an interest rate of 7.35%, for an overall weighted average interest rate of 4.59%. Of the $375 million in proceeds from the transaction, approximately $98 million was used to repay all outstanding amounts previously drawn under our Warehouse Credit Facility (as defined below), approximately $7 million was used to pay transaction expenses and fund required reserves, and the remaining $176 million will be used for general corporate purposes. In connection with this securitization, we redeemed the remaining vacation ownership loan backed notes issued in a prior securitization transaction for approximately $38 million. The majority of the loans acquired through the redemption were purchased by the 2022-1 LLC.</w:t>
      </w:r>
    </w:p>
    <w:p>
      <w:pPr>
        <w:spacing w:after="0" w:line="61"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During the fourth quarter of 2022, we completed the securitization of a pool of $286 million of vacation ownership notes receivable. In connection with the securitization, $280 million in vacation ownership loan backed notes were issued by MVW 2022-2 LLC (the “2022-2 LLC”) in a private placement. Four classes of vacation ownership loan backed notes were issued by the 2022-2 LLC: $181 million of Class A Notes, $45 million of Class B Notes, $32 million of Class C Notes, and $22 million of Class D Notes. The Class A Notes have an interest rate of 6.11%, the Class B Notes have an interest rate of 6.55%, the Class C Notes have an interest rate of 7.62%, and the Class D Notes have an interest rate of 9.00%, for an overall weighted average interest rate of 6.58%. The weighted average interest rate of the first three classes of notes sold to third parties was 6.37%. Investors purchased $258 million of the vacation ownership loan backed notes issued by the 2022-2 LLC on November 3, 2022, comprised of the Class A Notes, the Class B Notes, and the Class C Notes, and we retained the $22 million of Class D Notes. Of the $259 million in proceeds from the transaction, approximately $129 million was used to repay all outstanding amounts previously drawn under our Warehouse Credit Facility (as defined below), approximately $6 million was used to pay transaction expenses and fund required reserves, and the remaining $124 million will be used for general corporate purposes. In connection with this securitization, we redeemed the remaining vacation ownership loan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17" w:name="page118"/>
    <w:bookmarkEnd w:id="117"/>
    <w:p>
      <w:pPr>
        <w:spacing w:after="0" w:line="264" w:lineRule="auto"/>
        <w:rPr>
          <w:sz w:val="20"/>
          <w:szCs w:val="20"/>
          <w:color w:val="auto"/>
        </w:rPr>
      </w:pPr>
      <w:r>
        <w:rPr>
          <w:rFonts w:ascii="Arial" w:cs="Arial" w:eastAsia="Arial" w:hAnsi="Arial"/>
          <w:sz w:val="17"/>
          <w:szCs w:val="17"/>
          <w:color w:val="auto"/>
        </w:rPr>
        <w:t>backed notes issued in a prior securitization transaction for approximately $22 million. The majority of the loans acquired through the redemption were purchased by the 2022-2 LLC.</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Warehouse Credit Facility</w:t>
      </w:r>
    </w:p>
    <w:p>
      <w:pPr>
        <w:spacing w:after="0" w:line="10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warehouse credit facility (the “Warehouse Credit Facility”) allows for the securitization of vacation ownership notes receivable on a revolving non-recourse basis. If not renewed prior to termination, any amounts outstanding under the Warehouse Credit Facility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at least once per year.</w:t>
      </w:r>
    </w:p>
    <w:p>
      <w:pPr>
        <w:spacing w:after="0" w:line="7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During the first quarter of 2022, we securitized vacation ownership notes receivable under our Warehouse Credit Facility. The carrying amount of the vacation ownership notes receivable securitized was $125 million. The average advance rate was 81%, which resulted in gross proceeds of $102 million. Net proceeds were $101 million due to the funding of reserve accounts of $1 million.</w:t>
      </w:r>
    </w:p>
    <w:p>
      <w:pPr>
        <w:spacing w:after="0" w:line="7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During the third quarter of 2022, we amended certain agreements associated with our Warehouse Credit Facility (the “Warehouse Amendment”). The Warehouse Amendment increased the borrowing capacity of the existing facility from $350 million to $425 million and extended the revolving period from April 21, 2023 to July 28, 2024. The Warehouse Amendment also modified the interest rate applicable to most borrowings under the Warehouse Credit Facility. The Warehouse Credit Facility now uses a U.S. Treasury overnight financing rate (Secured Overnight Financing Rate or “SOFR”) plus a 0.10% adjustment (“Adjusted SOFR”) replacing 1-month LIBOR as its benchmark interest rate. As part of the Warehouse Amendment, the credit spread remained at 135 basis points over Adjusted SOFR. The Warehouse Amendment made no other material changes to the Warehouse Credit Facility.</w:t>
      </w:r>
    </w:p>
    <w:p>
      <w:pPr>
        <w:spacing w:after="0" w:line="7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During the third quarter of 2022, we securitized vacation ownership notes receivable under our Warehouse Credit Facility. The carrying amount of the vacation ownership notes receivable securitized was $159 million. The average advance rate was 83%, which resulted in gross proceeds of $132 million. Net proceeds were $132 million due to the funding of reserve accounts of less than $1 million.</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During the fourth quarter of 2022, we securitized vacation ownership notes receivable under our Warehouse Credit Facility. The carrying amount of the vacation ownership notes receivable securitized was $197 million. The average advance rate was 83%, which resulted in gross proceeds of $163 million. Net proceeds were $159 million due to the funding of reserve accounts of $4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16. DEBT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debt balances, net of unamortized debt discount and issuance costs:</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96"/>
        </w:trPr>
        <w:tc>
          <w:tcPr>
            <w:tcW w:w="4900" w:type="dxa"/>
            <w:vAlign w:val="bottom"/>
          </w:tcPr>
          <w:p>
            <w:pPr>
              <w:spacing w:after="0"/>
              <w:rPr>
                <w:sz w:val="20"/>
                <w:szCs w:val="20"/>
                <w:color w:val="auto"/>
              </w:rPr>
            </w:pPr>
            <w:r>
              <w:rPr>
                <w:rFonts w:ascii="Arial" w:cs="Arial" w:eastAsia="Arial" w:hAnsi="Arial"/>
                <w:sz w:val="13"/>
                <w:szCs w:val="13"/>
                <w:b w:val="1"/>
                <w:bCs w:val="1"/>
                <w:i w:val="1"/>
                <w:iCs w:val="1"/>
                <w:color w:val="auto"/>
              </w:rPr>
              <w:t>($ in millions)</w:t>
            </w:r>
          </w:p>
        </w:tc>
        <w:tc>
          <w:tcPr>
            <w:tcW w:w="12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5"/>
                <w:szCs w:val="15"/>
                <w:b w:val="1"/>
                <w:bCs w:val="1"/>
                <w:color w:val="auto"/>
              </w:rPr>
              <w:t>At December 31, 2022</w:t>
            </w:r>
          </w:p>
        </w:tc>
        <w:tc>
          <w:tcPr>
            <w:tcW w:w="120" w:type="dxa"/>
            <w:vAlign w:val="bottom"/>
          </w:tcPr>
          <w:p>
            <w:pPr>
              <w:spacing w:after="0"/>
              <w:rPr>
                <w:sz w:val="17"/>
                <w:szCs w:val="17"/>
                <w:color w:val="auto"/>
              </w:rPr>
            </w:pPr>
          </w:p>
        </w:tc>
        <w:tc>
          <w:tcPr>
            <w:tcW w:w="1580" w:type="dxa"/>
            <w:vAlign w:val="bottom"/>
          </w:tcPr>
          <w:p>
            <w:pPr>
              <w:jc w:val="right"/>
              <w:ind w:right="57"/>
              <w:spacing w:after="0"/>
              <w:rPr>
                <w:sz w:val="20"/>
                <w:szCs w:val="20"/>
                <w:color w:val="auto"/>
              </w:rPr>
            </w:pPr>
            <w:r>
              <w:rPr>
                <w:rFonts w:ascii="Arial" w:cs="Arial" w:eastAsia="Arial" w:hAnsi="Arial"/>
                <w:sz w:val="15"/>
                <w:szCs w:val="15"/>
                <w:b w:val="1"/>
                <w:bCs w:val="1"/>
                <w:color w:val="auto"/>
                <w:w w:val="91"/>
              </w:rPr>
              <w:t>At December 31, 2021</w:t>
            </w:r>
          </w:p>
        </w:tc>
      </w:tr>
      <w:tr>
        <w:trPr>
          <w:trHeight w:val="21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Senior Secured Notes</w:t>
            </w:r>
          </w:p>
        </w:tc>
        <w:tc>
          <w:tcPr>
            <w:tcW w:w="1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6"/>
        </w:trPr>
        <w:tc>
          <w:tcPr>
            <w:tcW w:w="4900" w:type="dxa"/>
            <w:vAlign w:val="bottom"/>
          </w:tcPr>
          <w:p>
            <w:pPr>
              <w:ind w:left="340"/>
              <w:spacing w:after="0"/>
              <w:rPr>
                <w:sz w:val="20"/>
                <w:szCs w:val="20"/>
                <w:color w:val="auto"/>
              </w:rPr>
            </w:pPr>
            <w:r>
              <w:rPr>
                <w:rFonts w:ascii="Arial" w:cs="Arial" w:eastAsia="Arial" w:hAnsi="Arial"/>
                <w:sz w:val="17"/>
                <w:szCs w:val="17"/>
                <w:color w:val="auto"/>
              </w:rPr>
              <w:t>2025 Notes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3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36"/>
        </w:trPr>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Senior Unsecured Notes</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6"/>
        </w:trPr>
        <w:tc>
          <w:tcPr>
            <w:tcW w:w="4900" w:type="dxa"/>
            <w:vAlign w:val="bottom"/>
          </w:tcPr>
          <w:p>
            <w:pPr>
              <w:ind w:left="340"/>
              <w:spacing w:after="0"/>
              <w:rPr>
                <w:sz w:val="20"/>
                <w:szCs w:val="20"/>
                <w:color w:val="auto"/>
              </w:rPr>
            </w:pPr>
            <w:r>
              <w:rPr>
                <w:rFonts w:ascii="Arial" w:cs="Arial" w:eastAsia="Arial" w:hAnsi="Arial"/>
                <w:sz w:val="17"/>
                <w:szCs w:val="17"/>
                <w:color w:val="auto"/>
              </w:rPr>
              <w:t>2028 Notes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3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346</w:t>
            </w:r>
          </w:p>
        </w:tc>
      </w:tr>
      <w:tr>
        <w:trPr>
          <w:trHeight w:val="236"/>
        </w:trPr>
        <w:tc>
          <w:tcPr>
            <w:tcW w:w="4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6"/>
        </w:trPr>
        <w:tc>
          <w:tcPr>
            <w:tcW w:w="4900" w:type="dxa"/>
            <w:vAlign w:val="bottom"/>
          </w:tcPr>
          <w:p>
            <w:pPr>
              <w:ind w:left="340"/>
              <w:spacing w:after="0"/>
              <w:rPr>
                <w:sz w:val="20"/>
                <w:szCs w:val="20"/>
                <w:color w:val="auto"/>
              </w:rPr>
            </w:pPr>
            <w:r>
              <w:rPr>
                <w:rFonts w:ascii="Arial" w:cs="Arial" w:eastAsia="Arial" w:hAnsi="Arial"/>
                <w:sz w:val="17"/>
                <w:szCs w:val="17"/>
                <w:color w:val="auto"/>
              </w:rPr>
              <w:t>2029 Notes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3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493</w:t>
            </w:r>
          </w:p>
        </w:tc>
      </w:tr>
      <w:tr>
        <w:trPr>
          <w:trHeight w:val="216"/>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Corporate Credit Facility</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r>
      <w:tr>
        <w:trPr>
          <w:trHeight w:val="236"/>
        </w:trPr>
        <w:tc>
          <w:tcPr>
            <w:tcW w:w="4900" w:type="dxa"/>
            <w:vAlign w:val="bottom"/>
          </w:tcPr>
          <w:p>
            <w:pPr>
              <w:ind w:left="340"/>
              <w:spacing w:after="0"/>
              <w:rPr>
                <w:sz w:val="20"/>
                <w:szCs w:val="20"/>
                <w:color w:val="auto"/>
              </w:rPr>
            </w:pPr>
            <w:r>
              <w:rPr>
                <w:rFonts w:ascii="Arial" w:cs="Arial" w:eastAsia="Arial" w:hAnsi="Arial"/>
                <w:sz w:val="17"/>
                <w:szCs w:val="17"/>
                <w:color w:val="auto"/>
              </w:rPr>
              <w:t>Term Loan</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784</w:t>
            </w:r>
          </w:p>
        </w:tc>
      </w:tr>
      <w:tr>
        <w:trPr>
          <w:trHeight w:val="23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776</w:t>
            </w:r>
          </w:p>
        </w:tc>
      </w:tr>
      <w:tr>
        <w:trPr>
          <w:trHeight w:val="216"/>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Convertible Notes</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r>
      <w:tr>
        <w:trPr>
          <w:trHeight w:val="236"/>
        </w:trPr>
        <w:tc>
          <w:tcPr>
            <w:tcW w:w="4900" w:type="dxa"/>
            <w:vAlign w:val="bottom"/>
          </w:tcPr>
          <w:p>
            <w:pPr>
              <w:ind w:left="340"/>
              <w:spacing w:after="0"/>
              <w:rPr>
                <w:sz w:val="20"/>
                <w:szCs w:val="20"/>
                <w:color w:val="auto"/>
              </w:rPr>
            </w:pPr>
            <w:r>
              <w:rPr>
                <w:rFonts w:ascii="Arial" w:cs="Arial" w:eastAsia="Arial" w:hAnsi="Arial"/>
                <w:sz w:val="17"/>
                <w:szCs w:val="17"/>
                <w:color w:val="auto"/>
              </w:rPr>
              <w:t>2022 Convertible Notes</w:t>
            </w:r>
          </w:p>
        </w:tc>
        <w:tc>
          <w:tcPr>
            <w:tcW w:w="1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230</w:t>
            </w:r>
          </w:p>
        </w:tc>
      </w:tr>
      <w:tr>
        <w:trPr>
          <w:trHeight w:val="23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36"/>
        </w:trPr>
        <w:tc>
          <w:tcPr>
            <w:tcW w:w="4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6"/>
        </w:trPr>
        <w:tc>
          <w:tcPr>
            <w:tcW w:w="4900" w:type="dxa"/>
            <w:vAlign w:val="bottom"/>
          </w:tcPr>
          <w:p>
            <w:pPr>
              <w:ind w:left="340"/>
              <w:spacing w:after="0"/>
              <w:rPr>
                <w:sz w:val="20"/>
                <w:szCs w:val="20"/>
                <w:color w:val="auto"/>
              </w:rPr>
            </w:pPr>
            <w:r>
              <w:rPr>
                <w:rFonts w:ascii="Arial" w:cs="Arial" w:eastAsia="Arial" w:hAnsi="Arial"/>
                <w:sz w:val="17"/>
                <w:szCs w:val="17"/>
                <w:color w:val="auto"/>
              </w:rPr>
              <w:t>2026 Convertible Notes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3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461</w:t>
            </w:r>
          </w:p>
        </w:tc>
      </w:tr>
      <w:tr>
        <w:trPr>
          <w:trHeight w:val="236"/>
        </w:trPr>
        <w:tc>
          <w:tcPr>
            <w:tcW w:w="4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6"/>
        </w:trPr>
        <w:tc>
          <w:tcPr>
            <w:tcW w:w="4900" w:type="dxa"/>
            <w:vAlign w:val="bottom"/>
          </w:tcPr>
          <w:p>
            <w:pPr>
              <w:ind w:left="340"/>
              <w:spacing w:after="0"/>
              <w:rPr>
                <w:sz w:val="20"/>
                <w:szCs w:val="20"/>
                <w:color w:val="auto"/>
              </w:rPr>
            </w:pPr>
            <w:r>
              <w:rPr>
                <w:rFonts w:ascii="Arial" w:cs="Arial" w:eastAsia="Arial" w:hAnsi="Arial"/>
                <w:sz w:val="17"/>
                <w:szCs w:val="17"/>
                <w:color w:val="auto"/>
              </w:rPr>
              <w:t>2027 Convertible Notes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7"/>
                <w:szCs w:val="17"/>
                <w:color w:val="auto"/>
              </w:rPr>
              <w:t>Non-interest bearing note payable</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Finance leases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04"/>
        </w:trPr>
        <w:tc>
          <w:tcPr>
            <w:tcW w:w="4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2,631</w:t>
            </w: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scheduled principal payments for our debt, excluding finance leases, as of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98"/>
              </w:rPr>
              <w:t>Payments Year</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2"/>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2027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b w:val="1"/>
                <w:bCs w:val="1"/>
                <w:color w:val="auto"/>
                <w:w w:val="89"/>
              </w:rPr>
              <w:t>Thereafter</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Total</w:t>
            </w:r>
          </w:p>
        </w:tc>
      </w:tr>
      <w:tr>
        <w:trPr>
          <w:trHeight w:val="219"/>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 Notes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36"/>
        </w:trPr>
        <w:tc>
          <w:tcPr>
            <w:tcW w:w="1780" w:type="dxa"/>
            <w:vAlign w:val="bottom"/>
          </w:tcPr>
          <w:p>
            <w:pPr>
              <w:ind w:left="20"/>
              <w:spacing w:after="0"/>
              <w:rPr>
                <w:sz w:val="20"/>
                <w:szCs w:val="20"/>
                <w:color w:val="auto"/>
              </w:rPr>
            </w:pPr>
            <w:r>
              <w:rPr>
                <w:rFonts w:ascii="Arial" w:cs="Arial" w:eastAsia="Arial" w:hAnsi="Arial"/>
                <w:sz w:val="17"/>
                <w:szCs w:val="17"/>
                <w:color w:val="auto"/>
              </w:rPr>
              <w:t>2028 Notes</w:t>
            </w:r>
          </w:p>
        </w:tc>
        <w:tc>
          <w:tcPr>
            <w:tcW w:w="1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36"/>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 Notes</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36"/>
        </w:trPr>
        <w:tc>
          <w:tcPr>
            <w:tcW w:w="1780" w:type="dxa"/>
            <w:vAlign w:val="bottom"/>
          </w:tcPr>
          <w:p>
            <w:pPr>
              <w:ind w:left="20"/>
              <w:spacing w:after="0"/>
              <w:rPr>
                <w:sz w:val="20"/>
                <w:szCs w:val="20"/>
                <w:color w:val="auto"/>
              </w:rPr>
            </w:pPr>
            <w:r>
              <w:rPr>
                <w:rFonts w:ascii="Arial" w:cs="Arial" w:eastAsia="Arial" w:hAnsi="Arial"/>
                <w:sz w:val="17"/>
                <w:szCs w:val="17"/>
                <w:color w:val="auto"/>
              </w:rPr>
              <w:t>Term Loan</w:t>
            </w:r>
          </w:p>
        </w:tc>
        <w:tc>
          <w:tcPr>
            <w:tcW w:w="1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784</w:t>
            </w:r>
          </w:p>
        </w:tc>
      </w:tr>
      <w:tr>
        <w:trPr>
          <w:trHeight w:val="236"/>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2026 Convertible Notes</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r>
      <w:tr>
        <w:trPr>
          <w:trHeight w:val="236"/>
        </w:trPr>
        <w:tc>
          <w:tcPr>
            <w:tcW w:w="1780" w:type="dxa"/>
            <w:vAlign w:val="bottom"/>
          </w:tcPr>
          <w:p>
            <w:pPr>
              <w:ind w:left="20"/>
              <w:spacing w:after="0"/>
              <w:rPr>
                <w:sz w:val="20"/>
                <w:szCs w:val="20"/>
                <w:color w:val="auto"/>
              </w:rPr>
            </w:pPr>
            <w:r>
              <w:rPr>
                <w:rFonts w:ascii="Arial" w:cs="Arial" w:eastAsia="Arial" w:hAnsi="Arial"/>
                <w:sz w:val="17"/>
                <w:szCs w:val="17"/>
                <w:color w:val="auto"/>
                <w:w w:val="97"/>
              </w:rPr>
              <w:t>2027 Convertible Notes</w:t>
            </w:r>
          </w:p>
        </w:tc>
        <w:tc>
          <w:tcPr>
            <w:tcW w:w="1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162"/>
        </w:trPr>
        <w:tc>
          <w:tcPr>
            <w:tcW w:w="17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Non-interest bearing</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24"/>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payable</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17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850</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3,044</w:t>
            </w:r>
          </w:p>
        </w:tc>
      </w:tr>
      <w:tr>
        <w:trPr>
          <w:trHeight w:val="20"/>
        </w:trPr>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68"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851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1268" w:right="144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Our senior notes include:</w:t>
      </w:r>
    </w:p>
    <w:p>
      <w:pPr>
        <w:spacing w:after="0" w:line="53" w:lineRule="exact"/>
        <w:rPr>
          <w:sz w:val="20"/>
          <w:szCs w:val="20"/>
          <w:color w:val="auto"/>
        </w:rPr>
      </w:pPr>
    </w:p>
    <w:p>
      <w:pPr>
        <w:ind w:left="600" w:right="80" w:hanging="302"/>
        <w:spacing w:after="0" w:line="264"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$500 million aggregate principal amount of 6.125% Senior Secured Notes due 2025 issued in the second quarter of 2020 with a maturity date of September 15, 2025 (the “2025 Notes”), of which $250 million of principal was outstanding as of December 31, 2022.</w:t>
      </w:r>
    </w:p>
    <w:p>
      <w:pPr>
        <w:spacing w:after="0" w:line="17" w:lineRule="exact"/>
        <w:rPr>
          <w:rFonts w:ascii="Arial" w:cs="Arial" w:eastAsia="Arial" w:hAnsi="Arial"/>
          <w:sz w:val="17"/>
          <w:szCs w:val="17"/>
          <w:color w:val="auto"/>
        </w:rPr>
      </w:pPr>
    </w:p>
    <w:p>
      <w:pPr>
        <w:ind w:left="600" w:right="160" w:hanging="302"/>
        <w:spacing w:after="0" w:line="264"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$350 million aggregate principal amount of 4.750% Senior Unsecured Notes due 2028 issued in the fourth quarter of 2019 with a maturity date of January 15, 2028 (the “2028 Notes”).</w:t>
      </w:r>
    </w:p>
    <w:p>
      <w:pPr>
        <w:spacing w:after="0" w:line="17" w:lineRule="exact"/>
        <w:rPr>
          <w:rFonts w:ascii="Arial" w:cs="Arial" w:eastAsia="Arial" w:hAnsi="Arial"/>
          <w:sz w:val="17"/>
          <w:szCs w:val="17"/>
          <w:color w:val="auto"/>
        </w:rPr>
      </w:pPr>
    </w:p>
    <w:p>
      <w:pPr>
        <w:ind w:left="600" w:right="320" w:hanging="302"/>
        <w:spacing w:after="0" w:line="264"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$500 million aggregate principal amount of 4.500% Senior Unsecured Notes due 2029 issued in the second quarter of 2021 with a maturity date of June 15, 2029 (the “2029 Notes”).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Notes</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2025 Notes are pari passu with, and secured by the same collateral as, our Corporate Credit Facility. We pay interest on the 2025 Notes on May 15 and November 15 of each year. We received net proceeds of approximately $493 million from the offering of the 2025 Notes, after deducting offering expenses and the underwriting discount, which were used to repay all amounts outstanding at that time on the Revolving Corporate Credit Facility. We may redeem some or all of the remaining 2025 Notes prior to maturity under the terms provided in the indenture.</w:t>
      </w:r>
    </w:p>
    <w:p>
      <w:pPr>
        <w:spacing w:after="0" w:line="7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During 2021, we redeemed, prior to maturity, $250 million aggregate principal amount of the 2025 Notes pursuant to the terms of the indenture governing the 2025 Notes. In connection with this redemption, we incurred charges of $19 million, inclusive of a redemption premium and the write-off of unamortized debt issuance costs, which was recorded in Gains (losses) and other income (expense), net line on our Income Statement for the year ended December 31, 2021.</w:t>
      </w:r>
    </w:p>
    <w:p>
      <w:pPr>
        <w:spacing w:after="0" w:line="60" w:lineRule="exact"/>
        <w:rPr>
          <w:sz w:val="20"/>
          <w:szCs w:val="20"/>
          <w:color w:val="auto"/>
        </w:rPr>
      </w:pPr>
    </w:p>
    <w:p>
      <w:pPr>
        <w:ind w:right="200"/>
        <w:spacing w:after="0" w:line="295" w:lineRule="auto"/>
        <w:rPr>
          <w:sz w:val="20"/>
          <w:szCs w:val="20"/>
          <w:color w:val="auto"/>
        </w:rPr>
      </w:pPr>
      <w:r>
        <w:rPr>
          <w:rFonts w:ascii="Arial" w:cs="Arial" w:eastAsia="Arial" w:hAnsi="Arial"/>
          <w:sz w:val="15"/>
          <w:szCs w:val="15"/>
          <w:color w:val="auto"/>
        </w:rPr>
        <w:t>During the fourth quarter of 2022, we delivered a redemption notice for the remaining $250 million of 2025 Notes outstanding pursuant to the terms of the indenture governing the 2025 Notes. Subsequent to the end of 2022, we redeemed, prior to maturity, the remaining $250 million aggregate principal amount of the 2025 Notes with proceeds from the issuance of the 2027 Convertible Notes (as discussed below). In connection with this redemption, we expect to incur charges of approximately $10 million, inclusive of a redemption premium and the write-off of unamortized debt issuance costs, which will be recorded in the first quarter of 2023.</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2028 Notes</w:t>
      </w:r>
    </w:p>
    <w:p>
      <w:pPr>
        <w:spacing w:after="0" w:line="10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issued the 2028 Notes under an indenture dated October 1, 2019 with The Bank of New York Mellon Trust Company, N.A., as trustee. We received net proceeds of $346 million from the offering, after deducting the underwriting discount and estimated expenses. The net proceeds from the 2028 Notes were used (i) to redeem all of the outstanding 5.625% Senior Unsecured Notes due 2023 assumed in connection with the ILG Acquisition (the “IAC Notes”), (ii) to redeem all of the outstanding 5.625% Senior Unsecured Notes due 2023 offered in exchange for the IAC Notes during the third quarter of 2018, (iii) to repay a portion of the then outstanding borrowings under our Revolving Corporate Credit Facility, (iv) to pay transaction expenses and fees in connection with each of the foregoing and (v) for general corporate purposes. We pay interest on the 2028 Notes on March 15 and September 15 of each year. We may redeem some or all of the 2028 Notes prior to maturity under the terms provided in the indenture.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2029 Notes</w:t>
      </w:r>
    </w:p>
    <w:p>
      <w:pPr>
        <w:spacing w:after="0" w:line="103"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We issued the 2029 Notes under an indenture dated June 21, 2021 with The Bank of New York Mellon Trust Company, N.A., as trustee. We received net proceeds of $493 million from the offering, after deducting the underwriting fees and transaction expenses. We used these proceeds in July 2021 to redeem, prior to maturity, $500 million of the $750 million aggregate principal amount of 6.500% Senior Unsecured Notes due 2026 issued in the third quarter of 2018 with a maturity date of September 15, 2026 (the “2026 Notes”) and pay transaction expenses and fees in connection with the transaction. We pay interest on the 2029 Notes on June 15 and December 15 of each year, commencing on December 15, 2021. We may redeem some or all of the 2029 Notes prior to maturity under the terms provided in the indenture.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Credit Facility</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Our corporate credit facility (“Corporate Credit Facility”), which provides support for our business, including ongoing liquidity and letters of credit, includes a $900 million term loan facility (the “Term Loan”), which matures on August 31, 2025, and bears interest at LIBOR plus 1.75%, and a revolving credit facility (the “Revolving Corporate Credit Facility”), which includes a letter of credit sub-facility of $75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0" w:name="page121"/>
    <w:bookmarkEnd w:id="120"/>
    <w:p>
      <w:pPr>
        <w:ind w:right="40"/>
        <w:spacing w:after="0" w:line="265" w:lineRule="auto"/>
        <w:rPr>
          <w:sz w:val="20"/>
          <w:szCs w:val="20"/>
          <w:color w:val="auto"/>
        </w:rPr>
      </w:pPr>
      <w:r>
        <w:rPr>
          <w:rFonts w:ascii="Arial" w:cs="Arial" w:eastAsia="Arial" w:hAnsi="Arial"/>
          <w:sz w:val="16"/>
          <w:szCs w:val="16"/>
          <w:color w:val="auto"/>
        </w:rPr>
        <w:t>During the first quarter of 2022, we entered into an amendment to the Revolving Corporate Credit Facility (the “Revolver Amendment”), which increased the borrowing capacity of the existing revolving credit facility from $600 million to $750 million and extended the maturity date from August 31, 2023 to March 31, 2027. The Revolver Amendment modified the interest rate applicable to certain borrowings under the Revolving Corporate Credit Facility to reference SOFR and to be based on “Adjusted Term SOFR,” which is calculated as Term SOFR (as defined in the Revolver Amendment), plus a 0.10% adjustment, subject to a 0.00% floor. Interest rates for other select non-U.S. dollar borrowings were also amended to be based on updated variable rate indices. The applicable margins with respect to the Revolving Corporate Credit Facility were amended to be based on leverage-based measures instead of credit ratings-based measures. The Revolver Amendment made no other material changes to the Corporate Credit Facility.</w:t>
      </w:r>
    </w:p>
    <w:p>
      <w:pPr>
        <w:spacing w:after="0" w:line="71"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Borrowings under the Revolving Corporate Credit Facility generally bear interest at a floating rate plus an applicable margin that varies from 0.75% to 2.25% depending on the type of loan and our leverage. In addition, we pay a commitment fee on the unused availability under the Revolving Corporate Credit Facility at a rate that varies from 25 to 35 basis points per annum, also depending on our leverage.</w:t>
      </w:r>
    </w:p>
    <w:p>
      <w:pPr>
        <w:spacing w:after="0" w:line="76"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MVWC and certain of our direct and indirect, existing and future, domestic subsidiaries, excluding certain bankruptcy remote special purpose subsidiaries), in each case including inventory, subject to certain exceptions.</w:t>
      </w:r>
    </w:p>
    <w:p>
      <w:pPr>
        <w:spacing w:after="0" w:line="7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the third quarter of 2022, we borrowed $380 million under our Revolving Corporate Credit Facility, $230 million of which was used to repay the 2022 Convertible Notes (as discussed further below). During the fourth quarter of 2022, a portion of the proceeds from the issuance of the 2027 Convertible Notes was used to repay amounts outstanding on the Revolving Corporate Credit Facility (as discussed further below). As of December 31, 2022, there were no amounts outstanding under the Revolving Corporate Credit Facility.</w:t>
      </w:r>
    </w:p>
    <w:p>
      <w:pPr>
        <w:spacing w:after="0" w:line="78"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Prior to 2020, we entered into $250 million of interest rate swaps under which we pay a fixed rate of 2.9625% and receive a floating interest rate through September 2023 and $200 million of interest rate swaps under which we pay a fixed rate of 2.2480% and receive a floating interest rate through April 2024, in each case to hedge a portion of our interest rate risk on the Term Loan. We also entered into a $100 million interest rate collar with a cap strike rate of 2.5000% and a floor strike rate of</w:t>
      </w:r>
    </w:p>
    <w:p>
      <w:pPr>
        <w:spacing w:after="0" w:line="2"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1.8810% through April 2024 to further hedge our interest rate risk on the Term Loan. Both the interest rate swaps and the interest rate collar have been designated and qualify as cash flow hedges of interest rate risk and are recorded in Other assets on our Balance Sheet as of December 31, 2022 and Other liabilities on our Balance Sheet as of December 31, 2021. We characterize payments we make in connection with these derivative instruments as interest expense and a reclassification of accumulated other comprehensive income or loss for presentation purposes.</w:t>
      </w:r>
    </w:p>
    <w:p>
      <w:pPr>
        <w:spacing w:after="0" w:line="85"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The following table reflects the activity in accumulated other comprehensive income or loss related to our derivative instruments during 2022, 2021 and 2020. There were no reclassifications to the Income Statement for any of the periods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2020</w:t>
            </w:r>
          </w:p>
        </w:tc>
      </w:tr>
      <w:tr>
        <w:trPr>
          <w:trHeight w:val="23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Beginning of Year</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center"/>
              <w:ind w:left="519"/>
              <w:spacing w:after="0"/>
              <w:rPr>
                <w:sz w:val="20"/>
                <w:szCs w:val="20"/>
                <w:color w:val="auto"/>
              </w:rPr>
            </w:pPr>
            <w:r>
              <w:rPr>
                <w:rFonts w:ascii="Arial" w:cs="Arial" w:eastAsia="Arial" w:hAnsi="Arial"/>
                <w:sz w:val="17"/>
                <w:szCs w:val="17"/>
                <w:color w:val="auto"/>
                <w:w w:val="92"/>
              </w:rPr>
              <w:t>(18)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center"/>
              <w:ind w:left="519"/>
              <w:spacing w:after="0"/>
              <w:rPr>
                <w:sz w:val="20"/>
                <w:szCs w:val="20"/>
                <w:color w:val="auto"/>
              </w:rPr>
            </w:pPr>
            <w:r>
              <w:rPr>
                <w:rFonts w:ascii="Arial" w:cs="Arial" w:eastAsia="Arial" w:hAnsi="Arial"/>
                <w:sz w:val="17"/>
                <w:szCs w:val="17"/>
                <w:color w:val="auto"/>
                <w:w w:val="92"/>
              </w:rPr>
              <w:t>(39)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49"/>
        </w:trPr>
        <w:tc>
          <w:tcPr>
            <w:tcW w:w="44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w w:val="99"/>
              </w:rPr>
              <w:t>Other comprehensive gain (loss) before reclassifications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539"/>
              <w:spacing w:after="0"/>
              <w:rPr>
                <w:sz w:val="20"/>
                <w:szCs w:val="20"/>
                <w:color w:val="auto"/>
              </w:rPr>
            </w:pPr>
            <w:r>
              <w:rPr>
                <w:rFonts w:ascii="Arial" w:cs="Arial" w:eastAsia="Arial" w:hAnsi="Arial"/>
                <w:sz w:val="17"/>
                <w:szCs w:val="17"/>
                <w:color w:val="auto"/>
                <w:w w:val="94"/>
              </w:rPr>
              <w:t>31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559"/>
              <w:spacing w:after="0"/>
              <w:rPr>
                <w:sz w:val="20"/>
                <w:szCs w:val="20"/>
                <w:color w:val="auto"/>
              </w:rPr>
            </w:pPr>
            <w:r>
              <w:rPr>
                <w:rFonts w:ascii="Arial" w:cs="Arial" w:eastAsia="Arial" w:hAnsi="Arial"/>
                <w:sz w:val="17"/>
                <w:szCs w:val="17"/>
                <w:color w:val="auto"/>
                <w:w w:val="84"/>
              </w:rPr>
              <w:t>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2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End of Year</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7"/>
                <w:szCs w:val="17"/>
                <w:color w:val="auto"/>
                <w:w w:val="94"/>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7"/>
                <w:szCs w:val="17"/>
                <w:color w:val="auto"/>
                <w:w w:val="92"/>
              </w:rPr>
              <w:t>(18)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Convertible Notes</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During 2017, we issued $230 million aggregate principal amount of 1.50% convertible senior notes for which interest was payable semi-annually (the “2022 Convertible Notes”). The 2022 Convertible Notes matured at par on September 15, 2022, at which time they were settled in cash and the remaining discount and deferred financing costs were fully amortized. The following table reflects the activity related to our 2022 Convertible Notes during 2022.</w:t>
      </w: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2"/>
              </w:rPr>
              <w:t>Unamortized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spacing w:after="0" w:line="150" w:lineRule="exact"/>
              <w:rPr>
                <w:sz w:val="20"/>
                <w:szCs w:val="20"/>
                <w:color w:val="auto"/>
              </w:rPr>
            </w:pPr>
            <w:r>
              <w:rPr>
                <w:rFonts w:ascii="Arial" w:cs="Arial" w:eastAsia="Arial" w:hAnsi="Arial"/>
                <w:sz w:val="15"/>
                <w:szCs w:val="15"/>
                <w:b w:val="1"/>
                <w:bCs w:val="1"/>
                <w:color w:val="auto"/>
                <w:w w:val="97"/>
              </w:rPr>
              <w:t>Carrying Amount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Principal</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2"/>
              </w:rPr>
              <w:t>Unamortized</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259"/>
              <w:spacing w:after="0" w:line="149" w:lineRule="exact"/>
              <w:rPr>
                <w:sz w:val="20"/>
                <w:szCs w:val="20"/>
                <w:color w:val="auto"/>
              </w:rPr>
            </w:pPr>
            <w:r>
              <w:rPr>
                <w:rFonts w:ascii="Arial" w:cs="Arial" w:eastAsia="Arial" w:hAnsi="Arial"/>
                <w:sz w:val="15"/>
                <w:szCs w:val="15"/>
                <w:b w:val="1"/>
                <w:bCs w:val="1"/>
                <w:color w:val="auto"/>
              </w:rPr>
              <w:t>of Equity</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86"/>
              </w:rPr>
              <w:t>Debt Issuance</w:t>
            </w:r>
          </w:p>
        </w:tc>
        <w:tc>
          <w:tcPr>
            <w:tcW w:w="14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Debt, net</w:t>
            </w:r>
          </w:p>
        </w:tc>
        <w:tc>
          <w:tcPr>
            <w:tcW w:w="1300" w:type="dxa"/>
            <w:vAlign w:val="bottom"/>
            <w:gridSpan w:val="2"/>
          </w:tcPr>
          <w:p>
            <w:pPr>
              <w:jc w:val="right"/>
              <w:spacing w:after="0" w:line="149" w:lineRule="exact"/>
              <w:rPr>
                <w:sz w:val="20"/>
                <w:szCs w:val="20"/>
                <w:color w:val="auto"/>
              </w:rPr>
            </w:pPr>
            <w:r>
              <w:rPr>
                <w:rFonts w:ascii="Arial" w:cs="Arial" w:eastAsia="Arial" w:hAnsi="Arial"/>
                <w:sz w:val="15"/>
                <w:szCs w:val="15"/>
                <w:b w:val="1"/>
                <w:bCs w:val="1"/>
                <w:color w:val="auto"/>
                <w:w w:val="92"/>
              </w:rPr>
              <w:t>Component, net of</w:t>
            </w: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Amount</w:t>
            </w:r>
          </w:p>
        </w:tc>
        <w:tc>
          <w:tcPr>
            <w:tcW w:w="12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8"/>
              </w:rPr>
              <w:t>Debt Discount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Costs</w:t>
            </w: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Arial" w:cs="Arial" w:eastAsia="Arial" w:hAnsi="Arial"/>
                <w:sz w:val="15"/>
                <w:szCs w:val="15"/>
                <w:b w:val="1"/>
                <w:bCs w:val="1"/>
                <w:color w:val="auto"/>
                <w:w w:val="87"/>
              </w:rPr>
              <w:t>Issuance Costs</w:t>
            </w:r>
          </w:p>
        </w:tc>
        <w:tc>
          <w:tcPr>
            <w:tcW w:w="0" w:type="dxa"/>
            <w:vAlign w:val="bottom"/>
          </w:tcPr>
          <w:p>
            <w:pPr>
              <w:spacing w:after="0"/>
              <w:rPr>
                <w:sz w:val="1"/>
                <w:szCs w:val="1"/>
                <w:color w:val="auto"/>
              </w:rPr>
            </w:pPr>
          </w:p>
        </w:tc>
      </w:tr>
      <w:tr>
        <w:trPr>
          <w:trHeight w:val="21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tcPr>
          <w:p>
            <w:pPr>
              <w:ind w:left="20"/>
              <w:spacing w:after="0" w:line="236" w:lineRule="exact"/>
              <w:rPr>
                <w:sz w:val="20"/>
                <w:szCs w:val="20"/>
                <w:color w:val="auto"/>
              </w:rPr>
            </w:pPr>
            <w:r>
              <w:rPr>
                <w:rFonts w:ascii="Arial" w:cs="Arial" w:eastAsia="Arial" w:hAnsi="Arial"/>
                <w:sz w:val="17"/>
                <w:szCs w:val="17"/>
                <w:color w:val="auto"/>
              </w:rPr>
              <w:t>Adoption of ASU 2020-06</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At January 1, 2022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7"/>
                <w:szCs w:val="17"/>
                <w:color w:val="auto"/>
              </w:rPr>
              <w:t>Fair value of conversion option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line="224" w:lineRule="exact"/>
              <w:rPr>
                <w:sz w:val="20"/>
                <w:szCs w:val="20"/>
                <w:color w:val="auto"/>
              </w:rPr>
            </w:pPr>
            <w:r>
              <w:rPr>
                <w:rFonts w:ascii="Arial" w:cs="Arial" w:eastAsia="Arial" w:hAnsi="Arial"/>
                <w:sz w:val="17"/>
                <w:szCs w:val="17"/>
                <w:color w:val="auto"/>
              </w:rPr>
              <w:t>transferred to other liabilities</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Repayment upon maturity</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6"/>
        </w:trPr>
        <w:tc>
          <w:tcPr>
            <w:tcW w:w="2380" w:type="dxa"/>
            <w:vAlign w:val="bottom"/>
          </w:tcPr>
          <w:p>
            <w:pPr>
              <w:spacing w:after="0"/>
              <w:rPr>
                <w:sz w:val="20"/>
                <w:szCs w:val="20"/>
                <w:color w:val="auto"/>
              </w:rPr>
            </w:pPr>
            <w:r>
              <w:rPr>
                <w:rFonts w:ascii="Arial" w:cs="Arial" w:eastAsia="Arial" w:hAnsi="Arial"/>
                <w:sz w:val="17"/>
                <w:szCs w:val="17"/>
                <w:color w:val="auto"/>
              </w:rPr>
              <w:t>________________________</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00" w:hanging="300"/>
        <w:spacing w:after="0" w:line="231" w:lineRule="auto"/>
        <w:tabs>
          <w:tab w:leader="none" w:pos="289"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As a result of the adoption of ASU 2020-06 during the first quarter of 2022, we no longer accounted for the liability and equity components of the convertible notes separately, and we reclassified the conversion feature related to the 2022 Convertible Notes from equity to liabilities. Prior period amounts have not been adjusted to reflect our adoption of ASU 2020-06 under the modified retrospective method. See Footnote 2 “Summary of Significant Accounting Policies” for information on our adoption of ASU 2020-06.</w:t>
      </w:r>
    </w:p>
    <w:p>
      <w:pPr>
        <w:spacing w:after="0" w:line="38" w:lineRule="exact"/>
        <w:rPr>
          <w:rFonts w:ascii="Arial" w:cs="Arial" w:eastAsia="Arial" w:hAnsi="Arial"/>
          <w:sz w:val="22"/>
          <w:szCs w:val="22"/>
          <w:color w:val="auto"/>
          <w:vertAlign w:val="superscript"/>
        </w:rPr>
      </w:pPr>
    </w:p>
    <w:p>
      <w:pPr>
        <w:ind w:left="300" w:right="160" w:hanging="300"/>
        <w:spacing w:after="0" w:line="250" w:lineRule="auto"/>
        <w:tabs>
          <w:tab w:leader="none" w:pos="289" w:val="left"/>
        </w:tabs>
        <w:numPr>
          <w:ilvl w:val="0"/>
          <w:numId w:val="38"/>
        </w:numPr>
        <w:rPr>
          <w:rFonts w:ascii="Arial" w:cs="Arial" w:eastAsia="Arial" w:hAnsi="Arial"/>
          <w:sz w:val="20"/>
          <w:szCs w:val="20"/>
          <w:color w:val="auto"/>
          <w:vertAlign w:val="superscript"/>
        </w:rPr>
      </w:pPr>
      <w:r>
        <w:rPr>
          <w:rFonts w:ascii="Arial" w:cs="Arial" w:eastAsia="Arial" w:hAnsi="Arial"/>
          <w:sz w:val="16"/>
          <w:szCs w:val="16"/>
          <w:color w:val="auto"/>
        </w:rPr>
        <w:t>We issued notice of our intent to settle the 2022 Convertible Notes in cash, which became irrevocable on June 15, 2022. As a result, our previous exception from derivative accounting for the conversion feature of the 2022 Convertible Notes no longer applied and we were required to fair value this conversion feature at that time. The fair value of the conversion feature of $5 million was recorded as a debt discount and a corresponding increase to Other liabilities on our balance sheet. Subsequent changes to the fair value of the conversion feature were recorded on our income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2022 Convertible Notes.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4500" w:type="dxa"/>
            <w:vAlign w:val="bottom"/>
          </w:tcPr>
          <w:p>
            <w:pPr>
              <w:ind w:left="20"/>
              <w:spacing w:after="0"/>
              <w:rPr>
                <w:sz w:val="20"/>
                <w:szCs w:val="20"/>
                <w:color w:val="auto"/>
              </w:rPr>
            </w:pPr>
            <w:r>
              <w:rPr>
                <w:rFonts w:ascii="Arial" w:cs="Arial" w:eastAsia="Arial" w:hAnsi="Arial"/>
                <w:sz w:val="17"/>
                <w:szCs w:val="17"/>
                <w:color w:val="auto"/>
              </w:rPr>
              <w:t>Amortization of debt discount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issuance costs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450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Convertible Note Hedges and Warrants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In connection with the offering of the 2022 Convertible Notes, we concurrently entered into the following privately-negotiated separate transactions: convertible note hedge transactions with respect to our common stock (“2022 Convertible Note Hedges”) and warrant transactions (“2022 Warrants”), whereby we sold to the counterparties to the 2022 Convertible Note Hedges warrants to acquire approximately 1.6 million shares of our common stock.</w:t>
      </w:r>
    </w:p>
    <w:p>
      <w:pPr>
        <w:spacing w:after="0" w:line="6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2022 Note Hedges were required to follow the same settlement provisions as the 2022 Convertible Notes. As such, upon issuance of the irrevocable notice of our intent to settle the 2022 Convertible Notes in cash, our previous exception from derivative accounting for the 2022 Convertible Note Hedges no longer applied and we were required to fair value the 2022 Convertible Note Hedges at that time. The 2022 Convertible Note Hedges expired upon the maturity of the 2022 Convertible Notes, and none were exercised. The 2022 Warrants expire in ratable portions on a series of expiration dates over the 60 scheduled trading day period commencing on December 15, 2022. As of December 31, 2022, the strike price of the 2022 Warrants was subject to adjustment to approximately $175.62, as a result of the dividends we declared since the issuance of the 2022 Warrants that were greater than the quarterly dividend we paid when the 2022 Warrants were issued. As of December 31, 2022, no 2022 Warrants have been exercised.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i w:val="1"/>
          <w:iCs w:val="1"/>
          <w:color w:val="auto"/>
        </w:rPr>
        <w:t>2026 Convertible Notes</w:t>
      </w:r>
    </w:p>
    <w:p>
      <w:pPr>
        <w:spacing w:after="0" w:line="103"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During 2021, we issued $575 million aggregate principal amount of convertible senior notes (the “2026 Convertible Notes”) that bear interest at a rate of 0.00%. The 2026 Convertible Notes mature on January 15, 2026, unless repurchased or converted in accordance with their terms prior to that date.</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conversion rate is subject to adjustment for certain events as described in the indenture governing the notes, and was subject to adjustment as of December 31, 2022 to 5.9978 shares of common stock per $1,000 principal amount of 2026 Convertible Notes (equivalent to a conversion price of $166.73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December 31, 2022, the effective interest rate was 0.55%.</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net carrying value of the 2026 Convertible Notes.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2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5"/>
                <w:szCs w:val="15"/>
                <w:b w:val="1"/>
                <w:bCs w:val="1"/>
                <w:color w:val="auto"/>
              </w:rPr>
              <w:t>At December 31, 2022</w:t>
            </w:r>
          </w:p>
        </w:tc>
        <w:tc>
          <w:tcPr>
            <w:tcW w:w="140" w:type="dxa"/>
            <w:vAlign w:val="bottom"/>
          </w:tcPr>
          <w:p>
            <w:pPr>
              <w:spacing w:after="0"/>
              <w:rPr>
                <w:sz w:val="17"/>
                <w:szCs w:val="17"/>
                <w:color w:val="auto"/>
              </w:rPr>
            </w:pPr>
          </w:p>
        </w:tc>
        <w:tc>
          <w:tcPr>
            <w:tcW w:w="1560" w:type="dxa"/>
            <w:vAlign w:val="bottom"/>
          </w:tcPr>
          <w:p>
            <w:pPr>
              <w:jc w:val="right"/>
              <w:ind w:right="58"/>
              <w:spacing w:after="0"/>
              <w:rPr>
                <w:sz w:val="20"/>
                <w:szCs w:val="20"/>
                <w:color w:val="auto"/>
              </w:rPr>
            </w:pPr>
            <w:r>
              <w:rPr>
                <w:rFonts w:ascii="Arial" w:cs="Arial" w:eastAsia="Arial" w:hAnsi="Arial"/>
                <w:sz w:val="15"/>
                <w:szCs w:val="15"/>
                <w:b w:val="1"/>
                <w:bCs w:val="1"/>
                <w:color w:val="auto"/>
                <w:w w:val="90"/>
              </w:rPr>
              <w:t>At December 31, 2021</w:t>
            </w:r>
          </w:p>
        </w:tc>
      </w:tr>
      <w:tr>
        <w:trPr>
          <w:trHeight w:val="21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Liability component</w:t>
            </w: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6"/>
        </w:trPr>
        <w:tc>
          <w:tcPr>
            <w:tcW w:w="4880" w:type="dxa"/>
            <w:vAlign w:val="bottom"/>
          </w:tcPr>
          <w:p>
            <w:pPr>
              <w:ind w:left="200"/>
              <w:spacing w:after="0"/>
              <w:rPr>
                <w:sz w:val="20"/>
                <w:szCs w:val="20"/>
                <w:color w:val="auto"/>
              </w:rPr>
            </w:pPr>
            <w:r>
              <w:rPr>
                <w:rFonts w:ascii="Arial" w:cs="Arial" w:eastAsia="Arial" w:hAnsi="Arial"/>
                <w:sz w:val="17"/>
                <w:szCs w:val="17"/>
                <w:color w:val="auto"/>
              </w:rPr>
              <w:t>Principal amount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36"/>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Unamortized debt discount</w:t>
            </w:r>
            <w:r>
              <w:rPr>
                <w:rFonts w:ascii="Arial" w:cs="Arial" w:eastAsia="Arial" w:hAnsi="Arial"/>
                <w:sz w:val="9"/>
                <w:szCs w:val="9"/>
                <w:color w:val="auto"/>
              </w:rPr>
              <w:t>(1)</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36"/>
        </w:trPr>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Unamortized debt issuance costs</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2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carrying amount of the liability component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amount of equity component, net of issuance costs</w:t>
            </w:r>
            <w:r>
              <w:rPr>
                <w:rFonts w:ascii="Arial" w:cs="Arial" w:eastAsia="Arial" w:hAnsi="Arial"/>
                <w:sz w:val="9"/>
                <w:szCs w:val="9"/>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86"/>
        </w:trPr>
        <w:tc>
          <w:tcPr>
            <w:tcW w:w="4880" w:type="dxa"/>
            <w:vAlign w:val="bottom"/>
          </w:tcPr>
          <w:p>
            <w:pPr>
              <w:spacing w:after="0"/>
              <w:rPr>
                <w:sz w:val="20"/>
                <w:szCs w:val="20"/>
                <w:color w:val="auto"/>
              </w:rPr>
            </w:pPr>
            <w:r>
              <w:rPr>
                <w:rFonts w:ascii="Arial" w:cs="Arial" w:eastAsia="Arial" w:hAnsi="Arial"/>
                <w:sz w:val="17"/>
                <w:szCs w:val="17"/>
                <w:color w:val="auto"/>
              </w:rPr>
              <w:t>________________________</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37" w:lineRule="exact"/>
        <w:rPr>
          <w:sz w:val="20"/>
          <w:szCs w:val="20"/>
          <w:color w:val="auto"/>
        </w:rPr>
      </w:pPr>
    </w:p>
    <w:p>
      <w:pPr>
        <w:ind w:left="300" w:hanging="300"/>
        <w:spacing w:after="0" w:line="231" w:lineRule="auto"/>
        <w:tabs>
          <w:tab w:leader="none" w:pos="289"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As a result of adoption of ASU 2020-06 during the first quarter of 2022, we no longer account for the liability and equity components of the convertible notes separately, and we reclassified the conversion feature related to the 2026 Convertible Notes from equity to liabilities. Prior period amounts have not been adjusted to reflect our adoption of ASU 2020-06 under the modified retrospective method. See Footnote 2 “Summary of Significant Accounting Policies” for information on our adoption of ASU 2020-06.</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2026 Convertible Notes.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discount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r>
      <w:tr>
        <w:trPr>
          <w:trHeight w:val="236"/>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debt issuance costs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r>
      <w:tr>
        <w:trPr>
          <w:trHeight w:val="229"/>
        </w:trPr>
        <w:tc>
          <w:tcPr>
            <w:tcW w:w="45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Convertible Note Hedges and Warrants</w:t>
      </w:r>
    </w:p>
    <w:p>
      <w:pPr>
        <w:spacing w:after="0" w:line="103"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3.4 million shares of our common stock, and warrant transactions (“2026 Warrants”), whereby we sold to the counterparties to the 2026 Convertible Note Hedges warrants to acquire approximately 3.4 million shares of our common stock. As of December 31, 2022, the strike prices of the 2026 Convertible Note Hedges and the 2026 Warrants were subject to adjustment to approximately $166.73 and $208.41, respectively, and no 2026 Convertible Note Hedges or 2026 Warrants have been exercised.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Notes</w:t>
      </w:r>
    </w:p>
    <w:p>
      <w:pPr>
        <w:spacing w:after="0" w:line="10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During the fourth quarter of 2022, we issued $575 million aggregate principal amount of convertible senior notes (the “2027 Convertible Notes”) that bear interest at a rate of 3.25%. The 2027 Convertible Notes are governed by an indenture dated December 8, 2022 (the “Indenture”) among MVWC, Marriott Ownership Resorts, Inc. and the other guarantors party thereto (the “Guarantors”) and The Bank of New York Mellon Trust Company, N.A., as trustee (the “Trustee”). We received net proceeds from the offering of approximately $497 million after adjusting for debt issuance costs, including the discount to the initial purchasers, the cost of the 2027 Convertible Note Hedges, and proceeds from the 2027 Warrants (both as defined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sectPr>
      </w:pPr>
    </w:p>
    <w:bookmarkStart w:id="123" w:name="page124"/>
    <w:bookmarkEnd w:id="123"/>
    <w:p>
      <w:pPr>
        <w:ind w:right="20"/>
        <w:spacing w:after="0" w:line="283" w:lineRule="auto"/>
        <w:rPr>
          <w:sz w:val="20"/>
          <w:szCs w:val="20"/>
          <w:color w:val="auto"/>
        </w:rPr>
      </w:pPr>
      <w:r>
        <w:rPr>
          <w:rFonts w:ascii="Arial" w:cs="Arial" w:eastAsia="Arial" w:hAnsi="Arial"/>
          <w:sz w:val="15"/>
          <w:szCs w:val="15"/>
          <w:color w:val="auto"/>
        </w:rPr>
        <w:t>The 2027 Convertible Notes bear interest at a rate of 3.25%, payable in cash semi-annually on June 15 and December 15 of each year, beginning on June 15, 2023. The 2027 Convertible Notes mature on December 15, 2027, unless earlier repurchased or converted in accordance with their terms prior to that date. On or after September 15, 2027, and prior to the close of business on the second scheduled trading day immediately preceding the stated maturity date of the 2027 Convertible Notes, holders may convert their 2027 Convertible Notes at their option. The 2027 Convertible Notes are convertible at a rate of 5.2729 shares of common stock per $1,000 principal amount of 2027 Convertible Notes (equivalent to a conversion price of $189.65 per share of our common stock) as of December 31, 2022. The conversion rate is subject to adjustment for certain events as described in the Indenture. Upon conversion, we will pay or deliver, as the case may be, cash, shares of our common stock, or a combination of cash and shares of our common stock, at our election. It is our intent to settle conversions of the 2027 Convertible Notes through combination settlement, which contemplates repayment in cash of the principal amount and repayment in shares of our common stock of any excess of the conversion value over the principal amount. As of December 31, 2022, the effective interest rate was 3.88%.</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Holders may convert their 2027 Convertible Notes prior to September 15, 2027 only under the following circumstances:</w:t>
      </w:r>
    </w:p>
    <w:p>
      <w:pPr>
        <w:spacing w:after="0" w:line="53" w:lineRule="exact"/>
        <w:rPr>
          <w:sz w:val="20"/>
          <w:szCs w:val="20"/>
          <w:color w:val="auto"/>
        </w:rPr>
      </w:pPr>
    </w:p>
    <w:p>
      <w:pPr>
        <w:jc w:val="both"/>
        <w:ind w:left="600" w:right="120" w:hanging="302"/>
        <w:spacing w:after="0" w:line="300" w:lineRule="auto"/>
        <w:tabs>
          <w:tab w:leader="none" w:pos="596" w:val="left"/>
        </w:tabs>
        <w:numPr>
          <w:ilvl w:val="0"/>
          <w:numId w:val="40"/>
        </w:numPr>
        <w:rPr>
          <w:rFonts w:ascii="Arial" w:cs="Arial" w:eastAsia="Arial" w:hAnsi="Arial"/>
          <w:sz w:val="15"/>
          <w:szCs w:val="15"/>
          <w:color w:val="auto"/>
        </w:rPr>
      </w:pPr>
      <w:r>
        <w:rPr>
          <w:rFonts w:ascii="Arial" w:cs="Arial" w:eastAsia="Arial" w:hAnsi="Arial"/>
          <w:sz w:val="15"/>
          <w:szCs w:val="15"/>
          <w:color w:val="auto"/>
        </w:rPr>
        <w:t>during any calendar quarter commencing after the calendar quarter ending on March 31, 2023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ind w:left="600" w:right="140" w:hanging="302"/>
        <w:spacing w:after="0" w:line="254" w:lineRule="auto"/>
        <w:tabs>
          <w:tab w:leader="none" w:pos="5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2027 Convertible Notes for each trading day of the measurement period was less than 98% of the product of the last reported sale price of the common stock and the conversion rate on each such trading day;</w:t>
      </w:r>
    </w:p>
    <w:p>
      <w:pPr>
        <w:spacing w:after="0" w:line="26" w:lineRule="exact"/>
        <w:rPr>
          <w:rFonts w:ascii="Arial" w:cs="Arial" w:eastAsia="Arial" w:hAnsi="Arial"/>
          <w:sz w:val="17"/>
          <w:szCs w:val="17"/>
          <w:color w:val="auto"/>
        </w:rPr>
      </w:pPr>
    </w:p>
    <w:p>
      <w:pPr>
        <w:ind w:left="600" w:right="160" w:hanging="302"/>
        <w:spacing w:after="0" w:line="264" w:lineRule="auto"/>
        <w:tabs>
          <w:tab w:leader="none" w:pos="5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we call any or all of the holder’s notes for redemption, at any time prior to the close of business on the second scheduled trading day immediately preceding the redemption date; or</w:t>
      </w:r>
    </w:p>
    <w:p>
      <w:pPr>
        <w:spacing w:after="0" w:line="17" w:lineRule="exact"/>
        <w:rPr>
          <w:rFonts w:ascii="Arial" w:cs="Arial" w:eastAsia="Arial" w:hAnsi="Arial"/>
          <w:sz w:val="17"/>
          <w:szCs w:val="17"/>
          <w:color w:val="auto"/>
        </w:rPr>
      </w:pPr>
    </w:p>
    <w:p>
      <w:pPr>
        <w:ind w:left="600" w:hanging="302"/>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as described in the Indenture.</w:t>
      </w:r>
    </w:p>
    <w:p>
      <w:pPr>
        <w:spacing w:after="0" w:line="10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While the 2027 Convertible Notes are callable in certain circumstances prior to their maturity date, no sinking fund has been provided for them. If we undergo a fundamental change, as described in the Indenture, subject to certain conditions, holders may require us to repurchase for cash all or any portion of their 2027 Convertible Notes. The repurchase price as a result of a fundamental change is equal to 100% of the principal amount of the 2027 Convertible Notes to be repurchased, plus accrued and unpaid special interest, if any, to, but excluding, the repurchase date. If certain fundamental changes referred to in the Indenture as make-whole fundamental changes occur, the conversion rate applicable to the 2027 Convertible Notes may increase.</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2027 Convertible Notes are unconditionally guaranteed, on a joint and several basis, by the Guarantors on a senior, unsecured basis. The 2027 Convertible Notes are our general senior unsecured obligations and rank equally in right of payment with all of our existing and future senior indebtedness, and senior in right of payment to all of our future subordinated debt. The 2027 Convertible Notes will be effectively subordinated to any of our existing and future secured debt to the extent of the value of the assets securing such debt, including the guarantees of borrowings outstanding under the Corporate Credit Facility. The 2027 Convertible Notes are structurally subordinated to any existing and future indebtedness and any other liabilities and obligations of any of our subsidiaries that are not guarantors of the 2027 Convertible Notes. The guarantees will be the Guarantors’ general senior unsecured obligations and rank equally in right of payment with all of the Guarantors’ existing and future senior indebtedness, and senior in right of payment to all of the Guarantors’ future subordinated debt. The guarantees are effectively subordinated to any of the Guarantors’ existing and future secured debt to the extent of the value of the assets securing such debt, including any borrowings outstanding under the Corporate Credit Facility. The guarantees are structurally subordinated to any existing and future indebtedness and any other liabilities and obligations of any of our subsidiaries that are not guarantors of the 2027 Convertible Notes.</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There are no financial or operating covenants related to the 2027 Convertible Notes. The Indenture contains customary events of default with respect to the 2027 Convertible Notes and provides that upon the occurrence and continuation of certain events of default, the Trustee or the holders of at least 25% in aggregate principal amount of the 2027 Convertible Notes then outstanding may declare all principal of, and accrued and any unpaid interest on, the 2027 Convertible Notes then outstanding to be immediately due and payable. In case of certain events of bankruptcy or insolvency involving the Company, all of the principal of and accrued and unpaid interest on the 2027 Convertible Notes will automatically become immediately due and payable.</w:t>
      </w:r>
    </w:p>
    <w:p>
      <w:pPr>
        <w:spacing w:after="0" w:line="68"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We had debt issuance costs, including initial purchasers’ discount to underwriters, of $14 million related to the 2027 Convertible Notes. Issuance costs are amortized to interest expense over the term of the 2027 Convertible Notes. During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24" w:name="page125"/>
    <w:bookmarkEnd w:id="124"/>
    <w:p>
      <w:pPr>
        <w:ind w:right="340"/>
        <w:spacing w:after="0" w:line="264" w:lineRule="auto"/>
        <w:rPr>
          <w:sz w:val="20"/>
          <w:szCs w:val="20"/>
          <w:color w:val="auto"/>
        </w:rPr>
      </w:pPr>
      <w:r>
        <w:rPr>
          <w:rFonts w:ascii="Arial" w:cs="Arial" w:eastAsia="Arial" w:hAnsi="Arial"/>
          <w:sz w:val="17"/>
          <w:szCs w:val="17"/>
          <w:color w:val="auto"/>
        </w:rPr>
        <w:t>2022, our contractual interest expense and amortization of debt issuance costs were $1 million and less than $1 million, respectively, related to the 2027 Convertible Notes.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 Hedges and Warrants</w:t>
      </w:r>
    </w:p>
    <w:p>
      <w:pPr>
        <w:spacing w:after="0" w:line="103"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In connection with the offering of the 2027 Convertible Notes, we entered into privately-negotiated convertible note hedge transactions with respect to our common stock with certain counterparties (the “2027 Convertible Note Hedges”), covering a total of 3 million shares of our common stock at a cost of $107 million. The 2027 Convertible Note Hedges are subject to anti-dilution provisions substantially similar to those of the 2027 Convertible Notes, have a strike price that initially corresponded to the initial conversion price of the 2027 Convertible Notes, are exercisable by us upon any conversion under the 2027 Convertible Notes, and expire when the 2027 Convertible Notes mature. The cost of the 2027 Convertible Note Hedges is expected to be tax deductible as an original issue discount over the life of the 2027 Convertible Notes, as the 2027 Convertible Notes and the 2027 Convertible Note Hedges represent an integrated debt instrument for tax purposes. The cost of the 2027 Convertible Note Hedges was recorded as a reduction of Additional paid-in capital on our Balance Sheet as of December 31, 2022.</w:t>
      </w:r>
    </w:p>
    <w:p>
      <w:pPr>
        <w:spacing w:after="0" w:line="5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Concurrently with the entry into the 2027 Convertible Note Hedges, we separately entered into privately-negotiated warrant transactions (the “2027 Warrants”), whereby we sold to the counterparties to the 2027 Convertible Note Hedges warrants to acquire, collectively, subject to anti-dilution adjustments, approximately 3 million shares of our common stock at an initial strike price of $286.26 per share. We received aggregate proceeds of $43 million from the sale of the 2027 Warrants to the counterparties. The proceeds from the issuance of the 2027 Warrants were recorded as an increase to Additional paid-in capital on our Balance Sheet as of December 31, 2022.</w:t>
      </w:r>
    </w:p>
    <w:p>
      <w:pPr>
        <w:spacing w:after="0" w:line="8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Taken together, the 2027 Convertible Note Hedges and the 2027 Warrants are generally expected to reduce the potential dilution to our common stock (or, in the event the conversion of the 2027 Convertible Notes is settled in cash, to reduce our cash payment obligation) in the event that at the time of conversion our stock price exceeds the conversion price under the 2027 Convertible Notes and to effectively increase the overall conversion price to the Company from $189.65 per share to $286.26 per share. The 2027 Warrants will expire in ratable portions on a series of expiration dates commencing in March 2028.</w:t>
      </w:r>
    </w:p>
    <w:p>
      <w:pPr>
        <w:spacing w:after="0" w:line="65" w:lineRule="exact"/>
        <w:rPr>
          <w:sz w:val="20"/>
          <w:szCs w:val="20"/>
          <w:color w:val="auto"/>
        </w:rPr>
      </w:pPr>
    </w:p>
    <w:p>
      <w:pPr>
        <w:ind w:right="340"/>
        <w:spacing w:after="0" w:line="419" w:lineRule="auto"/>
        <w:rPr>
          <w:sz w:val="20"/>
          <w:szCs w:val="20"/>
          <w:color w:val="auto"/>
        </w:rPr>
      </w:pPr>
      <w:r>
        <w:rPr>
          <w:rFonts w:ascii="Arial" w:cs="Arial" w:eastAsia="Arial" w:hAnsi="Arial"/>
          <w:sz w:val="13"/>
          <w:szCs w:val="13"/>
          <w:color w:val="auto"/>
        </w:rPr>
        <w:t>The 2027 Convertible Notes, the 2027 Convertible Note Hedges, and the 2027 Warrants are transactions that are separate from each other. Holders of any such instrument have no rights with respect to the other instruments. As of December 31, 2022, no 2027 Convertible Note Hedges or 2027 Warrants have been exercised.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Leases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See Footnote 14 “Leases” for information on our finance leases.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and Guarantees</w:t>
      </w:r>
    </w:p>
    <w:p>
      <w:pPr>
        <w:spacing w:after="0" w:line="10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2027 Convertible Notes, the 2025 Notes, the 2028 Notes, and the 2029 Notes are guaranteed by MVWC and certain of our direct and indirect, existing and future, domestic subsidiaries, excluding bankruptcy remote special purpose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SHAREHOLDERS’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Marriott Vacations Worldwide has 100,000,000 authorized shares of common stock, par value of $0.01 per share. At December 31, 2022, there were 75,744,524 shares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 Marriott Vacations Worldwide common stock issued, of which 37,481,082 shares were outstanding and 38,263,442 shares were held as treasury stock. At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 there were 75,519,049 shares of Marriott Vacations Worldwide common stock issued, of which 42,283,378 shares were outstanding and 33,235,671</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shares were held as treasury stock. Marriott Vacations Worldwide has 2,000,000 authorized shares of preferred stock, par value of $0.01 per share, none of which were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issued or outstanding as of December 31, 2022 or December 31, 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0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From time to time, with the approval of our Board of Directors, we may undertake programs to purchase shares of our common stock (each, a “Share Repurchase Program” and collectively, the “Share Repurchase Programs”). During the third quarter of 2021, our Board of Directors authorized us to purchase shares of our common stock under a Share Repurchase Program for an aggregate purchase price not to exceed $250 million, prior to December 31, 2022. During the first quarter of 2022, our Board of Directors authorized the purchase of up to an additional $300 million of our common stock under this program, and extended the term of this program to March 31, 2023. During the third quarter of 2022, our Board of Directors authorized the purchase of up to an additional $500 million of our common stock under this program, and extended the term of this program to June 30, 2023. As of December 31, 2022, approximately $270 million remained available for share repurchases under the Share Repurchase Program.</w:t>
      </w:r>
    </w:p>
    <w:p>
      <w:pPr>
        <w:spacing w:after="0" w:line="85"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Share Repurchase Programs: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Number of Shares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6"/>
              </w:rPr>
              <w:t>Cost of Shares</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Average Price Paid</w:t>
            </w:r>
          </w:p>
        </w:tc>
      </w:tr>
      <w:tr>
        <w:trPr>
          <w:trHeight w:val="196"/>
        </w:trPr>
        <w:tc>
          <w:tcPr>
            <w:tcW w:w="40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 except per share amounts)</w:t>
            </w:r>
          </w:p>
        </w:tc>
        <w:tc>
          <w:tcPr>
            <w:tcW w:w="14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Repurchased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Repurchased</w:t>
            </w:r>
          </w:p>
        </w:tc>
        <w:tc>
          <w:tcPr>
            <w:tcW w:w="240" w:type="dxa"/>
            <w:vAlign w:val="bottom"/>
          </w:tcPr>
          <w:p>
            <w:pPr>
              <w:spacing w:after="0"/>
              <w:rPr>
                <w:sz w:val="17"/>
                <w:szCs w:val="17"/>
                <w:color w:val="auto"/>
              </w:rPr>
            </w:pPr>
          </w:p>
        </w:tc>
        <w:tc>
          <w:tcPr>
            <w:tcW w:w="1140" w:type="dxa"/>
            <w:vAlign w:val="bottom"/>
          </w:tcPr>
          <w:p>
            <w:pPr>
              <w:jc w:val="right"/>
              <w:ind w:right="299"/>
              <w:spacing w:after="0"/>
              <w:rPr>
                <w:sz w:val="20"/>
                <w:szCs w:val="20"/>
                <w:color w:val="auto"/>
              </w:rPr>
            </w:pPr>
            <w:r>
              <w:rPr>
                <w:rFonts w:ascii="Arial" w:cs="Arial" w:eastAsia="Arial" w:hAnsi="Arial"/>
                <w:sz w:val="15"/>
                <w:szCs w:val="15"/>
                <w:b w:val="1"/>
                <w:bCs w:val="1"/>
                <w:color w:val="auto"/>
              </w:rPr>
              <w:t>per Share</w:t>
            </w:r>
          </w:p>
        </w:tc>
      </w:tr>
      <w:tr>
        <w:trPr>
          <w:trHeight w:val="21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17,681,395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80.17</w:t>
            </w:r>
          </w:p>
        </w:tc>
      </w:tr>
      <w:tr>
        <w:trPr>
          <w:trHeight w:val="236"/>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year ended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5,091,823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137.83</w:t>
            </w:r>
          </w:p>
        </w:tc>
      </w:tr>
      <w:tr>
        <w:trPr>
          <w:trHeight w:val="229"/>
        </w:trPr>
        <w:tc>
          <w:tcPr>
            <w:tcW w:w="400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As of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03" w:lineRule="exact"/>
        <w:rPr>
          <w:sz w:val="20"/>
          <w:szCs w:val="20"/>
          <w:color w:val="auto"/>
        </w:rPr>
      </w:pPr>
    </w:p>
    <w:p>
      <w:pPr>
        <w:ind w:right="440"/>
        <w:spacing w:after="0" w:line="331" w:lineRule="auto"/>
        <w:rPr>
          <w:sz w:val="20"/>
          <w:szCs w:val="20"/>
          <w:color w:val="auto"/>
        </w:rPr>
      </w:pPr>
      <w:r>
        <w:rPr>
          <w:rFonts w:ascii="Arial" w:cs="Arial" w:eastAsia="Arial" w:hAnsi="Arial"/>
          <w:sz w:val="15"/>
          <w:szCs w:val="15"/>
          <w:color w:val="auto"/>
        </w:rPr>
        <w:t>We declared cash dividends to holders of common stock during the year ended December 31, 2022 as follows. Any future dividend payments will be subject to the restrictions imposed under the agreements covering our debt, and Board approval. There can be no assurance that we will pay dividends in the future.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Declaration Date</w:t>
            </w:r>
          </w:p>
        </w:tc>
        <w:tc>
          <w:tcPr>
            <w:tcW w:w="21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Shareholder Record Date</w:t>
            </w:r>
          </w:p>
        </w:tc>
        <w:tc>
          <w:tcPr>
            <w:tcW w:w="21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Distribution Date</w:t>
            </w:r>
          </w:p>
        </w:tc>
        <w:tc>
          <w:tcPr>
            <w:tcW w:w="1900" w:type="dxa"/>
            <w:vAlign w:val="bottom"/>
          </w:tcPr>
          <w:p>
            <w:pPr>
              <w:jc w:val="center"/>
              <w:spacing w:after="0"/>
              <w:rPr>
                <w:sz w:val="20"/>
                <w:szCs w:val="20"/>
                <w:color w:val="auto"/>
              </w:rPr>
            </w:pPr>
            <w:r>
              <w:rPr>
                <w:rFonts w:ascii="Arial" w:cs="Arial" w:eastAsia="Arial" w:hAnsi="Arial"/>
                <w:sz w:val="15"/>
                <w:szCs w:val="15"/>
                <w:b w:val="1"/>
                <w:bCs w:val="1"/>
                <w:color w:val="auto"/>
                <w:w w:val="92"/>
              </w:rPr>
              <w:t>Dividend per Share</w:t>
            </w:r>
          </w:p>
        </w:tc>
      </w:tr>
      <w:tr>
        <w:trPr>
          <w:trHeight w:val="219"/>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February 18, 2022</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March 3, 2022</w:t>
            </w:r>
          </w:p>
        </w:tc>
        <w:tc>
          <w:tcPr>
            <w:tcW w:w="14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March 17, 2022</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$0.62</w:t>
            </w:r>
          </w:p>
        </w:tc>
      </w:tr>
      <w:tr>
        <w:trPr>
          <w:trHeight w:val="230"/>
        </w:trPr>
        <w:tc>
          <w:tcPr>
            <w:tcW w:w="21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May 12, 2022</w:t>
            </w: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May 26, 2022</w:t>
            </w: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85"/>
              </w:rPr>
              <w:t>June 9, 2022</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$0.62</w:t>
            </w:r>
          </w:p>
        </w:tc>
      </w:tr>
      <w:tr>
        <w:trPr>
          <w:trHeight w:val="243"/>
        </w:trPr>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7"/>
              </w:rPr>
              <w:t>September 8, 2022</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6"/>
              </w:rPr>
              <w:t>September 22, 2022</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6"/>
              </w:rPr>
              <w:t>October 6, 2022</w:t>
            </w:r>
          </w:p>
        </w:tc>
        <w:tc>
          <w:tcPr>
            <w:tcW w:w="1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$0.62</w:t>
            </w:r>
          </w:p>
        </w:tc>
      </w:tr>
      <w:tr>
        <w:trPr>
          <w:trHeight w:val="237"/>
        </w:trPr>
        <w:tc>
          <w:tcPr>
            <w:tcW w:w="214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December 1, 2022</w:t>
            </w:r>
          </w:p>
        </w:tc>
        <w:tc>
          <w:tcPr>
            <w:tcW w:w="216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December 22, 2022</w:t>
            </w:r>
          </w:p>
        </w:tc>
        <w:tc>
          <w:tcPr>
            <w:tcW w:w="216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January 5, 2023</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$0.72</w:t>
            </w:r>
          </w:p>
        </w:tc>
      </w:tr>
    </w:tbl>
    <w:p>
      <w:pPr>
        <w:spacing w:after="0" w:line="162" w:lineRule="exact"/>
        <w:rPr>
          <w:sz w:val="20"/>
          <w:szCs w:val="20"/>
          <w:color w:val="auto"/>
        </w:rPr>
      </w:pPr>
    </w:p>
    <w:p>
      <w:pPr>
        <w:ind w:right="740"/>
        <w:spacing w:after="0" w:line="264" w:lineRule="auto"/>
        <w:rPr>
          <w:sz w:val="20"/>
          <w:szCs w:val="20"/>
          <w:color w:val="auto"/>
        </w:rPr>
      </w:pPr>
      <w:r>
        <w:rPr>
          <w:rFonts w:ascii="Arial" w:cs="Arial" w:eastAsia="Arial" w:hAnsi="Arial"/>
          <w:sz w:val="17"/>
          <w:szCs w:val="17"/>
          <w:color w:val="auto"/>
        </w:rPr>
        <w:t>Subsequent to the end of 2022, on February 16, 2023, our Board of Directors declared a quarterly dividend of $0.72 per share to be paid on March 16, 2023 to shareholders of record as of March 2, 2023.</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 - Owners’ Associations</w:t>
      </w:r>
    </w:p>
    <w:p>
      <w:pPr>
        <w:spacing w:after="0" w:line="103"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We consolidate certain owners’ associations. Noncontrolling interests represent the portion of the owners’ associations related to third-party VOI owners. Noncontrolling interests of $2 million and $10 million, as of December 31, 2022 and December 31, 2021, respectively, are included on our Balance Sheets as a component of equity.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18. SHARE-BASED COMPENSATION</w:t>
      </w:r>
    </w:p>
    <w:p>
      <w:pPr>
        <w:spacing w:after="0" w:line="10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We maintain the MVW Equity Plan for the benefit of our officers, directors and employees. Under the MVW Equity Plan, we are authorized to award: (1) RSUs of our common stock, (2) SARs relating to our common stock, and (3) options to purchase our common stock. A total of 1.8 million shares are authorized for issuance pursuant to grants under the MVW Equity Plan. As of December 31, 2022, approximately 1.0 million shares were available for grants under the MVW Equity Plan.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share-based compensation expense related to award grants to our officers, directors, and employees: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2020</w:t>
            </w: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6"/>
        </w:trPr>
        <w:tc>
          <w:tcPr>
            <w:tcW w:w="3580" w:type="dxa"/>
            <w:vAlign w:val="bottom"/>
          </w:tcPr>
          <w:p>
            <w:pPr>
              <w:ind w:left="20"/>
              <w:spacing w:after="0"/>
              <w:rPr>
                <w:sz w:val="20"/>
                <w:szCs w:val="20"/>
                <w:color w:val="auto"/>
              </w:rPr>
            </w:pPr>
            <w:r>
              <w:rPr>
                <w:rFonts w:ascii="Arial" w:cs="Arial" w:eastAsia="Arial" w:hAnsi="Arial"/>
                <w:sz w:val="17"/>
                <w:szCs w:val="17"/>
                <w:color w:val="auto"/>
              </w:rPr>
              <w:t>Performance-based RSUs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ILG Acquisition Converted RSUs</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35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SARs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358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0"/>
        </w:trPr>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deferred compensation costs related to unvested awards: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5"/>
                <w:szCs w:val="15"/>
                <w:b w:val="1"/>
                <w:bCs w:val="1"/>
                <w:color w:val="auto"/>
              </w:rPr>
              <w:t>At Year-End 2022</w:t>
            </w:r>
            <w:r>
              <w:rPr>
                <w:rFonts w:ascii="Arial" w:cs="Arial" w:eastAsia="Arial" w:hAnsi="Arial"/>
                <w:sz w:val="19"/>
                <w:szCs w:val="19"/>
                <w:b w:val="1"/>
                <w:bCs w:val="1"/>
                <w:color w:val="auto"/>
                <w:vertAlign w:val="superscript"/>
              </w:rPr>
              <w:t>(1)</w:t>
            </w:r>
          </w:p>
        </w:tc>
        <w:tc>
          <w:tcPr>
            <w:tcW w:w="160" w:type="dxa"/>
            <w:vAlign w:val="bottom"/>
          </w:tcPr>
          <w:p>
            <w:pPr>
              <w:spacing w:after="0"/>
              <w:rPr>
                <w:sz w:val="18"/>
                <w:szCs w:val="18"/>
                <w:color w:val="auto"/>
              </w:rPr>
            </w:pPr>
          </w:p>
        </w:tc>
        <w:tc>
          <w:tcPr>
            <w:tcW w:w="1400" w:type="dxa"/>
            <w:vAlign w:val="bottom"/>
          </w:tcPr>
          <w:p>
            <w:pPr>
              <w:jc w:val="right"/>
              <w:ind w:right="118"/>
              <w:spacing w:after="0"/>
              <w:rPr>
                <w:sz w:val="20"/>
                <w:szCs w:val="20"/>
                <w:color w:val="auto"/>
              </w:rPr>
            </w:pPr>
            <w:r>
              <w:rPr>
                <w:rFonts w:ascii="Arial" w:cs="Arial" w:eastAsia="Arial" w:hAnsi="Arial"/>
                <w:sz w:val="15"/>
                <w:szCs w:val="15"/>
                <w:b w:val="1"/>
                <w:bCs w:val="1"/>
                <w:color w:val="auto"/>
                <w:w w:val="95"/>
              </w:rPr>
              <w:t>At Year-End 2021</w:t>
            </w:r>
          </w:p>
        </w:tc>
      </w:tr>
      <w:tr>
        <w:trPr>
          <w:trHeight w:val="21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Performance-based RSUs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SARs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9"/>
        </w:trPr>
        <w:tc>
          <w:tcPr>
            <w:tcW w:w="5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53" w:lineRule="exact"/>
        <w:rPr>
          <w:sz w:val="20"/>
          <w:szCs w:val="20"/>
          <w:color w:val="auto"/>
        </w:rPr>
      </w:pPr>
    </w:p>
    <w:p>
      <w:pPr>
        <w:ind w:left="300" w:right="360" w:hanging="300"/>
        <w:spacing w:after="0" w:line="219" w:lineRule="auto"/>
        <w:tabs>
          <w:tab w:leader="none" w:pos="289"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As of December 31, 2022, the weighted average remaining term for RSU grants outstanding at year-end 2022 was one to two years and we expect that deferred compensation expense will be recognized over a weighted average period of one to two years.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have issued RSUs that vest over time, which we refer to as service-based RSUs, and RSUs that vest based on performance with respect to established criteria, which we refer to as performance-based RSUs.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changes in our outstanding RSUs and the associated weighted average grant-date fair values: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2022</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0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5"/>
                <w:szCs w:val="15"/>
                <w:b w:val="1"/>
                <w:bCs w:val="1"/>
                <w:color w:val="auto"/>
              </w:rPr>
              <w:t>Service-based</w:t>
            </w:r>
          </w:p>
        </w:tc>
        <w:tc>
          <w:tcPr>
            <w:tcW w:w="12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5"/>
                <w:szCs w:val="15"/>
                <w:b w:val="1"/>
                <w:bCs w:val="1"/>
                <w:color w:val="auto"/>
              </w:rPr>
              <w:t>Performance-based</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Total</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line="170" w:lineRule="exact"/>
              <w:rPr>
                <w:sz w:val="20"/>
                <w:szCs w:val="20"/>
                <w:color w:val="auto"/>
              </w:rPr>
            </w:pPr>
            <w:r>
              <w:rPr>
                <w:rFonts w:ascii="Arial" w:cs="Arial" w:eastAsia="Arial" w:hAnsi="Arial"/>
                <w:sz w:val="15"/>
                <w:szCs w:val="15"/>
                <w:b w:val="1"/>
                <w:bCs w:val="1"/>
                <w:color w:val="auto"/>
                <w:w w:val="88"/>
              </w:rPr>
              <w:t>Weighted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380"/>
              <w:spacing w:after="0" w:line="170" w:lineRule="exact"/>
              <w:rPr>
                <w:sz w:val="20"/>
                <w:szCs w:val="20"/>
                <w:color w:val="auto"/>
              </w:rPr>
            </w:pPr>
            <w:r>
              <w:rPr>
                <w:rFonts w:ascii="Arial" w:cs="Arial" w:eastAsia="Arial" w:hAnsi="Arial"/>
                <w:sz w:val="15"/>
                <w:szCs w:val="15"/>
                <w:b w:val="1"/>
                <w:bCs w:val="1"/>
                <w:color w:val="auto"/>
                <w:w w:val="88"/>
              </w:rPr>
              <w:t>Weighted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59"/>
              <w:spacing w:after="0" w:line="170" w:lineRule="exact"/>
              <w:rPr>
                <w:sz w:val="20"/>
                <w:szCs w:val="20"/>
                <w:color w:val="auto"/>
              </w:rPr>
            </w:pPr>
            <w:r>
              <w:rPr>
                <w:rFonts w:ascii="Arial" w:cs="Arial" w:eastAsia="Arial" w:hAnsi="Arial"/>
                <w:sz w:val="15"/>
                <w:szCs w:val="15"/>
                <w:b w:val="1"/>
                <w:bCs w:val="1"/>
                <w:color w:val="auto"/>
                <w:w w:val="88"/>
              </w:rPr>
              <w:t>Weighted</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8"/>
              </w:rPr>
              <w:t>Number of</w:t>
            </w: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5"/>
                <w:szCs w:val="15"/>
                <w:b w:val="1"/>
                <w:bCs w:val="1"/>
                <w:color w:val="auto"/>
                <w:w w:val="92"/>
              </w:rPr>
              <w:t>Average Grant-</w:t>
            </w: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8"/>
              </w:rPr>
              <w:t>Number of</w:t>
            </w: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5"/>
                <w:szCs w:val="15"/>
                <w:b w:val="1"/>
                <w:bCs w:val="1"/>
                <w:color w:val="auto"/>
                <w:w w:val="92"/>
              </w:rPr>
              <w:t>Average Grant-</w:t>
            </w: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8"/>
              </w:rPr>
              <w:t>Number of</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2"/>
              </w:rPr>
              <w:t>Average Grant-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5"/>
                <w:szCs w:val="15"/>
                <w:b w:val="1"/>
                <w:bCs w:val="1"/>
                <w:color w:val="auto"/>
                <w:w w:val="92"/>
              </w:rPr>
              <w:t>Date Fair Value</w:t>
            </w: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5"/>
                <w:szCs w:val="15"/>
                <w:b w:val="1"/>
                <w:bCs w:val="1"/>
                <w:color w:val="auto"/>
                <w:w w:val="92"/>
              </w:rPr>
              <w:t>Date Fair Value</w:t>
            </w: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2"/>
              </w:rPr>
              <w:t>Date Fair Value</w:t>
            </w: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820" w:type="dxa"/>
            <w:vAlign w:val="bottom"/>
          </w:tcPr>
          <w:p>
            <w:pPr>
              <w:jc w:val="right"/>
              <w:ind w:right="140"/>
              <w:spacing w:after="0"/>
              <w:rPr>
                <w:sz w:val="20"/>
                <w:szCs w:val="20"/>
                <w:color w:val="auto"/>
              </w:rPr>
            </w:pPr>
            <w:r>
              <w:rPr>
                <w:rFonts w:ascii="Arial" w:cs="Arial" w:eastAsia="Arial" w:hAnsi="Arial"/>
                <w:sz w:val="15"/>
                <w:szCs w:val="15"/>
                <w:b w:val="1"/>
                <w:bCs w:val="1"/>
                <w:color w:val="auto"/>
              </w:rPr>
              <w:t>RSUs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Per RSU</w:t>
            </w:r>
          </w:p>
        </w:tc>
        <w:tc>
          <w:tcPr>
            <w:tcW w:w="820" w:type="dxa"/>
            <w:vAlign w:val="bottom"/>
          </w:tcPr>
          <w:p>
            <w:pPr>
              <w:jc w:val="right"/>
              <w:ind w:right="160"/>
              <w:spacing w:after="0"/>
              <w:rPr>
                <w:sz w:val="20"/>
                <w:szCs w:val="20"/>
                <w:color w:val="auto"/>
              </w:rPr>
            </w:pPr>
            <w:r>
              <w:rPr>
                <w:rFonts w:ascii="Arial" w:cs="Arial" w:eastAsia="Arial" w:hAnsi="Arial"/>
                <w:sz w:val="15"/>
                <w:szCs w:val="15"/>
                <w:b w:val="1"/>
                <w:bCs w:val="1"/>
                <w:color w:val="auto"/>
              </w:rPr>
              <w:t>RSUs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3"/>
              </w:rPr>
              <w:t>Per RSU</w:t>
            </w:r>
          </w:p>
        </w:tc>
        <w:tc>
          <w:tcPr>
            <w:tcW w:w="840" w:type="dxa"/>
            <w:vAlign w:val="bottom"/>
          </w:tcPr>
          <w:p>
            <w:pPr>
              <w:jc w:val="right"/>
              <w:ind w:right="159"/>
              <w:spacing w:after="0"/>
              <w:rPr>
                <w:sz w:val="20"/>
                <w:szCs w:val="20"/>
                <w:color w:val="auto"/>
              </w:rPr>
            </w:pPr>
            <w:r>
              <w:rPr>
                <w:rFonts w:ascii="Arial" w:cs="Arial" w:eastAsia="Arial" w:hAnsi="Arial"/>
                <w:sz w:val="15"/>
                <w:szCs w:val="15"/>
                <w:b w:val="1"/>
                <w:bCs w:val="1"/>
                <w:color w:val="auto"/>
              </w:rPr>
              <w:t>RSUs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159"/>
              <w:spacing w:after="0"/>
              <w:rPr>
                <w:sz w:val="20"/>
                <w:szCs w:val="20"/>
                <w:color w:val="auto"/>
              </w:rPr>
            </w:pPr>
            <w:r>
              <w:rPr>
                <w:rFonts w:ascii="Arial" w:cs="Arial" w:eastAsia="Arial" w:hAnsi="Arial"/>
                <w:sz w:val="15"/>
                <w:szCs w:val="15"/>
                <w:b w:val="1"/>
                <w:bCs w:val="1"/>
                <w:color w:val="auto"/>
                <w:w w:val="93"/>
              </w:rPr>
              <w:t>Per RSU</w:t>
            </w:r>
          </w:p>
        </w:tc>
        <w:tc>
          <w:tcPr>
            <w:tcW w:w="0" w:type="dxa"/>
            <w:vAlign w:val="bottom"/>
          </w:tcPr>
          <w:p>
            <w:pPr>
              <w:spacing w:after="0"/>
              <w:rPr>
                <w:sz w:val="1"/>
                <w:szCs w:val="1"/>
                <w:color w:val="auto"/>
              </w:rPr>
            </w:pPr>
          </w:p>
        </w:tc>
      </w:tr>
      <w:tr>
        <w:trPr>
          <w:trHeight w:val="157"/>
        </w:trPr>
        <w:tc>
          <w:tcPr>
            <w:tcW w:w="19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7"/>
                <w:szCs w:val="17"/>
                <w:color w:val="auto"/>
              </w:rPr>
              <w:t>Outstanding at year-end</w:t>
            </w: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765,080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475,121</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1,240,201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103.87</w:t>
            </w:r>
          </w:p>
        </w:tc>
        <w:tc>
          <w:tcPr>
            <w:tcW w:w="0" w:type="dxa"/>
            <w:vAlign w:val="bottom"/>
          </w:tcPr>
          <w:p>
            <w:pPr>
              <w:spacing w:after="0"/>
              <w:rPr>
                <w:sz w:val="1"/>
                <w:szCs w:val="1"/>
                <w:color w:val="auto"/>
              </w:rPr>
            </w:pPr>
          </w:p>
        </w:tc>
      </w:tr>
      <w:tr>
        <w:trPr>
          <w:trHeight w:val="236"/>
        </w:trPr>
        <w:tc>
          <w:tcPr>
            <w:tcW w:w="1920" w:type="dxa"/>
            <w:vAlign w:val="bottom"/>
          </w:tcPr>
          <w:p>
            <w:pPr>
              <w:ind w:left="120"/>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183,510</w:t>
            </w:r>
          </w:p>
        </w:tc>
        <w:tc>
          <w:tcPr>
            <w:tcW w:w="30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151.67</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135,012</w:t>
            </w:r>
          </w:p>
        </w:tc>
        <w:tc>
          <w:tcPr>
            <w:tcW w:w="38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152.12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318,522</w:t>
            </w:r>
          </w:p>
        </w:tc>
        <w:tc>
          <w:tcPr>
            <w:tcW w:w="36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151.86</w:t>
            </w: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Distributed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(201,267)</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(202,232)</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(403,499)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103.85</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(19,256)</w:t>
            </w:r>
          </w:p>
        </w:tc>
        <w:tc>
          <w:tcPr>
            <w:tcW w:w="300" w:type="dxa"/>
            <w:vAlign w:val="bottom"/>
            <w:tcBorders>
              <w:bottom w:val="single" w:sz="8" w:color="CCEEFF"/>
            </w:tcBorders>
            <w:gridSpan w:val="2"/>
          </w:tcPr>
          <w:p>
            <w:pPr>
              <w:jc w:val="right"/>
              <w:ind w:right="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133.22</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(115,455)</w:t>
            </w:r>
          </w:p>
        </w:tc>
        <w:tc>
          <w:tcPr>
            <w:tcW w:w="380" w:type="dxa"/>
            <w:vAlign w:val="bottom"/>
            <w:tcBorders>
              <w:bottom w:val="single" w:sz="8" w:color="CCEEFF"/>
            </w:tcBorders>
            <w:gridSpan w:val="2"/>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98.20</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(134,711)</w:t>
            </w:r>
          </w:p>
        </w:tc>
        <w:tc>
          <w:tcPr>
            <w:tcW w:w="360" w:type="dxa"/>
            <w:vAlign w:val="bottom"/>
            <w:tcBorders>
              <w:bottom w:val="single" w:sz="8" w:color="CCEEFF"/>
            </w:tcBorders>
            <w:gridSpan w:val="2"/>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103.20</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Outstanding at year-end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728,067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292,446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1,020,513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2022</w:t>
            </w: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5"/>
              <w:spacing w:after="0" w:line="187"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119.39</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85"/>
              <w:spacing w:after="0" w:line="187"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117.82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85"/>
              <w:spacing w:after="0" w:line="187"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118.94</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weighted average grant-date fair value per RSU granted in 2021 and 2020 was $161.42 and $95.92, respectively. The fair value of the RSUs which vested in 2022, 2021, and 2020 was $65 million, $46 million, and $30 million, respectively. The fair value of the RSUs which vested in 2021 and 2020 included $3 million and $6 million, respectively, related to RSUs converted from ILG equity-based RSUs to MVW equity-based RSUs in the ILG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18" w:right="35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changes in our outstanding SARs and the associated weighted average exercise prices: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1659"/>
              <w:spacing w:after="0"/>
              <w:rPr>
                <w:sz w:val="20"/>
                <w:szCs w:val="20"/>
                <w:color w:val="auto"/>
              </w:rPr>
            </w:pPr>
            <w:r>
              <w:rPr>
                <w:rFonts w:ascii="Arial" w:cs="Arial" w:eastAsia="Arial" w:hAnsi="Arial"/>
                <w:sz w:val="15"/>
                <w:szCs w:val="15"/>
                <w:b w:val="1"/>
                <w:bCs w:val="1"/>
                <w:color w:val="auto"/>
              </w:rPr>
              <w:t>2022</w:t>
            </w:r>
          </w:p>
        </w:tc>
      </w:tr>
      <w:tr>
        <w:trPr>
          <w:trHeight w:val="145"/>
        </w:trPr>
        <w:tc>
          <w:tcPr>
            <w:tcW w:w="456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Arial" w:cs="Arial" w:eastAsia="Arial" w:hAnsi="Arial"/>
                <w:sz w:val="15"/>
                <w:szCs w:val="15"/>
                <w:b w:val="1"/>
                <w:bCs w:val="1"/>
                <w:color w:val="auto"/>
                <w:w w:val="93"/>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jc w:val="right"/>
              <w:ind w:right="339"/>
              <w:spacing w:after="0" w:line="145" w:lineRule="exact"/>
              <w:rPr>
                <w:sz w:val="20"/>
                <w:szCs w:val="20"/>
                <w:color w:val="auto"/>
              </w:rPr>
            </w:pPr>
            <w:r>
              <w:rPr>
                <w:rFonts w:ascii="Arial" w:cs="Arial" w:eastAsia="Arial" w:hAnsi="Arial"/>
                <w:sz w:val="15"/>
                <w:szCs w:val="15"/>
                <w:b w:val="1"/>
                <w:bCs w:val="1"/>
                <w:color w:val="auto"/>
              </w:rPr>
              <w:t>Weighted Average</w:t>
            </w:r>
          </w:p>
        </w:tc>
      </w:tr>
      <w:tr>
        <w:trPr>
          <w:trHeight w:val="196"/>
        </w:trPr>
        <w:tc>
          <w:tcPr>
            <w:tcW w:w="456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SARs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79"/>
              <w:spacing w:after="0"/>
              <w:rPr>
                <w:sz w:val="20"/>
                <w:szCs w:val="20"/>
                <w:color w:val="auto"/>
              </w:rPr>
            </w:pPr>
            <w:r>
              <w:rPr>
                <w:rFonts w:ascii="Arial" w:cs="Arial" w:eastAsia="Arial" w:hAnsi="Arial"/>
                <w:sz w:val="15"/>
                <w:szCs w:val="15"/>
                <w:b w:val="1"/>
                <w:bCs w:val="1"/>
                <w:color w:val="auto"/>
                <w:w w:val="93"/>
              </w:rPr>
              <w:t>Exercise Price Per SAR</w:t>
            </w: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year-end 2021</w:t>
            </w:r>
          </w:p>
        </w:tc>
        <w:tc>
          <w:tcPr>
            <w:tcW w:w="1660" w:type="dxa"/>
            <w:vAlign w:val="bottom"/>
            <w:shd w:val="clear" w:color="auto" w:fill="CCEEFF"/>
          </w:tcPr>
          <w:p>
            <w:pPr>
              <w:ind w:left="1100"/>
              <w:spacing w:after="0"/>
              <w:rPr>
                <w:sz w:val="20"/>
                <w:szCs w:val="20"/>
                <w:color w:val="auto"/>
              </w:rPr>
            </w:pPr>
            <w:r>
              <w:rPr>
                <w:rFonts w:ascii="Arial" w:cs="Arial" w:eastAsia="Arial" w:hAnsi="Arial"/>
                <w:sz w:val="17"/>
                <w:szCs w:val="17"/>
                <w:color w:val="auto"/>
                <w:w w:val="87"/>
              </w:rPr>
              <w:t>626,875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107.86</w:t>
            </w:r>
          </w:p>
        </w:tc>
      </w:tr>
      <w:tr>
        <w:trPr>
          <w:trHeight w:val="236"/>
        </w:trPr>
        <w:tc>
          <w:tcPr>
            <w:tcW w:w="4560" w:type="dxa"/>
            <w:vAlign w:val="bottom"/>
          </w:tcPr>
          <w:p>
            <w:pPr>
              <w:ind w:left="200"/>
              <w:spacing w:after="0"/>
              <w:rPr>
                <w:sz w:val="20"/>
                <w:szCs w:val="20"/>
                <w:color w:val="auto"/>
              </w:rPr>
            </w:pPr>
            <w:r>
              <w:rPr>
                <w:rFonts w:ascii="Arial" w:cs="Arial" w:eastAsia="Arial" w:hAnsi="Arial"/>
                <w:sz w:val="17"/>
                <w:szCs w:val="17"/>
                <w:color w:val="auto"/>
              </w:rPr>
              <w:t>Granted</w:t>
            </w:r>
          </w:p>
        </w:tc>
        <w:tc>
          <w:tcPr>
            <w:tcW w:w="1660" w:type="dxa"/>
            <w:vAlign w:val="bottom"/>
          </w:tcPr>
          <w:p>
            <w:pPr>
              <w:ind w:left="1120"/>
              <w:spacing w:after="0"/>
              <w:rPr>
                <w:sz w:val="20"/>
                <w:szCs w:val="20"/>
                <w:color w:val="auto"/>
              </w:rPr>
            </w:pPr>
            <w:r>
              <w:rPr>
                <w:rFonts w:ascii="Arial" w:cs="Arial" w:eastAsia="Arial" w:hAnsi="Arial"/>
                <w:sz w:val="17"/>
                <w:szCs w:val="17"/>
                <w:color w:val="auto"/>
                <w:w w:val="99"/>
              </w:rPr>
              <w:t>77,037</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159.27</w:t>
            </w:r>
          </w:p>
        </w:tc>
      </w:tr>
      <w:tr>
        <w:trPr>
          <w:trHeight w:val="236"/>
        </w:trPr>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39.93</w:t>
            </w:r>
          </w:p>
        </w:tc>
      </w:tr>
      <w:tr>
        <w:trPr>
          <w:trHeight w:val="236"/>
        </w:trPr>
        <w:tc>
          <w:tcPr>
            <w:tcW w:w="45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(4,028)</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161.57</w:t>
            </w:r>
          </w:p>
        </w:tc>
      </w:tr>
      <w:tr>
        <w:trPr>
          <w:trHeight w:val="229"/>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year-end 2022</w:t>
            </w:r>
            <w:r>
              <w:rPr>
                <w:rFonts w:ascii="Arial" w:cs="Arial" w:eastAsia="Arial" w:hAnsi="Arial"/>
                <w:sz w:val="8"/>
                <w:szCs w:val="8"/>
                <w:color w:val="auto"/>
              </w:rPr>
              <w:t>(1)(2)</w:t>
            </w:r>
          </w:p>
        </w:tc>
        <w:tc>
          <w:tcPr>
            <w:tcW w:w="16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w w:val="87"/>
              </w:rPr>
              <w:t>689,506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114.32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12" w:lineRule="exact"/>
        <w:rPr>
          <w:sz w:val="20"/>
          <w:szCs w:val="20"/>
          <w:color w:val="auto"/>
        </w:rPr>
      </w:pPr>
    </w:p>
    <w:p>
      <w:pPr>
        <w:ind w:left="280" w:hanging="280"/>
        <w:spacing w:after="0"/>
        <w:tabs>
          <w:tab w:leader="none" w:pos="280"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As of December 31, 2022, outstanding SARs had a total intrinsic value of $21 million and a weighted average remaining term of 6 years.</w:t>
      </w:r>
    </w:p>
    <w:p>
      <w:pPr>
        <w:spacing w:after="0" w:line="51" w:lineRule="exact"/>
        <w:rPr>
          <w:rFonts w:ascii="Arial" w:cs="Arial" w:eastAsia="Arial" w:hAnsi="Arial"/>
          <w:sz w:val="22"/>
          <w:szCs w:val="22"/>
          <w:color w:val="auto"/>
          <w:vertAlign w:val="superscript"/>
        </w:rPr>
      </w:pPr>
    </w:p>
    <w:p>
      <w:pPr>
        <w:ind w:left="300" w:right="340" w:hanging="300"/>
        <w:spacing w:after="0" w:line="212" w:lineRule="auto"/>
        <w:tabs>
          <w:tab w:leader="none" w:pos="289"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As of December 31, 2022, 442,678 SARs with a weighted average exercise price of $97.00, an aggregate intrinsic value of $18 million and a weighted average remaining contractual term of 5 years were exercisable.</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weighted average grant-date fair value per SAR granted in 2022, 2021, and 2020 was $59.68, $70.66, and $29.63, respectively. The intrinsic value of SARs which vested in 2022, 2021, and 2020 was $2 million, $5 million, and $4 million, respectively. The aggregate intrinsic value of SARs which were exercised in 2022, 2021, and 2020 was $1 million, $14 million, and $19 million, respectively.</w:t>
      </w:r>
    </w:p>
    <w:p>
      <w:pPr>
        <w:spacing w:after="0" w:line="76"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assumptions used to estimate the fair value of grants in 2022, 2021, and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2021</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42.86%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48.35%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38.81%</w:t>
            </w:r>
          </w:p>
        </w:tc>
      </w:tr>
      <w:tr>
        <w:trPr>
          <w:trHeight w:val="236"/>
        </w:trPr>
        <w:tc>
          <w:tcPr>
            <w:tcW w:w="470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1.53%</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1.48%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87"/>
              </w:rPr>
              <w:t>2.13%</w:t>
            </w: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1.77%</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0.97%</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0.96%</w:t>
            </w:r>
          </w:p>
        </w:tc>
      </w:tr>
      <w:tr>
        <w:trPr>
          <w:trHeight w:val="237"/>
        </w:trPr>
        <w:tc>
          <w:tcPr>
            <w:tcW w:w="470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6.25</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84"/>
              </w:rPr>
              <w:t>6.25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0"/>
              </w:rPr>
              <w:t>6.25</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2015, our Board of Directors adopted, and our shareholders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122" w:right="39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color w:val="auto"/>
        </w:rPr>
        <w:t>19. VARIABLE INTEREST ENTITIES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 Related to Our Vacation Ownership Notes Receivable Securitizations</w:t>
      </w:r>
    </w:p>
    <w:p>
      <w:pPr>
        <w:spacing w:after="0" w:line="10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2"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consolidated assets, which are collateral for the obligations of these VIEs, and consolidated liabilities included on our Balance Sheet at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w:t>
      </w:r>
    </w:p>
    <w:p>
      <w:pPr>
        <w:sectPr>
          <w:pgSz w:w="11900" w:h="16838" w:orient="portrait"/>
          <w:cols w:equalWidth="0" w:num="1">
            <w:col w:w="11240"/>
          </w:cols>
          <w:pgMar w:left="320" w:top="1268"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 in millions)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Assets</w:t>
      </w:r>
    </w:p>
    <w:p>
      <w:pPr>
        <w:spacing w:after="0" w:line="45" w:lineRule="exact"/>
        <w:rPr>
          <w:sz w:val="20"/>
          <w:szCs w:val="20"/>
          <w:color w:val="auto"/>
        </w:rPr>
      </w:pPr>
    </w:p>
    <w:p>
      <w:pPr>
        <w:ind w:left="100"/>
        <w:spacing w:after="0" w:line="229" w:lineRule="auto"/>
        <w:rPr>
          <w:sz w:val="20"/>
          <w:szCs w:val="20"/>
          <w:color w:val="auto"/>
        </w:rPr>
      </w:pPr>
      <w:r>
        <w:rPr>
          <w:rFonts w:ascii="Arial" w:cs="Arial" w:eastAsia="Arial" w:hAnsi="Arial"/>
          <w:sz w:val="17"/>
          <w:szCs w:val="17"/>
          <w:color w:val="auto"/>
        </w:rPr>
        <w:t>Vacation ownership notes receivable, net of reserves</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Interest receivable</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Restricted cash</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Vacation Ownership</w:t>
            </w:r>
          </w:p>
        </w:tc>
        <w:tc>
          <w:tcPr>
            <w:tcW w:w="15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Warehouse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5"/>
                <w:szCs w:val="15"/>
                <w:b w:val="1"/>
                <w:bCs w:val="1"/>
                <w:color w:val="auto"/>
                <w:w w:val="86"/>
              </w:rPr>
              <w:t>Notes Receivable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5"/>
                <w:szCs w:val="15"/>
                <w:b w:val="1"/>
                <w:bCs w:val="1"/>
                <w:color w:val="auto"/>
                <w:w w:val="96"/>
              </w:rPr>
              <w:t>Credit</w:t>
            </w:r>
          </w:p>
        </w:tc>
        <w:tc>
          <w:tcPr>
            <w:tcW w:w="144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Securitizations</w:t>
            </w:r>
          </w:p>
        </w:tc>
        <w:tc>
          <w:tcPr>
            <w:tcW w:w="14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Facility</w:t>
            </w:r>
          </w:p>
        </w:tc>
        <w:tc>
          <w:tcPr>
            <w:tcW w:w="12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-6985</wp:posOffset>
            </wp:positionV>
            <wp:extent cx="5302250"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5302250" cy="149860"/>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jc w:val="right"/>
              <w:ind w:right="37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1,620</w:t>
            </w:r>
          </w:p>
        </w:tc>
        <w:tc>
          <w:tcPr>
            <w:tcW w:w="140" w:type="dxa"/>
            <w:vAlign w:val="bottom"/>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1,792</w:t>
            </w:r>
          </w:p>
        </w:tc>
      </w:tr>
      <w:tr>
        <w:trPr>
          <w:trHeight w:val="236"/>
        </w:trPr>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r>
      <w:tr>
        <w:trPr>
          <w:trHeight w:val="204"/>
        </w:trPr>
        <w:tc>
          <w:tcPr>
            <w:tcW w:w="56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43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-473710</wp:posOffset>
            </wp:positionV>
            <wp:extent cx="5302250" cy="1498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5302250" cy="14986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-173355</wp:posOffset>
            </wp:positionV>
            <wp:extent cx="5302250" cy="1581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302250" cy="15811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3000" w:space="700"/>
            <w:col w:w="7540"/>
          </w:cols>
          <w:pgMar w:left="320" w:top="126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payable</w:t>
            </w:r>
          </w:p>
        </w:tc>
        <w:tc>
          <w:tcPr>
            <w:tcW w:w="56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Securitized debt</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1,820</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1,982</w:t>
            </w:r>
          </w:p>
        </w:tc>
      </w:tr>
      <w:tr>
        <w:trPr>
          <w:trHeight w:val="229"/>
        </w:trPr>
        <w:tc>
          <w:tcPr>
            <w:tcW w:w="3700" w:type="dxa"/>
            <w:vAlign w:val="bottom"/>
            <w:tcBorders>
              <w:bottom w:val="single" w:sz="8" w:color="CCEEFF"/>
            </w:tcBorders>
            <w:shd w:val="clear" w:color="auto" w:fill="CCEEFF"/>
          </w:tcPr>
          <w:p>
            <w:pPr>
              <w:ind w:left="220"/>
              <w:spacing w:after="0" w:line="192" w:lineRule="exact"/>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interest income and expense recognized as a result of our involvement with these VIEs during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5"/>
                <w:szCs w:val="15"/>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Vacation Ownership</w:t>
            </w:r>
          </w:p>
        </w:tc>
        <w:tc>
          <w:tcPr>
            <w:tcW w:w="22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Warehouse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86"/>
              </w:rPr>
              <w:t>Notes Receivable</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5"/>
                <w:szCs w:val="15"/>
                <w:b w:val="1"/>
                <w:bCs w:val="1"/>
                <w:color w:val="auto"/>
                <w:w w:val="96"/>
              </w:rPr>
              <w:t>Credit</w:t>
            </w:r>
          </w:p>
        </w:tc>
        <w:tc>
          <w:tcPr>
            <w:tcW w:w="320" w:type="dxa"/>
            <w:vAlign w:val="bottom"/>
          </w:tcPr>
          <w:p>
            <w:pPr>
              <w:spacing w:after="0"/>
              <w:rPr>
                <w:sz w:val="12"/>
                <w:szCs w:val="12"/>
                <w:color w:val="auto"/>
              </w:rPr>
            </w:pPr>
          </w:p>
        </w:tc>
        <w:tc>
          <w:tcPr>
            <w:tcW w:w="1100" w:type="dxa"/>
            <w:vAlign w:val="bottom"/>
            <w:vMerge w:val="restart"/>
          </w:tcPr>
          <w:p>
            <w:pPr>
              <w:jc w:val="right"/>
              <w:ind w:right="47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Securitizations</w:t>
            </w:r>
          </w:p>
        </w:tc>
        <w:tc>
          <w:tcPr>
            <w:tcW w:w="22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Facility</w:t>
            </w: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36"/>
        </w:trPr>
        <w:tc>
          <w:tcPr>
            <w:tcW w:w="3740" w:type="dxa"/>
            <w:vAlign w:val="bottom"/>
          </w:tcPr>
          <w:p>
            <w:pPr>
              <w:ind w:left="20"/>
              <w:spacing w:after="0"/>
              <w:rPr>
                <w:sz w:val="20"/>
                <w:szCs w:val="20"/>
                <w:color w:val="auto"/>
              </w:rPr>
            </w:pPr>
            <w:r>
              <w:rPr>
                <w:rFonts w:ascii="Arial" w:cs="Arial" w:eastAsia="Arial" w:hAnsi="Arial"/>
                <w:sz w:val="17"/>
                <w:szCs w:val="17"/>
                <w:color w:val="auto"/>
              </w:rPr>
              <w:t>Interest expense to investors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7"/>
                <w:szCs w:val="17"/>
                <w:color w:val="auto"/>
              </w:rPr>
              <w:t>Administrative expenses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7"/>
          <w:szCs w:val="17"/>
          <w:color w:val="auto"/>
        </w:rPr>
        <w:t>The following table shows cash flows between us and the vacation ownership notes receivable securitization VIEs: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2021</w:t>
            </w:r>
          </w:p>
        </w:tc>
      </w:tr>
      <w:tr>
        <w:trPr>
          <w:trHeight w:val="19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Inflows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36"/>
        </w:trPr>
        <w:tc>
          <w:tcPr>
            <w:tcW w:w="5240" w:type="dxa"/>
            <w:vAlign w:val="bottom"/>
          </w:tcPr>
          <w:p>
            <w:pPr>
              <w:ind w:left="100"/>
              <w:spacing w:after="0"/>
              <w:rPr>
                <w:sz w:val="20"/>
                <w:szCs w:val="20"/>
                <w:color w:val="auto"/>
              </w:rPr>
            </w:pPr>
            <w:r>
              <w:rPr>
                <w:rFonts w:ascii="Arial" w:cs="Arial" w:eastAsia="Arial" w:hAnsi="Arial"/>
                <w:sz w:val="17"/>
                <w:szCs w:val="17"/>
                <w:color w:val="auto"/>
                <w:w w:val="96"/>
              </w:rPr>
              <w:t>Net proceeds from vacation ownership notes receivable securitizations</w:t>
            </w: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627</w:t>
            </w:r>
          </w:p>
        </w:tc>
        <w:tc>
          <w:tcPr>
            <w:tcW w:w="120" w:type="dxa"/>
            <w:vAlign w:val="bottom"/>
          </w:tcPr>
          <w:p>
            <w:pPr>
              <w:spacing w:after="0"/>
              <w:rPr>
                <w:sz w:val="20"/>
                <w:szCs w:val="20"/>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841</w:t>
            </w:r>
          </w:p>
        </w:tc>
      </w:tr>
      <w:tr>
        <w:trPr>
          <w:trHeight w:val="236"/>
        </w:trPr>
        <w:tc>
          <w:tcPr>
            <w:tcW w:w="5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Principal receipts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36"/>
        </w:trPr>
        <w:tc>
          <w:tcPr>
            <w:tcW w:w="5240" w:type="dxa"/>
            <w:vAlign w:val="bottom"/>
          </w:tcPr>
          <w:p>
            <w:pPr>
              <w:ind w:left="100"/>
              <w:spacing w:after="0"/>
              <w:rPr>
                <w:sz w:val="20"/>
                <w:szCs w:val="20"/>
                <w:color w:val="auto"/>
              </w:rPr>
            </w:pPr>
            <w:r>
              <w:rPr>
                <w:rFonts w:ascii="Arial" w:cs="Arial" w:eastAsia="Arial" w:hAnsi="Arial"/>
                <w:sz w:val="17"/>
                <w:szCs w:val="17"/>
                <w:color w:val="auto"/>
              </w:rPr>
              <w:t>Interest receipts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228</w:t>
            </w:r>
          </w:p>
        </w:tc>
      </w:tr>
      <w:tr>
        <w:trPr>
          <w:trHeight w:val="236"/>
        </w:trPr>
        <w:tc>
          <w:tcPr>
            <w:tcW w:w="5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Reserve release</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16"/>
        </w:trPr>
        <w:tc>
          <w:tcPr>
            <w:tcW w:w="5240" w:type="dxa"/>
            <w:vAlign w:val="bottom"/>
            <w:tcBorders>
              <w:bottom w:val="single" w:sz="8" w:color="CCEEFF"/>
            </w:tcBorders>
          </w:tcPr>
          <w:p>
            <w:pPr>
              <w:ind w:left="220"/>
              <w:spacing w:after="0" w:line="192" w:lineRule="exact"/>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w:t>
            </w: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Outflows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36"/>
        </w:trPr>
        <w:tc>
          <w:tcPr>
            <w:tcW w:w="5240" w:type="dxa"/>
            <w:vAlign w:val="bottom"/>
          </w:tcPr>
          <w:p>
            <w:pPr>
              <w:ind w:left="100"/>
              <w:spacing w:after="0"/>
              <w:rPr>
                <w:sz w:val="20"/>
                <w:szCs w:val="20"/>
                <w:color w:val="auto"/>
              </w:rPr>
            </w:pPr>
            <w:r>
              <w:rPr>
                <w:rFonts w:ascii="Arial" w:cs="Arial" w:eastAsia="Arial" w:hAnsi="Arial"/>
                <w:sz w:val="17"/>
                <w:szCs w:val="17"/>
                <w:color w:val="auto"/>
              </w:rPr>
              <w:t>Principal to investors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(590)</w:t>
            </w:r>
          </w:p>
        </w:tc>
      </w:tr>
      <w:tr>
        <w:trPr>
          <w:trHeight w:val="236"/>
        </w:trPr>
        <w:tc>
          <w:tcPr>
            <w:tcW w:w="52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4"/>
              </w:rPr>
              <w:t>Voluntary repurchases of defaulted vacation ownership notes receivable</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36"/>
        </w:trPr>
        <w:tc>
          <w:tcPr>
            <w:tcW w:w="5240" w:type="dxa"/>
            <w:vAlign w:val="bottom"/>
          </w:tcPr>
          <w:p>
            <w:pPr>
              <w:ind w:left="100"/>
              <w:spacing w:after="0"/>
              <w:rPr>
                <w:sz w:val="20"/>
                <w:szCs w:val="20"/>
                <w:color w:val="auto"/>
              </w:rPr>
            </w:pPr>
            <w:r>
              <w:rPr>
                <w:rFonts w:ascii="Arial" w:cs="Arial" w:eastAsia="Arial" w:hAnsi="Arial"/>
                <w:sz w:val="17"/>
                <w:szCs w:val="17"/>
                <w:color w:val="auto"/>
              </w:rPr>
              <w:t>Voluntary clean-up call</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6"/>
        </w:trPr>
        <w:tc>
          <w:tcPr>
            <w:tcW w:w="5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to investors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36"/>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Funding of restricted cash</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r>
      <w:tr>
        <w:trPr>
          <w:trHeight w:val="216"/>
        </w:trPr>
        <w:tc>
          <w:tcPr>
            <w:tcW w:w="5240" w:type="dxa"/>
            <w:vAlign w:val="bottom"/>
            <w:shd w:val="clear" w:color="auto" w:fill="CCEEFF"/>
          </w:tcPr>
          <w:p>
            <w:pPr>
              <w:ind w:left="220"/>
              <w:spacing w:after="0" w:line="192" w:lineRule="exact"/>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r>
      <w:tr>
        <w:trPr>
          <w:trHeight w:val="204"/>
        </w:trPr>
        <w:tc>
          <w:tcPr>
            <w:tcW w:w="5240" w:type="dxa"/>
            <w:vAlign w:val="bottom"/>
          </w:tcPr>
          <w:p>
            <w:pPr>
              <w:ind w:left="20"/>
              <w:spacing w:after="0"/>
              <w:rPr>
                <w:sz w:val="20"/>
                <w:szCs w:val="20"/>
                <w:color w:val="auto"/>
              </w:rPr>
            </w:pPr>
            <w:r>
              <w:rPr>
                <w:rFonts w:ascii="Arial" w:cs="Arial" w:eastAsia="Arial" w:hAnsi="Arial"/>
                <w:sz w:val="17"/>
                <w:szCs w:val="17"/>
                <w:b w:val="1"/>
                <w:bCs w:val="1"/>
                <w:color w:val="auto"/>
              </w:rPr>
              <w:t>Net Cash Flows</w:t>
            </w: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net of substitutions, of $94 million during 2022, $99 million during 2021 and $95 million during 2020. We also made voluntary repurchases of $338 million, $200 million and $383 million of other non-defaulted vacation ownership notes receivable during 2022, 2021 and 2020, respectively, to retire previous vacation ownership notes receivable securitizations.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cash flows between us and the Warehouse Credit Facility VIE: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2021</w:t>
            </w:r>
          </w:p>
        </w:tc>
      </w:tr>
      <w:tr>
        <w:trPr>
          <w:trHeight w:val="194"/>
        </w:trPr>
        <w:tc>
          <w:tcPr>
            <w:tcW w:w="52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Cash Inflows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6"/>
        </w:trPr>
        <w:tc>
          <w:tcPr>
            <w:tcW w:w="5260" w:type="dxa"/>
            <w:vAlign w:val="bottom"/>
          </w:tcPr>
          <w:p>
            <w:pPr>
              <w:ind w:left="100"/>
              <w:spacing w:after="0"/>
              <w:rPr>
                <w:sz w:val="20"/>
                <w:szCs w:val="20"/>
                <w:color w:val="auto"/>
              </w:rPr>
            </w:pPr>
            <w:r>
              <w:rPr>
                <w:rFonts w:ascii="Arial" w:cs="Arial" w:eastAsia="Arial" w:hAnsi="Arial"/>
                <w:sz w:val="17"/>
                <w:szCs w:val="17"/>
                <w:color w:val="auto"/>
              </w:rPr>
              <w:t>Proceeds from vacation ownership notes receivable securitizations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20"/>
                <w:szCs w:val="20"/>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36"/>
        </w:trPr>
        <w:tc>
          <w:tcPr>
            <w:tcW w:w="5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Principal receipts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5260" w:type="dxa"/>
            <w:vAlign w:val="bottom"/>
          </w:tcPr>
          <w:p>
            <w:pPr>
              <w:ind w:left="100"/>
              <w:spacing w:after="0"/>
              <w:rPr>
                <w:sz w:val="20"/>
                <w:szCs w:val="20"/>
                <w:color w:val="auto"/>
              </w:rPr>
            </w:pPr>
            <w:r>
              <w:rPr>
                <w:rFonts w:ascii="Arial" w:cs="Arial" w:eastAsia="Arial" w:hAnsi="Arial"/>
                <w:sz w:val="17"/>
                <w:szCs w:val="17"/>
                <w:color w:val="auto"/>
              </w:rPr>
              <w:t>Interest receipts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5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Reserve release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5260" w:type="dxa"/>
            <w:vAlign w:val="bottom"/>
            <w:tcBorders>
              <w:bottom w:val="single" w:sz="8" w:color="CCEEFF"/>
            </w:tcBorders>
          </w:tcPr>
          <w:p>
            <w:pPr>
              <w:ind w:left="220"/>
              <w:spacing w:after="0" w:line="192" w:lineRule="exact"/>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192"/>
        </w:trPr>
        <w:tc>
          <w:tcPr>
            <w:tcW w:w="52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Cash Outflows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6"/>
        </w:trPr>
        <w:tc>
          <w:tcPr>
            <w:tcW w:w="5260" w:type="dxa"/>
            <w:vAlign w:val="bottom"/>
          </w:tcPr>
          <w:p>
            <w:pPr>
              <w:ind w:left="100"/>
              <w:spacing w:after="0"/>
              <w:rPr>
                <w:sz w:val="20"/>
                <w:szCs w:val="20"/>
                <w:color w:val="auto"/>
              </w:rPr>
            </w:pPr>
            <w:r>
              <w:rPr>
                <w:rFonts w:ascii="Arial" w:cs="Arial" w:eastAsia="Arial" w:hAnsi="Arial"/>
                <w:sz w:val="17"/>
                <w:szCs w:val="17"/>
                <w:color w:val="auto"/>
              </w:rPr>
              <w:t>Principal to investors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4"/>
              </w:rPr>
              <w:t>Voluntary repurchases of defaulted vacation ownership notes receivable</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5260" w:type="dxa"/>
            <w:vAlign w:val="bottom"/>
          </w:tcPr>
          <w:p>
            <w:pPr>
              <w:ind w:left="100"/>
              <w:spacing w:after="0"/>
              <w:rPr>
                <w:sz w:val="20"/>
                <w:szCs w:val="20"/>
                <w:color w:val="auto"/>
              </w:rPr>
            </w:pPr>
            <w:r>
              <w:rPr>
                <w:rFonts w:ascii="Arial" w:cs="Arial" w:eastAsia="Arial" w:hAnsi="Arial"/>
                <w:sz w:val="17"/>
                <w:szCs w:val="17"/>
                <w:color w:val="auto"/>
              </w:rPr>
              <w:t>Repayment of Warehouse Credit Facility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36"/>
        </w:trPr>
        <w:tc>
          <w:tcPr>
            <w:tcW w:w="5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to investors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Funding of restricted cash</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5260" w:type="dxa"/>
            <w:vAlign w:val="bottom"/>
            <w:shd w:val="clear" w:color="auto" w:fill="CCEEFF"/>
          </w:tcPr>
          <w:p>
            <w:pPr>
              <w:ind w:left="220"/>
              <w:spacing w:after="0" w:line="192" w:lineRule="exact"/>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04"/>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Net Cash Flows</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Variable Interest Entities</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during construction. Further, our purchase commitment is generally contingent upon the property being redeveloped to our brand standards. Accordingly, we have not consolidated the VIE. During the second quarter of 2022, we amended the terms of our prior commitment and extended a bridge loan to the VIE for $47 million. During the third quarter of 2022, we further amended the terms of our prior commitment at which time the bridge loan was fully repaid. We expect to acquire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0" w:name="page131"/>
    <w:bookmarkEnd w:id="130"/>
    <w:p>
      <w:pPr>
        <w:ind w:right="40"/>
        <w:spacing w:after="0" w:line="251" w:lineRule="auto"/>
        <w:rPr>
          <w:sz w:val="20"/>
          <w:szCs w:val="20"/>
          <w:color w:val="auto"/>
        </w:rPr>
      </w:pPr>
      <w:r>
        <w:rPr>
          <w:rFonts w:ascii="Arial" w:cs="Arial" w:eastAsia="Arial" w:hAnsi="Arial"/>
          <w:sz w:val="17"/>
          <w:szCs w:val="17"/>
          <w:color w:val="auto"/>
        </w:rPr>
        <w:t>property over time and as of December 31, 2022, we expect to make payments for the property as follows: $112 million in 2024, $81 million in 2025, and $41 million in 2026. As of December 31, 2022, our Balance Sheet reflected $1 million in Accounts and contracts receivable, including a note receivable of less than $1 million, $1 million in Property and equipment, and $1 million in Accrued liabilities. We believe that our maximum exposure to loss as a result of our involvement with this VIE is approximately $1 million as of December 31, 2022.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BUSINESS SEGMENTS</w:t>
      </w:r>
    </w:p>
    <w:p>
      <w:pPr>
        <w:spacing w:after="0" w:line="107" w:lineRule="exact"/>
        <w:rPr>
          <w:sz w:val="20"/>
          <w:szCs w:val="20"/>
          <w:color w:val="auto"/>
        </w:rPr>
      </w:pPr>
    </w:p>
    <w:p>
      <w:pPr>
        <w:ind w:right="620"/>
        <w:spacing w:after="0" w:line="331" w:lineRule="auto"/>
        <w:rPr>
          <w:sz w:val="20"/>
          <w:szCs w:val="20"/>
          <w:color w:val="auto"/>
        </w:rPr>
      </w:pPr>
      <w:r>
        <w:rPr>
          <w:rFonts w:ascii="Arial" w:cs="Arial" w:eastAsia="Arial" w:hAnsi="Arial"/>
          <w:sz w:val="15"/>
          <w:szCs w:val="15"/>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22" w:lineRule="exact"/>
        <w:rPr>
          <w:sz w:val="20"/>
          <w:szCs w:val="20"/>
          <w:color w:val="auto"/>
        </w:rPr>
      </w:pPr>
    </w:p>
    <w:p>
      <w:pPr>
        <w:ind w:left="600" w:right="20" w:hanging="302"/>
        <w:spacing w:after="0" w:line="287" w:lineRule="auto"/>
        <w:tabs>
          <w:tab w:leader="none" w:pos="596" w:val="left"/>
        </w:tabs>
        <w:numPr>
          <w:ilvl w:val="0"/>
          <w:numId w:val="43"/>
        </w:numPr>
        <w:rPr>
          <w:rFonts w:ascii="Arial" w:cs="Arial" w:eastAsia="Arial" w:hAnsi="Arial"/>
          <w:sz w:val="15"/>
          <w:szCs w:val="15"/>
          <w:color w:val="auto"/>
        </w:rPr>
      </w:pPr>
      <w:r>
        <w:rPr>
          <w:rFonts w:ascii="Arial" w:cs="Arial" w:eastAsia="Arial" w:hAnsi="Arial"/>
          <w:sz w:val="15"/>
          <w:szCs w:val="15"/>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56" w:lineRule="exact"/>
        <w:rPr>
          <w:rFonts w:ascii="Arial" w:cs="Arial" w:eastAsia="Arial" w:hAnsi="Arial"/>
          <w:sz w:val="15"/>
          <w:szCs w:val="15"/>
          <w:color w:val="auto"/>
        </w:rPr>
      </w:pPr>
    </w:p>
    <w:p>
      <w:pPr>
        <w:ind w:left="600" w:right="20" w:hanging="302"/>
        <w:spacing w:after="0" w:line="331" w:lineRule="auto"/>
        <w:tabs>
          <w:tab w:leader="none" w:pos="596"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21" w:lineRule="exact"/>
        <w:rPr>
          <w:rFonts w:ascii="Arial" w:cs="Arial" w:eastAsia="Arial" w:hAnsi="Arial"/>
          <w:sz w:val="15"/>
          <w:szCs w:val="15"/>
          <w:color w:val="auto"/>
        </w:rPr>
      </w:pPr>
    </w:p>
    <w:p>
      <w:pPr>
        <w:ind w:left="600" w:right="20" w:hanging="302"/>
        <w:spacing w:after="0" w:line="268" w:lineRule="auto"/>
        <w:tabs>
          <w:tab w:leader="none" w:pos="5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Exchange &amp; Third-Party Management includes exchange networks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owners’ association management, and other related products and services. VRI Americas was part of the Exchange &amp; Third-Party Management segment through the date of sale in April 2022. See Footnote 3 “Acquisitions and Dispositions” for more information on the disposition of VRI Americas.</w:t>
      </w:r>
    </w:p>
    <w:p>
      <w:pPr>
        <w:spacing w:after="0" w:line="68"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5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CODM uses Adjusted Earnings before Interest Expense, Taxes, Depreciation and Amortization (“Adjusted EBITDA”) to evaluate the profitability of our operating segments, and the components of net income or loss attributable to common shareholders excluded from Adjusted EBITDA are not separately evaluated. Adjusted EBITDA is defined as net income or loss attributable to common shareholders,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or loss attributable to common shareholders is presented below.</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2020</w:t>
            </w:r>
          </w:p>
        </w:tc>
        <w:tc>
          <w:tcPr>
            <w:tcW w:w="2880" w:type="dxa"/>
            <w:vAlign w:val="bottom"/>
          </w:tcPr>
          <w:p>
            <w:pPr>
              <w:spacing w:after="0"/>
              <w:rPr>
                <w:sz w:val="17"/>
                <w:szCs w:val="17"/>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w:t>
            </w:r>
          </w:p>
        </w:tc>
        <w:tc>
          <w:tcPr>
            <w:tcW w:w="2880" w:type="dxa"/>
            <w:vAlign w:val="bottom"/>
          </w:tcPr>
          <w:p>
            <w:pPr>
              <w:spacing w:after="0"/>
              <w:rPr>
                <w:sz w:val="19"/>
                <w:szCs w:val="19"/>
                <w:color w:val="auto"/>
              </w:rPr>
            </w:pPr>
          </w:p>
        </w:tc>
      </w:tr>
      <w:tr>
        <w:trPr>
          <w:trHeight w:val="23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2880" w:type="dxa"/>
            <w:vAlign w:val="bottom"/>
          </w:tcPr>
          <w:p>
            <w:pPr>
              <w:spacing w:after="0"/>
              <w:rPr>
                <w:sz w:val="20"/>
                <w:szCs w:val="20"/>
                <w:color w:val="auto"/>
              </w:rPr>
            </w:pPr>
          </w:p>
        </w:tc>
      </w:tr>
      <w:tr>
        <w:trPr>
          <w:trHeight w:val="216"/>
        </w:trPr>
        <w:tc>
          <w:tcPr>
            <w:tcW w:w="3440" w:type="dxa"/>
            <w:vAlign w:val="bottom"/>
            <w:shd w:val="clear" w:color="auto" w:fill="CCEEFF"/>
          </w:tcPr>
          <w:p>
            <w:pPr>
              <w:ind w:left="200"/>
              <w:spacing w:after="0" w:line="192" w:lineRule="exact"/>
              <w:rPr>
                <w:sz w:val="20"/>
                <w:szCs w:val="20"/>
                <w:color w:val="auto"/>
              </w:rPr>
            </w:pPr>
            <w:r>
              <w:rPr>
                <w:rFonts w:ascii="Arial" w:cs="Arial" w:eastAsia="Arial" w:hAnsi="Arial"/>
                <w:sz w:val="17"/>
                <w:szCs w:val="17"/>
                <w:color w:val="auto"/>
              </w:rPr>
              <w:t>Total segment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w:t>
            </w:r>
          </w:p>
        </w:tc>
        <w:tc>
          <w:tcPr>
            <w:tcW w:w="2880" w:type="dxa"/>
            <w:vAlign w:val="bottom"/>
          </w:tcPr>
          <w:p>
            <w:pPr>
              <w:spacing w:after="0"/>
              <w:rPr>
                <w:sz w:val="18"/>
                <w:szCs w:val="18"/>
                <w:color w:val="auto"/>
              </w:rPr>
            </w:pPr>
          </w:p>
        </w:tc>
      </w:tr>
      <w:tr>
        <w:trPr>
          <w:trHeight w:val="23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and other</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2880" w:type="dxa"/>
            <w:vAlign w:val="bottom"/>
          </w:tcPr>
          <w:p>
            <w:pPr>
              <w:spacing w:after="0"/>
              <w:rPr>
                <w:sz w:val="20"/>
                <w:szCs w:val="20"/>
                <w:color w:val="auto"/>
              </w:rPr>
            </w:pPr>
          </w:p>
        </w:tc>
      </w:tr>
      <w:tr>
        <w:trPr>
          <w:trHeight w:val="229"/>
        </w:trPr>
        <w:tc>
          <w:tcPr>
            <w:tcW w:w="3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2880" w:type="dxa"/>
            <w:vAlign w:val="bottom"/>
          </w:tcPr>
          <w:p>
            <w:pPr>
              <w:spacing w:after="0"/>
              <w:rPr>
                <w:sz w:val="19"/>
                <w:szCs w:val="19"/>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953"/>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858"/>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04"/>
        </w:trPr>
        <w:tc>
          <w:tcPr>
            <w:tcW w:w="3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i w:val="1"/>
          <w:iCs w:val="1"/>
          <w:color w:val="auto"/>
        </w:rPr>
        <w:t>Adjusted EBITDA and Reconciliation to Net Income or Loss Attributable to Common Shareholders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32"/>
        </w:trPr>
        <w:tc>
          <w:tcPr>
            <w:tcW w:w="1440" w:type="dxa"/>
            <w:vAlign w:val="bottom"/>
          </w:tcPr>
          <w:p>
            <w:pPr>
              <w:spacing w:after="0"/>
              <w:rPr>
                <w:sz w:val="20"/>
                <w:szCs w:val="20"/>
                <w:color w:val="auto"/>
              </w:rPr>
            </w:pPr>
          </w:p>
        </w:tc>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EBITDA Vacation Ownership</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1,033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3020" w:type="dxa"/>
            <w:vAlign w:val="bottom"/>
            <w:gridSpan w:val="3"/>
          </w:tcPr>
          <w:p>
            <w:pPr>
              <w:ind w:left="20"/>
              <w:spacing w:after="0" w:line="187" w:lineRule="exact"/>
              <w:rPr>
                <w:sz w:val="20"/>
                <w:szCs w:val="20"/>
                <w:color w:val="auto"/>
              </w:rPr>
            </w:pPr>
            <w:r>
              <w:rPr>
                <w:rFonts w:ascii="Arial" w:cs="Arial" w:eastAsia="Arial" w:hAnsi="Arial"/>
                <w:sz w:val="17"/>
                <w:szCs w:val="17"/>
                <w:color w:val="auto"/>
                <w:w w:val="93"/>
              </w:rPr>
              <w:t>Adjusted EBITDA Exchange &amp; Third-Party</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Management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Reconciling items:</w:t>
            </w: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1960" w:type="dxa"/>
            <w:vAlign w:val="bottom"/>
          </w:tcPr>
          <w:p>
            <w:pPr>
              <w:ind w:left="200"/>
              <w:spacing w:after="0"/>
              <w:rPr>
                <w:sz w:val="20"/>
                <w:szCs w:val="20"/>
                <w:color w:val="auto"/>
              </w:rPr>
            </w:pPr>
            <w:r>
              <w:rPr>
                <w:rFonts w:ascii="Arial" w:cs="Arial" w:eastAsia="Arial" w:hAnsi="Arial"/>
                <w:sz w:val="17"/>
                <w:szCs w:val="17"/>
                <w:color w:val="auto"/>
              </w:rPr>
              <w:t>Corporate and other</w:t>
            </w: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1960" w:type="dxa"/>
            <w:vAlign w:val="bottom"/>
          </w:tcPr>
          <w:p>
            <w:pPr>
              <w:ind w:left="200"/>
              <w:spacing w:after="0"/>
              <w:rPr>
                <w:sz w:val="20"/>
                <w:szCs w:val="20"/>
                <w:color w:val="auto"/>
              </w:rPr>
            </w:pPr>
            <w:r>
              <w:rPr>
                <w:rFonts w:ascii="Arial" w:cs="Arial" w:eastAsia="Arial" w:hAnsi="Arial"/>
                <w:sz w:val="17"/>
                <w:szCs w:val="17"/>
                <w:color w:val="auto"/>
              </w:rPr>
              <w:t>Tax (provision) benefit</w:t>
            </w: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30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3020" w:type="dxa"/>
            <w:vAlign w:val="bottom"/>
            <w:gridSpan w:val="3"/>
          </w:tcPr>
          <w:p>
            <w:pPr>
              <w:ind w:left="200"/>
              <w:spacing w:after="0"/>
              <w:rPr>
                <w:sz w:val="20"/>
                <w:szCs w:val="20"/>
                <w:color w:val="auto"/>
              </w:rPr>
            </w:pPr>
            <w:r>
              <w:rPr>
                <w:rFonts w:ascii="Arial" w:cs="Arial" w:eastAsia="Arial" w:hAnsi="Arial"/>
                <w:sz w:val="17"/>
                <w:szCs w:val="17"/>
                <w:color w:val="auto"/>
              </w:rPr>
              <w:t>Share-based compensation expense</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Certain items</w:t>
            </w: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54"/>
        </w:trPr>
        <w:tc>
          <w:tcPr>
            <w:tcW w:w="1440" w:type="dxa"/>
            <w:vAlign w:val="bottom"/>
          </w:tcPr>
          <w:p>
            <w:pPr>
              <w:spacing w:after="0"/>
              <w:rPr>
                <w:sz w:val="13"/>
                <w:szCs w:val="13"/>
                <w:color w:val="auto"/>
              </w:rPr>
            </w:pPr>
          </w:p>
        </w:tc>
        <w:tc>
          <w:tcPr>
            <w:tcW w:w="3020" w:type="dxa"/>
            <w:vAlign w:val="bottom"/>
            <w:gridSpan w:val="3"/>
          </w:tcPr>
          <w:p>
            <w:pPr>
              <w:ind w:left="20"/>
              <w:spacing w:after="0" w:line="154" w:lineRule="exact"/>
              <w:rPr>
                <w:sz w:val="20"/>
                <w:szCs w:val="20"/>
                <w:color w:val="auto"/>
              </w:rPr>
            </w:pPr>
            <w:r>
              <w:rPr>
                <w:rFonts w:ascii="Arial" w:cs="Arial" w:eastAsia="Arial" w:hAnsi="Arial"/>
                <w:sz w:val="17"/>
                <w:szCs w:val="17"/>
                <w:color w:val="auto"/>
                <w:w w:val="96"/>
              </w:rPr>
              <w:t>Net income (loss) attributable to common</w:t>
            </w:r>
          </w:p>
        </w:tc>
        <w:tc>
          <w:tcPr>
            <w:tcW w:w="54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18"/>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vMerge w:val="restart"/>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1960" w:type="dxa"/>
            <w:vAlign w:val="bottom"/>
          </w:tcPr>
          <w:p>
            <w:pPr>
              <w:ind w:left="20"/>
              <w:spacing w:after="0" w:line="187" w:lineRule="exact"/>
              <w:rPr>
                <w:sz w:val="20"/>
                <w:szCs w:val="20"/>
                <w:color w:val="auto"/>
              </w:rPr>
            </w:pPr>
            <w:r>
              <w:rPr>
                <w:rFonts w:ascii="Arial" w:cs="Arial" w:eastAsia="Arial" w:hAnsi="Arial"/>
                <w:sz w:val="17"/>
                <w:szCs w:val="17"/>
                <w:color w:val="auto"/>
              </w:rPr>
              <w:t>shareholders</w:t>
            </w: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Depreciation and Amortization</w:t>
            </w: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4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060" w:type="dxa"/>
            <w:vAlign w:val="bottom"/>
            <w:gridSpan w:val="2"/>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w:t>
            </w:r>
          </w:p>
        </w:tc>
        <w:tc>
          <w:tcPr>
            <w:tcW w:w="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4"/>
              </w:rPr>
              <w:t>79</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Exchange &amp; Third-Party Management</w:t>
            </w:r>
          </w:p>
        </w:tc>
        <w:tc>
          <w:tcPr>
            <w:tcW w:w="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31</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48</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w w:val="84"/>
              </w:rPr>
              <w:t>32</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0"/>
              <w:spacing w:after="0" w:line="192" w:lineRule="exact"/>
              <w:rPr>
                <w:sz w:val="20"/>
                <w:szCs w:val="20"/>
                <w:color w:val="auto"/>
              </w:rPr>
            </w:pPr>
            <w:r>
              <w:rPr>
                <w:rFonts w:ascii="Arial" w:cs="Arial" w:eastAsia="Arial" w:hAnsi="Arial"/>
                <w:sz w:val="17"/>
                <w:szCs w:val="17"/>
                <w:color w:val="auto"/>
                <w:w w:val="94"/>
              </w:rPr>
              <w:t>Total segment depreciation and amortization</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Corporate and other</w:t>
            </w:r>
          </w:p>
        </w:tc>
        <w:tc>
          <w:tcPr>
            <w:tcW w:w="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9</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9</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w w:val="84"/>
              </w:rPr>
              <w:t>12</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123</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i w:val="1"/>
                <w:iCs w:val="1"/>
                <w:color w:val="auto"/>
              </w:rPr>
              <w:t>Assets</w:t>
            </w: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4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4"/>
              </w:rPr>
              <w:t>At December 31, 2022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5"/>
                <w:szCs w:val="15"/>
                <w:b w:val="1"/>
                <w:bCs w:val="1"/>
                <w:color w:val="auto"/>
                <w:w w:val="92"/>
              </w:rPr>
              <w:t>At December 31, 2021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8,037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7,897</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Exchange &amp; Third-Party Management</w:t>
            </w:r>
          </w:p>
        </w:tc>
        <w:tc>
          <w:tcPr>
            <w:tcW w:w="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865</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911</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0"/>
              <w:spacing w:after="0" w:line="192" w:lineRule="exact"/>
              <w:rPr>
                <w:sz w:val="20"/>
                <w:szCs w:val="20"/>
                <w:color w:val="auto"/>
              </w:rPr>
            </w:pPr>
            <w:r>
              <w:rPr>
                <w:rFonts w:ascii="Arial" w:cs="Arial" w:eastAsia="Arial" w:hAnsi="Arial"/>
                <w:sz w:val="17"/>
                <w:szCs w:val="17"/>
                <w:color w:val="auto"/>
              </w:rPr>
              <w:t>Total segment assets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8,902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8,808</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Corporate and other</w:t>
            </w:r>
          </w:p>
        </w:tc>
        <w:tc>
          <w:tcPr>
            <w:tcW w:w="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737</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805</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4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9,639</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9,613</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i w:val="1"/>
                <w:iCs w:val="1"/>
                <w:color w:val="auto"/>
                <w:w w:val="98"/>
              </w:rPr>
              <w:t>Capital Expenditures (including inventory)</w:t>
            </w: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4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060" w:type="dxa"/>
            <w:vAlign w:val="bottom"/>
            <w:gridSpan w:val="2"/>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191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Exchange &amp; Third-Party Management</w:t>
            </w:r>
          </w:p>
        </w:tc>
        <w:tc>
          <w:tcPr>
            <w:tcW w:w="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7</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0"/>
              <w:spacing w:after="0" w:line="192" w:lineRule="exact"/>
              <w:rPr>
                <w:sz w:val="20"/>
                <w:szCs w:val="20"/>
                <w:color w:val="auto"/>
              </w:rPr>
            </w:pPr>
            <w:r>
              <w:rPr>
                <w:rFonts w:ascii="Arial" w:cs="Arial" w:eastAsia="Arial" w:hAnsi="Arial"/>
                <w:sz w:val="17"/>
                <w:szCs w:val="17"/>
                <w:color w:val="auto"/>
              </w:rPr>
              <w:t>Total segment capital expenditures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198</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Corporate and other</w:t>
            </w:r>
          </w:p>
        </w:tc>
        <w:tc>
          <w:tcPr>
            <w:tcW w:w="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33</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4</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202</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i w:val="1"/>
                <w:iCs w:val="1"/>
                <w:color w:val="auto"/>
                <w:w w:val="96"/>
              </w:rPr>
              <w:t>Revenues Excluding Cost Reimbursements</w:t>
            </w: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4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0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5"/>
                <w:szCs w:val="15"/>
                <w:b w:val="1"/>
                <w:bCs w:val="1"/>
                <w:color w:val="auto"/>
              </w:rPr>
              <w:t>2022</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60" w:type="dxa"/>
            <w:vAlign w:val="bottom"/>
            <w:gridSpan w:val="2"/>
            <w:shd w:val="clear" w:color="auto" w:fill="CCEEFF"/>
          </w:tcPr>
          <w:p>
            <w:pPr>
              <w:jc w:val="right"/>
              <w:ind w:right="88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2,886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1,664</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All other countries</w:t>
            </w: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263</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180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8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3,289</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1,844</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 in millions)</w:t>
            </w:r>
          </w:p>
        </w:tc>
        <w:tc>
          <w:tcPr>
            <w:tcW w:w="1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5"/>
                <w:szCs w:val="15"/>
                <w:b w:val="1"/>
                <w:bCs w:val="1"/>
                <w:color w:val="auto"/>
              </w:rPr>
              <w:t>At December 31, 2022</w:t>
            </w:r>
          </w:p>
        </w:tc>
        <w:tc>
          <w:tcPr>
            <w:tcW w:w="10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5"/>
                <w:szCs w:val="15"/>
                <w:b w:val="1"/>
                <w:bCs w:val="1"/>
                <w:color w:val="auto"/>
                <w:w w:val="90"/>
              </w:rPr>
              <w:t>At December 31, 2021</w:t>
            </w:r>
          </w:p>
        </w:tc>
      </w:tr>
      <w:tr>
        <w:trPr>
          <w:trHeight w:val="232"/>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w:t>
            </w:r>
          </w:p>
        </w:tc>
      </w:tr>
      <w:tr>
        <w:trPr>
          <w:trHeight w:val="24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countries</w:t>
            </w: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r>
        <w:trPr>
          <w:trHeight w:val="229"/>
        </w:trPr>
        <w:tc>
          <w:tcPr>
            <w:tcW w:w="5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7"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0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2022,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Internal Control Over Financial Reporting</w:t>
      </w:r>
    </w:p>
    <w:p>
      <w:pPr>
        <w:spacing w:after="0" w:line="103"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made no changes in our internal control over financial reporting during the fourth quarter of 2022 that have materially affected, or are reasonably likely to materially affect, our internal control over financial reporting.</w:t>
      </w:r>
    </w:p>
    <w:p>
      <w:pPr>
        <w:spacing w:after="0" w:line="101"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7"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3"/>
          <w:szCs w:val="13"/>
          <w:b w:val="1"/>
          <w:bCs w:val="1"/>
          <w:color w:val="auto"/>
        </w:rPr>
        <w:t>Disclosure Regarding Foreign Jurisdictions that Prevent Inspections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PART III</w:t>
      </w:r>
    </w:p>
    <w:p>
      <w:pPr>
        <w:spacing w:after="0" w:line="10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As described below, we incorporate by reference in this Annual Report certain information appearing in the Proxy Statement that we will furnish to our shareholders for our 2023 Annual Meeting of Shareholders (the “Proxy Statement”).</w:t>
      </w:r>
    </w:p>
    <w:p>
      <w:pPr>
        <w:spacing w:after="0" w:line="101"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07" w:lineRule="exact"/>
        <w:rPr>
          <w:sz w:val="20"/>
          <w:szCs w:val="20"/>
          <w:color w:val="auto"/>
        </w:rPr>
      </w:pPr>
    </w:p>
    <w:p>
      <w:pPr>
        <w:jc w:val="both"/>
        <w:ind w:right="160"/>
        <w:spacing w:after="0" w:line="277" w:lineRule="auto"/>
        <w:rPr>
          <w:sz w:val="20"/>
          <w:szCs w:val="20"/>
          <w:color w:val="auto"/>
        </w:rPr>
      </w:pPr>
      <w:r>
        <w:rPr>
          <w:rFonts w:ascii="Arial" w:cs="Arial" w:eastAsia="Arial" w:hAnsi="Arial"/>
          <w:sz w:val="16"/>
          <w:szCs w:val="16"/>
          <w:color w:val="auto"/>
        </w:rPr>
        <w:t>Our Proxy Statement will be filed with the SEC in connection with our 2023 Annual Meeting of Shareholders.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in our Proxy Statement.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10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Board of Directors has adopted a code of conduct, our Business Conduct Guide, that applies to all of our directors, officers, and associates, including our Chief Executive Officer, Principal Financial Officer, and Chief Accounting Officer. Our Business Conduct Guide is available in the Investor Relations section of our website (marriottvacationsworldwide.com)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located at marriottvacationsworldwide.com within four business days following the date of the amendment or waiver or on a Current Report on Form 8-K.</w:t>
      </w:r>
    </w:p>
    <w:p>
      <w:pPr>
        <w:spacing w:after="0" w:line="116"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107"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We incorporate this information by reference to the “Executive and Director Compensation” and “Compensation Committee Interlocks and Insider Participation” sections of our Proxy Statement.</w:t>
      </w:r>
    </w:p>
    <w:p>
      <w:pPr>
        <w:spacing w:after="0" w:line="101"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07"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We incorporate this information by reference to the “Securities Authorized for Issuance Under Equity Compensation Plans” and “Stock Ownership” sections of our Proxy Statement.</w:t>
      </w:r>
    </w:p>
    <w:p>
      <w:pPr>
        <w:spacing w:after="0" w:line="101"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incorporate this information by reference to the “Transactions with Related Persons” and “Director Independence” sections of our Proxy Statement.</w:t>
      </w:r>
    </w:p>
    <w:p>
      <w:pPr>
        <w:spacing w:after="0" w:line="148"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3"/>
          <w:szCs w:val="13"/>
          <w:b w:val="1"/>
          <w:bCs w:val="1"/>
          <w:color w:val="auto"/>
        </w:rPr>
        <w:t>Principal Accountant Fees and Services</w:t>
      </w:r>
    </w:p>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We incorporate this information by reference to the “Independent Registered Public Accounting Firm Fee Disclosure” and “Pre-Approval of Independent Auditor Fees and Services Policy” sections of our Proxy Statement.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PART IV</w:t>
      </w:r>
    </w:p>
    <w:p>
      <w:pPr>
        <w:spacing w:after="0" w:line="141"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3"/>
          <w:szCs w:val="13"/>
          <w:b w:val="1"/>
          <w:bCs w:val="1"/>
          <w:color w:val="auto"/>
        </w:rPr>
        <w:t>Exhibits and Financial Statement Schedules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filed as part of this Annual Report: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(1) Financial Statements</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include this portion of Item 15 under Part II, Item 8 of this Annual Report.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(2) Financial Statement Schedules</w:t>
      </w:r>
    </w:p>
    <w:p>
      <w:pPr>
        <w:spacing w:after="0" w:line="53" w:lineRule="exact"/>
        <w:rPr>
          <w:sz w:val="20"/>
          <w:szCs w:val="20"/>
          <w:color w:val="auto"/>
        </w:rPr>
      </w:pPr>
    </w:p>
    <w:p>
      <w:pPr>
        <w:ind w:left="600" w:right="100"/>
        <w:spacing w:after="0" w:line="264" w:lineRule="auto"/>
        <w:rPr>
          <w:sz w:val="20"/>
          <w:szCs w:val="20"/>
          <w:color w:val="auto"/>
        </w:rPr>
      </w:pPr>
      <w:r>
        <w:rPr>
          <w:rFonts w:ascii="Arial" w:cs="Arial" w:eastAsia="Arial" w:hAnsi="Arial"/>
          <w:sz w:val="17"/>
          <w:szCs w:val="17"/>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(3) Exhibits</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All documents referenced below are being filed as a part of this Annual Report, unless otherwise noted.</w:t>
      </w:r>
    </w:p>
    <w:p>
      <w:pPr>
        <w:sectPr>
          <w:pgSz w:w="11900" w:h="16838" w:orient="portrait"/>
          <w:cols w:equalWidth="0" w:num="1">
            <w:col w:w="11240"/>
          </w:cols>
          <w:pgMar w:left="320" w:top="1218" w:right="339" w:bottom="1440" w:gutter="0" w:footer="0" w:header="0"/>
        </w:sectPr>
      </w:pP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Number</w:t>
      </w:r>
    </w:p>
    <w:p>
      <w:pPr>
        <w:spacing w:after="0" w:line="283" w:lineRule="exact"/>
        <w:rPr>
          <w:sz w:val="20"/>
          <w:szCs w:val="20"/>
          <w:color w:val="auto"/>
        </w:rPr>
      </w:pPr>
    </w:p>
    <w:p>
      <w:pPr>
        <w:ind w:left="380"/>
        <w:spacing w:after="0"/>
        <w:rPr>
          <w:rFonts w:ascii="Arial" w:cs="Arial" w:eastAsia="Arial" w:hAnsi="Arial"/>
          <w:sz w:val="17"/>
          <w:szCs w:val="17"/>
          <w:u w:val="single" w:color="auto"/>
          <w:color w:val="0000FF"/>
        </w:rPr>
      </w:pPr>
      <w:hyperlink r:id="rId225">
        <w:r>
          <w:rPr>
            <w:rFonts w:ascii="Arial" w:cs="Arial" w:eastAsia="Arial" w:hAnsi="Arial"/>
            <w:sz w:val="17"/>
            <w:szCs w:val="17"/>
            <w:u w:val="single" w:color="auto"/>
            <w:color w:val="0000FF"/>
          </w:rPr>
          <w:t>2.1</w:t>
        </w:r>
      </w:hyperlink>
    </w:p>
    <w:p>
      <w:pPr>
        <w:spacing w:after="0" w:line="200" w:lineRule="exact"/>
        <w:rPr>
          <w:sz w:val="20"/>
          <w:szCs w:val="20"/>
          <w:color w:val="auto"/>
        </w:rPr>
      </w:pPr>
    </w:p>
    <w:p>
      <w:pPr>
        <w:spacing w:after="0" w:line="227" w:lineRule="exact"/>
        <w:rPr>
          <w:sz w:val="20"/>
          <w:szCs w:val="20"/>
          <w:color w:val="auto"/>
        </w:rPr>
      </w:pPr>
    </w:p>
    <w:p>
      <w:pPr>
        <w:ind w:left="380"/>
        <w:spacing w:after="0"/>
        <w:rPr>
          <w:rFonts w:ascii="Arial" w:cs="Arial" w:eastAsia="Arial" w:hAnsi="Arial"/>
          <w:sz w:val="17"/>
          <w:szCs w:val="17"/>
          <w:u w:val="single" w:color="auto"/>
          <w:color w:val="0000FF"/>
        </w:rPr>
      </w:pPr>
      <w:hyperlink r:id="rId226">
        <w:r>
          <w:rPr>
            <w:rFonts w:ascii="Arial" w:cs="Arial" w:eastAsia="Arial" w:hAnsi="Arial"/>
            <w:sz w:val="17"/>
            <w:szCs w:val="17"/>
            <w:u w:val="single" w:color="auto"/>
            <w:color w:val="0000FF"/>
          </w:rPr>
          <w:t>2.2</w:t>
        </w:r>
      </w:hyperlink>
    </w:p>
    <w:p>
      <w:pPr>
        <w:spacing w:after="0" w:line="352" w:lineRule="exact"/>
        <w:rPr>
          <w:sz w:val="20"/>
          <w:szCs w:val="20"/>
          <w:color w:val="auto"/>
        </w:rPr>
      </w:pPr>
    </w:p>
    <w:p>
      <w:pPr>
        <w:ind w:left="380"/>
        <w:spacing w:after="0"/>
        <w:rPr>
          <w:rFonts w:ascii="Arial" w:cs="Arial" w:eastAsia="Arial" w:hAnsi="Arial"/>
          <w:sz w:val="17"/>
          <w:szCs w:val="17"/>
          <w:u w:val="single" w:color="auto"/>
          <w:color w:val="0000FF"/>
        </w:rPr>
      </w:pPr>
      <w:hyperlink r:id="rId227">
        <w:r>
          <w:rPr>
            <w:rFonts w:ascii="Arial" w:cs="Arial" w:eastAsia="Arial" w:hAnsi="Arial"/>
            <w:sz w:val="17"/>
            <w:szCs w:val="17"/>
            <w:u w:val="single" w:color="auto"/>
            <w:color w:val="0000FF"/>
          </w:rPr>
          <w:t>2.3</w:t>
        </w:r>
      </w:hyperlink>
    </w:p>
    <w:p>
      <w:pPr>
        <w:spacing w:after="0" w:line="190" w:lineRule="exact"/>
        <w:rPr>
          <w:sz w:val="20"/>
          <w:szCs w:val="20"/>
          <w:color w:val="auto"/>
        </w:rPr>
      </w:pPr>
    </w:p>
    <w:p>
      <w:pPr>
        <w:ind w:left="380"/>
        <w:spacing w:after="0"/>
        <w:rPr>
          <w:rFonts w:ascii="Arial" w:cs="Arial" w:eastAsia="Arial" w:hAnsi="Arial"/>
          <w:sz w:val="17"/>
          <w:szCs w:val="17"/>
          <w:u w:val="single" w:color="auto"/>
          <w:color w:val="0000FF"/>
        </w:rPr>
      </w:pPr>
      <w:hyperlink r:id="rId228">
        <w:r>
          <w:rPr>
            <w:rFonts w:ascii="Arial" w:cs="Arial" w:eastAsia="Arial" w:hAnsi="Arial"/>
            <w:sz w:val="17"/>
            <w:szCs w:val="17"/>
            <w:u w:val="single" w:color="auto"/>
            <w:color w:val="0000FF"/>
          </w:rPr>
          <w:t>3.1</w:t>
        </w:r>
      </w:hyperlink>
    </w:p>
    <w:p>
      <w:pPr>
        <w:spacing w:after="0" w:line="16" w:lineRule="exact"/>
        <w:rPr>
          <w:sz w:val="20"/>
          <w:szCs w:val="20"/>
          <w:color w:val="auto"/>
        </w:rPr>
      </w:pPr>
    </w:p>
    <w:p>
      <w:pPr>
        <w:ind w:left="380"/>
        <w:spacing w:after="0"/>
        <w:rPr>
          <w:rFonts w:ascii="Arial" w:cs="Arial" w:eastAsia="Arial" w:hAnsi="Arial"/>
          <w:sz w:val="17"/>
          <w:szCs w:val="17"/>
          <w:u w:val="single" w:color="auto"/>
          <w:color w:val="0000FF"/>
        </w:rPr>
      </w:pPr>
      <w:hyperlink r:id="rId229">
        <w:r>
          <w:rPr>
            <w:rFonts w:ascii="Arial" w:cs="Arial" w:eastAsia="Arial" w:hAnsi="Arial"/>
            <w:sz w:val="17"/>
            <w:szCs w:val="17"/>
            <w:u w:val="single" w:color="auto"/>
            <w:color w:val="0000FF"/>
          </w:rPr>
          <w:t>3.2</w:t>
        </w:r>
      </w:hyperlink>
    </w:p>
    <w:p>
      <w:pPr>
        <w:spacing w:after="0" w:line="103" w:lineRule="exact"/>
        <w:rPr>
          <w:sz w:val="20"/>
          <w:szCs w:val="20"/>
          <w:color w:val="auto"/>
        </w:rPr>
      </w:pPr>
    </w:p>
    <w:p>
      <w:pPr>
        <w:ind w:left="380"/>
        <w:spacing w:after="0"/>
        <w:rPr>
          <w:rFonts w:ascii="Arial" w:cs="Arial" w:eastAsia="Arial" w:hAnsi="Arial"/>
          <w:sz w:val="17"/>
          <w:szCs w:val="17"/>
          <w:u w:val="single" w:color="auto"/>
          <w:color w:val="0000FF"/>
        </w:rPr>
      </w:pPr>
      <w:hyperlink r:id="rId230">
        <w:r>
          <w:rPr>
            <w:rFonts w:ascii="Arial" w:cs="Arial" w:eastAsia="Arial" w:hAnsi="Arial"/>
            <w:sz w:val="17"/>
            <w:szCs w:val="17"/>
            <w:u w:val="single" w:color="auto"/>
            <w:color w:val="0000FF"/>
          </w:rPr>
          <w:t>4.1</w:t>
        </w:r>
      </w:hyperlink>
    </w:p>
    <w:p>
      <w:pPr>
        <w:spacing w:after="0" w:line="265" w:lineRule="exact"/>
        <w:rPr>
          <w:sz w:val="20"/>
          <w:szCs w:val="20"/>
          <w:color w:val="auto"/>
        </w:rPr>
      </w:pPr>
    </w:p>
    <w:p>
      <w:pPr>
        <w:ind w:left="380"/>
        <w:spacing w:after="0"/>
        <w:rPr>
          <w:rFonts w:ascii="Arial" w:cs="Arial" w:eastAsia="Arial" w:hAnsi="Arial"/>
          <w:sz w:val="17"/>
          <w:szCs w:val="17"/>
          <w:u w:val="single" w:color="auto"/>
          <w:color w:val="0000FF"/>
        </w:rPr>
      </w:pPr>
      <w:hyperlink r:id="rId231">
        <w:r>
          <w:rPr>
            <w:rFonts w:ascii="Arial" w:cs="Arial" w:eastAsia="Arial" w:hAnsi="Arial"/>
            <w:sz w:val="17"/>
            <w:szCs w:val="17"/>
            <w:u w:val="single" w:color="auto"/>
            <w:color w:val="0000FF"/>
          </w:rPr>
          <w:t>4.2</w:t>
        </w:r>
      </w:hyperlink>
    </w:p>
    <w:p>
      <w:pPr>
        <w:spacing w:after="0" w:line="352" w:lineRule="exact"/>
        <w:rPr>
          <w:sz w:val="20"/>
          <w:szCs w:val="20"/>
          <w:color w:val="auto"/>
        </w:rPr>
      </w:pPr>
    </w:p>
    <w:p>
      <w:pPr>
        <w:ind w:left="380"/>
        <w:spacing w:after="0"/>
        <w:rPr>
          <w:rFonts w:ascii="Arial" w:cs="Arial" w:eastAsia="Arial" w:hAnsi="Arial"/>
          <w:sz w:val="17"/>
          <w:szCs w:val="17"/>
          <w:u w:val="single" w:color="auto"/>
          <w:color w:val="0000FF"/>
        </w:rPr>
      </w:pPr>
      <w:hyperlink r:id="rId232">
        <w:r>
          <w:rPr>
            <w:rFonts w:ascii="Arial" w:cs="Arial" w:eastAsia="Arial" w:hAnsi="Arial"/>
            <w:sz w:val="17"/>
            <w:szCs w:val="17"/>
            <w:u w:val="single" w:color="auto"/>
            <w:color w:val="0000FF"/>
          </w:rPr>
          <w:t>4.3</w:t>
        </w:r>
      </w:hyperlink>
    </w:p>
    <w:p>
      <w:pPr>
        <w:spacing w:after="0" w:line="352" w:lineRule="exact"/>
        <w:rPr>
          <w:sz w:val="20"/>
          <w:szCs w:val="20"/>
          <w:color w:val="auto"/>
        </w:rPr>
      </w:pPr>
    </w:p>
    <w:p>
      <w:pPr>
        <w:ind w:left="380"/>
        <w:spacing w:after="0"/>
        <w:rPr>
          <w:rFonts w:ascii="Arial" w:cs="Arial" w:eastAsia="Arial" w:hAnsi="Arial"/>
          <w:sz w:val="17"/>
          <w:szCs w:val="17"/>
          <w:u w:val="single" w:color="auto"/>
          <w:color w:val="0000FF"/>
        </w:rPr>
      </w:pPr>
      <w:hyperlink r:id="rId233">
        <w:r>
          <w:rPr>
            <w:rFonts w:ascii="Arial" w:cs="Arial" w:eastAsia="Arial" w:hAnsi="Arial"/>
            <w:sz w:val="17"/>
            <w:szCs w:val="17"/>
            <w:u w:val="single" w:color="auto"/>
            <w:color w:val="0000FF"/>
          </w:rPr>
          <w:t>4.4</w:t>
        </w:r>
      </w:hyperlink>
    </w:p>
    <w:p>
      <w:pPr>
        <w:spacing w:after="0" w:line="190" w:lineRule="exact"/>
        <w:rPr>
          <w:sz w:val="20"/>
          <w:szCs w:val="20"/>
          <w:color w:val="auto"/>
        </w:rPr>
      </w:pPr>
    </w:p>
    <w:p>
      <w:pPr>
        <w:ind w:left="380"/>
        <w:spacing w:after="0"/>
        <w:rPr>
          <w:rFonts w:ascii="Arial" w:cs="Arial" w:eastAsia="Arial" w:hAnsi="Arial"/>
          <w:sz w:val="17"/>
          <w:szCs w:val="17"/>
          <w:u w:val="single" w:color="auto"/>
          <w:color w:val="0000FF"/>
        </w:rPr>
      </w:pPr>
      <w:hyperlink r:id="rId231">
        <w:r>
          <w:rPr>
            <w:rFonts w:ascii="Arial" w:cs="Arial" w:eastAsia="Arial" w:hAnsi="Arial"/>
            <w:sz w:val="17"/>
            <w:szCs w:val="17"/>
            <w:u w:val="single" w:color="auto"/>
            <w:color w:val="0000FF"/>
          </w:rPr>
          <w:t>4.5</w:t>
        </w:r>
      </w:hyperlink>
    </w:p>
    <w:p>
      <w:pPr>
        <w:spacing w:after="0" w:line="178" w:lineRule="exact"/>
        <w:rPr>
          <w:sz w:val="20"/>
          <w:szCs w:val="20"/>
          <w:color w:val="auto"/>
        </w:rPr>
      </w:pPr>
    </w:p>
    <w:p>
      <w:pPr>
        <w:ind w:left="380"/>
        <w:spacing w:after="0"/>
        <w:rPr>
          <w:rFonts w:ascii="Arial" w:cs="Arial" w:eastAsia="Arial" w:hAnsi="Arial"/>
          <w:sz w:val="17"/>
          <w:szCs w:val="17"/>
          <w:u w:val="single" w:color="auto"/>
          <w:color w:val="0000FF"/>
        </w:rPr>
      </w:pPr>
      <w:hyperlink r:id="rId234">
        <w:r>
          <w:rPr>
            <w:rFonts w:ascii="Arial" w:cs="Arial" w:eastAsia="Arial" w:hAnsi="Arial"/>
            <w:sz w:val="17"/>
            <w:szCs w:val="17"/>
            <w:u w:val="single" w:color="auto"/>
            <w:color w:val="0000FF"/>
          </w:rPr>
          <w:t>4.6</w:t>
        </w:r>
      </w:hyperlink>
    </w:p>
    <w:p>
      <w:pPr>
        <w:spacing w:after="0" w:line="200" w:lineRule="exact"/>
        <w:rPr>
          <w:sz w:val="20"/>
          <w:szCs w:val="20"/>
          <w:color w:val="auto"/>
        </w:rPr>
      </w:pPr>
    </w:p>
    <w:p>
      <w:pPr>
        <w:spacing w:after="0" w:line="239" w:lineRule="exact"/>
        <w:rPr>
          <w:sz w:val="20"/>
          <w:szCs w:val="20"/>
          <w:color w:val="auto"/>
        </w:rPr>
      </w:pPr>
    </w:p>
    <w:p>
      <w:pPr>
        <w:ind w:left="380"/>
        <w:spacing w:after="0"/>
        <w:rPr>
          <w:rFonts w:ascii="Arial" w:cs="Arial" w:eastAsia="Arial" w:hAnsi="Arial"/>
          <w:sz w:val="17"/>
          <w:szCs w:val="17"/>
          <w:u w:val="single" w:color="auto"/>
          <w:color w:val="0000FF"/>
        </w:rPr>
      </w:pPr>
      <w:hyperlink r:id="rId235">
        <w:r>
          <w:rPr>
            <w:rFonts w:ascii="Arial" w:cs="Arial" w:eastAsia="Arial" w:hAnsi="Arial"/>
            <w:sz w:val="17"/>
            <w:szCs w:val="17"/>
            <w:u w:val="single" w:color="auto"/>
            <w:color w:val="0000FF"/>
          </w:rPr>
          <w:t>4.7</w:t>
        </w:r>
      </w:hyperlink>
    </w:p>
    <w:p>
      <w:pPr>
        <w:spacing w:after="0" w:line="352" w:lineRule="exact"/>
        <w:rPr>
          <w:sz w:val="20"/>
          <w:szCs w:val="20"/>
          <w:color w:val="auto"/>
        </w:rPr>
      </w:pPr>
    </w:p>
    <w:p>
      <w:pPr>
        <w:ind w:left="380"/>
        <w:spacing w:after="0"/>
        <w:rPr>
          <w:rFonts w:ascii="Arial" w:cs="Arial" w:eastAsia="Arial" w:hAnsi="Arial"/>
          <w:sz w:val="17"/>
          <w:szCs w:val="17"/>
          <w:u w:val="single" w:color="auto"/>
          <w:color w:val="0000FF"/>
        </w:rPr>
      </w:pPr>
      <w:hyperlink r:id="rId235">
        <w:r>
          <w:rPr>
            <w:rFonts w:ascii="Arial" w:cs="Arial" w:eastAsia="Arial" w:hAnsi="Arial"/>
            <w:sz w:val="17"/>
            <w:szCs w:val="17"/>
            <w:u w:val="single" w:color="auto"/>
            <w:color w:val="0000FF"/>
          </w:rPr>
          <w:t>4.8</w:t>
        </w:r>
      </w:hyperlink>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2560" w:type="dxa"/>
        <w:tblCellMar>
          <w:top w:w="0" w:type="dxa"/>
          <w:left w:w="0" w:type="dxa"/>
          <w:bottom w:w="0" w:type="dxa"/>
          <w:right w:w="0" w:type="dxa"/>
        </w:tblCellMar>
      </w:tblPr>
      <w:tr>
        <w:trPr>
          <w:trHeight w:val="172"/>
        </w:trPr>
        <w:tc>
          <w:tcPr>
            <w:tcW w:w="2180" w:type="dxa"/>
            <w:vAlign w:val="bottom"/>
            <w:vMerge w:val="restart"/>
          </w:tcPr>
          <w:p>
            <w:pPr>
              <w:spacing w:after="0"/>
              <w:rPr>
                <w:sz w:val="20"/>
                <w:szCs w:val="20"/>
                <w:color w:val="auto"/>
              </w:rPr>
            </w:pPr>
            <w:r>
              <w:rPr>
                <w:rFonts w:ascii="Arial" w:cs="Arial" w:eastAsia="Arial" w:hAnsi="Arial"/>
                <w:sz w:val="15"/>
                <w:szCs w:val="15"/>
                <w:b w:val="1"/>
                <w:bCs w:val="1"/>
                <w:color w:val="auto"/>
              </w:rPr>
              <w:t>Description</w:t>
            </w:r>
          </w:p>
        </w:tc>
        <w:tc>
          <w:tcPr>
            <w:tcW w:w="2020" w:type="dxa"/>
            <w:vAlign w:val="bottom"/>
          </w:tcPr>
          <w:p>
            <w:pPr>
              <w:jc w:val="center"/>
              <w:ind w:left="1345"/>
              <w:spacing w:after="0"/>
              <w:rPr>
                <w:sz w:val="20"/>
                <w:szCs w:val="20"/>
                <w:color w:val="auto"/>
              </w:rPr>
            </w:pPr>
            <w:r>
              <w:rPr>
                <w:rFonts w:ascii="Arial" w:cs="Arial" w:eastAsia="Arial" w:hAnsi="Arial"/>
                <w:sz w:val="15"/>
                <w:szCs w:val="15"/>
                <w:b w:val="1"/>
                <w:bCs w:val="1"/>
                <w:color w:val="auto"/>
                <w:w w:val="91"/>
              </w:rPr>
              <w:t>Filed</w:t>
            </w:r>
          </w:p>
        </w:tc>
        <w:tc>
          <w:tcPr>
            <w:tcW w:w="0" w:type="dxa"/>
            <w:vAlign w:val="bottom"/>
          </w:tcPr>
          <w:p>
            <w:pPr>
              <w:spacing w:after="0"/>
              <w:rPr>
                <w:sz w:val="1"/>
                <w:szCs w:val="1"/>
                <w:color w:val="auto"/>
              </w:rPr>
            </w:pPr>
          </w:p>
        </w:tc>
      </w:tr>
      <w:tr>
        <w:trPr>
          <w:trHeight w:val="193"/>
        </w:trPr>
        <w:tc>
          <w:tcPr>
            <w:tcW w:w="2180" w:type="dxa"/>
            <w:vAlign w:val="bottom"/>
            <w:vMerge w:val="continue"/>
          </w:tcPr>
          <w:p>
            <w:pPr>
              <w:spacing w:after="0"/>
              <w:rPr>
                <w:sz w:val="16"/>
                <w:szCs w:val="16"/>
                <w:color w:val="auto"/>
              </w:rPr>
            </w:pPr>
          </w:p>
        </w:tc>
        <w:tc>
          <w:tcPr>
            <w:tcW w:w="2020" w:type="dxa"/>
            <w:vAlign w:val="bottom"/>
          </w:tcPr>
          <w:p>
            <w:pPr>
              <w:jc w:val="center"/>
              <w:ind w:left="1345"/>
              <w:spacing w:after="0"/>
              <w:rPr>
                <w:sz w:val="20"/>
                <w:szCs w:val="20"/>
                <w:color w:val="auto"/>
              </w:rPr>
            </w:pPr>
            <w:r>
              <w:rPr>
                <w:rFonts w:ascii="Arial" w:cs="Arial" w:eastAsia="Arial" w:hAnsi="Arial"/>
                <w:sz w:val="15"/>
                <w:szCs w:val="15"/>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3810</wp:posOffset>
            </wp:positionV>
            <wp:extent cx="7143115" cy="4584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43115" cy="458470"/>
                    </a:xfrm>
                    <a:prstGeom prst="rect">
                      <a:avLst/>
                    </a:prstGeom>
                    <a:noFill/>
                  </pic:spPr>
                </pic:pic>
              </a:graphicData>
            </a:graphic>
          </wp:anchor>
        </w:drawing>
      </w:r>
    </w:p>
    <w:p>
      <w:pPr>
        <w:ind w:right="1180"/>
        <w:spacing w:after="0" w:line="243" w:lineRule="auto"/>
        <w:rPr>
          <w:sz w:val="20"/>
          <w:szCs w:val="20"/>
          <w:color w:val="auto"/>
        </w:rPr>
      </w:pPr>
      <w:r>
        <w:rPr>
          <w:rFonts w:ascii="Arial" w:cs="Arial" w:eastAsia="Arial" w:hAnsi="Arial"/>
          <w:sz w:val="15"/>
          <w:szCs w:val="15"/>
          <w:color w:val="auto"/>
        </w:rPr>
        <w:t>Separation and Distribution Agreement, entered into on November 17, 2011, among Marriott International, Inc., Marriott Vacations Worldwide Corporation, Marriott</w:t>
      </w:r>
    </w:p>
    <w:p>
      <w:pPr>
        <w:spacing w:after="0" w:line="1" w:lineRule="exact"/>
        <w:rPr>
          <w:sz w:val="20"/>
          <w:szCs w:val="20"/>
          <w:color w:val="auto"/>
        </w:rPr>
      </w:pPr>
    </w:p>
    <w:p>
      <w:pPr>
        <w:ind w:right="1000"/>
        <w:spacing w:after="0" w:line="220" w:lineRule="auto"/>
        <w:rPr>
          <w:sz w:val="20"/>
          <w:szCs w:val="20"/>
          <w:color w:val="auto"/>
        </w:rPr>
      </w:pPr>
      <w:r>
        <w:rPr>
          <w:rFonts w:ascii="Arial" w:cs="Arial" w:eastAsia="Arial" w:hAnsi="Arial"/>
          <w:sz w:val="17"/>
          <w:szCs w:val="17"/>
          <w:color w:val="auto"/>
        </w:rPr>
        <w:t>Ownership Resorts, Inc., Marriott Resorts Hospitality Corporation, MVCI Asia Pacific Pte. Ltd. and MVCO Series LLC</w:t>
      </w:r>
    </w:p>
    <w:p>
      <w:pPr>
        <w:spacing w:after="0" w:line="1" w:lineRule="exact"/>
        <w:rPr>
          <w:sz w:val="20"/>
          <w:szCs w:val="20"/>
          <w:color w:val="auto"/>
        </w:rPr>
      </w:pPr>
    </w:p>
    <w:p>
      <w:pPr>
        <w:ind w:right="1280"/>
        <w:spacing w:after="0" w:line="243" w:lineRule="auto"/>
        <w:rPr>
          <w:sz w:val="20"/>
          <w:szCs w:val="20"/>
          <w:color w:val="auto"/>
        </w:rPr>
      </w:pPr>
      <w:r>
        <w:rPr>
          <w:rFonts w:ascii="Arial" w:cs="Arial" w:eastAsia="Arial" w:hAnsi="Arial"/>
          <w:sz w:val="15"/>
          <w:szCs w:val="15"/>
          <w:color w:val="auto"/>
        </w:rPr>
        <w:t>Agreement and Plan of Merger, dated as of April 30, 2018, by and among Marriott Vacations Worldwide Corporation, ILG, Inc., Ignite Holdco, Inc., Ignite Holdco</w:t>
      </w:r>
    </w:p>
    <w:p>
      <w:pPr>
        <w:spacing w:after="0"/>
        <w:rPr>
          <w:sz w:val="20"/>
          <w:szCs w:val="20"/>
          <w:color w:val="auto"/>
        </w:rPr>
      </w:pPr>
      <w:r>
        <w:rPr>
          <w:rFonts w:ascii="Arial" w:cs="Arial" w:eastAsia="Arial" w:hAnsi="Arial"/>
          <w:sz w:val="17"/>
          <w:szCs w:val="17"/>
          <w:color w:val="auto"/>
        </w:rPr>
        <w:t>Subsidiary, Inc., Volt Merger Sub LLC</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347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43115" cy="347980"/>
                    </a:xfrm>
                    <a:prstGeom prst="rect">
                      <a:avLst/>
                    </a:prstGeom>
                    <a:noFill/>
                  </pic:spPr>
                </pic:pic>
              </a:graphicData>
            </a:graphic>
          </wp:anchor>
        </w:drawing>
      </w:r>
    </w:p>
    <w:p>
      <w:pPr>
        <w:ind w:right="960"/>
        <w:spacing w:after="0" w:line="243" w:lineRule="auto"/>
        <w:rPr>
          <w:sz w:val="20"/>
          <w:szCs w:val="20"/>
          <w:color w:val="auto"/>
        </w:rPr>
      </w:pPr>
      <w:r>
        <w:rPr>
          <w:rFonts w:ascii="Arial" w:cs="Arial" w:eastAsia="Arial" w:hAnsi="Arial"/>
          <w:sz w:val="15"/>
          <w:szCs w:val="15"/>
          <w:color w:val="auto"/>
        </w:rPr>
        <w:t>Agreement and Plan of Merger by and among Marriott Vacations Worldwide Corporation, Sommelier Acquisition Corp., Champagne Resorts, Inc., Welk Hospitality</w:t>
      </w:r>
    </w:p>
    <w:p>
      <w:pPr>
        <w:ind w:right="1240"/>
        <w:spacing w:after="0" w:line="269" w:lineRule="auto"/>
        <w:rPr>
          <w:sz w:val="20"/>
          <w:szCs w:val="20"/>
          <w:color w:val="auto"/>
        </w:rPr>
      </w:pPr>
      <w:r>
        <w:rPr>
          <w:rFonts w:ascii="Arial" w:cs="Arial" w:eastAsia="Arial" w:hAnsi="Arial"/>
          <w:sz w:val="16"/>
          <w:szCs w:val="16"/>
          <w:color w:val="auto"/>
        </w:rPr>
        <w:t>Group, Inc. and the Shareholder Representative, dated as of January 26, 2021 Restated Certificate of Incorporation of Marriott Vacations Worldwide Corporation Restated Bylaws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-132715</wp:posOffset>
            </wp:positionV>
            <wp:extent cx="7143115" cy="134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right="1040"/>
        <w:spacing w:after="0" w:line="229" w:lineRule="auto"/>
        <w:rPr>
          <w:sz w:val="20"/>
          <w:szCs w:val="20"/>
          <w:color w:val="auto"/>
        </w:rPr>
      </w:pPr>
      <w:r>
        <w:rPr>
          <w:rFonts w:ascii="Arial" w:cs="Arial" w:eastAsia="Arial" w:hAnsi="Arial"/>
          <w:sz w:val="17"/>
          <w:szCs w:val="17"/>
          <w:color w:val="auto"/>
        </w:rPr>
        <w:t>Form of certificate representing shares of common stock, par value $0.01 per share, of Marriott Vacations Worldwide Corporation</w:t>
      </w:r>
    </w:p>
    <w:p>
      <w:pPr>
        <w:spacing w:after="0" w:line="12" w:lineRule="exact"/>
        <w:rPr>
          <w:sz w:val="20"/>
          <w:szCs w:val="20"/>
          <w:color w:val="auto"/>
        </w:rPr>
      </w:pPr>
    </w:p>
    <w:p>
      <w:pPr>
        <w:ind w:right="900"/>
        <w:spacing w:after="0" w:line="243" w:lineRule="auto"/>
        <w:rPr>
          <w:sz w:val="20"/>
          <w:szCs w:val="20"/>
          <w:color w:val="auto"/>
        </w:rPr>
      </w:pPr>
      <w:r>
        <w:rPr>
          <w:rFonts w:ascii="Arial" w:cs="Arial" w:eastAsia="Arial" w:hAnsi="Arial"/>
          <w:sz w:val="15"/>
          <w:szCs w:val="15"/>
          <w:color w:val="auto"/>
        </w:rPr>
        <w:t>Indenture, dated as of October 1, 2019, by and among Marriott Ownership Resorts, Inc., Marriott Vacations Worldwide Corporation, as guarantor, the other guarantors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-220980</wp:posOffset>
            </wp:positionV>
            <wp:extent cx="7143115" cy="3479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43115" cy="3479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thereto and The Bank of New York Mellon Trust Company, N.A., as trustee</w:t>
      </w:r>
    </w:p>
    <w:p>
      <w:pPr>
        <w:spacing w:after="0" w:line="2" w:lineRule="exact"/>
        <w:rPr>
          <w:sz w:val="20"/>
          <w:szCs w:val="20"/>
          <w:color w:val="auto"/>
        </w:rPr>
      </w:pPr>
    </w:p>
    <w:p>
      <w:pPr>
        <w:ind w:right="900"/>
        <w:spacing w:after="0" w:line="243" w:lineRule="auto"/>
        <w:rPr>
          <w:sz w:val="20"/>
          <w:szCs w:val="20"/>
          <w:color w:val="auto"/>
        </w:rPr>
      </w:pPr>
      <w:r>
        <w:rPr>
          <w:rFonts w:ascii="Arial" w:cs="Arial" w:eastAsia="Arial" w:hAnsi="Arial"/>
          <w:sz w:val="15"/>
          <w:szCs w:val="15"/>
          <w:color w:val="auto"/>
        </w:rPr>
        <w:t>Supplemental Indenture, dated December 31, 2019, by and among Marriott Ownership Resorts, Inc., MVW Vacations, LLC and the Bank of New York Mellon Trust Company,</w:t>
      </w:r>
    </w:p>
    <w:p>
      <w:pPr>
        <w:spacing w:after="0"/>
        <w:rPr>
          <w:sz w:val="20"/>
          <w:szCs w:val="20"/>
          <w:color w:val="auto"/>
        </w:rPr>
      </w:pPr>
      <w:r>
        <w:rPr>
          <w:rFonts w:ascii="Arial" w:cs="Arial" w:eastAsia="Arial" w:hAnsi="Arial"/>
          <w:sz w:val="17"/>
          <w:szCs w:val="17"/>
          <w:color w:val="auto"/>
        </w:rPr>
        <w:t>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3479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43115" cy="347980"/>
                    </a:xfrm>
                    <a:prstGeom prst="rect">
                      <a:avLst/>
                    </a:prstGeom>
                    <a:noFill/>
                  </pic:spPr>
                </pic:pic>
              </a:graphicData>
            </a:graphic>
          </wp:anchor>
        </w:drawing>
      </w:r>
    </w:p>
    <w:p>
      <w:pPr>
        <w:ind w:right="1320"/>
        <w:spacing w:after="0" w:line="280" w:lineRule="auto"/>
        <w:rPr>
          <w:sz w:val="20"/>
          <w:szCs w:val="20"/>
          <w:color w:val="auto"/>
        </w:rPr>
      </w:pPr>
      <w:r>
        <w:rPr>
          <w:rFonts w:ascii="Arial" w:cs="Arial" w:eastAsia="Arial" w:hAnsi="Arial"/>
          <w:sz w:val="13"/>
          <w:szCs w:val="13"/>
          <w:color w:val="auto"/>
        </w:rPr>
        <w:t>Second Supplemental Indenture, dated February 26, 2020, by and among Marriott Ownership Resorts, Inc., MVW Services Corporation, and the Bank of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Mellon Trust Company, N.A., as trustee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Form of 4.750% Senior Notes due 2028 (included as Exhibit A to Exhibit 4.2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10160</wp:posOffset>
            </wp:positionV>
            <wp:extent cx="7143115" cy="3479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43115" cy="347980"/>
                    </a:xfrm>
                    <a:prstGeom prst="rect">
                      <a:avLst/>
                    </a:prstGeom>
                    <a:noFill/>
                  </pic:spPr>
                </pic:pic>
              </a:graphicData>
            </a:graphic>
          </wp:anchor>
        </w:drawing>
      </w:r>
    </w:p>
    <w:p>
      <w:pPr>
        <w:ind w:right="1040"/>
        <w:spacing w:after="0" w:line="243" w:lineRule="auto"/>
        <w:rPr>
          <w:sz w:val="20"/>
          <w:szCs w:val="20"/>
          <w:color w:val="auto"/>
        </w:rPr>
      </w:pPr>
      <w:r>
        <w:rPr>
          <w:rFonts w:ascii="Arial" w:cs="Arial" w:eastAsia="Arial" w:hAnsi="Arial"/>
          <w:sz w:val="15"/>
          <w:szCs w:val="15"/>
          <w:color w:val="auto"/>
        </w:rPr>
        <w:t>Registration Rights Agreement, dated as of October 1, 2019, by and among Marriott Ownership Resorts, Inc., Marriott Vacations Worldwide Corporation, as guarantor, the</w:t>
      </w:r>
    </w:p>
    <w:p>
      <w:pPr>
        <w:spacing w:after="0"/>
        <w:rPr>
          <w:sz w:val="20"/>
          <w:szCs w:val="20"/>
          <w:color w:val="auto"/>
        </w:rPr>
      </w:pPr>
      <w:r>
        <w:rPr>
          <w:rFonts w:ascii="Arial" w:cs="Arial" w:eastAsia="Arial" w:hAnsi="Arial"/>
          <w:sz w:val="17"/>
          <w:szCs w:val="17"/>
          <w:color w:val="auto"/>
        </w:rPr>
        <w:t>other guarantors party thereto and J.P. Morgan Securities LLC</w:t>
      </w:r>
    </w:p>
    <w:p>
      <w:pPr>
        <w:spacing w:after="0" w:line="2" w:lineRule="exact"/>
        <w:rPr>
          <w:sz w:val="20"/>
          <w:szCs w:val="20"/>
          <w:color w:val="auto"/>
        </w:rPr>
      </w:pPr>
    </w:p>
    <w:p>
      <w:pPr>
        <w:ind w:right="1060"/>
        <w:spacing w:after="0" w:line="243" w:lineRule="auto"/>
        <w:rPr>
          <w:sz w:val="20"/>
          <w:szCs w:val="20"/>
          <w:color w:val="auto"/>
        </w:rPr>
      </w:pPr>
      <w:r>
        <w:rPr>
          <w:rFonts w:ascii="Arial" w:cs="Arial" w:eastAsia="Arial" w:hAnsi="Arial"/>
          <w:sz w:val="15"/>
          <w:szCs w:val="15"/>
          <w:color w:val="auto"/>
        </w:rPr>
        <w:t>Indenture, dated as of May 13, 2020, by and among Marriott Ownership Resorts, Inc., Marriott Vacations Worldwide Corporation, as guarantor, the other guarantors party</w:t>
      </w:r>
    </w:p>
    <w:p>
      <w:pPr>
        <w:ind w:right="1460"/>
        <w:spacing w:after="0" w:line="220" w:lineRule="auto"/>
        <w:rPr>
          <w:sz w:val="20"/>
          <w:szCs w:val="20"/>
          <w:color w:val="auto"/>
        </w:rPr>
      </w:pPr>
      <w:r>
        <w:rPr>
          <w:rFonts w:ascii="Arial" w:cs="Arial" w:eastAsia="Arial" w:hAnsi="Arial"/>
          <w:sz w:val="17"/>
          <w:szCs w:val="17"/>
          <w:color w:val="auto"/>
        </w:rPr>
        <w:t>thereto and The Bank of New York Mellon Trust Company, N.A., as trustee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635</wp:posOffset>
            </wp:positionV>
            <wp:extent cx="7143115" cy="2451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ind w:right="1040"/>
        <w:spacing w:after="0" w:line="229" w:lineRule="auto"/>
        <w:rPr>
          <w:sz w:val="20"/>
          <w:szCs w:val="20"/>
          <w:color w:val="auto"/>
        </w:rPr>
      </w:pPr>
      <w:r>
        <w:rPr>
          <w:rFonts w:ascii="Arial" w:cs="Arial" w:eastAsia="Arial" w:hAnsi="Arial"/>
          <w:sz w:val="17"/>
          <w:szCs w:val="17"/>
          <w:color w:val="auto"/>
        </w:rPr>
        <w:t>Form of 6.125% Senior Secured Notes due 2025 (included as Exhibit A to Exhibit 4.7 above)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Incorporation By Reference From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5"/>
                <w:szCs w:val="15"/>
                <w:b w:val="1"/>
                <w:bCs w:val="1"/>
                <w:color w:val="auto"/>
              </w:rPr>
              <w:t>Exhibit</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b w:val="1"/>
                <w:bCs w:val="1"/>
                <w:color w:val="auto"/>
              </w:rPr>
              <w:t>Date Filed</w:t>
            </w:r>
          </w:p>
        </w:tc>
      </w:tr>
      <w:tr>
        <w:trPr>
          <w:trHeight w:val="455"/>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11/22/2011</w:t>
            </w:r>
          </w:p>
        </w:tc>
      </w:tr>
      <w:tr>
        <w:trPr>
          <w:trHeight w:val="62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5/1/2018</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1/26/2021</w:t>
            </w:r>
          </w:p>
        </w:tc>
      </w:tr>
      <w:tr>
        <w:trPr>
          <w:trHeight w:val="385"/>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11/22/2011</w:t>
            </w:r>
          </w:p>
        </w:tc>
      </w:tr>
      <w:tr>
        <w:trPr>
          <w:trHeight w:val="21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11/22/2011</w:t>
            </w:r>
          </w:p>
        </w:tc>
      </w:tr>
      <w:tr>
        <w:trPr>
          <w:trHeight w:val="299"/>
        </w:trPr>
        <w:tc>
          <w:tcPr>
            <w:tcW w:w="760" w:type="dxa"/>
            <w:vAlign w:val="bottom"/>
          </w:tcPr>
          <w:p>
            <w:pPr>
              <w:jc w:val="center"/>
              <w:spacing w:after="0"/>
              <w:rPr>
                <w:sz w:val="20"/>
                <w:szCs w:val="20"/>
                <w:color w:val="auto"/>
              </w:rPr>
            </w:pPr>
            <w:r>
              <w:rPr>
                <w:rFonts w:ascii="Arial" w:cs="Arial" w:eastAsia="Arial" w:hAnsi="Arial"/>
                <w:sz w:val="17"/>
                <w:szCs w:val="17"/>
                <w:color w:val="auto"/>
                <w:w w:val="84"/>
              </w:rPr>
              <w:t>10</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10/14/2011</w:t>
            </w:r>
          </w:p>
        </w:tc>
      </w:tr>
      <w:tr>
        <w:trPr>
          <w:trHeight w:val="460"/>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10/1/2019</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3/2/2020</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3/2/2020</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10/1/2019</w:t>
            </w:r>
          </w:p>
        </w:tc>
      </w:tr>
      <w:tr>
        <w:trPr>
          <w:trHeight w:val="373"/>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10/1/2019</w:t>
            </w:r>
          </w:p>
        </w:tc>
      </w:tr>
      <w:tr>
        <w:trPr>
          <w:trHeight w:val="635"/>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5/15/2020</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5/15/2020</w:t>
            </w:r>
          </w:p>
        </w:tc>
      </w:tr>
    </w:tbl>
    <w:p>
      <w:pPr>
        <w:spacing w:after="0" w:line="274" w:lineRule="exact"/>
        <w:rPr>
          <w:sz w:val="20"/>
          <w:szCs w:val="20"/>
          <w:color w:val="auto"/>
        </w:rPr>
      </w:pPr>
    </w:p>
    <w:p>
      <w:pPr>
        <w:sectPr>
          <w:pgSz w:w="11900" w:h="16838" w:orient="portrait"/>
          <w:cols w:equalWidth="0" w:num="3">
            <w:col w:w="760" w:space="340"/>
            <w:col w:w="6760" w:space="280"/>
            <w:col w:w="3100"/>
          </w:cols>
          <w:pgMar w:left="320" w:top="1218" w:right="33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8515"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type w:val="continuous"/>
        </w:sectPr>
      </w:pPr>
    </w:p>
    <w:bookmarkStart w:id="135" w:name="page136"/>
    <w:bookmarkEnd w:id="135"/>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13970</wp:posOffset>
            </wp:positionV>
            <wp:extent cx="62420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624205" cy="7620"/>
                    </a:xfrm>
                    <a:prstGeom prst="rect">
                      <a:avLst/>
                    </a:prstGeom>
                    <a:noFill/>
                  </pic:spPr>
                </pic:pic>
              </a:graphicData>
            </a:graphic>
          </wp:anchor>
        </w:drawing>
      </w:r>
    </w:p>
    <w:p>
      <w:pPr>
        <w:spacing w:after="0" w:line="176" w:lineRule="exact"/>
        <w:rPr>
          <w:sz w:val="20"/>
          <w:szCs w:val="20"/>
          <w:color w:val="auto"/>
        </w:rPr>
      </w:pPr>
    </w:p>
    <w:p>
      <w:pPr>
        <w:ind w:left="160"/>
        <w:spacing w:after="0"/>
        <w:rPr>
          <w:rFonts w:ascii="Arial" w:cs="Arial" w:eastAsia="Arial" w:hAnsi="Arial"/>
          <w:sz w:val="17"/>
          <w:szCs w:val="17"/>
          <w:u w:val="single" w:color="auto"/>
          <w:color w:val="0000FF"/>
        </w:rPr>
      </w:pPr>
      <w:hyperlink r:id="rId245">
        <w:r>
          <w:rPr>
            <w:rFonts w:ascii="Arial" w:cs="Arial" w:eastAsia="Arial" w:hAnsi="Arial"/>
            <w:sz w:val="17"/>
            <w:szCs w:val="17"/>
            <w:u w:val="single" w:color="auto"/>
            <w:color w:val="0000FF"/>
          </w:rPr>
          <w:t>4.9</w:t>
        </w:r>
      </w:hyperlink>
    </w:p>
    <w:p>
      <w:pPr>
        <w:spacing w:after="0" w:line="277" w:lineRule="exact"/>
        <w:rPr>
          <w:sz w:val="20"/>
          <w:szCs w:val="20"/>
          <w:color w:val="auto"/>
        </w:rPr>
      </w:pPr>
    </w:p>
    <w:p>
      <w:pPr>
        <w:ind w:left="120"/>
        <w:spacing w:after="0"/>
        <w:rPr>
          <w:rFonts w:ascii="Arial" w:cs="Arial" w:eastAsia="Arial" w:hAnsi="Arial"/>
          <w:sz w:val="17"/>
          <w:szCs w:val="17"/>
          <w:u w:val="single" w:color="auto"/>
          <w:color w:val="0000FF"/>
        </w:rPr>
      </w:pPr>
      <w:hyperlink r:id="rId245">
        <w:r>
          <w:rPr>
            <w:rFonts w:ascii="Arial" w:cs="Arial" w:eastAsia="Arial" w:hAnsi="Arial"/>
            <w:sz w:val="17"/>
            <w:szCs w:val="17"/>
            <w:u w:val="single" w:color="auto"/>
            <w:color w:val="0000FF"/>
          </w:rPr>
          <w:t>4.10</w:t>
        </w:r>
      </w:hyperlink>
    </w:p>
    <w:p>
      <w:pPr>
        <w:spacing w:after="0" w:line="265" w:lineRule="exact"/>
        <w:rPr>
          <w:sz w:val="20"/>
          <w:szCs w:val="20"/>
          <w:color w:val="auto"/>
        </w:rPr>
      </w:pPr>
    </w:p>
    <w:p>
      <w:pPr>
        <w:ind w:left="120"/>
        <w:spacing w:after="0"/>
        <w:rPr>
          <w:rFonts w:ascii="Arial" w:cs="Arial" w:eastAsia="Arial" w:hAnsi="Arial"/>
          <w:sz w:val="17"/>
          <w:szCs w:val="17"/>
          <w:u w:val="single" w:color="auto"/>
          <w:color w:val="0000FF"/>
        </w:rPr>
      </w:pPr>
      <w:hyperlink r:id="rId246">
        <w:r>
          <w:rPr>
            <w:rFonts w:ascii="Arial" w:cs="Arial" w:eastAsia="Arial" w:hAnsi="Arial"/>
            <w:sz w:val="17"/>
            <w:szCs w:val="17"/>
            <w:u w:val="single" w:color="auto"/>
            <w:color w:val="0000FF"/>
          </w:rPr>
          <w:t>4.11</w:t>
        </w:r>
      </w:hyperlink>
    </w:p>
    <w:p>
      <w:pPr>
        <w:spacing w:after="0" w:line="190" w:lineRule="exact"/>
        <w:rPr>
          <w:sz w:val="20"/>
          <w:szCs w:val="20"/>
          <w:color w:val="auto"/>
        </w:rPr>
      </w:pPr>
    </w:p>
    <w:p>
      <w:pPr>
        <w:ind w:left="120"/>
        <w:spacing w:after="0"/>
        <w:rPr>
          <w:rFonts w:ascii="Arial" w:cs="Arial" w:eastAsia="Arial" w:hAnsi="Arial"/>
          <w:sz w:val="17"/>
          <w:szCs w:val="17"/>
          <w:u w:val="single" w:color="auto"/>
          <w:color w:val="0000FF"/>
        </w:rPr>
      </w:pPr>
      <w:hyperlink r:id="rId247">
        <w:r>
          <w:rPr>
            <w:rFonts w:ascii="Arial" w:cs="Arial" w:eastAsia="Arial" w:hAnsi="Arial"/>
            <w:sz w:val="17"/>
            <w:szCs w:val="17"/>
            <w:u w:val="single" w:color="auto"/>
            <w:color w:val="0000FF"/>
          </w:rPr>
          <w:t>4.12</w:t>
        </w:r>
      </w:hyperlink>
    </w:p>
    <w:p>
      <w:pPr>
        <w:spacing w:after="0" w:line="265" w:lineRule="exact"/>
        <w:rPr>
          <w:sz w:val="20"/>
          <w:szCs w:val="20"/>
          <w:color w:val="auto"/>
        </w:rPr>
      </w:pPr>
    </w:p>
    <w:p>
      <w:pPr>
        <w:ind w:left="120"/>
        <w:spacing w:after="0"/>
        <w:rPr>
          <w:rFonts w:ascii="Arial" w:cs="Arial" w:eastAsia="Arial" w:hAnsi="Arial"/>
          <w:sz w:val="17"/>
          <w:szCs w:val="17"/>
          <w:u w:val="single" w:color="auto"/>
          <w:color w:val="0000FF"/>
        </w:rPr>
      </w:pPr>
      <w:hyperlink r:id="rId248">
        <w:r>
          <w:rPr>
            <w:rFonts w:ascii="Arial" w:cs="Arial" w:eastAsia="Arial" w:hAnsi="Arial"/>
            <w:sz w:val="17"/>
            <w:szCs w:val="17"/>
            <w:u w:val="single" w:color="auto"/>
            <w:color w:val="0000FF"/>
          </w:rPr>
          <w:t>4.13</w:t>
        </w:r>
      </w:hyperlink>
    </w:p>
    <w:p>
      <w:pPr>
        <w:spacing w:after="0" w:line="352" w:lineRule="exact"/>
        <w:rPr>
          <w:sz w:val="20"/>
          <w:szCs w:val="20"/>
          <w:color w:val="auto"/>
        </w:rPr>
      </w:pPr>
    </w:p>
    <w:p>
      <w:pPr>
        <w:ind w:left="120"/>
        <w:spacing w:after="0"/>
        <w:rPr>
          <w:rFonts w:ascii="Arial" w:cs="Arial" w:eastAsia="Arial" w:hAnsi="Arial"/>
          <w:sz w:val="17"/>
          <w:szCs w:val="17"/>
          <w:u w:val="single" w:color="auto"/>
          <w:color w:val="0000FF"/>
        </w:rPr>
      </w:pPr>
      <w:hyperlink r:id="rId249">
        <w:r>
          <w:rPr>
            <w:rFonts w:ascii="Arial" w:cs="Arial" w:eastAsia="Arial" w:hAnsi="Arial"/>
            <w:sz w:val="17"/>
            <w:szCs w:val="17"/>
            <w:u w:val="single" w:color="auto"/>
            <w:color w:val="0000FF"/>
          </w:rPr>
          <w:t>4.14</w:t>
        </w:r>
      </w:hyperlink>
    </w:p>
    <w:p>
      <w:pPr>
        <w:spacing w:after="0" w:line="103" w:lineRule="exact"/>
        <w:rPr>
          <w:sz w:val="20"/>
          <w:szCs w:val="20"/>
          <w:color w:val="auto"/>
        </w:rPr>
      </w:pPr>
    </w:p>
    <w:p>
      <w:pPr>
        <w:ind w:left="120"/>
        <w:spacing w:after="0"/>
        <w:rPr>
          <w:rFonts w:ascii="Arial" w:cs="Arial" w:eastAsia="Arial" w:hAnsi="Arial"/>
          <w:sz w:val="17"/>
          <w:szCs w:val="17"/>
          <w:u w:val="single" w:color="auto"/>
          <w:color w:val="0000FF"/>
        </w:rPr>
      </w:pPr>
      <w:hyperlink r:id="rId250">
        <w:r>
          <w:rPr>
            <w:rFonts w:ascii="Arial" w:cs="Arial" w:eastAsia="Arial" w:hAnsi="Arial"/>
            <w:sz w:val="17"/>
            <w:szCs w:val="17"/>
            <w:u w:val="single" w:color="auto"/>
            <w:color w:val="0000FF"/>
          </w:rPr>
          <w:t>4.15</w:t>
        </w:r>
      </w:hyperlink>
    </w:p>
    <w:p>
      <w:pPr>
        <w:spacing w:after="0" w:line="178" w:lineRule="exact"/>
        <w:rPr>
          <w:sz w:val="20"/>
          <w:szCs w:val="20"/>
          <w:color w:val="auto"/>
        </w:rPr>
      </w:pPr>
    </w:p>
    <w:p>
      <w:pPr>
        <w:ind w:left="120"/>
        <w:spacing w:after="0"/>
        <w:rPr>
          <w:rFonts w:ascii="Arial" w:cs="Arial" w:eastAsia="Arial" w:hAnsi="Arial"/>
          <w:sz w:val="17"/>
          <w:szCs w:val="17"/>
          <w:u w:val="single" w:color="auto"/>
          <w:color w:val="0000FF"/>
        </w:rPr>
      </w:pPr>
      <w:hyperlink r:id="rId251">
        <w:r>
          <w:rPr>
            <w:rFonts w:ascii="Arial" w:cs="Arial" w:eastAsia="Arial" w:hAnsi="Arial"/>
            <w:sz w:val="17"/>
            <w:szCs w:val="17"/>
            <w:u w:val="single" w:color="auto"/>
            <w:color w:val="0000FF"/>
          </w:rPr>
          <w:t>10.1</w:t>
        </w:r>
      </w:hyperlink>
    </w:p>
    <w:p>
      <w:pPr>
        <w:spacing w:after="0" w:line="352" w:lineRule="exact"/>
        <w:rPr>
          <w:sz w:val="20"/>
          <w:szCs w:val="20"/>
          <w:color w:val="auto"/>
        </w:rPr>
      </w:pPr>
    </w:p>
    <w:p>
      <w:pPr>
        <w:ind w:left="120"/>
        <w:spacing w:after="0"/>
        <w:rPr>
          <w:rFonts w:ascii="Arial" w:cs="Arial" w:eastAsia="Arial" w:hAnsi="Arial"/>
          <w:sz w:val="17"/>
          <w:szCs w:val="17"/>
          <w:u w:val="single" w:color="auto"/>
          <w:color w:val="0000FF"/>
        </w:rPr>
      </w:pPr>
      <w:hyperlink r:id="rId252">
        <w:r>
          <w:rPr>
            <w:rFonts w:ascii="Arial" w:cs="Arial" w:eastAsia="Arial" w:hAnsi="Arial"/>
            <w:sz w:val="17"/>
            <w:szCs w:val="17"/>
            <w:u w:val="single" w:color="auto"/>
            <w:color w:val="0000FF"/>
          </w:rPr>
          <w:t>10.2</w:t>
        </w:r>
      </w:hyperlink>
    </w:p>
    <w:p>
      <w:pPr>
        <w:spacing w:after="0" w:line="200" w:lineRule="exact"/>
        <w:rPr>
          <w:sz w:val="20"/>
          <w:szCs w:val="20"/>
          <w:color w:val="auto"/>
        </w:rPr>
      </w:pPr>
    </w:p>
    <w:p>
      <w:pPr>
        <w:spacing w:after="0" w:line="239" w:lineRule="exact"/>
        <w:rPr>
          <w:sz w:val="20"/>
          <w:szCs w:val="20"/>
          <w:color w:val="auto"/>
        </w:rPr>
      </w:pPr>
    </w:p>
    <w:p>
      <w:pPr>
        <w:ind w:left="120"/>
        <w:spacing w:after="0"/>
        <w:rPr>
          <w:rFonts w:ascii="Arial" w:cs="Arial" w:eastAsia="Arial" w:hAnsi="Arial"/>
          <w:sz w:val="17"/>
          <w:szCs w:val="17"/>
          <w:u w:val="single" w:color="auto"/>
          <w:color w:val="0000FF"/>
        </w:rPr>
      </w:pPr>
      <w:hyperlink r:id="rId253">
        <w:r>
          <w:rPr>
            <w:rFonts w:ascii="Arial" w:cs="Arial" w:eastAsia="Arial" w:hAnsi="Arial"/>
            <w:sz w:val="17"/>
            <w:szCs w:val="17"/>
            <w:u w:val="single" w:color="auto"/>
            <w:color w:val="0000FF"/>
          </w:rPr>
          <w:t>10.3</w:t>
        </w:r>
      </w:hyperlink>
    </w:p>
    <w:p>
      <w:pPr>
        <w:spacing w:after="0" w:line="200" w:lineRule="exact"/>
        <w:rPr>
          <w:sz w:val="20"/>
          <w:szCs w:val="20"/>
          <w:color w:val="auto"/>
        </w:rPr>
      </w:pPr>
    </w:p>
    <w:p>
      <w:pPr>
        <w:spacing w:after="0" w:line="314" w:lineRule="exact"/>
        <w:rPr>
          <w:sz w:val="20"/>
          <w:szCs w:val="20"/>
          <w:color w:val="auto"/>
        </w:rPr>
      </w:pPr>
    </w:p>
    <w:p>
      <w:pPr>
        <w:ind w:left="120"/>
        <w:spacing w:after="0"/>
        <w:rPr>
          <w:rFonts w:ascii="Arial" w:cs="Arial" w:eastAsia="Arial" w:hAnsi="Arial"/>
          <w:sz w:val="17"/>
          <w:szCs w:val="17"/>
          <w:u w:val="single" w:color="auto"/>
          <w:color w:val="0000FF"/>
        </w:rPr>
      </w:pPr>
      <w:hyperlink r:id="rId254">
        <w:r>
          <w:rPr>
            <w:rFonts w:ascii="Arial" w:cs="Arial" w:eastAsia="Arial" w:hAnsi="Arial"/>
            <w:sz w:val="17"/>
            <w:szCs w:val="17"/>
            <w:u w:val="single" w:color="auto"/>
            <w:color w:val="0000FF"/>
          </w:rPr>
          <w:t>10.4</w:t>
        </w:r>
      </w:hyperlink>
    </w:p>
    <w:p>
      <w:pPr>
        <w:spacing w:after="0" w:line="200" w:lineRule="exact"/>
        <w:rPr>
          <w:sz w:val="20"/>
          <w:szCs w:val="20"/>
          <w:color w:val="auto"/>
        </w:rPr>
      </w:pPr>
    </w:p>
    <w:p>
      <w:pPr>
        <w:spacing w:after="0" w:line="227" w:lineRule="exact"/>
        <w:rPr>
          <w:sz w:val="20"/>
          <w:szCs w:val="20"/>
          <w:color w:val="auto"/>
        </w:rPr>
      </w:pPr>
    </w:p>
    <w:p>
      <w:pPr>
        <w:ind w:left="120"/>
        <w:spacing w:after="0"/>
        <w:rPr>
          <w:rFonts w:ascii="Arial" w:cs="Arial" w:eastAsia="Arial" w:hAnsi="Arial"/>
          <w:sz w:val="17"/>
          <w:szCs w:val="17"/>
          <w:u w:val="single" w:color="auto"/>
          <w:color w:val="0000FF"/>
        </w:rPr>
      </w:pPr>
      <w:hyperlink r:id="rId255">
        <w:r>
          <w:rPr>
            <w:rFonts w:ascii="Arial" w:cs="Arial" w:eastAsia="Arial" w:hAnsi="Arial"/>
            <w:sz w:val="17"/>
            <w:szCs w:val="17"/>
            <w:u w:val="single" w:color="auto"/>
            <w:color w:val="0000FF"/>
          </w:rPr>
          <w:t>10.5</w:t>
        </w:r>
      </w:hyperlink>
    </w:p>
    <w:p>
      <w:pPr>
        <w:spacing w:after="0" w:line="200" w:lineRule="exact"/>
        <w:rPr>
          <w:sz w:val="20"/>
          <w:szCs w:val="20"/>
          <w:color w:val="auto"/>
        </w:rPr>
      </w:pPr>
    </w:p>
    <w:p>
      <w:pPr>
        <w:spacing w:after="0" w:line="239" w:lineRule="exact"/>
        <w:rPr>
          <w:sz w:val="20"/>
          <w:szCs w:val="20"/>
          <w:color w:val="auto"/>
        </w:rPr>
      </w:pPr>
    </w:p>
    <w:p>
      <w:pPr>
        <w:ind w:left="120"/>
        <w:spacing w:after="0"/>
        <w:rPr>
          <w:rFonts w:ascii="Arial" w:cs="Arial" w:eastAsia="Arial" w:hAnsi="Arial"/>
          <w:sz w:val="17"/>
          <w:szCs w:val="17"/>
          <w:u w:val="single" w:color="auto"/>
          <w:color w:val="0000FF"/>
        </w:rPr>
      </w:pPr>
      <w:hyperlink r:id="rId256">
        <w:r>
          <w:rPr>
            <w:rFonts w:ascii="Arial" w:cs="Arial" w:eastAsia="Arial" w:hAnsi="Arial"/>
            <w:sz w:val="17"/>
            <w:szCs w:val="17"/>
            <w:u w:val="single" w:color="auto"/>
            <w:color w:val="0000FF"/>
          </w:rPr>
          <w:t>10.6</w:t>
        </w:r>
      </w:hyperlink>
    </w:p>
    <w:p>
      <w:pPr>
        <w:spacing w:after="0" w:line="200" w:lineRule="exact"/>
        <w:rPr>
          <w:sz w:val="20"/>
          <w:szCs w:val="20"/>
          <w:color w:val="auto"/>
        </w:rPr>
      </w:pPr>
    </w:p>
    <w:p>
      <w:pPr>
        <w:spacing w:after="0" w:line="314" w:lineRule="exact"/>
        <w:rPr>
          <w:sz w:val="20"/>
          <w:szCs w:val="20"/>
          <w:color w:val="auto"/>
        </w:rPr>
      </w:pPr>
    </w:p>
    <w:p>
      <w:pPr>
        <w:ind w:left="120"/>
        <w:spacing w:after="0"/>
        <w:rPr>
          <w:rFonts w:ascii="Arial" w:cs="Arial" w:eastAsia="Arial" w:hAnsi="Arial"/>
          <w:sz w:val="17"/>
          <w:szCs w:val="17"/>
          <w:u w:val="single" w:color="auto"/>
          <w:color w:val="0000FF"/>
        </w:rPr>
      </w:pPr>
      <w:hyperlink r:id="rId257">
        <w:r>
          <w:rPr>
            <w:rFonts w:ascii="Arial" w:cs="Arial" w:eastAsia="Arial" w:hAnsi="Arial"/>
            <w:sz w:val="17"/>
            <w:szCs w:val="17"/>
            <w:u w:val="single" w:color="auto"/>
            <w:color w:val="0000FF"/>
          </w:rPr>
          <w:t>10.7</w:t>
        </w:r>
      </w:hyperlink>
    </w:p>
    <w:p>
      <w:pPr>
        <w:spacing w:after="0" w:line="200" w:lineRule="exact"/>
        <w:rPr>
          <w:sz w:val="20"/>
          <w:szCs w:val="20"/>
          <w:color w:val="auto"/>
        </w:rPr>
      </w:pPr>
    </w:p>
    <w:p>
      <w:pPr>
        <w:spacing w:after="0" w:line="227" w:lineRule="exact"/>
        <w:rPr>
          <w:sz w:val="20"/>
          <w:szCs w:val="20"/>
          <w:color w:val="auto"/>
        </w:rPr>
      </w:pPr>
    </w:p>
    <w:p>
      <w:pPr>
        <w:ind w:left="120"/>
        <w:spacing w:after="0"/>
        <w:rPr>
          <w:rFonts w:ascii="Arial" w:cs="Arial" w:eastAsia="Arial" w:hAnsi="Arial"/>
          <w:sz w:val="17"/>
          <w:szCs w:val="17"/>
          <w:u w:val="single" w:color="auto"/>
          <w:color w:val="0000FF"/>
        </w:rPr>
      </w:pPr>
      <w:hyperlink r:id="rId258">
        <w:r>
          <w:rPr>
            <w:rFonts w:ascii="Arial" w:cs="Arial" w:eastAsia="Arial" w:hAnsi="Arial"/>
            <w:sz w:val="17"/>
            <w:szCs w:val="17"/>
            <w:u w:val="single" w:color="auto"/>
            <w:color w:val="0000FF"/>
          </w:rPr>
          <w:t>10.8</w:t>
        </w:r>
      </w:hyperlink>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2560" w:type="dxa"/>
        <w:tblCellMar>
          <w:top w:w="0" w:type="dxa"/>
          <w:left w:w="0" w:type="dxa"/>
          <w:bottom w:w="0" w:type="dxa"/>
          <w:right w:w="0" w:type="dxa"/>
        </w:tblCellMar>
      </w:tblPr>
      <w:tr>
        <w:trPr>
          <w:trHeight w:val="172"/>
        </w:trPr>
        <w:tc>
          <w:tcPr>
            <w:tcW w:w="2180" w:type="dxa"/>
            <w:vAlign w:val="bottom"/>
            <w:vMerge w:val="restart"/>
          </w:tcPr>
          <w:p>
            <w:pPr>
              <w:spacing w:after="0"/>
              <w:rPr>
                <w:sz w:val="20"/>
                <w:szCs w:val="20"/>
                <w:color w:val="auto"/>
              </w:rPr>
            </w:pPr>
            <w:r>
              <w:rPr>
                <w:rFonts w:ascii="Arial" w:cs="Arial" w:eastAsia="Arial" w:hAnsi="Arial"/>
                <w:sz w:val="15"/>
                <w:szCs w:val="15"/>
                <w:b w:val="1"/>
                <w:bCs w:val="1"/>
                <w:color w:val="auto"/>
              </w:rPr>
              <w:t>Description</w:t>
            </w:r>
          </w:p>
        </w:tc>
        <w:tc>
          <w:tcPr>
            <w:tcW w:w="2020" w:type="dxa"/>
            <w:vAlign w:val="bottom"/>
          </w:tcPr>
          <w:p>
            <w:pPr>
              <w:jc w:val="center"/>
              <w:ind w:left="1345"/>
              <w:spacing w:after="0"/>
              <w:rPr>
                <w:sz w:val="20"/>
                <w:szCs w:val="20"/>
                <w:color w:val="auto"/>
              </w:rPr>
            </w:pPr>
            <w:r>
              <w:rPr>
                <w:rFonts w:ascii="Arial" w:cs="Arial" w:eastAsia="Arial" w:hAnsi="Arial"/>
                <w:sz w:val="15"/>
                <w:szCs w:val="15"/>
                <w:b w:val="1"/>
                <w:bCs w:val="1"/>
                <w:color w:val="auto"/>
                <w:w w:val="91"/>
              </w:rPr>
              <w:t>Filed</w:t>
            </w:r>
          </w:p>
        </w:tc>
        <w:tc>
          <w:tcPr>
            <w:tcW w:w="0" w:type="dxa"/>
            <w:vAlign w:val="bottom"/>
          </w:tcPr>
          <w:p>
            <w:pPr>
              <w:spacing w:after="0"/>
              <w:rPr>
                <w:sz w:val="1"/>
                <w:szCs w:val="1"/>
                <w:color w:val="auto"/>
              </w:rPr>
            </w:pPr>
          </w:p>
        </w:tc>
      </w:tr>
      <w:tr>
        <w:trPr>
          <w:trHeight w:val="193"/>
        </w:trPr>
        <w:tc>
          <w:tcPr>
            <w:tcW w:w="2180" w:type="dxa"/>
            <w:vAlign w:val="bottom"/>
            <w:vMerge w:val="continue"/>
          </w:tcPr>
          <w:p>
            <w:pPr>
              <w:spacing w:after="0"/>
              <w:rPr>
                <w:sz w:val="16"/>
                <w:szCs w:val="16"/>
                <w:color w:val="auto"/>
              </w:rPr>
            </w:pPr>
          </w:p>
        </w:tc>
        <w:tc>
          <w:tcPr>
            <w:tcW w:w="2020" w:type="dxa"/>
            <w:vAlign w:val="bottom"/>
          </w:tcPr>
          <w:p>
            <w:pPr>
              <w:jc w:val="center"/>
              <w:ind w:left="1345"/>
              <w:spacing w:after="0"/>
              <w:rPr>
                <w:sz w:val="20"/>
                <w:szCs w:val="20"/>
                <w:color w:val="auto"/>
              </w:rPr>
            </w:pPr>
            <w:r>
              <w:rPr>
                <w:rFonts w:ascii="Arial" w:cs="Arial" w:eastAsia="Arial" w:hAnsi="Arial"/>
                <w:sz w:val="15"/>
                <w:szCs w:val="15"/>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wp:posOffset>
            </wp:positionV>
            <wp:extent cx="441706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4417060" cy="7620"/>
                    </a:xfrm>
                    <a:prstGeom prst="rect">
                      <a:avLst/>
                    </a:prstGeom>
                    <a:noFill/>
                  </pic:spPr>
                </pic:pic>
              </a:graphicData>
            </a:graphic>
          </wp:anchor>
        </w:drawing>
      </w:r>
    </w:p>
    <w:p>
      <w:pPr>
        <w:ind w:right="1060"/>
        <w:spacing w:after="0" w:line="243" w:lineRule="auto"/>
        <w:rPr>
          <w:sz w:val="20"/>
          <w:szCs w:val="20"/>
          <w:color w:val="auto"/>
        </w:rPr>
      </w:pPr>
      <w:r>
        <w:rPr>
          <w:rFonts w:ascii="Arial" w:cs="Arial" w:eastAsia="Arial" w:hAnsi="Arial"/>
          <w:sz w:val="15"/>
          <w:szCs w:val="15"/>
          <w:color w:val="auto"/>
        </w:rPr>
        <w:t>Indenture, dated as of February 2, 2021, by and among Marriott Vacations Worldwide Corporation, Marriott Ownership Resorts, Inc. and the other guarantors party thereto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2451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ind w:right="940"/>
        <w:spacing w:after="0" w:line="229" w:lineRule="auto"/>
        <w:rPr>
          <w:sz w:val="20"/>
          <w:szCs w:val="20"/>
          <w:color w:val="auto"/>
        </w:rPr>
      </w:pPr>
      <w:r>
        <w:rPr>
          <w:rFonts w:ascii="Arial" w:cs="Arial" w:eastAsia="Arial" w:hAnsi="Arial"/>
          <w:sz w:val="17"/>
          <w:szCs w:val="17"/>
          <w:color w:val="auto"/>
        </w:rPr>
        <w:t>Form of 0.00% Convertible Senior Note due 2026 (included as Exhibit A to Exhibit 4.9 above)</w:t>
      </w:r>
    </w:p>
    <w:p>
      <w:pPr>
        <w:spacing w:after="0" w:line="12" w:lineRule="exact"/>
        <w:rPr>
          <w:sz w:val="20"/>
          <w:szCs w:val="20"/>
          <w:color w:val="auto"/>
        </w:rPr>
      </w:pPr>
    </w:p>
    <w:p>
      <w:pPr>
        <w:ind w:right="1060"/>
        <w:spacing w:after="0" w:line="280" w:lineRule="auto"/>
        <w:rPr>
          <w:sz w:val="20"/>
          <w:szCs w:val="20"/>
          <w:color w:val="auto"/>
        </w:rPr>
      </w:pPr>
      <w:r>
        <w:rPr>
          <w:rFonts w:ascii="Arial" w:cs="Arial" w:eastAsia="Arial" w:hAnsi="Arial"/>
          <w:sz w:val="13"/>
          <w:szCs w:val="13"/>
          <w:color w:val="auto"/>
        </w:rPr>
        <w:t>Indenture, dated as of June 21, 2021, by and among Marriott Ownership Resorts, Inc., Marriott Vacations Worldwide Corporation, as guarantor, the other guarantors party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thereto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134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4.500% Senior Notes due 2029 (included as Exhibit A to Exhibit 4.11 above)</w:t>
      </w:r>
    </w:p>
    <w:p>
      <w:pPr>
        <w:spacing w:after="0" w:line="16" w:lineRule="exact"/>
        <w:rPr>
          <w:sz w:val="20"/>
          <w:szCs w:val="20"/>
          <w:color w:val="auto"/>
        </w:rPr>
      </w:pPr>
    </w:p>
    <w:p>
      <w:pPr>
        <w:ind w:right="980"/>
        <w:spacing w:after="0" w:line="243" w:lineRule="auto"/>
        <w:rPr>
          <w:sz w:val="20"/>
          <w:szCs w:val="20"/>
          <w:color w:val="auto"/>
        </w:rPr>
      </w:pPr>
      <w:r>
        <w:rPr>
          <w:rFonts w:ascii="Arial" w:cs="Arial" w:eastAsia="Arial" w:hAnsi="Arial"/>
          <w:sz w:val="15"/>
          <w:szCs w:val="15"/>
          <w:color w:val="auto"/>
        </w:rPr>
        <w:t>Indenture, dated as of December 8, 2022, by and among Marriott Vacations Worldwide Corporation, as issuer, Marriott Ownership Resorts, Inc. and the other guarantors party</w:t>
      </w:r>
    </w:p>
    <w:p>
      <w:pPr>
        <w:ind w:right="1020"/>
        <w:spacing w:after="0" w:line="220" w:lineRule="auto"/>
        <w:rPr>
          <w:sz w:val="20"/>
          <w:szCs w:val="20"/>
          <w:color w:val="auto"/>
        </w:rPr>
      </w:pPr>
      <w:r>
        <w:rPr>
          <w:rFonts w:ascii="Arial" w:cs="Arial" w:eastAsia="Arial" w:hAnsi="Arial"/>
          <w:sz w:val="17"/>
          <w:szCs w:val="17"/>
          <w:color w:val="auto"/>
        </w:rPr>
        <w:t>thereto from time to time and The New York Bank of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635</wp:posOffset>
            </wp:positionV>
            <wp:extent cx="7143115" cy="2451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ind w:right="1140"/>
        <w:spacing w:after="0" w:line="229" w:lineRule="auto"/>
        <w:rPr>
          <w:sz w:val="20"/>
          <w:szCs w:val="20"/>
          <w:color w:val="auto"/>
        </w:rPr>
      </w:pPr>
      <w:r>
        <w:rPr>
          <w:rFonts w:ascii="Arial" w:cs="Arial" w:eastAsia="Arial" w:hAnsi="Arial"/>
          <w:sz w:val="17"/>
          <w:szCs w:val="17"/>
          <w:color w:val="auto"/>
        </w:rPr>
        <w:t>Form of 3.25% Convertible Senior Notes due 2027 (included as Exhibit A to Exhibit 4.13 above)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10160</wp:posOffset>
            </wp:positionV>
            <wp:extent cx="7143115" cy="3479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43115" cy="347980"/>
                    </a:xfrm>
                    <a:prstGeom prst="rect">
                      <a:avLst/>
                    </a:prstGeom>
                    <a:noFill/>
                  </pic:spPr>
                </pic:pic>
              </a:graphicData>
            </a:graphic>
          </wp:anchor>
        </w:drawing>
      </w:r>
    </w:p>
    <w:p>
      <w:pPr>
        <w:ind w:right="920"/>
        <w:spacing w:after="0" w:line="243" w:lineRule="auto"/>
        <w:rPr>
          <w:sz w:val="20"/>
          <w:szCs w:val="20"/>
          <w:color w:val="auto"/>
        </w:rPr>
      </w:pPr>
      <w:r>
        <w:rPr>
          <w:rFonts w:ascii="Arial" w:cs="Arial" w:eastAsia="Arial" w:hAnsi="Arial"/>
          <w:sz w:val="15"/>
          <w:szCs w:val="15"/>
          <w:color w:val="auto"/>
        </w:rPr>
        <w:t>License, Services, and Development Agreement, entered into on November 17, 2011, among Marriott International, Inc., Marriott Worldwide Corporation, Marriott Vacations</w:t>
      </w:r>
    </w:p>
    <w:p>
      <w:pPr>
        <w:spacing w:after="0"/>
        <w:rPr>
          <w:sz w:val="20"/>
          <w:szCs w:val="20"/>
          <w:color w:val="auto"/>
        </w:rPr>
      </w:pPr>
      <w:r>
        <w:rPr>
          <w:rFonts w:ascii="Arial" w:cs="Arial" w:eastAsia="Arial" w:hAnsi="Arial"/>
          <w:sz w:val="17"/>
          <w:szCs w:val="17"/>
          <w:color w:val="auto"/>
        </w:rPr>
        <w:t>Worldwide Corporation and the other signatories thereto</w:t>
      </w:r>
    </w:p>
    <w:p>
      <w:pPr>
        <w:spacing w:after="0" w:line="2" w:lineRule="exact"/>
        <w:rPr>
          <w:sz w:val="20"/>
          <w:szCs w:val="20"/>
          <w:color w:val="auto"/>
        </w:rPr>
      </w:pPr>
    </w:p>
    <w:p>
      <w:pPr>
        <w:jc w:val="both"/>
        <w:ind w:right="1060"/>
        <w:spacing w:after="0" w:line="243" w:lineRule="auto"/>
        <w:rPr>
          <w:sz w:val="20"/>
          <w:szCs w:val="20"/>
          <w:color w:val="auto"/>
        </w:rPr>
      </w:pPr>
      <w:r>
        <w:rPr>
          <w:rFonts w:ascii="Arial" w:cs="Arial" w:eastAsia="Arial" w:hAnsi="Arial"/>
          <w:sz w:val="15"/>
          <w:szCs w:val="15"/>
          <w:color w:val="auto"/>
        </w:rPr>
        <w:t>Letter Agreement, dated as of February 21, 2013, between Marriott International, Inc. and Marriott Vacations Worldwide Corporation, supplementing the License, Services,</w:t>
      </w:r>
    </w:p>
    <w:p>
      <w:pPr>
        <w:spacing w:after="0"/>
        <w:rPr>
          <w:sz w:val="20"/>
          <w:szCs w:val="20"/>
          <w:color w:val="auto"/>
        </w:rPr>
      </w:pPr>
      <w:r>
        <w:rPr>
          <w:rFonts w:ascii="Arial" w:cs="Arial" w:eastAsia="Arial" w:hAnsi="Arial"/>
          <w:sz w:val="17"/>
          <w:szCs w:val="17"/>
          <w:color w:val="auto"/>
        </w:rPr>
        <w:t>and Development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4502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43115" cy="450215"/>
                    </a:xfrm>
                    <a:prstGeom prst="rect">
                      <a:avLst/>
                    </a:prstGeom>
                    <a:noFill/>
                  </pic:spPr>
                </pic:pic>
              </a:graphicData>
            </a:graphic>
          </wp:anchor>
        </w:drawing>
      </w:r>
    </w:p>
    <w:p>
      <w:pPr>
        <w:spacing w:after="0" w:line="69" w:lineRule="exact"/>
        <w:rPr>
          <w:sz w:val="20"/>
          <w:szCs w:val="20"/>
          <w:color w:val="auto"/>
        </w:rPr>
      </w:pPr>
    </w:p>
    <w:p>
      <w:pPr>
        <w:ind w:right="1060"/>
        <w:spacing w:after="0" w:line="219" w:lineRule="auto"/>
        <w:rPr>
          <w:sz w:val="20"/>
          <w:szCs w:val="20"/>
          <w:color w:val="auto"/>
        </w:rPr>
      </w:pPr>
      <w:r>
        <w:rPr>
          <w:rFonts w:ascii="Arial" w:cs="Arial" w:eastAsia="Arial" w:hAnsi="Arial"/>
          <w:sz w:val="17"/>
          <w:szCs w:val="17"/>
          <w:color w:val="auto"/>
        </w:rPr>
        <w:t>Letter Agreement, dated May 9, 2016, among Marriott Vacations Worldwide Corporation, Marriott Worldwide Corporation and Marriott International, Inc. relating to the License, Services, and Development Agreement</w:t>
      </w:r>
    </w:p>
    <w:p>
      <w:pPr>
        <w:spacing w:after="0" w:line="87" w:lineRule="exact"/>
        <w:rPr>
          <w:sz w:val="20"/>
          <w:szCs w:val="20"/>
          <w:color w:val="auto"/>
        </w:rPr>
      </w:pPr>
    </w:p>
    <w:p>
      <w:pPr>
        <w:ind w:right="1380"/>
        <w:spacing w:after="0" w:line="243" w:lineRule="auto"/>
        <w:rPr>
          <w:sz w:val="20"/>
          <w:szCs w:val="20"/>
          <w:color w:val="auto"/>
        </w:rPr>
      </w:pPr>
      <w:r>
        <w:rPr>
          <w:rFonts w:ascii="Arial" w:cs="Arial" w:eastAsia="Arial" w:hAnsi="Arial"/>
          <w:sz w:val="15"/>
          <w:szCs w:val="15"/>
          <w:color w:val="auto"/>
        </w:rPr>
        <w:t>First Amendment to License, Services, and Development Agreement, dated as of February 26, 2018, among Marriott International, Inc., Marriott Worldwide</w:t>
      </w:r>
    </w:p>
    <w:p>
      <w:pPr>
        <w:spacing w:after="0" w:line="1" w:lineRule="exact"/>
        <w:rPr>
          <w:sz w:val="20"/>
          <w:szCs w:val="20"/>
          <w:color w:val="auto"/>
        </w:rPr>
      </w:pPr>
    </w:p>
    <w:p>
      <w:pPr>
        <w:ind w:right="1360"/>
        <w:spacing w:after="0" w:line="220" w:lineRule="auto"/>
        <w:rPr>
          <w:sz w:val="20"/>
          <w:szCs w:val="20"/>
          <w:color w:val="auto"/>
        </w:rPr>
      </w:pPr>
      <w:r>
        <w:rPr>
          <w:rFonts w:ascii="Arial" w:cs="Arial" w:eastAsia="Arial" w:hAnsi="Arial"/>
          <w:sz w:val="17"/>
          <w:szCs w:val="17"/>
          <w:color w:val="auto"/>
        </w:rPr>
        <w:t>Corporation, Marriott Vacations Worldwide Corporation and the other signatories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635</wp:posOffset>
            </wp:positionV>
            <wp:extent cx="7143115" cy="347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43115" cy="347980"/>
                    </a:xfrm>
                    <a:prstGeom prst="rect">
                      <a:avLst/>
                    </a:prstGeom>
                    <a:noFill/>
                  </pic:spPr>
                </pic:pic>
              </a:graphicData>
            </a:graphic>
          </wp:anchor>
        </w:drawing>
      </w:r>
    </w:p>
    <w:p>
      <w:pPr>
        <w:ind w:right="900"/>
        <w:spacing w:after="0" w:line="280" w:lineRule="auto"/>
        <w:rPr>
          <w:sz w:val="20"/>
          <w:szCs w:val="20"/>
          <w:color w:val="auto"/>
        </w:rPr>
      </w:pPr>
      <w:r>
        <w:rPr>
          <w:rFonts w:ascii="Arial" w:cs="Arial" w:eastAsia="Arial" w:hAnsi="Arial"/>
          <w:sz w:val="13"/>
          <w:szCs w:val="13"/>
          <w:color w:val="auto"/>
        </w:rPr>
        <w:t>Amended and Restated Side Letter Agreement, dated as of February 26, 2018 by among Marriott International, Inc., Marriott Worldwide Corporation, Marriott Rewards, LLC,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Marriott Vacations Worldwide Corporation and Marriott Ownership Resorts, Inc.†</w:t>
      </w:r>
    </w:p>
    <w:p>
      <w:pPr>
        <w:spacing w:after="0" w:line="2" w:lineRule="exact"/>
        <w:rPr>
          <w:sz w:val="20"/>
          <w:szCs w:val="20"/>
          <w:color w:val="auto"/>
        </w:rPr>
      </w:pPr>
    </w:p>
    <w:p>
      <w:pPr>
        <w:ind w:right="940"/>
        <w:spacing w:after="0" w:line="243" w:lineRule="auto"/>
        <w:rPr>
          <w:sz w:val="20"/>
          <w:szCs w:val="20"/>
          <w:color w:val="auto"/>
        </w:rPr>
      </w:pPr>
      <w:r>
        <w:rPr>
          <w:rFonts w:ascii="Arial" w:cs="Arial" w:eastAsia="Arial" w:hAnsi="Arial"/>
          <w:sz w:val="15"/>
          <w:szCs w:val="15"/>
          <w:color w:val="auto"/>
        </w:rPr>
        <w:t>Letter Agreement, effective as of January 1, 2022, between Marriott International, Inc., Marriott Worldwide Corporation, Marriott Vacations Worldwide Corporation, Starwood</w:t>
      </w:r>
    </w:p>
    <w:p>
      <w:pPr>
        <w:ind w:right="920"/>
        <w:spacing w:after="0" w:line="220" w:lineRule="auto"/>
        <w:rPr>
          <w:sz w:val="20"/>
          <w:szCs w:val="20"/>
          <w:color w:val="auto"/>
        </w:rPr>
      </w:pPr>
      <w:r>
        <w:rPr>
          <w:rFonts w:ascii="Arial" w:cs="Arial" w:eastAsia="Arial" w:hAnsi="Arial"/>
          <w:sz w:val="17"/>
          <w:szCs w:val="17"/>
          <w:color w:val="auto"/>
        </w:rPr>
        <w:t>Hotels &amp; Resorts Worldwide, LLC, Marriott Ownership Resorts, Inc., Vistana Signature Experiences, Inc. and ILG,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635</wp:posOffset>
            </wp:positionV>
            <wp:extent cx="7143115" cy="4502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43115" cy="450215"/>
                    </a:xfrm>
                    <a:prstGeom prst="rect">
                      <a:avLst/>
                    </a:prstGeom>
                    <a:noFill/>
                  </pic:spPr>
                </pic:pic>
              </a:graphicData>
            </a:graphic>
          </wp:anchor>
        </w:drawing>
      </w:r>
    </w:p>
    <w:p>
      <w:pPr>
        <w:ind w:right="1000"/>
        <w:spacing w:after="0" w:line="243" w:lineRule="auto"/>
        <w:rPr>
          <w:sz w:val="20"/>
          <w:szCs w:val="20"/>
          <w:color w:val="auto"/>
        </w:rPr>
      </w:pPr>
      <w:r>
        <w:rPr>
          <w:rFonts w:ascii="Arial" w:cs="Arial" w:eastAsia="Arial" w:hAnsi="Arial"/>
          <w:sz w:val="15"/>
          <w:szCs w:val="15"/>
          <w:color w:val="auto"/>
        </w:rPr>
        <w:t>Marketing Track Amendment, dated as of May 19, 2022, to the Marriott License, Services and Development Agreement for Marriott Projects dated November 19, 2011,</w:t>
      </w:r>
    </w:p>
    <w:p>
      <w:pPr>
        <w:ind w:right="1420"/>
        <w:spacing w:after="0" w:line="220" w:lineRule="auto"/>
        <w:rPr>
          <w:sz w:val="20"/>
          <w:szCs w:val="20"/>
          <w:color w:val="auto"/>
        </w:rPr>
      </w:pPr>
      <w:r>
        <w:rPr>
          <w:rFonts w:ascii="Arial" w:cs="Arial" w:eastAsia="Arial" w:hAnsi="Arial"/>
          <w:sz w:val="17"/>
          <w:szCs w:val="17"/>
          <w:color w:val="auto"/>
        </w:rPr>
        <w:t>by and among Marriott International, Inc., Marriott Worldwide Corporation, and Marriott Vacations Worldwide Corporation</w:t>
      </w:r>
    </w:p>
    <w:p>
      <w:pPr>
        <w:spacing w:after="0" w:line="1" w:lineRule="exact"/>
        <w:rPr>
          <w:sz w:val="20"/>
          <w:szCs w:val="20"/>
          <w:color w:val="auto"/>
        </w:rPr>
      </w:pPr>
    </w:p>
    <w:p>
      <w:pPr>
        <w:ind w:right="1080"/>
        <w:spacing w:after="0" w:line="243" w:lineRule="auto"/>
        <w:rPr>
          <w:sz w:val="20"/>
          <w:szCs w:val="20"/>
          <w:color w:val="auto"/>
        </w:rPr>
      </w:pPr>
      <w:r>
        <w:rPr>
          <w:rFonts w:ascii="Arial" w:cs="Arial" w:eastAsia="Arial" w:hAnsi="Arial"/>
          <w:sz w:val="15"/>
          <w:szCs w:val="15"/>
          <w:color w:val="auto"/>
        </w:rPr>
        <w:t>License, Services, and Development Agreement, entered into on November 17, 2011, among The Ritz-Carlton Hotel Company, L.L.C., Marriott Vacations Worldwide</w:t>
      </w:r>
    </w:p>
    <w:p>
      <w:pPr>
        <w:spacing w:after="0"/>
        <w:rPr>
          <w:sz w:val="20"/>
          <w:szCs w:val="20"/>
          <w:color w:val="auto"/>
        </w:rPr>
      </w:pPr>
      <w:r>
        <w:rPr>
          <w:rFonts w:ascii="Arial" w:cs="Arial" w:eastAsia="Arial" w:hAnsi="Arial"/>
          <w:sz w:val="17"/>
          <w:szCs w:val="17"/>
          <w:color w:val="auto"/>
        </w:rPr>
        <w:t>Corporation and the other signatories thereto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60960</wp:posOffset>
            </wp:positionV>
            <wp:extent cx="7168515"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5"/>
          <w:szCs w:val="15"/>
          <w:b w:val="1"/>
          <w:bCs w:val="1"/>
          <w:color w:val="auto"/>
        </w:rPr>
        <w:t>Incorporation By Reference From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5"/>
                <w:szCs w:val="15"/>
                <w:b w:val="1"/>
                <w:bCs w:val="1"/>
                <w:color w:val="auto"/>
              </w:rPr>
              <w:t>Exhibit</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b w:val="1"/>
                <w:bCs w:val="1"/>
                <w:color w:val="auto"/>
              </w:rPr>
              <w:t>Date Filed</w:t>
            </w:r>
          </w:p>
        </w:tc>
      </w:tr>
      <w:tr>
        <w:trPr>
          <w:trHeight w:val="36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2/3/2021</w:t>
            </w:r>
          </w:p>
        </w:tc>
      </w:tr>
      <w:tr>
        <w:trPr>
          <w:trHeight w:val="473"/>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2/3/2021</w:t>
            </w:r>
          </w:p>
        </w:tc>
      </w:tr>
      <w:tr>
        <w:trPr>
          <w:trHeight w:val="460"/>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6/22/2021</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6/22/2021</w:t>
            </w:r>
          </w:p>
        </w:tc>
      </w:tr>
      <w:tr>
        <w:trPr>
          <w:trHeight w:val="460"/>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12/8/2022</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12/8/2022</w:t>
            </w:r>
          </w:p>
        </w:tc>
      </w:tr>
      <w:tr>
        <w:trPr>
          <w:trHeight w:val="299"/>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3/2/2020</w:t>
            </w:r>
          </w:p>
        </w:tc>
      </w:tr>
      <w:tr>
        <w:trPr>
          <w:trHeight w:val="373"/>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11/22/2011</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4/25/2013</w:t>
            </w:r>
          </w:p>
        </w:tc>
      </w:tr>
      <w:tr>
        <w:trPr>
          <w:trHeight w:val="635"/>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7/21/2016</w:t>
            </w:r>
          </w:p>
        </w:tc>
      </w:tr>
      <w:tr>
        <w:trPr>
          <w:trHeight w:val="709"/>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2/27/2018</w:t>
            </w:r>
          </w:p>
        </w:tc>
      </w:tr>
      <w:tr>
        <w:trPr>
          <w:trHeight w:val="62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10.5</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2/27/2018</w:t>
            </w:r>
          </w:p>
        </w:tc>
      </w:tr>
      <w:tr>
        <w:trPr>
          <w:trHeight w:val="635"/>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3/1/2022</w:t>
            </w:r>
          </w:p>
        </w:tc>
      </w:tr>
      <w:tr>
        <w:trPr>
          <w:trHeight w:val="709"/>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8/9/2022</w:t>
            </w:r>
          </w:p>
        </w:tc>
      </w:tr>
      <w:tr>
        <w:trPr>
          <w:trHeight w:val="62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11/22/2011</w:t>
            </w:r>
          </w:p>
        </w:tc>
      </w:tr>
    </w:tbl>
    <w:p>
      <w:pPr>
        <w:sectPr>
          <w:pgSz w:w="11900" w:h="16838" w:orient="portrait"/>
          <w:cols w:equalWidth="0" w:num="3">
            <w:col w:w="540" w:space="340"/>
            <w:col w:w="6760" w:space="280"/>
            <w:col w:w="3100"/>
          </w:cols>
          <w:pgMar w:left="540" w:top="1061" w:right="339" w:bottom="1440" w:gutter="0" w:footer="0" w:header="0"/>
        </w:sectPr>
      </w:pPr>
    </w:p>
    <w:bookmarkStart w:id="136" w:name="page137"/>
    <w:bookmarkEnd w:id="136"/>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0" w:type="dxa"/>
            <w:vAlign w:val="bottom"/>
            <w:gridSpan w:val="6"/>
          </w:tcPr>
          <w:p>
            <w:pPr>
              <w:jc w:val="center"/>
              <w:ind w:right="100"/>
              <w:spacing w:after="0"/>
              <w:rPr>
                <w:sz w:val="20"/>
                <w:szCs w:val="20"/>
                <w:color w:val="auto"/>
              </w:rPr>
            </w:pPr>
            <w:r>
              <w:rPr>
                <w:rFonts w:ascii="Arial" w:cs="Arial" w:eastAsia="Arial" w:hAnsi="Arial"/>
                <w:sz w:val="15"/>
                <w:szCs w:val="15"/>
                <w:b w:val="1"/>
                <w:bCs w:val="1"/>
                <w:color w:val="auto"/>
                <w:w w:val="91"/>
              </w:rPr>
              <w:t>Exhibit</w:t>
            </w:r>
          </w:p>
        </w:tc>
        <w:tc>
          <w:tcPr>
            <w:tcW w:w="5900" w:type="dxa"/>
            <w:vAlign w:val="bottom"/>
            <w:vMerge w:val="restart"/>
          </w:tcPr>
          <w:p>
            <w:pPr>
              <w:ind w:left="258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96"/>
        </w:trPr>
        <w:tc>
          <w:tcPr>
            <w:tcW w:w="1080" w:type="dxa"/>
            <w:vAlign w:val="bottom"/>
            <w:gridSpan w:val="6"/>
          </w:tcPr>
          <w:p>
            <w:pPr>
              <w:jc w:val="center"/>
              <w:ind w:right="100"/>
              <w:spacing w:after="0"/>
              <w:rPr>
                <w:sz w:val="20"/>
                <w:szCs w:val="20"/>
                <w:color w:val="auto"/>
              </w:rPr>
            </w:pPr>
            <w:r>
              <w:rPr>
                <w:rFonts w:ascii="Arial" w:cs="Arial" w:eastAsia="Arial" w:hAnsi="Arial"/>
                <w:sz w:val="15"/>
                <w:szCs w:val="15"/>
                <w:b w:val="1"/>
                <w:bCs w:val="1"/>
                <w:color w:val="auto"/>
                <w:w w:val="95"/>
              </w:rPr>
              <w:t>Number</w:t>
            </w: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80" w:type="dxa"/>
            <w:vAlign w:val="bottom"/>
            <w:tcBorders>
              <w:top w:val="single" w:sz="8" w:color="auto"/>
            </w:tcBorders>
            <w:gridSpan w:val="4"/>
            <w:vMerge w:val="restart"/>
          </w:tcPr>
          <w:p>
            <w:pPr>
              <w:jc w:val="center"/>
              <w:ind w:left="218"/>
              <w:spacing w:after="0"/>
              <w:rPr>
                <w:rFonts w:ascii="Arial" w:cs="Arial" w:eastAsia="Arial" w:hAnsi="Arial"/>
                <w:sz w:val="17"/>
                <w:szCs w:val="17"/>
                <w:color w:val="0000FF"/>
                <w:w w:val="90"/>
              </w:rPr>
            </w:pPr>
            <w:hyperlink r:id="rId268">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9</w:t>
              </w:r>
            </w:hyperlink>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90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7"/>
                <w:szCs w:val="17"/>
                <w:color w:val="auto"/>
                <w:w w:val="95"/>
              </w:rPr>
              <w:t>First Amendment to License, Services, and Development Agreement, dated as of</w:t>
            </w:r>
          </w:p>
        </w:tc>
        <w:tc>
          <w:tcPr>
            <w:tcW w:w="0" w:type="dxa"/>
            <w:vAlign w:val="bottom"/>
          </w:tcPr>
          <w:p>
            <w:pPr>
              <w:spacing w:after="0"/>
              <w:rPr>
                <w:sz w:val="1"/>
                <w:szCs w:val="1"/>
                <w:color w:val="auto"/>
              </w:rPr>
            </w:pPr>
          </w:p>
        </w:tc>
      </w:tr>
      <w:tr>
        <w:trPr>
          <w:trHeight w:val="174"/>
        </w:trPr>
        <w:tc>
          <w:tcPr>
            <w:tcW w:w="6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89"/>
              </w:rPr>
              <w:t>February 26, 2018, among The Ritz-Carlton Hotel Company, L.L.C., Marriott Vacations</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Worldwide Corporation and the other signatures thereto</w:t>
            </w:r>
          </w:p>
        </w:tc>
        <w:tc>
          <w:tcPr>
            <w:tcW w:w="0" w:type="dxa"/>
            <w:vAlign w:val="bottom"/>
          </w:tcPr>
          <w:p>
            <w:pPr>
              <w:spacing w:after="0"/>
              <w:rPr>
                <w:sz w:val="1"/>
                <w:szCs w:val="1"/>
                <w:color w:val="auto"/>
              </w:rPr>
            </w:pPr>
          </w:p>
        </w:tc>
      </w:tr>
      <w:tr>
        <w:trPr>
          <w:trHeight w:val="162"/>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69">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10</w:t>
              </w:r>
            </w:hyperlink>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tcPr>
          <w:p>
            <w:pPr>
              <w:ind w:left="20"/>
              <w:spacing w:after="0" w:line="162" w:lineRule="exact"/>
              <w:rPr>
                <w:sz w:val="20"/>
                <w:szCs w:val="20"/>
                <w:color w:val="auto"/>
              </w:rPr>
            </w:pPr>
            <w:r>
              <w:rPr>
                <w:rFonts w:ascii="Arial" w:cs="Arial" w:eastAsia="Arial" w:hAnsi="Arial"/>
                <w:sz w:val="17"/>
                <w:szCs w:val="17"/>
                <w:color w:val="auto"/>
                <w:w w:val="90"/>
              </w:rPr>
              <w:t>Employee Benefits and Other Employment Matters Allocation Agreement, entered into</w:t>
            </w:r>
          </w:p>
        </w:tc>
        <w:tc>
          <w:tcPr>
            <w:tcW w:w="0" w:type="dxa"/>
            <w:vAlign w:val="bottom"/>
          </w:tcPr>
          <w:p>
            <w:pPr>
              <w:spacing w:after="0"/>
              <w:rPr>
                <w:sz w:val="1"/>
                <w:szCs w:val="1"/>
                <w:color w:val="auto"/>
              </w:rPr>
            </w:pPr>
          </w:p>
        </w:tc>
      </w:tr>
      <w:tr>
        <w:trPr>
          <w:trHeight w:val="174"/>
        </w:trPr>
        <w:tc>
          <w:tcPr>
            <w:tcW w:w="6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4"/>
              </w:rPr>
              <w:t>on November 17, 2011, between Marriott International, Inc. and Marriott Vacations</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Worldwide Corporation</w:t>
            </w:r>
          </w:p>
        </w:tc>
        <w:tc>
          <w:tcPr>
            <w:tcW w:w="0" w:type="dxa"/>
            <w:vAlign w:val="bottom"/>
          </w:tcPr>
          <w:p>
            <w:pPr>
              <w:spacing w:after="0"/>
              <w:rPr>
                <w:sz w:val="1"/>
                <w:szCs w:val="1"/>
                <w:color w:val="auto"/>
              </w:rPr>
            </w:pPr>
          </w:p>
        </w:tc>
      </w:tr>
      <w:tr>
        <w:trPr>
          <w:trHeight w:val="162"/>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0">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11</w:t>
              </w:r>
            </w:hyperlink>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tcPr>
          <w:p>
            <w:pPr>
              <w:ind w:left="20"/>
              <w:spacing w:after="0" w:line="162" w:lineRule="exact"/>
              <w:rPr>
                <w:sz w:val="20"/>
                <w:szCs w:val="20"/>
                <w:color w:val="auto"/>
              </w:rPr>
            </w:pPr>
            <w:r>
              <w:rPr>
                <w:rFonts w:ascii="Arial" w:cs="Arial" w:eastAsia="Arial" w:hAnsi="Arial"/>
                <w:sz w:val="17"/>
                <w:szCs w:val="17"/>
                <w:color w:val="auto"/>
                <w:w w:val="95"/>
              </w:rPr>
              <w:t>Tax Sharing and Indemnification Agreement, entered into on November 17, 2011,</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w w:val="95"/>
              </w:rPr>
              <w:t>between Marriott International, Inc. and Marriott Vacations Worldwide Corporation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1">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12</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3"/>
              </w:rPr>
              <w:t>Amendment, dated August 2, 2012, between Marriott International, Inc. and Marriott</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w w:val="91"/>
              </w:rPr>
              <w:t>Vacations Worldwide Corporation, to the Tax Sharing and Indemnification Agreement</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2">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13</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0"/>
              </w:rPr>
              <w:t>Marriott Bonvoy Affiliation Agreement, dated as of November 10, 2021, by and among</w:t>
            </w:r>
          </w:p>
        </w:tc>
        <w:tc>
          <w:tcPr>
            <w:tcW w:w="0" w:type="dxa"/>
            <w:vAlign w:val="bottom"/>
          </w:tcPr>
          <w:p>
            <w:pPr>
              <w:spacing w:after="0"/>
              <w:rPr>
                <w:sz w:val="1"/>
                <w:szCs w:val="1"/>
                <w:color w:val="auto"/>
              </w:rPr>
            </w:pPr>
          </w:p>
        </w:tc>
      </w:tr>
      <w:tr>
        <w:trPr>
          <w:trHeight w:val="174"/>
        </w:trPr>
        <w:tc>
          <w:tcPr>
            <w:tcW w:w="6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7"/>
              </w:rPr>
              <w:t>Marriott International, Inc., Marriott Rewards, LLC, Marriott Vacations Worldwide</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Corporation and Marriott Ownership Resorts, Inc.</w:t>
            </w:r>
          </w:p>
        </w:tc>
        <w:tc>
          <w:tcPr>
            <w:tcW w:w="0" w:type="dxa"/>
            <w:vAlign w:val="bottom"/>
          </w:tcPr>
          <w:p>
            <w:pPr>
              <w:spacing w:after="0"/>
              <w:rPr>
                <w:sz w:val="1"/>
                <w:szCs w:val="1"/>
                <w:color w:val="auto"/>
              </w:rPr>
            </w:pPr>
          </w:p>
        </w:tc>
      </w:tr>
      <w:tr>
        <w:trPr>
          <w:trHeight w:val="162"/>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3">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14</w:t>
              </w:r>
            </w:hyperlink>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tcPr>
          <w:p>
            <w:pPr>
              <w:ind w:left="20"/>
              <w:spacing w:after="0" w:line="162" w:lineRule="exact"/>
              <w:rPr>
                <w:sz w:val="20"/>
                <w:szCs w:val="20"/>
                <w:color w:val="auto"/>
              </w:rPr>
            </w:pPr>
            <w:r>
              <w:rPr>
                <w:rFonts w:ascii="Arial" w:cs="Arial" w:eastAsia="Arial" w:hAnsi="Arial"/>
                <w:sz w:val="17"/>
                <w:szCs w:val="17"/>
                <w:color w:val="auto"/>
                <w:w w:val="92"/>
              </w:rPr>
              <w:t>Termination of Noncompetition Agreement, dated as of February 26, 2018, between</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Marriott International, Inc. and Marriott Vacations Worldwide Corporation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4">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15</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4"/>
              </w:rPr>
              <w:t>Marriott Vacations Worldwide Corporation Amended and Restated Stock and Cash</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Incentive Plan*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5">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16</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1"/>
              </w:rPr>
              <w:t>Form of Restricted Stock Unit Agreement – Marriott Vacations Worldwide Corporation</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Stock and Cash Incentive Plan*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6">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17</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rPr>
              <w:t>Form of Stock Appreciation Right Agreement – Marriott Vacations Worldwide</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Corporation Stock and Cash Incentive Plan*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77">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18</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rPr>
              <w:t>Form of Performance Unit Award Agreement – Marriott Vacations Worldwide</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Corporation Stock and Cash Incentive Plan*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86" w:lineRule="exact"/>
              <w:rPr>
                <w:rFonts w:ascii="Arial" w:cs="Arial" w:eastAsia="Arial" w:hAnsi="Arial"/>
                <w:sz w:val="17"/>
                <w:szCs w:val="17"/>
                <w:color w:val="0000FF"/>
                <w:w w:val="89"/>
              </w:rPr>
            </w:pPr>
            <w:hyperlink r:id="rId278">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19</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86" w:lineRule="exact"/>
              <w:rPr>
                <w:sz w:val="20"/>
                <w:szCs w:val="20"/>
                <w:color w:val="auto"/>
              </w:rPr>
            </w:pPr>
            <w:r>
              <w:rPr>
                <w:rFonts w:ascii="Arial" w:cs="Arial" w:eastAsia="Arial" w:hAnsi="Arial"/>
                <w:sz w:val="17"/>
                <w:szCs w:val="17"/>
                <w:color w:val="auto"/>
              </w:rPr>
              <w:t>Form of Non-Employee Director Share Award Confirmation*</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92" w:lineRule="exact"/>
              <w:rPr>
                <w:rFonts w:ascii="Arial" w:cs="Arial" w:eastAsia="Arial" w:hAnsi="Arial"/>
                <w:sz w:val="17"/>
                <w:szCs w:val="17"/>
                <w:color w:val="0000FF"/>
                <w:w w:val="89"/>
              </w:rPr>
            </w:pPr>
            <w:hyperlink r:id="rId279">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20</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Form of Non-Employee Director Stock Appreciation Right Award Agreement*</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92" w:lineRule="exact"/>
              <w:rPr>
                <w:rFonts w:ascii="Arial" w:cs="Arial" w:eastAsia="Arial" w:hAnsi="Arial"/>
                <w:sz w:val="17"/>
                <w:szCs w:val="17"/>
                <w:color w:val="0000FF"/>
                <w:w w:val="89"/>
              </w:rPr>
            </w:pPr>
            <w:hyperlink r:id="rId280">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21</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Form of Director Stock Unit Agreement*</w:t>
            </w:r>
          </w:p>
        </w:tc>
        <w:tc>
          <w:tcPr>
            <w:tcW w:w="0" w:type="dxa"/>
            <w:vAlign w:val="bottom"/>
          </w:tcPr>
          <w:p>
            <w:pPr>
              <w:spacing w:after="0"/>
              <w:rPr>
                <w:sz w:val="1"/>
                <w:szCs w:val="1"/>
                <w:color w:val="auto"/>
              </w:rPr>
            </w:pPr>
          </w:p>
        </w:tc>
      </w:tr>
      <w:tr>
        <w:trPr>
          <w:trHeight w:val="179"/>
        </w:trPr>
        <w:tc>
          <w:tcPr>
            <w:tcW w:w="680" w:type="dxa"/>
            <w:vAlign w:val="bottom"/>
            <w:gridSpan w:val="4"/>
            <w:vMerge w:val="restart"/>
          </w:tcPr>
          <w:p>
            <w:pPr>
              <w:jc w:val="center"/>
              <w:ind w:left="218"/>
              <w:spacing w:after="0"/>
              <w:rPr>
                <w:sz w:val="20"/>
                <w:szCs w:val="20"/>
                <w:color w:val="auto"/>
              </w:rPr>
            </w:pPr>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9" w:lineRule="exact"/>
              <w:rPr>
                <w:sz w:val="20"/>
                <w:szCs w:val="20"/>
                <w:color w:val="auto"/>
              </w:rPr>
            </w:pPr>
            <w:r>
              <w:rPr>
                <w:rFonts w:ascii="Arial" w:cs="Arial" w:eastAsia="Arial" w:hAnsi="Arial"/>
                <w:sz w:val="17"/>
                <w:szCs w:val="17"/>
                <w:color w:val="auto"/>
              </w:rPr>
              <w:t>Form of Stock Appreciation Right Agreement - Marriott Vacations Worldwide</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Corporation 2020 Equity Incentive Plan*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sz w:val="20"/>
                <w:szCs w:val="20"/>
                <w:color w:val="auto"/>
              </w:rPr>
            </w:pPr>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1"/>
              </w:rPr>
              <w:t>Form of Restricted Stock Unit Agreement - Marriott Vacations Worldwide Corporation</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2020 Equity Incentive Plan*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680" w:type="dxa"/>
            <w:vAlign w:val="bottom"/>
            <w:gridSpan w:val="4"/>
            <w:vMerge w:val="restart"/>
          </w:tcPr>
          <w:p>
            <w:pPr>
              <w:jc w:val="center"/>
              <w:ind w:left="218"/>
              <w:spacing w:after="0"/>
              <w:rPr>
                <w:sz w:val="20"/>
                <w:szCs w:val="20"/>
                <w:color w:val="auto"/>
              </w:rPr>
            </w:pPr>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5"/>
              </w:rPr>
              <w:t>Form of Performance Unit Agreement - Marriott Vacations Worldwide Corporation</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2020 Equity Incentive Plan*</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86" w:lineRule="exact"/>
              <w:rPr>
                <w:sz w:val="20"/>
                <w:szCs w:val="20"/>
                <w:color w:val="auto"/>
              </w:rPr>
            </w:pPr>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86" w:lineRule="exact"/>
              <w:rPr>
                <w:sz w:val="20"/>
                <w:szCs w:val="20"/>
                <w:color w:val="auto"/>
              </w:rPr>
            </w:pPr>
            <w:r>
              <w:rPr>
                <w:rFonts w:ascii="Arial" w:cs="Arial" w:eastAsia="Arial" w:hAnsi="Arial"/>
                <w:sz w:val="17"/>
                <w:szCs w:val="17"/>
                <w:color w:val="auto"/>
                <w:w w:val="99"/>
              </w:rPr>
              <w:t>Marriott Vacations Worldwide Corporation Change in Control Severance Plan*</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92" w:lineRule="exact"/>
              <w:rPr>
                <w:sz w:val="20"/>
                <w:szCs w:val="20"/>
                <w:color w:val="auto"/>
              </w:rPr>
            </w:pPr>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Form of Participation Agreement for Change in Control Severance Plan*</w:t>
            </w:r>
          </w:p>
        </w:tc>
        <w:tc>
          <w:tcPr>
            <w:tcW w:w="0" w:type="dxa"/>
            <w:vAlign w:val="bottom"/>
          </w:tcPr>
          <w:p>
            <w:pPr>
              <w:spacing w:after="0"/>
              <w:rPr>
                <w:sz w:val="1"/>
                <w:szCs w:val="1"/>
                <w:color w:val="auto"/>
              </w:rPr>
            </w:pPr>
          </w:p>
        </w:tc>
      </w:tr>
      <w:tr>
        <w:trPr>
          <w:trHeight w:val="179"/>
        </w:trPr>
        <w:tc>
          <w:tcPr>
            <w:tcW w:w="680" w:type="dxa"/>
            <w:vAlign w:val="bottom"/>
            <w:gridSpan w:val="4"/>
            <w:vMerge w:val="restart"/>
          </w:tcPr>
          <w:p>
            <w:pPr>
              <w:jc w:val="center"/>
              <w:ind w:left="218"/>
              <w:spacing w:after="0"/>
              <w:rPr>
                <w:rFonts w:ascii="Arial" w:cs="Arial" w:eastAsia="Arial" w:hAnsi="Arial"/>
                <w:sz w:val="17"/>
                <w:szCs w:val="17"/>
                <w:color w:val="0000FF"/>
                <w:w w:val="89"/>
              </w:rPr>
            </w:pPr>
            <w:hyperlink r:id="rId281">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27</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9" w:lineRule="exact"/>
              <w:rPr>
                <w:sz w:val="20"/>
                <w:szCs w:val="20"/>
                <w:color w:val="auto"/>
              </w:rPr>
            </w:pPr>
            <w:r>
              <w:rPr>
                <w:rFonts w:ascii="Arial" w:cs="Arial" w:eastAsia="Arial" w:hAnsi="Arial"/>
                <w:sz w:val="17"/>
                <w:szCs w:val="17"/>
                <w:color w:val="auto"/>
                <w:w w:val="91"/>
              </w:rPr>
              <w:t>Marriott Vacations Worldwide Corporation Deferred Compensation Plan Revised July</w:t>
            </w:r>
          </w:p>
        </w:tc>
        <w:tc>
          <w:tcPr>
            <w:tcW w:w="0" w:type="dxa"/>
            <w:vAlign w:val="bottom"/>
          </w:tcPr>
          <w:p>
            <w:pPr>
              <w:spacing w:after="0"/>
              <w:rPr>
                <w:sz w:val="1"/>
                <w:szCs w:val="1"/>
                <w:color w:val="auto"/>
              </w:rPr>
            </w:pPr>
          </w:p>
        </w:tc>
      </w:tr>
      <w:tr>
        <w:trPr>
          <w:trHeight w:val="100"/>
        </w:trPr>
        <w:tc>
          <w:tcPr>
            <w:tcW w:w="6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restart"/>
          </w:tcPr>
          <w:p>
            <w:pPr>
              <w:ind w:left="20"/>
              <w:spacing w:after="0"/>
              <w:rPr>
                <w:sz w:val="20"/>
                <w:szCs w:val="20"/>
                <w:color w:val="auto"/>
              </w:rPr>
            </w:pPr>
            <w:r>
              <w:rPr>
                <w:rFonts w:ascii="Arial" w:cs="Arial" w:eastAsia="Arial" w:hAnsi="Arial"/>
                <w:sz w:val="17"/>
                <w:szCs w:val="17"/>
                <w:color w:val="auto"/>
              </w:rPr>
              <w:t>29, 2022*</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86" w:lineRule="exact"/>
              <w:rPr>
                <w:rFonts w:ascii="Arial" w:cs="Arial" w:eastAsia="Arial" w:hAnsi="Arial"/>
                <w:sz w:val="17"/>
                <w:szCs w:val="17"/>
                <w:color w:val="0000FF"/>
                <w:w w:val="89"/>
              </w:rPr>
            </w:pPr>
            <w:hyperlink r:id="rId282">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28</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86" w:lineRule="exact"/>
              <w:rPr>
                <w:sz w:val="20"/>
                <w:szCs w:val="20"/>
                <w:color w:val="auto"/>
              </w:rPr>
            </w:pPr>
            <w:r>
              <w:rPr>
                <w:rFonts w:ascii="Arial" w:cs="Arial" w:eastAsia="Arial" w:hAnsi="Arial"/>
                <w:sz w:val="17"/>
                <w:szCs w:val="17"/>
                <w:color w:val="auto"/>
                <w:w w:val="97"/>
              </w:rPr>
              <w:t>Marriott Vacations Worldwide Corporation Executive Long-Term Disability Plan*</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92" w:lineRule="exact"/>
              <w:rPr>
                <w:rFonts w:ascii="Arial" w:cs="Arial" w:eastAsia="Arial" w:hAnsi="Arial"/>
                <w:sz w:val="17"/>
                <w:szCs w:val="17"/>
                <w:color w:val="0000FF"/>
                <w:w w:val="89"/>
              </w:rPr>
            </w:pPr>
            <w:hyperlink r:id="rId283">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29</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Marriott Vacations Worldwide Corporation Employee Stock Purchase Plan*</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92" w:lineRule="exact"/>
              <w:rPr>
                <w:rFonts w:ascii="Arial" w:cs="Arial" w:eastAsia="Arial" w:hAnsi="Arial"/>
                <w:sz w:val="17"/>
                <w:szCs w:val="17"/>
                <w:color w:val="0000FF"/>
                <w:w w:val="89"/>
              </w:rPr>
            </w:pPr>
            <w:hyperlink r:id="rId284">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30</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Form of Warrant Confirmation</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380" w:type="dxa"/>
            <w:vAlign w:val="bottom"/>
            <w:tcBorders>
              <w:bottom w:val="single" w:sz="8" w:color="0000FF"/>
            </w:tcBorders>
            <w:gridSpan w:val="3"/>
          </w:tcPr>
          <w:p>
            <w:pPr>
              <w:jc w:val="center"/>
              <w:spacing w:after="0" w:line="192" w:lineRule="exact"/>
              <w:rPr>
                <w:rFonts w:ascii="Arial" w:cs="Arial" w:eastAsia="Arial" w:hAnsi="Arial"/>
                <w:sz w:val="17"/>
                <w:szCs w:val="17"/>
                <w:color w:val="0000FF"/>
                <w:w w:val="89"/>
              </w:rPr>
            </w:pPr>
            <w:hyperlink r:id="rId285">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31</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Form of Amendment Agreement to Warrant Confirmation</w:t>
            </w:r>
          </w:p>
        </w:tc>
        <w:tc>
          <w:tcPr>
            <w:tcW w:w="0" w:type="dxa"/>
            <w:vAlign w:val="bottom"/>
          </w:tcPr>
          <w:p>
            <w:pPr>
              <w:spacing w:after="0"/>
              <w:rPr>
                <w:sz w:val="1"/>
                <w:szCs w:val="1"/>
                <w:color w:val="auto"/>
              </w:rPr>
            </w:pPr>
          </w:p>
        </w:tc>
      </w:tr>
      <w:tr>
        <w:trPr>
          <w:trHeight w:val="179"/>
        </w:trPr>
        <w:tc>
          <w:tcPr>
            <w:tcW w:w="300" w:type="dxa"/>
            <w:vAlign w:val="bottom"/>
            <w:vMerge w:val="restart"/>
          </w:tcPr>
          <w:p>
            <w:pPr>
              <w:spacing w:after="0"/>
              <w:rPr>
                <w:sz w:val="15"/>
                <w:szCs w:val="15"/>
                <w:color w:val="auto"/>
              </w:rPr>
            </w:pPr>
          </w:p>
        </w:tc>
        <w:tc>
          <w:tcPr>
            <w:tcW w:w="380" w:type="dxa"/>
            <w:vAlign w:val="bottom"/>
            <w:gridSpan w:val="3"/>
            <w:vMerge w:val="restart"/>
          </w:tcPr>
          <w:p>
            <w:pPr>
              <w:jc w:val="center"/>
              <w:spacing w:after="0"/>
              <w:rPr>
                <w:rFonts w:ascii="Arial" w:cs="Arial" w:eastAsia="Arial" w:hAnsi="Arial"/>
                <w:sz w:val="17"/>
                <w:szCs w:val="17"/>
                <w:color w:val="0000FF"/>
                <w:w w:val="89"/>
              </w:rPr>
            </w:pPr>
            <w:hyperlink r:id="rId286">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32</w:t>
              </w:r>
            </w:hyperlink>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9" w:lineRule="exact"/>
              <w:rPr>
                <w:sz w:val="20"/>
                <w:szCs w:val="20"/>
                <w:color w:val="auto"/>
              </w:rPr>
            </w:pPr>
            <w:r>
              <w:rPr>
                <w:rFonts w:ascii="Arial" w:cs="Arial" w:eastAsia="Arial" w:hAnsi="Arial"/>
                <w:sz w:val="17"/>
                <w:szCs w:val="17"/>
                <w:color w:val="auto"/>
                <w:w w:val="91"/>
              </w:rPr>
              <w:t>Credit Agreement, dated as of August 31, 2018, among Marriott Vacations Worldwide</w:t>
            </w:r>
          </w:p>
        </w:tc>
        <w:tc>
          <w:tcPr>
            <w:tcW w:w="0" w:type="dxa"/>
            <w:vAlign w:val="bottom"/>
          </w:tcPr>
          <w:p>
            <w:pPr>
              <w:spacing w:after="0"/>
              <w:rPr>
                <w:sz w:val="1"/>
                <w:szCs w:val="1"/>
                <w:color w:val="auto"/>
              </w:rPr>
            </w:pPr>
          </w:p>
        </w:tc>
      </w:tr>
      <w:tr>
        <w:trPr>
          <w:trHeight w:val="179"/>
        </w:trPr>
        <w:tc>
          <w:tcPr>
            <w:tcW w:w="300" w:type="dxa"/>
            <w:vAlign w:val="bottom"/>
            <w:vMerge w:val="continue"/>
          </w:tcPr>
          <w:p>
            <w:pPr>
              <w:spacing w:after="0"/>
              <w:rPr>
                <w:sz w:val="15"/>
                <w:szCs w:val="15"/>
                <w:color w:val="auto"/>
              </w:rPr>
            </w:pPr>
          </w:p>
        </w:tc>
        <w:tc>
          <w:tcPr>
            <w:tcW w:w="380" w:type="dxa"/>
            <w:vAlign w:val="bottom"/>
            <w:tcBorders>
              <w:bottom w:val="single" w:sz="8" w:color="0000FF"/>
            </w:tcBorders>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0"/>
              </w:rPr>
              <w:t>Corporation, Marriott Ownership Resorts, Inc., the lenders party thereto and JPMorgan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-4471670</wp:posOffset>
            </wp:positionV>
            <wp:extent cx="7143115" cy="2451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7143115" cy="2451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-3982085</wp:posOffset>
            </wp:positionV>
            <wp:extent cx="7143115" cy="3479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7143115" cy="3479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-3388995</wp:posOffset>
            </wp:positionV>
            <wp:extent cx="7143115" cy="2451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7143115" cy="2451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-2899410</wp:posOffset>
            </wp:positionV>
            <wp:extent cx="7143115" cy="2451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7143115" cy="2451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-2409190</wp:posOffset>
            </wp:positionV>
            <wp:extent cx="7143115" cy="134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-2140585</wp:posOffset>
            </wp:positionV>
            <wp:extent cx="7143115" cy="134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-1761490</wp:posOffset>
            </wp:positionV>
            <wp:extent cx="7143115" cy="2451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7143115" cy="2451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-1271270</wp:posOffset>
            </wp:positionV>
            <wp:extent cx="7143115" cy="134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-1002665</wp:posOffset>
            </wp:positionV>
            <wp:extent cx="7143115" cy="2451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7143115" cy="2451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-623570</wp:posOffset>
            </wp:positionV>
            <wp:extent cx="7143115" cy="134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-354965</wp:posOffset>
            </wp:positionV>
            <wp:extent cx="7143115" cy="134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-5174615</wp:posOffset>
            </wp:positionV>
            <wp:extent cx="7143115" cy="355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7143115" cy="3556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color w:val="auto"/>
        </w:rPr>
        <w:t>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Filed</w:t>
      </w:r>
    </w:p>
    <w:p>
      <w:pPr>
        <w:jc w:val="center"/>
        <w:spacing w:after="0"/>
        <w:rPr>
          <w:sz w:val="20"/>
          <w:szCs w:val="20"/>
          <w:color w:val="auto"/>
        </w:rPr>
      </w:pPr>
      <w:r>
        <w:rPr>
          <w:rFonts w:ascii="Arial" w:cs="Arial" w:eastAsia="Arial" w:hAnsi="Arial"/>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X</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X</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5"/>
          <w:szCs w:val="15"/>
          <w:b w:val="1"/>
          <w:bCs w:val="1"/>
          <w:color w:val="auto"/>
        </w:rPr>
        <w:t>Incorporation By Reference From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5"/>
                <w:szCs w:val="15"/>
                <w:b w:val="1"/>
                <w:bCs w:val="1"/>
                <w:color w:val="auto"/>
              </w:rPr>
              <w:t>Exhibit</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b w:val="1"/>
                <w:bCs w:val="1"/>
                <w:color w:val="auto"/>
              </w:rPr>
              <w:t>Date Filed</w:t>
            </w:r>
          </w:p>
        </w:tc>
      </w:tr>
      <w:tr>
        <w:trPr>
          <w:trHeight w:val="36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2/27/2018</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11/22/2011</w:t>
            </w:r>
          </w:p>
        </w:tc>
      </w:tr>
      <w:tr>
        <w:trPr>
          <w:trHeight w:val="473"/>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11/22/2011</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10/18/2012</w:t>
            </w:r>
          </w:p>
        </w:tc>
      </w:tr>
      <w:tr>
        <w:trPr>
          <w:trHeight w:val="460"/>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3/1/2022</w:t>
            </w:r>
          </w:p>
        </w:tc>
      </w:tr>
      <w:tr>
        <w:trPr>
          <w:trHeight w:val="473"/>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2/27/2018</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2/23/2017</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12/9/2011</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12/9/2011</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3/16/2012</w:t>
            </w:r>
          </w:p>
        </w:tc>
      </w:tr>
      <w:tr>
        <w:trPr>
          <w:trHeight w:val="29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2/25/2016</w:t>
            </w:r>
          </w:p>
        </w:tc>
      </w:tr>
      <w:tr>
        <w:trPr>
          <w:trHeight w:val="21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10.16</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3/21/2012</w:t>
            </w:r>
          </w:p>
        </w:tc>
      </w:tr>
      <w:tr>
        <w:trPr>
          <w:trHeight w:val="21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4/30/2015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640" w:type="dxa"/>
            <w:vAlign w:val="bottom"/>
          </w:tcPr>
          <w:p>
            <w:pPr>
              <w:jc w:val="center"/>
              <w:ind w:right="217"/>
              <w:spacing w:after="0"/>
              <w:rPr>
                <w:sz w:val="20"/>
                <w:szCs w:val="20"/>
                <w:color w:val="auto"/>
              </w:rPr>
            </w:pPr>
            <w:r>
              <w:rPr>
                <w:rFonts w:ascii="Arial" w:cs="Arial" w:eastAsia="Arial" w:hAnsi="Arial"/>
                <w:sz w:val="17"/>
                <w:szCs w:val="17"/>
                <w:color w:val="auto"/>
                <w:w w:val="89"/>
              </w:rPr>
              <w:t>10-Q</w:t>
            </w: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10.4</w:t>
            </w:r>
          </w:p>
        </w:tc>
        <w:tc>
          <w:tcPr>
            <w:tcW w:w="1000" w:type="dxa"/>
            <w:vAlign w:val="bottom"/>
          </w:tcPr>
          <w:p>
            <w:pPr>
              <w:jc w:val="center"/>
              <w:ind w:left="257"/>
              <w:spacing w:after="0"/>
              <w:rPr>
                <w:sz w:val="20"/>
                <w:szCs w:val="20"/>
                <w:color w:val="auto"/>
              </w:rPr>
            </w:pPr>
            <w:r>
              <w:rPr>
                <w:rFonts w:ascii="Arial" w:cs="Arial" w:eastAsia="Arial" w:hAnsi="Arial"/>
                <w:sz w:val="17"/>
                <w:szCs w:val="17"/>
                <w:color w:val="auto"/>
                <w:w w:val="87"/>
              </w:rPr>
              <w:t>8/9/2022</w:t>
            </w:r>
          </w:p>
        </w:tc>
      </w:tr>
      <w:tr>
        <w:trPr>
          <w:trHeight w:val="298"/>
        </w:trPr>
        <w:tc>
          <w:tcPr>
            <w:tcW w:w="640" w:type="dxa"/>
            <w:vAlign w:val="bottom"/>
          </w:tcPr>
          <w:p>
            <w:pPr>
              <w:jc w:val="center"/>
              <w:ind w:right="217"/>
              <w:spacing w:after="0"/>
              <w:rPr>
                <w:sz w:val="20"/>
                <w:szCs w:val="20"/>
                <w:color w:val="auto"/>
              </w:rPr>
            </w:pPr>
            <w:r>
              <w:rPr>
                <w:rFonts w:ascii="Arial" w:cs="Arial" w:eastAsia="Arial" w:hAnsi="Arial"/>
                <w:sz w:val="17"/>
                <w:szCs w:val="17"/>
                <w:color w:val="auto"/>
                <w:w w:val="94"/>
              </w:rPr>
              <w:t>10-K</w:t>
            </w: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10.21</w:t>
            </w:r>
          </w:p>
        </w:tc>
        <w:tc>
          <w:tcPr>
            <w:tcW w:w="1000" w:type="dxa"/>
            <w:vAlign w:val="bottom"/>
          </w:tcPr>
          <w:p>
            <w:pPr>
              <w:jc w:val="center"/>
              <w:ind w:left="257"/>
              <w:spacing w:after="0"/>
              <w:rPr>
                <w:sz w:val="20"/>
                <w:szCs w:val="20"/>
                <w:color w:val="auto"/>
              </w:rPr>
            </w:pPr>
            <w:r>
              <w:rPr>
                <w:rFonts w:ascii="Arial" w:cs="Arial" w:eastAsia="Arial" w:hAnsi="Arial"/>
                <w:sz w:val="17"/>
                <w:szCs w:val="17"/>
                <w:color w:val="auto"/>
                <w:w w:val="87"/>
              </w:rPr>
              <w:t>2/26/2015</w:t>
            </w:r>
          </w:p>
        </w:tc>
      </w:tr>
      <w:tr>
        <w:trPr>
          <w:trHeight w:val="212"/>
        </w:trPr>
        <w:tc>
          <w:tcPr>
            <w:tcW w:w="640" w:type="dxa"/>
            <w:vAlign w:val="bottom"/>
          </w:tcPr>
          <w:p>
            <w:pPr>
              <w:jc w:val="center"/>
              <w:ind w:right="217"/>
              <w:spacing w:after="0"/>
              <w:rPr>
                <w:sz w:val="20"/>
                <w:szCs w:val="20"/>
                <w:color w:val="auto"/>
              </w:rPr>
            </w:pPr>
            <w:r>
              <w:rPr>
                <w:rFonts w:ascii="Arial" w:cs="Arial" w:eastAsia="Arial" w:hAnsi="Arial"/>
                <w:sz w:val="17"/>
                <w:szCs w:val="17"/>
                <w:color w:val="auto"/>
                <w:w w:val="98"/>
              </w:rPr>
              <w:t>8-K</w:t>
            </w: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0" w:type="dxa"/>
            <w:vAlign w:val="bottom"/>
          </w:tcPr>
          <w:p>
            <w:pPr>
              <w:jc w:val="center"/>
              <w:ind w:left="257"/>
              <w:spacing w:after="0"/>
              <w:rPr>
                <w:sz w:val="20"/>
                <w:szCs w:val="20"/>
                <w:color w:val="auto"/>
              </w:rPr>
            </w:pPr>
            <w:r>
              <w:rPr>
                <w:rFonts w:ascii="Arial" w:cs="Arial" w:eastAsia="Arial" w:hAnsi="Arial"/>
                <w:sz w:val="17"/>
                <w:szCs w:val="17"/>
                <w:color w:val="auto"/>
                <w:w w:val="87"/>
              </w:rPr>
              <w:t>6/11/2015</w:t>
            </w:r>
          </w:p>
        </w:tc>
      </w:tr>
      <w:tr>
        <w:trPr>
          <w:trHeight w:val="212"/>
        </w:trPr>
        <w:tc>
          <w:tcPr>
            <w:tcW w:w="640" w:type="dxa"/>
            <w:vAlign w:val="bottom"/>
          </w:tcPr>
          <w:p>
            <w:pPr>
              <w:jc w:val="center"/>
              <w:ind w:right="217"/>
              <w:spacing w:after="0"/>
              <w:rPr>
                <w:sz w:val="20"/>
                <w:szCs w:val="20"/>
                <w:color w:val="auto"/>
              </w:rPr>
            </w:pPr>
            <w:r>
              <w:rPr>
                <w:rFonts w:ascii="Arial" w:cs="Arial" w:eastAsia="Arial" w:hAnsi="Arial"/>
                <w:sz w:val="17"/>
                <w:szCs w:val="17"/>
                <w:color w:val="auto"/>
                <w:w w:val="89"/>
              </w:rPr>
              <w:t>10-Q</w:t>
            </w: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0" w:type="dxa"/>
            <w:vAlign w:val="bottom"/>
          </w:tcPr>
          <w:p>
            <w:pPr>
              <w:jc w:val="center"/>
              <w:ind w:left="257"/>
              <w:spacing w:after="0"/>
              <w:rPr>
                <w:sz w:val="20"/>
                <w:szCs w:val="20"/>
                <w:color w:val="auto"/>
              </w:rPr>
            </w:pPr>
            <w:r>
              <w:rPr>
                <w:rFonts w:ascii="Arial" w:cs="Arial" w:eastAsia="Arial" w:hAnsi="Arial"/>
                <w:sz w:val="17"/>
                <w:szCs w:val="17"/>
                <w:color w:val="auto"/>
                <w:w w:val="87"/>
              </w:rPr>
              <w:t>11/2/2017</w:t>
            </w:r>
          </w:p>
        </w:tc>
      </w:tr>
      <w:tr>
        <w:trPr>
          <w:trHeight w:val="212"/>
        </w:trPr>
        <w:tc>
          <w:tcPr>
            <w:tcW w:w="640" w:type="dxa"/>
            <w:vAlign w:val="bottom"/>
          </w:tcPr>
          <w:p>
            <w:pPr>
              <w:jc w:val="center"/>
              <w:ind w:right="217"/>
              <w:spacing w:after="0"/>
              <w:rPr>
                <w:sz w:val="20"/>
                <w:szCs w:val="20"/>
                <w:color w:val="auto"/>
              </w:rPr>
            </w:pPr>
            <w:r>
              <w:rPr>
                <w:rFonts w:ascii="Arial" w:cs="Arial" w:eastAsia="Arial" w:hAnsi="Arial"/>
                <w:sz w:val="17"/>
                <w:szCs w:val="17"/>
                <w:color w:val="auto"/>
                <w:w w:val="94"/>
              </w:rPr>
              <w:t>10-K</w:t>
            </w: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10.54</w:t>
            </w:r>
          </w:p>
        </w:tc>
        <w:tc>
          <w:tcPr>
            <w:tcW w:w="1000" w:type="dxa"/>
            <w:vAlign w:val="bottom"/>
          </w:tcPr>
          <w:p>
            <w:pPr>
              <w:jc w:val="center"/>
              <w:ind w:left="257"/>
              <w:spacing w:after="0"/>
              <w:rPr>
                <w:sz w:val="20"/>
                <w:szCs w:val="20"/>
                <w:color w:val="auto"/>
              </w:rPr>
            </w:pPr>
            <w:r>
              <w:rPr>
                <w:rFonts w:ascii="Arial" w:cs="Arial" w:eastAsia="Arial" w:hAnsi="Arial"/>
                <w:sz w:val="17"/>
                <w:szCs w:val="17"/>
                <w:color w:val="auto"/>
                <w:w w:val="87"/>
              </w:rPr>
              <w:t>3/1/2019</w:t>
            </w:r>
          </w:p>
        </w:tc>
      </w:tr>
      <w:tr>
        <w:trPr>
          <w:trHeight w:val="373"/>
        </w:trPr>
        <w:tc>
          <w:tcPr>
            <w:tcW w:w="640" w:type="dxa"/>
            <w:vAlign w:val="bottom"/>
          </w:tcPr>
          <w:p>
            <w:pPr>
              <w:jc w:val="center"/>
              <w:ind w:right="217"/>
              <w:spacing w:after="0"/>
              <w:rPr>
                <w:sz w:val="20"/>
                <w:szCs w:val="20"/>
                <w:color w:val="auto"/>
              </w:rPr>
            </w:pPr>
            <w:r>
              <w:rPr>
                <w:rFonts w:ascii="Arial" w:cs="Arial" w:eastAsia="Arial" w:hAnsi="Arial"/>
                <w:sz w:val="17"/>
                <w:szCs w:val="17"/>
                <w:color w:val="auto"/>
                <w:w w:val="98"/>
              </w:rPr>
              <w:t>8-K</w:t>
            </w:r>
          </w:p>
        </w:tc>
        <w:tc>
          <w:tcPr>
            <w:tcW w:w="1000" w:type="dxa"/>
            <w:vAlign w:val="bottom"/>
          </w:tcPr>
          <w:p>
            <w:pPr>
              <w:jc w:val="center"/>
              <w:spacing w:after="0"/>
              <w:rPr>
                <w:sz w:val="20"/>
                <w:szCs w:val="20"/>
                <w:color w:val="auto"/>
              </w:rPr>
            </w:pPr>
            <w:r>
              <w:rPr>
                <w:rFonts w:ascii="Arial" w:cs="Arial" w:eastAsia="Arial" w:hAnsi="Arial"/>
                <w:sz w:val="17"/>
                <w:szCs w:val="17"/>
                <w:color w:val="auto"/>
                <w:w w:val="84"/>
              </w:rPr>
              <w:t>4.9</w:t>
            </w:r>
          </w:p>
        </w:tc>
        <w:tc>
          <w:tcPr>
            <w:tcW w:w="1000" w:type="dxa"/>
            <w:vAlign w:val="bottom"/>
          </w:tcPr>
          <w:p>
            <w:pPr>
              <w:jc w:val="center"/>
              <w:ind w:left="257"/>
              <w:spacing w:after="0"/>
              <w:rPr>
                <w:sz w:val="20"/>
                <w:szCs w:val="20"/>
                <w:color w:val="auto"/>
              </w:rPr>
            </w:pPr>
            <w:r>
              <w:rPr>
                <w:rFonts w:ascii="Arial" w:cs="Arial" w:eastAsia="Arial" w:hAnsi="Arial"/>
                <w:sz w:val="17"/>
                <w:szCs w:val="17"/>
                <w:color w:val="auto"/>
                <w:w w:val="87"/>
              </w:rPr>
              <w:t>9/5/2018</w:t>
            </w:r>
          </w:p>
        </w:tc>
      </w:tr>
    </w:tbl>
    <w:p>
      <w:pPr>
        <w:sectPr>
          <w:pgSz w:w="11900" w:h="16838" w:orient="portrait"/>
          <w:cols w:equalWidth="0" w:num="3">
            <w:col w:w="6980" w:space="280"/>
            <w:col w:w="600" w:space="280"/>
            <w:col w:w="3100"/>
          </w:cols>
          <w:pgMar w:left="320" w:top="1060" w:right="339" w:bottom="1440" w:gutter="0" w:footer="0" w:header="0"/>
        </w:sectPr>
      </w:pPr>
    </w:p>
    <w:bookmarkStart w:id="137" w:name="page138"/>
    <w:bookmarkEnd w:id="137"/>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83" w:lineRule="exact"/>
        <w:rPr>
          <w:sz w:val="20"/>
          <w:szCs w:val="20"/>
          <w:color w:val="auto"/>
        </w:rPr>
      </w:pPr>
    </w:p>
    <w:p>
      <w:pPr>
        <w:ind w:left="80"/>
        <w:spacing w:after="0"/>
        <w:rPr>
          <w:rFonts w:ascii="Arial" w:cs="Arial" w:eastAsia="Arial" w:hAnsi="Arial"/>
          <w:sz w:val="17"/>
          <w:szCs w:val="17"/>
          <w:u w:val="single" w:color="auto"/>
          <w:color w:val="0000FF"/>
        </w:rPr>
      </w:pPr>
      <w:hyperlink r:id="rId300">
        <w:r>
          <w:rPr>
            <w:rFonts w:ascii="Arial" w:cs="Arial" w:eastAsia="Arial" w:hAnsi="Arial"/>
            <w:sz w:val="17"/>
            <w:szCs w:val="17"/>
            <w:u w:val="single" w:color="auto"/>
            <w:color w:val="0000FF"/>
          </w:rPr>
          <w:t>10.33</w:t>
        </w:r>
      </w:hyperlink>
    </w:p>
    <w:p>
      <w:pPr>
        <w:spacing w:after="0" w:line="200" w:lineRule="exact"/>
        <w:rPr>
          <w:sz w:val="20"/>
          <w:szCs w:val="20"/>
          <w:color w:val="auto"/>
        </w:rPr>
      </w:pPr>
    </w:p>
    <w:p>
      <w:pPr>
        <w:spacing w:after="0" w:line="314" w:lineRule="exact"/>
        <w:rPr>
          <w:sz w:val="20"/>
          <w:szCs w:val="20"/>
          <w:color w:val="auto"/>
        </w:rPr>
      </w:pPr>
    </w:p>
    <w:p>
      <w:pPr>
        <w:ind w:left="80"/>
        <w:spacing w:after="0"/>
        <w:rPr>
          <w:rFonts w:ascii="Arial" w:cs="Arial" w:eastAsia="Arial" w:hAnsi="Arial"/>
          <w:sz w:val="17"/>
          <w:szCs w:val="17"/>
          <w:u w:val="single" w:color="auto"/>
          <w:color w:val="0000FF"/>
        </w:rPr>
      </w:pPr>
      <w:hyperlink r:id="rId301">
        <w:r>
          <w:rPr>
            <w:rFonts w:ascii="Arial" w:cs="Arial" w:eastAsia="Arial" w:hAnsi="Arial"/>
            <w:sz w:val="17"/>
            <w:szCs w:val="17"/>
            <w:u w:val="single" w:color="auto"/>
            <w:color w:val="0000FF"/>
          </w:rPr>
          <w:t>10.34</w:t>
        </w:r>
      </w:hyperlink>
    </w:p>
    <w:p>
      <w:pPr>
        <w:spacing w:after="0" w:line="352" w:lineRule="exact"/>
        <w:rPr>
          <w:sz w:val="20"/>
          <w:szCs w:val="20"/>
          <w:color w:val="auto"/>
        </w:rPr>
      </w:pPr>
    </w:p>
    <w:p>
      <w:pPr>
        <w:ind w:left="80"/>
        <w:spacing w:after="0"/>
        <w:rPr>
          <w:rFonts w:ascii="Arial" w:cs="Arial" w:eastAsia="Arial" w:hAnsi="Arial"/>
          <w:sz w:val="17"/>
          <w:szCs w:val="17"/>
          <w:u w:val="single" w:color="auto"/>
          <w:color w:val="0000FF"/>
        </w:rPr>
      </w:pPr>
      <w:hyperlink r:id="rId302">
        <w:r>
          <w:rPr>
            <w:rFonts w:ascii="Arial" w:cs="Arial" w:eastAsia="Arial" w:hAnsi="Arial"/>
            <w:sz w:val="17"/>
            <w:szCs w:val="17"/>
            <w:u w:val="single" w:color="auto"/>
            <w:color w:val="0000FF"/>
          </w:rPr>
          <w:t>10.35</w:t>
        </w:r>
      </w:hyperlink>
    </w:p>
    <w:p>
      <w:pPr>
        <w:spacing w:after="0" w:line="103" w:lineRule="exact"/>
        <w:rPr>
          <w:sz w:val="20"/>
          <w:szCs w:val="20"/>
          <w:color w:val="auto"/>
        </w:rPr>
      </w:pPr>
    </w:p>
    <w:p>
      <w:pPr>
        <w:ind w:left="80"/>
        <w:spacing w:after="0"/>
        <w:rPr>
          <w:rFonts w:ascii="Arial" w:cs="Arial" w:eastAsia="Arial" w:hAnsi="Arial"/>
          <w:sz w:val="17"/>
          <w:szCs w:val="17"/>
          <w:u w:val="single" w:color="auto"/>
          <w:color w:val="0000FF"/>
        </w:rPr>
      </w:pPr>
      <w:hyperlink r:id="rId303">
        <w:r>
          <w:rPr>
            <w:rFonts w:ascii="Arial" w:cs="Arial" w:eastAsia="Arial" w:hAnsi="Arial"/>
            <w:sz w:val="17"/>
            <w:szCs w:val="17"/>
            <w:u w:val="single" w:color="auto"/>
            <w:color w:val="0000FF"/>
          </w:rPr>
          <w:t>10.36</w:t>
        </w:r>
      </w:hyperlink>
    </w:p>
    <w:p>
      <w:pPr>
        <w:spacing w:after="0" w:line="103" w:lineRule="exact"/>
        <w:rPr>
          <w:sz w:val="20"/>
          <w:szCs w:val="20"/>
          <w:color w:val="auto"/>
        </w:rPr>
      </w:pPr>
    </w:p>
    <w:p>
      <w:pPr>
        <w:ind w:left="80"/>
        <w:spacing w:after="0"/>
        <w:rPr>
          <w:rFonts w:ascii="Arial" w:cs="Arial" w:eastAsia="Arial" w:hAnsi="Arial"/>
          <w:sz w:val="17"/>
          <w:szCs w:val="17"/>
          <w:u w:val="single" w:color="auto"/>
          <w:color w:val="0000FF"/>
        </w:rPr>
      </w:pPr>
      <w:hyperlink r:id="rId304">
        <w:r>
          <w:rPr>
            <w:rFonts w:ascii="Arial" w:cs="Arial" w:eastAsia="Arial" w:hAnsi="Arial"/>
            <w:sz w:val="17"/>
            <w:szCs w:val="17"/>
            <w:u w:val="single" w:color="auto"/>
            <w:color w:val="0000FF"/>
          </w:rPr>
          <w:t>10.37</w:t>
        </w:r>
      </w:hyperlink>
    </w:p>
    <w:p>
      <w:pPr>
        <w:spacing w:after="0" w:line="190" w:lineRule="exact"/>
        <w:rPr>
          <w:sz w:val="20"/>
          <w:szCs w:val="20"/>
          <w:color w:val="auto"/>
        </w:rPr>
      </w:pPr>
    </w:p>
    <w:p>
      <w:pPr>
        <w:ind w:left="80"/>
        <w:spacing w:after="0"/>
        <w:rPr>
          <w:rFonts w:ascii="Arial" w:cs="Arial" w:eastAsia="Arial" w:hAnsi="Arial"/>
          <w:sz w:val="17"/>
          <w:szCs w:val="17"/>
          <w:u w:val="single" w:color="auto"/>
          <w:color w:val="0000FF"/>
        </w:rPr>
      </w:pPr>
      <w:hyperlink r:id="rId305">
        <w:r>
          <w:rPr>
            <w:rFonts w:ascii="Arial" w:cs="Arial" w:eastAsia="Arial" w:hAnsi="Arial"/>
            <w:sz w:val="17"/>
            <w:szCs w:val="17"/>
            <w:u w:val="single" w:color="auto"/>
            <w:color w:val="0000FF"/>
          </w:rPr>
          <w:t>10.38</w:t>
        </w:r>
      </w:hyperlink>
    </w:p>
    <w:p>
      <w:pPr>
        <w:spacing w:after="0" w:line="190" w:lineRule="exact"/>
        <w:rPr>
          <w:sz w:val="20"/>
          <w:szCs w:val="20"/>
          <w:color w:val="auto"/>
        </w:rPr>
      </w:pPr>
    </w:p>
    <w:p>
      <w:pPr>
        <w:ind w:left="80"/>
        <w:spacing w:after="0"/>
        <w:rPr>
          <w:rFonts w:ascii="Arial" w:cs="Arial" w:eastAsia="Arial" w:hAnsi="Arial"/>
          <w:sz w:val="17"/>
          <w:szCs w:val="17"/>
          <w:u w:val="single" w:color="auto"/>
          <w:color w:val="0000FF"/>
        </w:rPr>
      </w:pPr>
      <w:hyperlink r:id="rId306">
        <w:r>
          <w:rPr>
            <w:rFonts w:ascii="Arial" w:cs="Arial" w:eastAsia="Arial" w:hAnsi="Arial"/>
            <w:sz w:val="17"/>
            <w:szCs w:val="17"/>
            <w:u w:val="single" w:color="auto"/>
            <w:color w:val="0000FF"/>
          </w:rPr>
          <w:t>10.39</w:t>
        </w:r>
      </w:hyperlink>
    </w:p>
    <w:p>
      <w:pPr>
        <w:spacing w:after="0" w:line="190" w:lineRule="exact"/>
        <w:rPr>
          <w:sz w:val="20"/>
          <w:szCs w:val="20"/>
          <w:color w:val="auto"/>
        </w:rPr>
      </w:pPr>
    </w:p>
    <w:p>
      <w:pPr>
        <w:ind w:left="80"/>
        <w:spacing w:after="0"/>
        <w:rPr>
          <w:rFonts w:ascii="Arial" w:cs="Arial" w:eastAsia="Arial" w:hAnsi="Arial"/>
          <w:sz w:val="17"/>
          <w:szCs w:val="17"/>
          <w:u w:val="single" w:color="auto"/>
          <w:color w:val="0000FF"/>
        </w:rPr>
      </w:pPr>
      <w:hyperlink r:id="rId307">
        <w:r>
          <w:rPr>
            <w:rFonts w:ascii="Arial" w:cs="Arial" w:eastAsia="Arial" w:hAnsi="Arial"/>
            <w:sz w:val="17"/>
            <w:szCs w:val="17"/>
            <w:u w:val="single" w:color="auto"/>
            <w:color w:val="0000FF"/>
          </w:rPr>
          <w:t>10.40</w:t>
        </w:r>
      </w:hyperlink>
    </w:p>
    <w:p>
      <w:pPr>
        <w:spacing w:after="0" w:line="265" w:lineRule="exact"/>
        <w:rPr>
          <w:sz w:val="20"/>
          <w:szCs w:val="20"/>
          <w:color w:val="auto"/>
        </w:rPr>
      </w:pPr>
    </w:p>
    <w:p>
      <w:pPr>
        <w:ind w:left="80"/>
        <w:spacing w:after="0"/>
        <w:rPr>
          <w:rFonts w:ascii="Arial" w:cs="Arial" w:eastAsia="Arial" w:hAnsi="Arial"/>
          <w:sz w:val="17"/>
          <w:szCs w:val="17"/>
          <w:u w:val="single" w:color="auto"/>
          <w:color w:val="0000FF"/>
        </w:rPr>
      </w:pPr>
      <w:hyperlink r:id="rId308">
        <w:r>
          <w:rPr>
            <w:rFonts w:ascii="Arial" w:cs="Arial" w:eastAsia="Arial" w:hAnsi="Arial"/>
            <w:sz w:val="17"/>
            <w:szCs w:val="17"/>
            <w:u w:val="single" w:color="auto"/>
            <w:color w:val="0000FF"/>
          </w:rPr>
          <w:t>10.41</w:t>
        </w:r>
      </w:hyperlink>
    </w:p>
    <w:p>
      <w:pPr>
        <w:spacing w:after="0" w:line="352" w:lineRule="exact"/>
        <w:rPr>
          <w:sz w:val="20"/>
          <w:szCs w:val="20"/>
          <w:color w:val="auto"/>
        </w:rPr>
      </w:pPr>
    </w:p>
    <w:p>
      <w:pPr>
        <w:ind w:left="80"/>
        <w:spacing w:after="0"/>
        <w:rPr>
          <w:rFonts w:ascii="Arial" w:cs="Arial" w:eastAsia="Arial" w:hAnsi="Arial"/>
          <w:sz w:val="17"/>
          <w:szCs w:val="17"/>
          <w:u w:val="single" w:color="auto"/>
          <w:color w:val="0000FF"/>
        </w:rPr>
      </w:pPr>
      <w:hyperlink r:id="rId309">
        <w:r>
          <w:rPr>
            <w:rFonts w:ascii="Arial" w:cs="Arial" w:eastAsia="Arial" w:hAnsi="Arial"/>
            <w:sz w:val="17"/>
            <w:szCs w:val="17"/>
            <w:u w:val="single" w:color="auto"/>
            <w:color w:val="0000FF"/>
          </w:rPr>
          <w:t>10.42</w:t>
        </w:r>
      </w:hyperlink>
    </w:p>
    <w:p>
      <w:pPr>
        <w:spacing w:after="0" w:line="277" w:lineRule="exact"/>
        <w:rPr>
          <w:sz w:val="20"/>
          <w:szCs w:val="20"/>
          <w:color w:val="auto"/>
        </w:rPr>
      </w:pPr>
    </w:p>
    <w:p>
      <w:pPr>
        <w:ind w:left="80"/>
        <w:spacing w:after="0"/>
        <w:rPr>
          <w:rFonts w:ascii="Arial" w:cs="Arial" w:eastAsia="Arial" w:hAnsi="Arial"/>
          <w:sz w:val="17"/>
          <w:szCs w:val="17"/>
          <w:u w:val="single" w:color="auto"/>
          <w:color w:val="0000FF"/>
        </w:rPr>
      </w:pPr>
      <w:hyperlink r:id="rId310">
        <w:r>
          <w:rPr>
            <w:rFonts w:ascii="Arial" w:cs="Arial" w:eastAsia="Arial" w:hAnsi="Arial"/>
            <w:sz w:val="17"/>
            <w:szCs w:val="17"/>
            <w:u w:val="single" w:color="auto"/>
            <w:color w:val="0000FF"/>
          </w:rPr>
          <w:t>10.43</w:t>
        </w:r>
      </w:hyperlink>
    </w:p>
    <w:p>
      <w:pPr>
        <w:spacing w:after="0" w:line="265" w:lineRule="exact"/>
        <w:rPr>
          <w:sz w:val="20"/>
          <w:szCs w:val="20"/>
          <w:color w:val="auto"/>
        </w:rPr>
      </w:pPr>
    </w:p>
    <w:p>
      <w:pPr>
        <w:ind w:left="80"/>
        <w:spacing w:after="0"/>
        <w:rPr>
          <w:rFonts w:ascii="Arial" w:cs="Arial" w:eastAsia="Arial" w:hAnsi="Arial"/>
          <w:sz w:val="17"/>
          <w:szCs w:val="17"/>
          <w:u w:val="single" w:color="auto"/>
          <w:color w:val="0000FF"/>
        </w:rPr>
      </w:pPr>
      <w:hyperlink r:id="rId311">
        <w:r>
          <w:rPr>
            <w:rFonts w:ascii="Arial" w:cs="Arial" w:eastAsia="Arial" w:hAnsi="Arial"/>
            <w:sz w:val="17"/>
            <w:szCs w:val="17"/>
            <w:u w:val="single" w:color="auto"/>
            <w:color w:val="0000FF"/>
          </w:rPr>
          <w:t>10.44</w:t>
        </w:r>
      </w:hyperlink>
    </w:p>
    <w:p>
      <w:pPr>
        <w:spacing w:after="0" w:line="200" w:lineRule="exact"/>
        <w:rPr>
          <w:sz w:val="20"/>
          <w:szCs w:val="20"/>
          <w:color w:val="auto"/>
        </w:rPr>
      </w:pPr>
    </w:p>
    <w:p>
      <w:pPr>
        <w:spacing w:after="0" w:line="239" w:lineRule="exact"/>
        <w:rPr>
          <w:sz w:val="20"/>
          <w:szCs w:val="20"/>
          <w:color w:val="auto"/>
        </w:rPr>
      </w:pPr>
    </w:p>
    <w:p>
      <w:pPr>
        <w:ind w:left="80"/>
        <w:spacing w:after="0"/>
        <w:rPr>
          <w:rFonts w:ascii="Arial" w:cs="Arial" w:eastAsia="Arial" w:hAnsi="Arial"/>
          <w:sz w:val="17"/>
          <w:szCs w:val="17"/>
          <w:u w:val="single" w:color="auto"/>
          <w:color w:val="0000FF"/>
        </w:rPr>
      </w:pPr>
      <w:hyperlink r:id="rId312">
        <w:r>
          <w:rPr>
            <w:rFonts w:ascii="Arial" w:cs="Arial" w:eastAsia="Arial" w:hAnsi="Arial"/>
            <w:sz w:val="17"/>
            <w:szCs w:val="17"/>
            <w:u w:val="single" w:color="auto"/>
            <w:color w:val="0000FF"/>
          </w:rPr>
          <w:t>10.45</w:t>
        </w:r>
      </w:hyperlink>
    </w:p>
    <w:p>
      <w:pPr>
        <w:spacing w:after="0" w:line="352" w:lineRule="exact"/>
        <w:rPr>
          <w:sz w:val="20"/>
          <w:szCs w:val="20"/>
          <w:color w:val="auto"/>
        </w:rPr>
      </w:pPr>
    </w:p>
    <w:p>
      <w:pPr>
        <w:ind w:left="80"/>
        <w:spacing w:after="0"/>
        <w:rPr>
          <w:rFonts w:ascii="Arial" w:cs="Arial" w:eastAsia="Arial" w:hAnsi="Arial"/>
          <w:sz w:val="17"/>
          <w:szCs w:val="17"/>
          <w:u w:val="single" w:color="auto"/>
          <w:color w:val="0000FF"/>
        </w:rPr>
      </w:pPr>
      <w:hyperlink r:id="rId313">
        <w:r>
          <w:rPr>
            <w:rFonts w:ascii="Arial" w:cs="Arial" w:eastAsia="Arial" w:hAnsi="Arial"/>
            <w:sz w:val="17"/>
            <w:szCs w:val="17"/>
            <w:u w:val="single" w:color="auto"/>
            <w:color w:val="0000FF"/>
          </w:rPr>
          <w:t>10.46</w:t>
        </w:r>
      </w:hyperlink>
    </w:p>
    <w:p>
      <w:pPr>
        <w:spacing w:after="0" w:line="190" w:lineRule="exact"/>
        <w:rPr>
          <w:sz w:val="20"/>
          <w:szCs w:val="20"/>
          <w:color w:val="auto"/>
        </w:rPr>
      </w:pPr>
    </w:p>
    <w:p>
      <w:pPr>
        <w:ind w:left="80"/>
        <w:spacing w:after="0"/>
        <w:rPr>
          <w:rFonts w:ascii="Arial" w:cs="Arial" w:eastAsia="Arial" w:hAnsi="Arial"/>
          <w:sz w:val="17"/>
          <w:szCs w:val="17"/>
          <w:u w:val="single" w:color="auto"/>
          <w:color w:val="0000FF"/>
        </w:rPr>
      </w:pPr>
      <w:hyperlink r:id="rId314">
        <w:r>
          <w:rPr>
            <w:rFonts w:ascii="Arial" w:cs="Arial" w:eastAsia="Arial" w:hAnsi="Arial"/>
            <w:sz w:val="17"/>
            <w:szCs w:val="17"/>
            <w:u w:val="single" w:color="auto"/>
            <w:color w:val="0000FF"/>
          </w:rPr>
          <w:t>10.47</w:t>
        </w:r>
      </w:hyperlink>
    </w:p>
    <w:p>
      <w:pPr>
        <w:spacing w:after="0" w:line="265" w:lineRule="exact"/>
        <w:rPr>
          <w:sz w:val="20"/>
          <w:szCs w:val="20"/>
          <w:color w:val="auto"/>
        </w:rPr>
      </w:pPr>
    </w:p>
    <w:p>
      <w:pPr>
        <w:ind w:left="80"/>
        <w:spacing w:after="0"/>
        <w:rPr>
          <w:rFonts w:ascii="Arial" w:cs="Arial" w:eastAsia="Arial" w:hAnsi="Arial"/>
          <w:sz w:val="17"/>
          <w:szCs w:val="17"/>
          <w:u w:val="single" w:color="auto"/>
          <w:color w:val="0000FF"/>
        </w:rPr>
      </w:pPr>
      <w:hyperlink r:id="rId315">
        <w:r>
          <w:rPr>
            <w:rFonts w:ascii="Arial" w:cs="Arial" w:eastAsia="Arial" w:hAnsi="Arial"/>
            <w:sz w:val="17"/>
            <w:szCs w:val="17"/>
            <w:u w:val="single" w:color="auto"/>
            <w:color w:val="0000FF"/>
          </w:rPr>
          <w:t>10.48</w:t>
        </w:r>
      </w:hyperlink>
    </w:p>
    <w:p>
      <w:pPr>
        <w:spacing w:after="0" w:line="190" w:lineRule="exact"/>
        <w:rPr>
          <w:sz w:val="20"/>
          <w:szCs w:val="20"/>
          <w:color w:val="auto"/>
        </w:rPr>
      </w:pPr>
    </w:p>
    <w:p>
      <w:pPr>
        <w:ind w:left="80"/>
        <w:spacing w:after="0"/>
        <w:rPr>
          <w:rFonts w:ascii="Arial" w:cs="Arial" w:eastAsia="Arial" w:hAnsi="Arial"/>
          <w:sz w:val="17"/>
          <w:szCs w:val="17"/>
          <w:u w:val="single" w:color="auto"/>
          <w:color w:val="0000FF"/>
        </w:rPr>
      </w:pPr>
      <w:hyperlink r:id="rId316">
        <w:r>
          <w:rPr>
            <w:rFonts w:ascii="Arial" w:cs="Arial" w:eastAsia="Arial" w:hAnsi="Arial"/>
            <w:sz w:val="17"/>
            <w:szCs w:val="17"/>
            <w:u w:val="single" w:color="auto"/>
            <w:color w:val="0000FF"/>
          </w:rPr>
          <w:t>10.49</w:t>
        </w:r>
      </w:hyperlink>
    </w:p>
    <w:p>
      <w:pPr>
        <w:spacing w:after="0" w:line="16" w:lineRule="exact"/>
        <w:rPr>
          <w:sz w:val="20"/>
          <w:szCs w:val="20"/>
          <w:color w:val="auto"/>
        </w:rPr>
      </w:pPr>
    </w:p>
    <w:p>
      <w:pPr>
        <w:ind w:left="80"/>
        <w:spacing w:after="0"/>
        <w:rPr>
          <w:rFonts w:ascii="Arial" w:cs="Arial" w:eastAsia="Arial" w:hAnsi="Arial"/>
          <w:sz w:val="17"/>
          <w:szCs w:val="17"/>
          <w:u w:val="single" w:color="auto"/>
          <w:color w:val="0000FF"/>
        </w:rPr>
      </w:pPr>
      <w:hyperlink r:id="rId317">
        <w:r>
          <w:rPr>
            <w:rFonts w:ascii="Arial" w:cs="Arial" w:eastAsia="Arial" w:hAnsi="Arial"/>
            <w:sz w:val="17"/>
            <w:szCs w:val="17"/>
            <w:u w:val="single" w:color="auto"/>
            <w:color w:val="0000FF"/>
          </w:rPr>
          <w:t>10.50</w:t>
        </w:r>
      </w:hyperlink>
    </w:p>
    <w:p>
      <w:pPr>
        <w:spacing w:after="0" w:line="16" w:lineRule="exact"/>
        <w:rPr>
          <w:sz w:val="20"/>
          <w:szCs w:val="20"/>
          <w:color w:val="auto"/>
        </w:rPr>
      </w:pPr>
    </w:p>
    <w:p>
      <w:pPr>
        <w:ind w:left="80"/>
        <w:spacing w:after="0"/>
        <w:rPr>
          <w:rFonts w:ascii="Arial" w:cs="Arial" w:eastAsia="Arial" w:hAnsi="Arial"/>
          <w:sz w:val="17"/>
          <w:szCs w:val="17"/>
          <w:u w:val="single" w:color="auto"/>
          <w:color w:val="0000FF"/>
        </w:rPr>
      </w:pPr>
      <w:hyperlink r:id="rId318">
        <w:r>
          <w:rPr>
            <w:rFonts w:ascii="Arial" w:cs="Arial" w:eastAsia="Arial" w:hAnsi="Arial"/>
            <w:sz w:val="17"/>
            <w:szCs w:val="17"/>
            <w:u w:val="single" w:color="auto"/>
            <w:color w:val="0000FF"/>
          </w:rPr>
          <w:t>10.51</w:t>
        </w:r>
      </w:hyperlink>
    </w:p>
    <w:p>
      <w:pPr>
        <w:spacing w:after="0" w:line="16" w:lineRule="exact"/>
        <w:rPr>
          <w:sz w:val="20"/>
          <w:szCs w:val="20"/>
          <w:color w:val="auto"/>
        </w:rPr>
      </w:pPr>
    </w:p>
    <w:p>
      <w:pPr>
        <w:ind w:left="80"/>
        <w:spacing w:after="0"/>
        <w:rPr>
          <w:rFonts w:ascii="Arial" w:cs="Arial" w:eastAsia="Arial" w:hAnsi="Arial"/>
          <w:sz w:val="17"/>
          <w:szCs w:val="17"/>
          <w:u w:val="single" w:color="auto"/>
          <w:color w:val="0000FF"/>
        </w:rPr>
      </w:pPr>
      <w:hyperlink r:id="rId319">
        <w:r>
          <w:rPr>
            <w:rFonts w:ascii="Arial" w:cs="Arial" w:eastAsia="Arial" w:hAnsi="Arial"/>
            <w:sz w:val="17"/>
            <w:szCs w:val="17"/>
            <w:u w:val="single" w:color="auto"/>
            <w:color w:val="0000FF"/>
          </w:rPr>
          <w:t>10.52</w:t>
        </w:r>
      </w:hyperlink>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2560" w:type="dxa"/>
        <w:tblCellMar>
          <w:top w:w="0" w:type="dxa"/>
          <w:left w:w="0" w:type="dxa"/>
          <w:bottom w:w="0" w:type="dxa"/>
          <w:right w:w="0" w:type="dxa"/>
        </w:tblCellMar>
      </w:tblPr>
      <w:tr>
        <w:trPr>
          <w:trHeight w:val="172"/>
        </w:trPr>
        <w:tc>
          <w:tcPr>
            <w:tcW w:w="2180" w:type="dxa"/>
            <w:vAlign w:val="bottom"/>
            <w:vMerge w:val="restart"/>
          </w:tcPr>
          <w:p>
            <w:pPr>
              <w:spacing w:after="0"/>
              <w:rPr>
                <w:sz w:val="20"/>
                <w:szCs w:val="20"/>
                <w:color w:val="auto"/>
              </w:rPr>
            </w:pPr>
            <w:r>
              <w:rPr>
                <w:rFonts w:ascii="Arial" w:cs="Arial" w:eastAsia="Arial" w:hAnsi="Arial"/>
                <w:sz w:val="15"/>
                <w:szCs w:val="15"/>
                <w:b w:val="1"/>
                <w:bCs w:val="1"/>
                <w:color w:val="auto"/>
              </w:rPr>
              <w:t>Description</w:t>
            </w:r>
          </w:p>
        </w:tc>
        <w:tc>
          <w:tcPr>
            <w:tcW w:w="2020" w:type="dxa"/>
            <w:vAlign w:val="bottom"/>
          </w:tcPr>
          <w:p>
            <w:pPr>
              <w:jc w:val="center"/>
              <w:ind w:left="1345"/>
              <w:spacing w:after="0"/>
              <w:rPr>
                <w:sz w:val="20"/>
                <w:szCs w:val="20"/>
                <w:color w:val="auto"/>
              </w:rPr>
            </w:pPr>
            <w:r>
              <w:rPr>
                <w:rFonts w:ascii="Arial" w:cs="Arial" w:eastAsia="Arial" w:hAnsi="Arial"/>
                <w:sz w:val="15"/>
                <w:szCs w:val="15"/>
                <w:b w:val="1"/>
                <w:bCs w:val="1"/>
                <w:color w:val="auto"/>
                <w:w w:val="91"/>
              </w:rPr>
              <w:t>Filed</w:t>
            </w:r>
          </w:p>
        </w:tc>
        <w:tc>
          <w:tcPr>
            <w:tcW w:w="0" w:type="dxa"/>
            <w:vAlign w:val="bottom"/>
          </w:tcPr>
          <w:p>
            <w:pPr>
              <w:spacing w:after="0"/>
              <w:rPr>
                <w:sz w:val="1"/>
                <w:szCs w:val="1"/>
                <w:color w:val="auto"/>
              </w:rPr>
            </w:pPr>
          </w:p>
        </w:tc>
      </w:tr>
      <w:tr>
        <w:trPr>
          <w:trHeight w:val="193"/>
        </w:trPr>
        <w:tc>
          <w:tcPr>
            <w:tcW w:w="2180" w:type="dxa"/>
            <w:vAlign w:val="bottom"/>
            <w:vMerge w:val="continue"/>
          </w:tcPr>
          <w:p>
            <w:pPr>
              <w:spacing w:after="0"/>
              <w:rPr>
                <w:sz w:val="16"/>
                <w:szCs w:val="16"/>
                <w:color w:val="auto"/>
              </w:rPr>
            </w:pPr>
          </w:p>
        </w:tc>
        <w:tc>
          <w:tcPr>
            <w:tcW w:w="2020" w:type="dxa"/>
            <w:vAlign w:val="bottom"/>
          </w:tcPr>
          <w:p>
            <w:pPr>
              <w:jc w:val="center"/>
              <w:ind w:left="1345"/>
              <w:spacing w:after="0"/>
              <w:rPr>
                <w:sz w:val="20"/>
                <w:szCs w:val="20"/>
                <w:color w:val="auto"/>
              </w:rPr>
            </w:pPr>
            <w:r>
              <w:rPr>
                <w:rFonts w:ascii="Arial" w:cs="Arial" w:eastAsia="Arial" w:hAnsi="Arial"/>
                <w:sz w:val="15"/>
                <w:szCs w:val="15"/>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3810</wp:posOffset>
            </wp:positionV>
            <wp:extent cx="7143115" cy="4584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0">
                      <a:extLst>
                        <a:ext uri="{28A0092B-C50C-407E-A947-70E740481C1C}"/>
                      </a:extLst>
                    </a:blip>
                    <a:srcRect/>
                    <a:stretch>
                      <a:fillRect/>
                    </a:stretch>
                  </pic:blipFill>
                  <pic:spPr bwMode="auto">
                    <a:xfrm>
                      <a:off x="0" y="0"/>
                      <a:ext cx="7143115" cy="458470"/>
                    </a:xfrm>
                    <a:prstGeom prst="rect">
                      <a:avLst/>
                    </a:prstGeom>
                    <a:noFill/>
                  </pic:spPr>
                </pic:pic>
              </a:graphicData>
            </a:graphic>
          </wp:anchor>
        </w:drawing>
      </w:r>
    </w:p>
    <w:p>
      <w:pPr>
        <w:ind w:right="940"/>
        <w:spacing w:after="0" w:line="243" w:lineRule="auto"/>
        <w:rPr>
          <w:sz w:val="20"/>
          <w:szCs w:val="20"/>
          <w:color w:val="auto"/>
        </w:rPr>
      </w:pPr>
      <w:r>
        <w:rPr>
          <w:rFonts w:ascii="Arial" w:cs="Arial" w:eastAsia="Arial" w:hAnsi="Arial"/>
          <w:sz w:val="15"/>
          <w:szCs w:val="15"/>
          <w:color w:val="auto"/>
        </w:rPr>
        <w:t>Amendment No. 1 to Credit Agreement, dated as of December 3, 2019, among Marriott Vacations Worldwide Corporation, Marriott Ownership Resorts, Inc., Interval</w:t>
      </w:r>
    </w:p>
    <w:p>
      <w:pPr>
        <w:spacing w:after="0" w:line="1" w:lineRule="exact"/>
        <w:rPr>
          <w:sz w:val="20"/>
          <w:szCs w:val="20"/>
          <w:color w:val="auto"/>
        </w:rPr>
      </w:pPr>
    </w:p>
    <w:p>
      <w:pPr>
        <w:ind w:right="1420"/>
        <w:spacing w:after="0" w:line="220" w:lineRule="auto"/>
        <w:rPr>
          <w:sz w:val="20"/>
          <w:szCs w:val="20"/>
          <w:color w:val="auto"/>
        </w:rPr>
      </w:pPr>
      <w:r>
        <w:rPr>
          <w:rFonts w:ascii="Arial" w:cs="Arial" w:eastAsia="Arial" w:hAnsi="Arial"/>
          <w:sz w:val="17"/>
          <w:szCs w:val="17"/>
          <w:color w:val="auto"/>
        </w:rPr>
        <w:t>Acquisition Corp., the lenders party thereto and JPMorgan Chase Bank, N.A., as administrative agent</w:t>
      </w:r>
    </w:p>
    <w:p>
      <w:pPr>
        <w:spacing w:after="0" w:line="1" w:lineRule="exact"/>
        <w:rPr>
          <w:sz w:val="20"/>
          <w:szCs w:val="20"/>
          <w:color w:val="auto"/>
        </w:rPr>
      </w:pPr>
    </w:p>
    <w:p>
      <w:pPr>
        <w:ind w:right="1040"/>
        <w:spacing w:after="0" w:line="243" w:lineRule="auto"/>
        <w:rPr>
          <w:sz w:val="20"/>
          <w:szCs w:val="20"/>
          <w:color w:val="auto"/>
        </w:rPr>
      </w:pPr>
      <w:r>
        <w:rPr>
          <w:rFonts w:ascii="Arial" w:cs="Arial" w:eastAsia="Arial" w:hAnsi="Arial"/>
          <w:sz w:val="15"/>
          <w:szCs w:val="15"/>
          <w:color w:val="auto"/>
        </w:rPr>
        <w:t>Incremental Facility Amendment, dated as of March 31, 2022, by and among Marriott Vacations Worldwide Corporation, Marriott Ownership Resorts, Inc., as borrower,</w:t>
      </w:r>
    </w:p>
    <w:p>
      <w:pPr>
        <w:ind w:right="1320"/>
        <w:spacing w:after="0" w:line="220" w:lineRule="auto"/>
        <w:rPr>
          <w:sz w:val="20"/>
          <w:szCs w:val="20"/>
          <w:color w:val="auto"/>
        </w:rPr>
      </w:pPr>
      <w:r>
        <w:rPr>
          <w:rFonts w:ascii="Arial" w:cs="Arial" w:eastAsia="Arial" w:hAnsi="Arial"/>
          <w:sz w:val="17"/>
          <w:szCs w:val="17"/>
          <w:color w:val="auto"/>
        </w:rPr>
        <w:t>JPMorgan Chase Bank, N.A., as administrative agent and collateral agent, and the incremental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635</wp:posOffset>
            </wp:positionV>
            <wp:extent cx="7143115" cy="2451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1">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spacing w:after="0" w:line="216" w:lineRule="auto"/>
        <w:rPr>
          <w:sz w:val="20"/>
          <w:szCs w:val="20"/>
          <w:color w:val="auto"/>
        </w:rPr>
      </w:pPr>
      <w:r>
        <w:rPr>
          <w:rFonts w:ascii="Arial" w:cs="Arial" w:eastAsia="Arial" w:hAnsi="Arial"/>
          <w:sz w:val="17"/>
          <w:szCs w:val="17"/>
          <w:color w:val="auto"/>
        </w:rPr>
        <w:t>Joinder Agreement, dated as of September 1, 2018, among Interval Acquisition Corp.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10160</wp:posOffset>
            </wp:positionV>
            <wp:extent cx="7143115" cy="2451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2">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ind w:right="1620"/>
        <w:spacing w:after="0" w:line="229" w:lineRule="auto"/>
        <w:rPr>
          <w:sz w:val="20"/>
          <w:szCs w:val="20"/>
          <w:color w:val="auto"/>
        </w:rPr>
      </w:pPr>
      <w:r>
        <w:rPr>
          <w:rFonts w:ascii="Arial" w:cs="Arial" w:eastAsia="Arial" w:hAnsi="Arial"/>
          <w:sz w:val="17"/>
          <w:szCs w:val="17"/>
          <w:color w:val="auto"/>
        </w:rPr>
        <w:t>Interval Leisure Group, Inc. 2013 Stock and Incentive Compensation Plan, as amended*</w:t>
      </w:r>
    </w:p>
    <w:p>
      <w:pPr>
        <w:spacing w:after="0" w:line="12" w:lineRule="exact"/>
        <w:rPr>
          <w:sz w:val="20"/>
          <w:szCs w:val="20"/>
          <w:color w:val="auto"/>
        </w:rPr>
      </w:pPr>
    </w:p>
    <w:p>
      <w:pPr>
        <w:ind w:right="1280"/>
        <w:spacing w:after="0" w:line="247" w:lineRule="auto"/>
        <w:rPr>
          <w:sz w:val="20"/>
          <w:szCs w:val="20"/>
          <w:color w:val="auto"/>
        </w:rPr>
      </w:pPr>
      <w:r>
        <w:rPr>
          <w:rFonts w:ascii="Arial" w:cs="Arial" w:eastAsia="Arial" w:hAnsi="Arial"/>
          <w:sz w:val="16"/>
          <w:szCs w:val="16"/>
          <w:color w:val="auto"/>
        </w:rPr>
        <w:t>Form of Terms and Conditions for Annual RSU Awards under the Interval Leisure Group, Inc. 2013 Stock and Incentive Compensation Plan*</w:t>
      </w:r>
    </w:p>
    <w:p>
      <w:pPr>
        <w:spacing w:after="0" w:line="7" w:lineRule="exact"/>
        <w:rPr>
          <w:sz w:val="20"/>
          <w:szCs w:val="20"/>
          <w:color w:val="auto"/>
        </w:rPr>
      </w:pPr>
    </w:p>
    <w:p>
      <w:pPr>
        <w:ind w:right="980"/>
        <w:spacing w:after="0" w:line="268" w:lineRule="auto"/>
        <w:rPr>
          <w:sz w:val="20"/>
          <w:szCs w:val="20"/>
          <w:color w:val="auto"/>
        </w:rPr>
      </w:pPr>
      <w:r>
        <w:rPr>
          <w:rFonts w:ascii="Arial" w:cs="Arial" w:eastAsia="Arial" w:hAnsi="Arial"/>
          <w:sz w:val="15"/>
          <w:szCs w:val="15"/>
          <w:color w:val="auto"/>
        </w:rPr>
        <w:t>Form of Terms and Conditions for Adjusted EBITDA Performance RSU Awards under the Interval Leisure Group, Inc. 2013 Stock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-243840</wp:posOffset>
            </wp:positionV>
            <wp:extent cx="7143115" cy="2451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3">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ind w:right="1220"/>
        <w:spacing w:after="0" w:line="268" w:lineRule="auto"/>
        <w:rPr>
          <w:sz w:val="20"/>
          <w:szCs w:val="20"/>
          <w:color w:val="auto"/>
        </w:rPr>
      </w:pPr>
      <w:r>
        <w:rPr>
          <w:rFonts w:ascii="Arial" w:cs="Arial" w:eastAsia="Arial" w:hAnsi="Arial"/>
          <w:sz w:val="15"/>
          <w:szCs w:val="15"/>
          <w:color w:val="auto"/>
        </w:rPr>
        <w:t>Form of Terms and Conditions for TSR-Based Performance RSU Awards under the Interval Leisure Group, Inc. 2013 Stock and Incentive Compensation Plan*</w:t>
      </w:r>
    </w:p>
    <w:p>
      <w:pPr>
        <w:spacing w:after="0" w:line="1" w:lineRule="exact"/>
        <w:rPr>
          <w:sz w:val="20"/>
          <w:szCs w:val="20"/>
          <w:color w:val="auto"/>
        </w:rPr>
      </w:pPr>
    </w:p>
    <w:p>
      <w:pPr>
        <w:ind w:right="1180"/>
        <w:spacing w:after="0" w:line="243" w:lineRule="auto"/>
        <w:rPr>
          <w:sz w:val="20"/>
          <w:szCs w:val="20"/>
          <w:color w:val="auto"/>
        </w:rPr>
      </w:pPr>
      <w:r>
        <w:rPr>
          <w:rFonts w:ascii="Arial" w:cs="Arial" w:eastAsia="Arial" w:hAnsi="Arial"/>
          <w:sz w:val="15"/>
          <w:szCs w:val="15"/>
          <w:color w:val="auto"/>
        </w:rPr>
        <w:t>Employee Matters Agreement, dated as of October 27, 2015 among Interval Leisure Group, Inc., Starwood Hotels &amp; Resorts Worldwide, Inc. and Vistana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-220980</wp:posOffset>
            </wp:positionV>
            <wp:extent cx="7143115" cy="347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4">
                      <a:extLst>
                        <a:ext uri="{28A0092B-C50C-407E-A947-70E740481C1C}"/>
                      </a:extLst>
                    </a:blip>
                    <a:srcRect/>
                    <a:stretch>
                      <a:fillRect/>
                    </a:stretch>
                  </pic:blipFill>
                  <pic:spPr bwMode="auto">
                    <a:xfrm>
                      <a:off x="0" y="0"/>
                      <a:ext cx="7143115" cy="3479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Experiences, Inc., as amended</w:t>
      </w:r>
    </w:p>
    <w:p>
      <w:pPr>
        <w:spacing w:after="0" w:line="2" w:lineRule="exact"/>
        <w:rPr>
          <w:sz w:val="20"/>
          <w:szCs w:val="20"/>
          <w:color w:val="auto"/>
        </w:rPr>
      </w:pPr>
    </w:p>
    <w:p>
      <w:pPr>
        <w:ind w:right="1080"/>
        <w:spacing w:after="0" w:line="243" w:lineRule="auto"/>
        <w:rPr>
          <w:sz w:val="20"/>
          <w:szCs w:val="20"/>
          <w:color w:val="auto"/>
        </w:rPr>
      </w:pPr>
      <w:r>
        <w:rPr>
          <w:rFonts w:ascii="Arial" w:cs="Arial" w:eastAsia="Arial" w:hAnsi="Arial"/>
          <w:sz w:val="15"/>
          <w:szCs w:val="15"/>
          <w:color w:val="auto"/>
        </w:rPr>
        <w:t>License, Services and Development Agreement, dated as of May 11, 2016, among Interval Leisure Group, Inc., Starwood Hotels &amp; Resorts Worldwide, Inc. and Vistana</w:t>
      </w:r>
    </w:p>
    <w:p>
      <w:pPr>
        <w:spacing w:after="0"/>
        <w:rPr>
          <w:sz w:val="20"/>
          <w:szCs w:val="20"/>
          <w:color w:val="auto"/>
        </w:rPr>
      </w:pPr>
      <w:r>
        <w:rPr>
          <w:rFonts w:ascii="Arial" w:cs="Arial" w:eastAsia="Arial" w:hAnsi="Arial"/>
          <w:sz w:val="17"/>
          <w:szCs w:val="17"/>
          <w:color w:val="auto"/>
        </w:rPr>
        <w:t>Signature Experiences,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2451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5">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ind w:right="960"/>
        <w:spacing w:after="0" w:line="268" w:lineRule="auto"/>
        <w:rPr>
          <w:sz w:val="20"/>
          <w:szCs w:val="20"/>
          <w:color w:val="auto"/>
        </w:rPr>
      </w:pPr>
      <w:r>
        <w:rPr>
          <w:rFonts w:ascii="Arial" w:cs="Arial" w:eastAsia="Arial" w:hAnsi="Arial"/>
          <w:sz w:val="15"/>
          <w:szCs w:val="15"/>
          <w:color w:val="auto"/>
        </w:rPr>
        <w:t>Tax Matters Agreement, dated as of May 11, 2016, among Interval Leisure Group, Inc., Starwood Hotels &amp; Resorts Worldwide, Inc. and Vistana Signature Experiences, Inc.</w:t>
      </w:r>
    </w:p>
    <w:p>
      <w:pPr>
        <w:ind w:right="1240"/>
        <w:spacing w:after="0" w:line="243" w:lineRule="auto"/>
        <w:rPr>
          <w:sz w:val="20"/>
          <w:szCs w:val="20"/>
          <w:color w:val="auto"/>
        </w:rPr>
      </w:pPr>
      <w:r>
        <w:rPr>
          <w:rFonts w:ascii="Arial" w:cs="Arial" w:eastAsia="Arial" w:hAnsi="Arial"/>
          <w:sz w:val="15"/>
          <w:szCs w:val="15"/>
          <w:color w:val="auto"/>
        </w:rPr>
        <w:t>Termination of Noncompetition Agreement, effective September 1, 2018, between Starwood Hotels &amp; Resorts Worldwide, LLC (formerly Starwood Hotels &amp; Resorts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Worldwide, Inc.) and Vistana Signatures Experiences,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4502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6">
                      <a:extLst>
                        <a:ext uri="{28A0092B-C50C-407E-A947-70E740481C1C}"/>
                      </a:extLst>
                    </a:blip>
                    <a:srcRect/>
                    <a:stretch>
                      <a:fillRect/>
                    </a:stretch>
                  </pic:blipFill>
                  <pic:spPr bwMode="auto">
                    <a:xfrm>
                      <a:off x="0" y="0"/>
                      <a:ext cx="7143115" cy="450215"/>
                    </a:xfrm>
                    <a:prstGeom prst="rect">
                      <a:avLst/>
                    </a:prstGeom>
                    <a:noFill/>
                  </pic:spPr>
                </pic:pic>
              </a:graphicData>
            </a:graphic>
          </wp:anchor>
        </w:drawing>
      </w:r>
    </w:p>
    <w:p>
      <w:pPr>
        <w:ind w:right="1580"/>
        <w:spacing w:after="0" w:line="243" w:lineRule="auto"/>
        <w:rPr>
          <w:sz w:val="20"/>
          <w:szCs w:val="20"/>
          <w:color w:val="auto"/>
        </w:rPr>
      </w:pPr>
      <w:r>
        <w:rPr>
          <w:rFonts w:ascii="Arial" w:cs="Arial" w:eastAsia="Arial" w:hAnsi="Arial"/>
          <w:sz w:val="15"/>
          <w:szCs w:val="15"/>
          <w:color w:val="auto"/>
        </w:rPr>
        <w:t>Letter of Agreement, effective September 1, 2018, among Marriott Vacations Worldwide Corporation, Marriott Ownership Resorts, Inc., Vistana Signatures</w:t>
      </w:r>
    </w:p>
    <w:p>
      <w:pPr>
        <w:ind w:right="1000"/>
        <w:spacing w:after="0" w:line="250" w:lineRule="auto"/>
        <w:rPr>
          <w:sz w:val="20"/>
          <w:szCs w:val="20"/>
          <w:color w:val="auto"/>
        </w:rPr>
      </w:pPr>
      <w:r>
        <w:rPr>
          <w:rFonts w:ascii="Arial" w:cs="Arial" w:eastAsia="Arial" w:hAnsi="Arial"/>
          <w:sz w:val="15"/>
          <w:szCs w:val="15"/>
          <w:color w:val="auto"/>
        </w:rPr>
        <w:t>Experiences, Inc., ILG, LLC, Marriott International, Inc., Marriott Worldwide Corporation, Marriott Rewards, LLC and Starwood Hotels &amp; Resorts Worldwide, LLC</w:t>
      </w:r>
    </w:p>
    <w:p>
      <w:pPr>
        <w:ind w:right="1480"/>
        <w:spacing w:after="0" w:line="229" w:lineRule="auto"/>
        <w:rPr>
          <w:sz w:val="20"/>
          <w:szCs w:val="20"/>
          <w:color w:val="auto"/>
        </w:rPr>
      </w:pPr>
      <w:r>
        <w:rPr>
          <w:rFonts w:ascii="Arial" w:cs="Arial" w:eastAsia="Arial" w:hAnsi="Arial"/>
          <w:sz w:val="17"/>
          <w:szCs w:val="17"/>
          <w:color w:val="auto"/>
        </w:rPr>
        <w:t>Amendment No. 2 to the Interval Leisure Group, Inc. 2013 Stock and Incentive Compensation Plan, dated February 25, 2018*</w:t>
      </w:r>
    </w:p>
    <w:p>
      <w:pPr>
        <w:spacing w:after="0" w:line="231" w:lineRule="auto"/>
        <w:rPr>
          <w:sz w:val="20"/>
          <w:szCs w:val="20"/>
          <w:color w:val="auto"/>
        </w:rPr>
      </w:pPr>
      <w:r>
        <w:rPr>
          <w:rFonts w:ascii="Arial" w:cs="Arial" w:eastAsia="Arial" w:hAnsi="Arial"/>
          <w:sz w:val="17"/>
          <w:szCs w:val="17"/>
          <w:color w:val="auto"/>
        </w:rPr>
        <w:t>Amended and Restated Employment Agreement between ILG, Inc. and Jeanette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-111125</wp:posOffset>
            </wp:positionV>
            <wp:extent cx="7143115" cy="2451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7">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Marbert, dated as of March 24, 2017*</w:t>
      </w:r>
    </w:p>
    <w:p>
      <w:pPr>
        <w:spacing w:after="0" w:line="15" w:lineRule="exact"/>
        <w:rPr>
          <w:sz w:val="20"/>
          <w:szCs w:val="20"/>
          <w:color w:val="auto"/>
        </w:rPr>
      </w:pPr>
    </w:p>
    <w:p>
      <w:pPr>
        <w:ind w:right="1020"/>
        <w:spacing w:after="0" w:line="214" w:lineRule="auto"/>
        <w:rPr>
          <w:sz w:val="20"/>
          <w:szCs w:val="20"/>
          <w:color w:val="auto"/>
        </w:rPr>
      </w:pPr>
      <w:r>
        <w:rPr>
          <w:rFonts w:ascii="Arial" w:cs="Arial" w:eastAsia="Arial" w:hAnsi="Arial"/>
          <w:sz w:val="17"/>
          <w:szCs w:val="17"/>
          <w:color w:val="auto"/>
        </w:rPr>
        <w:t>Amendment dated March 28, 2018 to Amended and Restated Employment Agreement between ILG, Inc. and Jeanette 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1270</wp:posOffset>
            </wp:positionV>
            <wp:extent cx="7143115" cy="134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8">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Marriott Vacations Worldwide Corporation 2020 Equity Incentive Plan*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Form of Call Option Transaction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10160</wp:posOffset>
            </wp:positionV>
            <wp:extent cx="7143115" cy="134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9">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Warrant Confirmation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Form of Base Call Option Transaction Confirmation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60960</wp:posOffset>
            </wp:positionV>
            <wp:extent cx="716851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5"/>
          <w:szCs w:val="15"/>
          <w:b w:val="1"/>
          <w:bCs w:val="1"/>
          <w:color w:val="auto"/>
        </w:rPr>
        <w:t>Incorporation By Reference From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Exhibit</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b w:val="1"/>
                <w:bCs w:val="1"/>
                <w:color w:val="auto"/>
              </w:rPr>
              <w:t>Date Filed</w:t>
            </w:r>
          </w:p>
        </w:tc>
      </w:tr>
      <w:tr>
        <w:trPr>
          <w:trHeight w:val="455"/>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10.38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3/2/2020</w:t>
            </w:r>
          </w:p>
        </w:tc>
      </w:tr>
      <w:tr>
        <w:trPr>
          <w:trHeight w:val="709"/>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4/6/2022</w:t>
            </w:r>
          </w:p>
        </w:tc>
      </w:tr>
      <w:tr>
        <w:trPr>
          <w:trHeight w:val="548"/>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4.10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9/5/2018</w:t>
            </w:r>
          </w:p>
        </w:tc>
      </w:tr>
      <w:tr>
        <w:trPr>
          <w:trHeight w:val="385"/>
        </w:trPr>
        <w:tc>
          <w:tcPr>
            <w:tcW w:w="860" w:type="dxa"/>
            <w:vAlign w:val="bottom"/>
            <w:gridSpan w:val="2"/>
          </w:tcPr>
          <w:p>
            <w:pPr>
              <w:jc w:val="center"/>
              <w:ind w:right="120"/>
              <w:spacing w:after="0"/>
              <w:rPr>
                <w:sz w:val="20"/>
                <w:szCs w:val="20"/>
                <w:color w:val="auto"/>
              </w:rPr>
            </w:pPr>
            <w:r>
              <w:rPr>
                <w:rFonts w:ascii="Arial" w:cs="Arial" w:eastAsia="Arial" w:hAnsi="Arial"/>
                <w:sz w:val="33"/>
                <w:szCs w:val="33"/>
                <w:color w:val="auto"/>
                <w:w w:val="73"/>
                <w:vertAlign w:val="subscript"/>
              </w:rPr>
              <w:t>S-1</w:t>
            </w:r>
            <w:r>
              <w:rPr>
                <w:rFonts w:ascii="Arial" w:cs="Arial" w:eastAsia="Arial" w:hAnsi="Arial"/>
                <w:sz w:val="10"/>
                <w:szCs w:val="10"/>
                <w:color w:val="auto"/>
                <w:w w:val="73"/>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8/1/2018</w:t>
            </w:r>
          </w:p>
        </w:tc>
      </w:tr>
      <w:tr>
        <w:trPr>
          <w:trHeight w:val="21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S-8</w:t>
            </w:r>
            <w:r>
              <w:rPr>
                <w:rFonts w:ascii="Arial" w:cs="Arial" w:eastAsia="Arial" w:hAnsi="Arial"/>
                <w:sz w:val="9"/>
                <w:szCs w:val="9"/>
                <w:color w:val="auto"/>
                <w:w w:val="90"/>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8/5/2016</w:t>
            </w:r>
          </w:p>
        </w:tc>
      </w:tr>
      <w:tr>
        <w:trPr>
          <w:trHeight w:val="431"/>
        </w:trPr>
        <w:tc>
          <w:tcPr>
            <w:tcW w:w="860" w:type="dxa"/>
            <w:vAlign w:val="bottom"/>
            <w:gridSpan w:val="2"/>
          </w:tcPr>
          <w:p>
            <w:pPr>
              <w:jc w:val="center"/>
              <w:ind w:right="120"/>
              <w:spacing w:after="0"/>
              <w:rPr>
                <w:sz w:val="20"/>
                <w:szCs w:val="20"/>
                <w:color w:val="auto"/>
              </w:rPr>
            </w:pPr>
            <w:r>
              <w:rPr>
                <w:rFonts w:ascii="Arial" w:cs="Arial" w:eastAsia="Arial" w:hAnsi="Arial"/>
                <w:sz w:val="15"/>
                <w:szCs w:val="15"/>
                <w:color w:val="auto"/>
                <w:w w:val="85"/>
              </w:rPr>
              <w:t>10-Q</w:t>
            </w:r>
            <w:r>
              <w:rPr>
                <w:rFonts w:ascii="Arial" w:cs="Arial" w:eastAsia="Arial" w:hAnsi="Arial"/>
                <w:sz w:val="19"/>
                <w:szCs w:val="19"/>
                <w:color w:val="auto"/>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5/8/2014</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5"/>
                <w:szCs w:val="15"/>
                <w:color w:val="auto"/>
                <w:w w:val="85"/>
              </w:rPr>
              <w:t>10-Q</w:t>
            </w:r>
            <w:r>
              <w:rPr>
                <w:rFonts w:ascii="Arial" w:cs="Arial" w:eastAsia="Arial" w:hAnsi="Arial"/>
                <w:sz w:val="19"/>
                <w:szCs w:val="19"/>
                <w:color w:val="auto"/>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5/8/2014</w:t>
            </w:r>
          </w:p>
        </w:tc>
      </w:tr>
      <w:tr>
        <w:trPr>
          <w:trHeight w:val="386"/>
        </w:trPr>
        <w:tc>
          <w:tcPr>
            <w:tcW w:w="860" w:type="dxa"/>
            <w:vAlign w:val="bottom"/>
            <w:gridSpan w:val="2"/>
          </w:tcPr>
          <w:p>
            <w:pPr>
              <w:jc w:val="center"/>
              <w:ind w:right="120"/>
              <w:spacing w:after="0"/>
              <w:rPr>
                <w:sz w:val="20"/>
                <w:szCs w:val="20"/>
                <w:color w:val="auto"/>
              </w:rPr>
            </w:pPr>
            <w:r>
              <w:rPr>
                <w:rFonts w:ascii="Arial" w:cs="Arial" w:eastAsia="Arial" w:hAnsi="Arial"/>
                <w:sz w:val="15"/>
                <w:szCs w:val="15"/>
                <w:color w:val="auto"/>
                <w:w w:val="85"/>
              </w:rPr>
              <w:t>10-Q</w:t>
            </w:r>
            <w:r>
              <w:rPr>
                <w:rFonts w:ascii="Arial" w:cs="Arial" w:eastAsia="Arial" w:hAnsi="Arial"/>
                <w:sz w:val="19"/>
                <w:szCs w:val="19"/>
                <w:color w:val="auto"/>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5/8/2014</w:t>
            </w:r>
          </w:p>
        </w:tc>
      </w:tr>
      <w:tr>
        <w:trPr>
          <w:trHeight w:val="415"/>
        </w:trPr>
        <w:tc>
          <w:tcPr>
            <w:tcW w:w="8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8-K</w:t>
            </w:r>
            <w:r>
              <w:rPr>
                <w:rFonts w:ascii="Arial" w:cs="Arial" w:eastAsia="Arial" w:hAnsi="Arial"/>
                <w:sz w:val="9"/>
                <w:szCs w:val="9"/>
                <w:color w:val="auto"/>
                <w:w w:val="95"/>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5/12/2016</w:t>
            </w:r>
          </w:p>
        </w:tc>
      </w:tr>
      <w:tr>
        <w:trPr>
          <w:trHeight w:val="548"/>
        </w:trPr>
        <w:tc>
          <w:tcPr>
            <w:tcW w:w="860" w:type="dxa"/>
            <w:vAlign w:val="bottom"/>
            <w:gridSpan w:val="2"/>
          </w:tcPr>
          <w:p>
            <w:pPr>
              <w:jc w:val="center"/>
              <w:ind w:right="100"/>
              <w:spacing w:after="0"/>
              <w:rPr>
                <w:sz w:val="20"/>
                <w:szCs w:val="20"/>
                <w:color w:val="auto"/>
              </w:rPr>
            </w:pPr>
            <w:r>
              <w:rPr>
                <w:rFonts w:ascii="Arial" w:cs="Arial" w:eastAsia="Arial" w:hAnsi="Arial"/>
                <w:sz w:val="33"/>
                <w:szCs w:val="33"/>
                <w:color w:val="auto"/>
                <w:w w:val="77"/>
                <w:vertAlign w:val="subscript"/>
              </w:rPr>
              <w:t>8-K</w:t>
            </w:r>
            <w:r>
              <w:rPr>
                <w:rFonts w:ascii="Arial" w:cs="Arial" w:eastAsia="Arial" w:hAnsi="Arial"/>
                <w:sz w:val="10"/>
                <w:szCs w:val="10"/>
                <w:color w:val="auto"/>
                <w:w w:val="77"/>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5/12/2016</w:t>
            </w:r>
          </w:p>
        </w:tc>
      </w:tr>
      <w:tr>
        <w:trPr>
          <w:trHeight w:val="473"/>
        </w:trPr>
        <w:tc>
          <w:tcPr>
            <w:tcW w:w="860" w:type="dxa"/>
            <w:vAlign w:val="bottom"/>
            <w:gridSpan w:val="2"/>
          </w:tcPr>
          <w:p>
            <w:pPr>
              <w:jc w:val="center"/>
              <w:ind w:right="100"/>
              <w:spacing w:after="0"/>
              <w:rPr>
                <w:sz w:val="20"/>
                <w:szCs w:val="20"/>
                <w:color w:val="auto"/>
              </w:rPr>
            </w:pPr>
            <w:r>
              <w:rPr>
                <w:rFonts w:ascii="Arial" w:cs="Arial" w:eastAsia="Arial" w:hAnsi="Arial"/>
                <w:sz w:val="33"/>
                <w:szCs w:val="33"/>
                <w:color w:val="auto"/>
                <w:w w:val="77"/>
                <w:vertAlign w:val="subscript"/>
              </w:rPr>
              <w:t>8-K</w:t>
            </w:r>
            <w:r>
              <w:rPr>
                <w:rFonts w:ascii="Arial" w:cs="Arial" w:eastAsia="Arial" w:hAnsi="Arial"/>
                <w:sz w:val="10"/>
                <w:szCs w:val="10"/>
                <w:color w:val="auto"/>
                <w:w w:val="77"/>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5/12/2016</w:t>
            </w:r>
          </w:p>
        </w:tc>
      </w:tr>
      <w:tr>
        <w:trPr>
          <w:trHeight w:val="460"/>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9/20/2018</w:t>
            </w:r>
          </w:p>
        </w:tc>
      </w:tr>
      <w:tr>
        <w:trPr>
          <w:trHeight w:val="635"/>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9/20/2018</w:t>
            </w:r>
          </w:p>
        </w:tc>
      </w:tr>
      <w:tr>
        <w:trPr>
          <w:trHeight w:val="548"/>
        </w:trPr>
        <w:tc>
          <w:tcPr>
            <w:tcW w:w="8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10-Q</w:t>
            </w:r>
            <w:r>
              <w:rPr>
                <w:rFonts w:ascii="Arial" w:cs="Arial" w:eastAsia="Arial" w:hAnsi="Arial"/>
                <w:sz w:val="9"/>
                <w:szCs w:val="9"/>
                <w:color w:val="auto"/>
                <w:w w:val="90"/>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5/4/2018</w:t>
            </w:r>
          </w:p>
        </w:tc>
      </w:tr>
      <w:tr>
        <w:trPr>
          <w:trHeight w:val="386"/>
        </w:trPr>
        <w:tc>
          <w:tcPr>
            <w:tcW w:w="8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10-Q</w:t>
            </w:r>
            <w:r>
              <w:rPr>
                <w:rFonts w:ascii="Arial" w:cs="Arial" w:eastAsia="Arial" w:hAnsi="Arial"/>
                <w:sz w:val="9"/>
                <w:szCs w:val="9"/>
                <w:color w:val="auto"/>
                <w:w w:val="90"/>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5/5/2017</w:t>
            </w:r>
          </w:p>
        </w:tc>
      </w:tr>
      <w:tr>
        <w:trPr>
          <w:trHeight w:val="460"/>
        </w:trPr>
        <w:tc>
          <w:tcPr>
            <w:tcW w:w="8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10-Q</w:t>
            </w:r>
            <w:r>
              <w:rPr>
                <w:rFonts w:ascii="Arial" w:cs="Arial" w:eastAsia="Arial" w:hAnsi="Arial"/>
                <w:sz w:val="9"/>
                <w:szCs w:val="9"/>
                <w:color w:val="auto"/>
                <w:w w:val="90"/>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5/4/2018</w:t>
            </w:r>
          </w:p>
        </w:tc>
      </w:tr>
      <w:tr>
        <w:trPr>
          <w:trHeight w:val="385"/>
        </w:trPr>
        <w:tc>
          <w:tcPr>
            <w:tcW w:w="8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DEF 14A</w:t>
            </w:r>
          </w:p>
        </w:tc>
        <w:tc>
          <w:tcPr>
            <w:tcW w:w="1060" w:type="dxa"/>
            <w:vAlign w:val="bottom"/>
            <w:gridSpan w:val="2"/>
          </w:tcPr>
          <w:p>
            <w:pPr>
              <w:jc w:val="center"/>
              <w:ind w:right="120"/>
              <w:spacing w:after="0"/>
              <w:rPr>
                <w:sz w:val="20"/>
                <w:szCs w:val="20"/>
                <w:color w:val="auto"/>
              </w:rPr>
            </w:pPr>
            <w:r>
              <w:rPr>
                <w:rFonts w:ascii="Arial" w:cs="Arial" w:eastAsia="Arial" w:hAnsi="Arial"/>
                <w:sz w:val="15"/>
                <w:szCs w:val="15"/>
                <w:color w:val="auto"/>
                <w:w w:val="96"/>
              </w:rPr>
              <w:t>Appendix A</w:t>
            </w: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3/30/2020</w:t>
            </w:r>
          </w:p>
        </w:tc>
      </w:tr>
      <w:tr>
        <w:trPr>
          <w:trHeight w:val="21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2/3/2021</w:t>
            </w:r>
          </w:p>
        </w:tc>
      </w:tr>
      <w:tr>
        <w:trPr>
          <w:trHeight w:val="21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2/3/2021</w:t>
            </w:r>
          </w:p>
        </w:tc>
      </w:tr>
      <w:tr>
        <w:trPr>
          <w:trHeight w:val="212"/>
        </w:trPr>
        <w:tc>
          <w:tcPr>
            <w:tcW w:w="8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12/8/2022</w:t>
            </w:r>
          </w:p>
        </w:tc>
      </w:tr>
    </w:tbl>
    <w:p>
      <w:pPr>
        <w:sectPr>
          <w:pgSz w:w="11900" w:h="16838" w:orient="portrait"/>
          <w:cols w:equalWidth="0" w:num="3">
            <w:col w:w="540" w:space="340"/>
            <w:col w:w="6760" w:space="280"/>
            <w:col w:w="3100"/>
          </w:cols>
          <w:pgMar w:left="540" w:top="1061" w:right="339" w:bottom="1440" w:gutter="0" w:footer="0" w:header="0"/>
        </w:sectPr>
      </w:pPr>
    </w:p>
    <w:bookmarkStart w:id="138" w:name="page139"/>
    <w:bookmarkEnd w:id="13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1980" w:type="dxa"/>
            <w:vAlign w:val="bottom"/>
          </w:tcPr>
          <w:p>
            <w:pPr>
              <w:jc w:val="center"/>
              <w:ind w:right="1365"/>
              <w:spacing w:after="0"/>
              <w:rPr>
                <w:sz w:val="20"/>
                <w:szCs w:val="20"/>
                <w:color w:val="auto"/>
              </w:rPr>
            </w:pPr>
            <w:r>
              <w:rPr>
                <w:rFonts w:ascii="Arial" w:cs="Arial" w:eastAsia="Arial" w:hAnsi="Arial"/>
                <w:sz w:val="15"/>
                <w:szCs w:val="15"/>
                <w:b w:val="1"/>
                <w:bCs w:val="1"/>
                <w:color w:val="auto"/>
                <w:w w:val="91"/>
              </w:rPr>
              <w:t>Exhibit</w:t>
            </w:r>
          </w:p>
        </w:tc>
        <w:tc>
          <w:tcPr>
            <w:tcW w:w="3640" w:type="dxa"/>
            <w:vAlign w:val="bottom"/>
          </w:tcPr>
          <w:p>
            <w:pPr>
              <w:spacing w:after="0"/>
              <w:rPr>
                <w:sz w:val="17"/>
                <w:szCs w:val="17"/>
                <w:color w:val="auto"/>
              </w:rPr>
            </w:pPr>
          </w:p>
        </w:tc>
        <w:tc>
          <w:tcPr>
            <w:tcW w:w="2300" w:type="dxa"/>
            <w:vAlign w:val="bottom"/>
          </w:tcPr>
          <w:p>
            <w:pPr>
              <w:jc w:val="center"/>
              <w:ind w:left="1065"/>
              <w:spacing w:after="0"/>
              <w:rPr>
                <w:sz w:val="20"/>
                <w:szCs w:val="20"/>
                <w:color w:val="auto"/>
              </w:rPr>
            </w:pPr>
            <w:r>
              <w:rPr>
                <w:rFonts w:ascii="Arial" w:cs="Arial" w:eastAsia="Arial" w:hAnsi="Arial"/>
                <w:sz w:val="15"/>
                <w:szCs w:val="15"/>
                <w:b w:val="1"/>
                <w:bCs w:val="1"/>
                <w:color w:val="auto"/>
                <w:w w:val="91"/>
              </w:rPr>
              <w:t>Filed</w:t>
            </w:r>
          </w:p>
        </w:tc>
        <w:tc>
          <w:tcPr>
            <w:tcW w:w="3100" w:type="dxa"/>
            <w:vAlign w:val="bottom"/>
            <w:tcBorders>
              <w:bottom w:val="single" w:sz="8" w:color="auto"/>
            </w:tcBorders>
            <w:gridSpan w:val="3"/>
          </w:tcPr>
          <w:p>
            <w:pPr>
              <w:ind w:left="460"/>
              <w:spacing w:after="0"/>
              <w:rPr>
                <w:sz w:val="20"/>
                <w:szCs w:val="20"/>
                <w:color w:val="auto"/>
              </w:rPr>
            </w:pPr>
            <w:r>
              <w:rPr>
                <w:rFonts w:ascii="Arial" w:cs="Arial" w:eastAsia="Arial" w:hAnsi="Arial"/>
                <w:sz w:val="15"/>
                <w:szCs w:val="15"/>
                <w:b w:val="1"/>
                <w:bCs w:val="1"/>
                <w:color w:val="auto"/>
              </w:rPr>
              <w:t>Incorporation By Reference From</w:t>
            </w:r>
          </w:p>
        </w:tc>
      </w:tr>
      <w:tr>
        <w:trPr>
          <w:trHeight w:val="186"/>
        </w:trPr>
        <w:tc>
          <w:tcPr>
            <w:tcW w:w="1980" w:type="dxa"/>
            <w:vAlign w:val="bottom"/>
          </w:tcPr>
          <w:p>
            <w:pPr>
              <w:jc w:val="center"/>
              <w:ind w:right="1365"/>
              <w:spacing w:after="0"/>
              <w:rPr>
                <w:sz w:val="20"/>
                <w:szCs w:val="20"/>
                <w:color w:val="auto"/>
              </w:rPr>
            </w:pPr>
            <w:r>
              <w:rPr>
                <w:rFonts w:ascii="Arial" w:cs="Arial" w:eastAsia="Arial" w:hAnsi="Arial"/>
                <w:sz w:val="15"/>
                <w:szCs w:val="15"/>
                <w:b w:val="1"/>
                <w:bCs w:val="1"/>
                <w:color w:val="auto"/>
                <w:w w:val="95"/>
              </w:rPr>
              <w:t>Number</w:t>
            </w:r>
          </w:p>
        </w:tc>
        <w:tc>
          <w:tcPr>
            <w:tcW w:w="3640" w:type="dxa"/>
            <w:vAlign w:val="bottom"/>
          </w:tcPr>
          <w:p>
            <w:pPr>
              <w:ind w:left="1460"/>
              <w:spacing w:after="0"/>
              <w:rPr>
                <w:sz w:val="20"/>
                <w:szCs w:val="20"/>
                <w:color w:val="auto"/>
              </w:rPr>
            </w:pPr>
            <w:r>
              <w:rPr>
                <w:rFonts w:ascii="Arial" w:cs="Arial" w:eastAsia="Arial" w:hAnsi="Arial"/>
                <w:sz w:val="15"/>
                <w:szCs w:val="15"/>
                <w:b w:val="1"/>
                <w:bCs w:val="1"/>
                <w:color w:val="auto"/>
              </w:rPr>
              <w:t>Description</w:t>
            </w:r>
          </w:p>
        </w:tc>
        <w:tc>
          <w:tcPr>
            <w:tcW w:w="2300" w:type="dxa"/>
            <w:vAlign w:val="bottom"/>
          </w:tcPr>
          <w:p>
            <w:pPr>
              <w:jc w:val="center"/>
              <w:ind w:left="1065"/>
              <w:spacing w:after="0"/>
              <w:rPr>
                <w:sz w:val="20"/>
                <w:szCs w:val="20"/>
                <w:color w:val="auto"/>
              </w:rPr>
            </w:pPr>
            <w:r>
              <w:rPr>
                <w:rFonts w:ascii="Arial" w:cs="Arial" w:eastAsia="Arial" w:hAnsi="Arial"/>
                <w:sz w:val="15"/>
                <w:szCs w:val="15"/>
                <w:b w:val="1"/>
                <w:bCs w:val="1"/>
                <w:color w:val="auto"/>
                <w:w w:val="94"/>
              </w:rPr>
              <w:t>Herewith</w:t>
            </w:r>
          </w:p>
        </w:tc>
        <w:tc>
          <w:tcPr>
            <w:tcW w:w="820" w:type="dxa"/>
            <w:vAlign w:val="bottom"/>
          </w:tcPr>
          <w:p>
            <w:pPr>
              <w:ind w:left="200"/>
              <w:spacing w:after="0"/>
              <w:rPr>
                <w:sz w:val="20"/>
                <w:szCs w:val="20"/>
                <w:color w:val="auto"/>
              </w:rPr>
            </w:pPr>
            <w:r>
              <w:rPr>
                <w:rFonts w:ascii="Arial" w:cs="Arial" w:eastAsia="Arial" w:hAnsi="Arial"/>
                <w:sz w:val="15"/>
                <w:szCs w:val="15"/>
                <w:b w:val="1"/>
                <w:bCs w:val="1"/>
                <w:color w:val="auto"/>
              </w:rPr>
              <w:t>Form</w:t>
            </w:r>
          </w:p>
        </w:tc>
        <w:tc>
          <w:tcPr>
            <w:tcW w:w="1060" w:type="dxa"/>
            <w:vAlign w:val="bottom"/>
          </w:tcPr>
          <w:p>
            <w:pPr>
              <w:ind w:left="280"/>
              <w:spacing w:after="0"/>
              <w:rPr>
                <w:sz w:val="20"/>
                <w:szCs w:val="20"/>
                <w:color w:val="auto"/>
              </w:rPr>
            </w:pPr>
            <w:r>
              <w:rPr>
                <w:rFonts w:ascii="Arial" w:cs="Arial" w:eastAsia="Arial" w:hAnsi="Arial"/>
                <w:sz w:val="15"/>
                <w:szCs w:val="15"/>
                <w:b w:val="1"/>
                <w:bCs w:val="1"/>
                <w:color w:val="auto"/>
              </w:rPr>
              <w:t>Exhibit</w:t>
            </w:r>
          </w:p>
        </w:tc>
        <w:tc>
          <w:tcPr>
            <w:tcW w:w="1220" w:type="dxa"/>
            <w:vAlign w:val="bottom"/>
          </w:tcPr>
          <w:p>
            <w:pPr>
              <w:ind w:left="300"/>
              <w:spacing w:after="0"/>
              <w:rPr>
                <w:sz w:val="20"/>
                <w:szCs w:val="20"/>
                <w:color w:val="auto"/>
              </w:rPr>
            </w:pPr>
            <w:r>
              <w:rPr>
                <w:rFonts w:ascii="Arial" w:cs="Arial" w:eastAsia="Arial" w:hAnsi="Arial"/>
                <w:sz w:val="15"/>
                <w:szCs w:val="15"/>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3115" cy="142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1">
                      <a:extLst>
                        <a:ext uri="{28A0092B-C50C-407E-A947-70E740481C1C}"/>
                      </a:extLst>
                    </a:blip>
                    <a:srcRect/>
                    <a:stretch>
                      <a:fillRect/>
                    </a:stretch>
                  </pic:blipFill>
                  <pic:spPr bwMode="auto">
                    <a:xfrm>
                      <a:off x="0" y="0"/>
                      <a:ext cx="7143115" cy="14224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tbl>
      <w:tblPr>
        <w:tblLayout w:type="fixed"/>
        <w:tblInd w:w="0" w:type="dxa"/>
        <w:tblCellMar>
          <w:top w:w="0" w:type="dxa"/>
          <w:left w:w="0" w:type="dxa"/>
          <w:bottom w:w="0" w:type="dxa"/>
          <w:right w:w="0" w:type="dxa"/>
        </w:tblCellMar>
      </w:tblPr>
      <w:tr>
        <w:trPr>
          <w:trHeight w:val="172"/>
        </w:trPr>
        <w:tc>
          <w:tcPr>
            <w:tcW w:w="980" w:type="dxa"/>
            <w:vAlign w:val="bottom"/>
            <w:tcBorders>
              <w:top w:val="single" w:sz="8" w:color="auto"/>
            </w:tcBorders>
            <w:gridSpan w:val="5"/>
          </w:tcPr>
          <w:p>
            <w:pPr>
              <w:jc w:val="center"/>
              <w:spacing w:after="0" w:line="172" w:lineRule="exact"/>
              <w:rPr>
                <w:rFonts w:ascii="Arial" w:cs="Arial" w:eastAsia="Arial" w:hAnsi="Arial"/>
                <w:sz w:val="17"/>
                <w:szCs w:val="17"/>
                <w:color w:val="0000FF"/>
                <w:w w:val="89"/>
              </w:rPr>
            </w:pPr>
            <w:hyperlink r:id="rId332">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53</w:t>
              </w:r>
            </w:hyperlink>
          </w:p>
        </w:tc>
        <w:tc>
          <w:tcPr>
            <w:tcW w:w="100" w:type="dxa"/>
            <w:vAlign w:val="bottom"/>
          </w:tcPr>
          <w:p>
            <w:pPr>
              <w:spacing w:after="0"/>
              <w:rPr>
                <w:sz w:val="14"/>
                <w:szCs w:val="14"/>
                <w:color w:val="auto"/>
              </w:rPr>
            </w:pPr>
          </w:p>
        </w:tc>
        <w:tc>
          <w:tcPr>
            <w:tcW w:w="590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7"/>
                <w:szCs w:val="17"/>
                <w:color w:val="auto"/>
              </w:rPr>
              <w:t>Form of Base Warrant Confirmation</w:t>
            </w: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9" w:lineRule="exact"/>
              <w:rPr>
                <w:sz w:val="20"/>
                <w:szCs w:val="20"/>
                <w:color w:val="auto"/>
              </w:rPr>
            </w:pPr>
            <w:r>
              <w:rPr>
                <w:rFonts w:ascii="Arial" w:cs="Arial" w:eastAsia="Arial" w:hAnsi="Arial"/>
                <w:sz w:val="17"/>
                <w:szCs w:val="17"/>
                <w:color w:val="auto"/>
                <w:w w:val="90"/>
              </w:rPr>
              <w:t>Umbrella IP Amendment, dated as of March 4, 2022, to the Marriott License, Services</w:t>
            </w:r>
          </w:p>
        </w:tc>
        <w:tc>
          <w:tcPr>
            <w:tcW w:w="0" w:type="dxa"/>
            <w:vAlign w:val="bottom"/>
          </w:tcPr>
          <w:p>
            <w:pPr>
              <w:spacing w:after="0"/>
              <w:rPr>
                <w:sz w:val="1"/>
                <w:szCs w:val="1"/>
                <w:color w:val="auto"/>
              </w:rPr>
            </w:pPr>
          </w:p>
        </w:tc>
      </w:tr>
      <w:tr>
        <w:trPr>
          <w:trHeight w:val="174"/>
        </w:trPr>
        <w:tc>
          <w:tcPr>
            <w:tcW w:w="980" w:type="dxa"/>
            <w:vAlign w:val="bottom"/>
            <w:gridSpan w:val="5"/>
            <w:vMerge w:val="restart"/>
          </w:tcPr>
          <w:p>
            <w:pPr>
              <w:jc w:val="center"/>
              <w:spacing w:after="0"/>
              <w:rPr>
                <w:rFonts w:ascii="Arial" w:cs="Arial" w:eastAsia="Arial" w:hAnsi="Arial"/>
                <w:sz w:val="17"/>
                <w:szCs w:val="17"/>
                <w:color w:val="0000FF"/>
                <w:w w:val="89"/>
              </w:rPr>
            </w:pPr>
            <w:hyperlink r:id="rId333">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54</w:t>
              </w:r>
            </w:hyperlink>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w w:val="92"/>
              </w:rPr>
              <w:t>and Development Agreement for Marriott Projects dated November 19, 2011, by and</w:t>
            </w:r>
          </w:p>
        </w:tc>
        <w:tc>
          <w:tcPr>
            <w:tcW w:w="0" w:type="dxa"/>
            <w:vAlign w:val="bottom"/>
          </w:tcPr>
          <w:p>
            <w:pPr>
              <w:spacing w:after="0"/>
              <w:rPr>
                <w:sz w:val="1"/>
                <w:szCs w:val="1"/>
                <w:color w:val="auto"/>
              </w:rPr>
            </w:pPr>
          </w:p>
        </w:tc>
      </w:tr>
      <w:tr>
        <w:trPr>
          <w:trHeight w:val="87"/>
        </w:trPr>
        <w:tc>
          <w:tcPr>
            <w:tcW w:w="9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5900" w:type="dxa"/>
            <w:vAlign w:val="bottom"/>
            <w:vMerge w:val="restart"/>
          </w:tcPr>
          <w:p>
            <w:pPr>
              <w:ind w:left="20"/>
              <w:spacing w:after="0" w:line="162" w:lineRule="exact"/>
              <w:rPr>
                <w:sz w:val="20"/>
                <w:szCs w:val="20"/>
                <w:color w:val="auto"/>
              </w:rPr>
            </w:pPr>
            <w:r>
              <w:rPr>
                <w:rFonts w:ascii="Arial" w:cs="Arial" w:eastAsia="Arial" w:hAnsi="Arial"/>
                <w:sz w:val="17"/>
                <w:szCs w:val="17"/>
                <w:color w:val="auto"/>
                <w:w w:val="98"/>
              </w:rPr>
              <w:t>among Marriott International, Inc., Marriott Worldwide Corporation, and Marriott</w:t>
            </w:r>
          </w:p>
        </w:tc>
        <w:tc>
          <w:tcPr>
            <w:tcW w:w="0" w:type="dxa"/>
            <w:vAlign w:val="bottom"/>
          </w:tcPr>
          <w:p>
            <w:pPr>
              <w:spacing w:after="0"/>
              <w:rPr>
                <w:sz w:val="1"/>
                <w:szCs w:val="1"/>
                <w:color w:val="auto"/>
              </w:rPr>
            </w:pPr>
          </w:p>
        </w:tc>
      </w:tr>
      <w:tr>
        <w:trPr>
          <w:trHeight w:val="55"/>
        </w:trPr>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Arial" w:cs="Arial" w:eastAsia="Arial" w:hAnsi="Arial"/>
                <w:sz w:val="17"/>
                <w:szCs w:val="17"/>
                <w:color w:val="auto"/>
              </w:rPr>
              <w:t>Vacations Worldwide Corporation</w:t>
            </w:r>
          </w:p>
        </w:tc>
        <w:tc>
          <w:tcPr>
            <w:tcW w:w="0" w:type="dxa"/>
            <w:vAlign w:val="bottom"/>
          </w:tcPr>
          <w:p>
            <w:pPr>
              <w:spacing w:after="0"/>
              <w:rPr>
                <w:sz w:val="1"/>
                <w:szCs w:val="1"/>
                <w:color w:val="auto"/>
              </w:rPr>
            </w:pPr>
          </w:p>
        </w:tc>
      </w:tr>
      <w:tr>
        <w:trPr>
          <w:trHeight w:val="174"/>
        </w:trPr>
        <w:tc>
          <w:tcPr>
            <w:tcW w:w="340" w:type="dxa"/>
            <w:vAlign w:val="bottom"/>
            <w:gridSpan w:val="2"/>
          </w:tcPr>
          <w:p>
            <w:pPr>
              <w:spacing w:after="0"/>
              <w:rPr>
                <w:sz w:val="15"/>
                <w:szCs w:val="15"/>
                <w:color w:val="auto"/>
              </w:rPr>
            </w:pPr>
          </w:p>
        </w:tc>
        <w:tc>
          <w:tcPr>
            <w:tcW w:w="300" w:type="dxa"/>
            <w:vAlign w:val="bottom"/>
            <w:tcBorders>
              <w:bottom w:val="single" w:sz="8" w:color="0000FF"/>
            </w:tcBorders>
          </w:tcPr>
          <w:p>
            <w:pPr>
              <w:jc w:val="center"/>
              <w:spacing w:after="0" w:line="174" w:lineRule="exact"/>
              <w:rPr>
                <w:sz w:val="20"/>
                <w:szCs w:val="20"/>
                <w:color w:val="auto"/>
              </w:rPr>
            </w:pPr>
            <w:r>
              <w:rPr>
                <w:rFonts w:ascii="Arial" w:cs="Arial" w:eastAsia="Arial" w:hAnsi="Arial"/>
                <w:sz w:val="17"/>
                <w:szCs w:val="17"/>
                <w:color w:val="0000FF"/>
                <w:w w:val="90"/>
              </w:rPr>
              <w:t>21.</w:t>
            </w:r>
            <w:r>
              <w:rPr>
                <w:rFonts w:ascii="Arial" w:cs="Arial" w:eastAsia="Arial" w:hAnsi="Arial"/>
                <w:sz w:val="17"/>
                <w:szCs w:val="17"/>
                <w:u w:val="single" w:color="auto"/>
                <w:color w:val="0000FF"/>
                <w:w w:val="90"/>
              </w:rPr>
              <w:t>1</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20"/>
              <w:spacing w:after="0" w:line="174" w:lineRule="exact"/>
              <w:rPr>
                <w:sz w:val="20"/>
                <w:szCs w:val="20"/>
                <w:color w:val="auto"/>
              </w:rPr>
            </w:pPr>
            <w:r>
              <w:rPr>
                <w:rFonts w:ascii="Arial" w:cs="Arial" w:eastAsia="Arial" w:hAnsi="Arial"/>
                <w:sz w:val="17"/>
                <w:szCs w:val="17"/>
                <w:color w:val="auto"/>
              </w:rPr>
              <w:t>Significant Subsidiaries of Marriott Vacations Worldwide Corporation</w:t>
            </w:r>
          </w:p>
        </w:tc>
        <w:tc>
          <w:tcPr>
            <w:tcW w:w="0" w:type="dxa"/>
            <w:vAlign w:val="bottom"/>
          </w:tcPr>
          <w:p>
            <w:pPr>
              <w:spacing w:after="0"/>
              <w:rPr>
                <w:sz w:val="1"/>
                <w:szCs w:val="1"/>
                <w:color w:val="auto"/>
              </w:rPr>
            </w:pPr>
          </w:p>
        </w:tc>
      </w:tr>
      <w:tr>
        <w:trPr>
          <w:trHeight w:val="192"/>
        </w:trPr>
        <w:tc>
          <w:tcPr>
            <w:tcW w:w="340" w:type="dxa"/>
            <w:vAlign w:val="bottom"/>
            <w:gridSpan w:val="2"/>
          </w:tcPr>
          <w:p>
            <w:pPr>
              <w:spacing w:after="0"/>
              <w:rPr>
                <w:sz w:val="16"/>
                <w:szCs w:val="16"/>
                <w:color w:val="auto"/>
              </w:rPr>
            </w:pPr>
          </w:p>
        </w:tc>
        <w:tc>
          <w:tcPr>
            <w:tcW w:w="300" w:type="dxa"/>
            <w:vAlign w:val="bottom"/>
            <w:tcBorders>
              <w:bottom w:val="single" w:sz="8" w:color="0000FF"/>
            </w:tcBorders>
          </w:tcPr>
          <w:p>
            <w:pPr>
              <w:jc w:val="center"/>
              <w:spacing w:after="0" w:line="192" w:lineRule="exact"/>
              <w:rPr>
                <w:sz w:val="20"/>
                <w:szCs w:val="20"/>
                <w:color w:val="auto"/>
              </w:rPr>
            </w:pPr>
            <w:r>
              <w:rPr>
                <w:rFonts w:ascii="Arial" w:cs="Arial" w:eastAsia="Arial" w:hAnsi="Arial"/>
                <w:sz w:val="17"/>
                <w:szCs w:val="17"/>
                <w:color w:val="0000FF"/>
                <w:w w:val="90"/>
              </w:rPr>
              <w:t>22.</w:t>
            </w:r>
            <w:r>
              <w:rPr>
                <w:rFonts w:ascii="Arial" w:cs="Arial" w:eastAsia="Arial" w:hAnsi="Arial"/>
                <w:sz w:val="17"/>
                <w:szCs w:val="17"/>
                <w:u w:val="single" w:color="auto"/>
                <w:color w:val="0000FF"/>
                <w:w w:val="90"/>
              </w:rPr>
              <w:t>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List of the Issuer and its Guarantor Subsidiaries</w:t>
            </w:r>
          </w:p>
        </w:tc>
        <w:tc>
          <w:tcPr>
            <w:tcW w:w="0" w:type="dxa"/>
            <w:vAlign w:val="bottom"/>
          </w:tcPr>
          <w:p>
            <w:pPr>
              <w:spacing w:after="0"/>
              <w:rPr>
                <w:sz w:val="1"/>
                <w:szCs w:val="1"/>
                <w:color w:val="auto"/>
              </w:rPr>
            </w:pPr>
          </w:p>
        </w:tc>
      </w:tr>
      <w:tr>
        <w:trPr>
          <w:trHeight w:val="192"/>
        </w:trPr>
        <w:tc>
          <w:tcPr>
            <w:tcW w:w="340" w:type="dxa"/>
            <w:vAlign w:val="bottom"/>
            <w:gridSpan w:val="2"/>
          </w:tcPr>
          <w:p>
            <w:pPr>
              <w:spacing w:after="0"/>
              <w:rPr>
                <w:sz w:val="16"/>
                <w:szCs w:val="16"/>
                <w:color w:val="auto"/>
              </w:rPr>
            </w:pPr>
          </w:p>
        </w:tc>
        <w:tc>
          <w:tcPr>
            <w:tcW w:w="300" w:type="dxa"/>
            <w:vAlign w:val="bottom"/>
            <w:tcBorders>
              <w:bottom w:val="single" w:sz="8" w:color="0000FF"/>
            </w:tcBorders>
          </w:tcPr>
          <w:p>
            <w:pPr>
              <w:jc w:val="center"/>
              <w:spacing w:after="0" w:line="192" w:lineRule="exact"/>
              <w:rPr>
                <w:sz w:val="20"/>
                <w:szCs w:val="20"/>
                <w:color w:val="auto"/>
              </w:rPr>
            </w:pPr>
            <w:r>
              <w:rPr>
                <w:rFonts w:ascii="Arial" w:cs="Arial" w:eastAsia="Arial" w:hAnsi="Arial"/>
                <w:sz w:val="17"/>
                <w:szCs w:val="17"/>
                <w:color w:val="0000FF"/>
                <w:w w:val="90"/>
              </w:rPr>
              <w:t>23.</w:t>
            </w:r>
            <w:r>
              <w:rPr>
                <w:rFonts w:ascii="Arial" w:cs="Arial" w:eastAsia="Arial" w:hAnsi="Arial"/>
                <w:sz w:val="17"/>
                <w:szCs w:val="17"/>
                <w:u w:val="single" w:color="auto"/>
                <w:color w:val="0000FF"/>
                <w:w w:val="90"/>
              </w:rPr>
              <w:t>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00" w:type="dxa"/>
            <w:vAlign w:val="bottom"/>
          </w:tcPr>
          <w:p>
            <w:pPr>
              <w:ind w:left="20"/>
              <w:spacing w:after="0" w:line="192" w:lineRule="exact"/>
              <w:rPr>
                <w:sz w:val="20"/>
                <w:szCs w:val="20"/>
                <w:color w:val="auto"/>
              </w:rPr>
            </w:pPr>
            <w:r>
              <w:rPr>
                <w:rFonts w:ascii="Arial" w:cs="Arial" w:eastAsia="Arial" w:hAnsi="Arial"/>
                <w:sz w:val="17"/>
                <w:szCs w:val="17"/>
                <w:color w:val="auto"/>
              </w:rPr>
              <w:t>Consent of Ernst &amp; Young LLP</w:t>
            </w:r>
          </w:p>
        </w:tc>
        <w:tc>
          <w:tcPr>
            <w:tcW w:w="0" w:type="dxa"/>
            <w:vAlign w:val="bottom"/>
          </w:tcPr>
          <w:p>
            <w:pPr>
              <w:spacing w:after="0"/>
              <w:rPr>
                <w:sz w:val="1"/>
                <w:szCs w:val="1"/>
                <w:color w:val="auto"/>
              </w:rPr>
            </w:pPr>
          </w:p>
        </w:tc>
      </w:tr>
      <w:tr>
        <w:trPr>
          <w:trHeight w:val="229"/>
        </w:trPr>
        <w:tc>
          <w:tcPr>
            <w:tcW w:w="640" w:type="dxa"/>
            <w:vAlign w:val="bottom"/>
            <w:gridSpan w:val="3"/>
          </w:tcPr>
          <w:p>
            <w:pPr>
              <w:jc w:val="center"/>
              <w:ind w:left="257"/>
              <w:spacing w:after="0"/>
              <w:rPr>
                <w:sz w:val="20"/>
                <w:szCs w:val="20"/>
                <w:color w:val="auto"/>
              </w:rPr>
            </w:pPr>
            <w:r>
              <w:rPr>
                <w:rFonts w:ascii="Arial" w:cs="Arial" w:eastAsia="Arial" w:hAnsi="Arial"/>
                <w:sz w:val="17"/>
                <w:szCs w:val="17"/>
                <w:color w:val="auto"/>
                <w:w w:val="90"/>
              </w:rPr>
              <w:t>24.1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Arial" w:cs="Arial" w:eastAsia="Arial" w:hAnsi="Arial"/>
                <w:sz w:val="17"/>
                <w:szCs w:val="17"/>
                <w:color w:val="auto"/>
              </w:rPr>
              <w:t>Powers of Attorney (included on the signature pages hereto)</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900" w:type="dxa"/>
            <w:vAlign w:val="bottom"/>
          </w:tcPr>
          <w:p>
            <w:pPr>
              <w:ind w:left="20"/>
              <w:spacing w:after="0" w:line="101" w:lineRule="exact"/>
              <w:rPr>
                <w:sz w:val="20"/>
                <w:szCs w:val="20"/>
                <w:color w:val="auto"/>
              </w:rPr>
            </w:pPr>
            <w:r>
              <w:rPr>
                <w:rFonts w:ascii="Arial" w:cs="Arial" w:eastAsia="Arial" w:hAnsi="Arial"/>
                <w:sz w:val="11"/>
                <w:szCs w:val="11"/>
                <w:color w:val="auto"/>
              </w:rPr>
              <w:t>Certification of Chief Executive Officer pursuant to Rule 13a-14(a) of the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-600710</wp:posOffset>
            </wp:positionV>
            <wp:extent cx="7143115" cy="134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4">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7143115" cy="134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5">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7143115" cy="2451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6">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60"/>
        </w:trPr>
        <w:tc>
          <w:tcPr>
            <w:tcW w:w="520" w:type="dxa"/>
            <w:vAlign w:val="bottom"/>
            <w:gridSpan w:val="2"/>
          </w:tcPr>
          <w:p>
            <w:pPr>
              <w:jc w:val="right"/>
              <w:ind w:right="220"/>
              <w:spacing w:after="0" w:line="160" w:lineRule="exact"/>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1</w:t>
            </w:r>
          </w:p>
        </w:tc>
        <w:tc>
          <w:tcPr>
            <w:tcW w:w="6100" w:type="dxa"/>
            <w:vAlign w:val="bottom"/>
            <w:vMerge w:val="restart"/>
          </w:tcPr>
          <w:p>
            <w:pPr>
              <w:ind w:left="240"/>
              <w:spacing w:after="0"/>
              <w:rPr>
                <w:sz w:val="20"/>
                <w:szCs w:val="20"/>
                <w:color w:val="auto"/>
              </w:rPr>
            </w:pPr>
            <w:r>
              <w:rPr>
                <w:rFonts w:ascii="Arial" w:cs="Arial" w:eastAsia="Arial" w:hAnsi="Arial"/>
                <w:sz w:val="17"/>
                <w:szCs w:val="17"/>
                <w:color w:val="auto"/>
              </w:rPr>
              <w:t>Exchange Act of 1934</w:t>
            </w:r>
          </w:p>
        </w:tc>
        <w:tc>
          <w:tcPr>
            <w:tcW w:w="0" w:type="dxa"/>
            <w:vAlign w:val="bottom"/>
          </w:tcPr>
          <w:p>
            <w:pPr>
              <w:spacing w:after="0"/>
              <w:rPr>
                <w:sz w:val="1"/>
                <w:szCs w:val="1"/>
                <w:color w:val="auto"/>
              </w:rPr>
            </w:pPr>
          </w:p>
        </w:tc>
      </w:tr>
      <w:tr>
        <w:trPr>
          <w:trHeight w:val="92"/>
        </w:trPr>
        <w:tc>
          <w:tcPr>
            <w:tcW w:w="3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6100" w:type="dxa"/>
            <w:vAlign w:val="bottom"/>
          </w:tcPr>
          <w:p>
            <w:pPr>
              <w:ind w:left="240"/>
              <w:spacing w:after="0" w:line="174" w:lineRule="exact"/>
              <w:rPr>
                <w:sz w:val="20"/>
                <w:szCs w:val="20"/>
                <w:color w:val="auto"/>
              </w:rPr>
            </w:pPr>
            <w:r>
              <w:rPr>
                <w:rFonts w:ascii="Arial" w:cs="Arial" w:eastAsia="Arial" w:hAnsi="Arial"/>
                <w:sz w:val="17"/>
                <w:szCs w:val="17"/>
                <w:color w:val="auto"/>
                <w:w w:val="94"/>
              </w:rPr>
              <w:t>Certification of Chief Financial Officer pursuant to Rule 13a-14(a) of the Securities</w:t>
            </w:r>
          </w:p>
        </w:tc>
        <w:tc>
          <w:tcPr>
            <w:tcW w:w="0" w:type="dxa"/>
            <w:vAlign w:val="bottom"/>
          </w:tcPr>
          <w:p>
            <w:pPr>
              <w:spacing w:after="0"/>
              <w:rPr>
                <w:sz w:val="1"/>
                <w:szCs w:val="1"/>
                <w:color w:val="auto"/>
              </w:rPr>
            </w:pPr>
          </w:p>
        </w:tc>
      </w:tr>
      <w:tr>
        <w:trPr>
          <w:trHeight w:val="100"/>
        </w:trPr>
        <w:tc>
          <w:tcPr>
            <w:tcW w:w="520" w:type="dxa"/>
            <w:vAlign w:val="bottom"/>
            <w:gridSpan w:val="2"/>
            <w:vMerge w:val="continue"/>
          </w:tcPr>
          <w:p>
            <w:pPr>
              <w:spacing w:after="0"/>
              <w:rPr>
                <w:sz w:val="8"/>
                <w:szCs w:val="8"/>
                <w:color w:val="auto"/>
              </w:rPr>
            </w:pPr>
          </w:p>
        </w:tc>
        <w:tc>
          <w:tcPr>
            <w:tcW w:w="6100" w:type="dxa"/>
            <w:vAlign w:val="bottom"/>
            <w:vMerge w:val="restart"/>
          </w:tcPr>
          <w:p>
            <w:pPr>
              <w:ind w:left="240"/>
              <w:spacing w:after="0"/>
              <w:rPr>
                <w:sz w:val="20"/>
                <w:szCs w:val="20"/>
                <w:color w:val="auto"/>
              </w:rPr>
            </w:pPr>
            <w:r>
              <w:rPr>
                <w:rFonts w:ascii="Arial" w:cs="Arial" w:eastAsia="Arial" w:hAnsi="Arial"/>
                <w:sz w:val="17"/>
                <w:szCs w:val="17"/>
                <w:color w:val="auto"/>
              </w:rPr>
              <w:t>Exchange Act of 1934</w:t>
            </w:r>
          </w:p>
        </w:tc>
        <w:tc>
          <w:tcPr>
            <w:tcW w:w="0" w:type="dxa"/>
            <w:vAlign w:val="bottom"/>
          </w:tcPr>
          <w:p>
            <w:pPr>
              <w:spacing w:after="0"/>
              <w:rPr>
                <w:sz w:val="1"/>
                <w:szCs w:val="1"/>
                <w:color w:val="auto"/>
              </w:rPr>
            </w:pPr>
          </w:p>
        </w:tc>
      </w:tr>
      <w:tr>
        <w:trPr>
          <w:trHeight w:val="92"/>
        </w:trPr>
        <w:tc>
          <w:tcPr>
            <w:tcW w:w="3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1</w:t>
            </w:r>
          </w:p>
        </w:tc>
        <w:tc>
          <w:tcPr>
            <w:tcW w:w="6100" w:type="dxa"/>
            <w:vAlign w:val="bottom"/>
          </w:tcPr>
          <w:p>
            <w:pPr>
              <w:ind w:left="240"/>
              <w:spacing w:after="0" w:line="174" w:lineRule="exact"/>
              <w:rPr>
                <w:sz w:val="20"/>
                <w:szCs w:val="20"/>
                <w:color w:val="auto"/>
              </w:rPr>
            </w:pPr>
            <w:r>
              <w:rPr>
                <w:rFonts w:ascii="Arial" w:cs="Arial" w:eastAsia="Arial" w:hAnsi="Arial"/>
                <w:sz w:val="17"/>
                <w:szCs w:val="17"/>
                <w:color w:val="auto"/>
                <w:w w:val="88"/>
              </w:rPr>
              <w:t>Certification by Chief Executive Officer Pursuant to 18 U.S.C. Section 1350, as adopted</w:t>
            </w:r>
          </w:p>
        </w:tc>
        <w:tc>
          <w:tcPr>
            <w:tcW w:w="0" w:type="dxa"/>
            <w:vAlign w:val="bottom"/>
          </w:tcPr>
          <w:p>
            <w:pPr>
              <w:spacing w:after="0"/>
              <w:rPr>
                <w:sz w:val="1"/>
                <w:szCs w:val="1"/>
                <w:color w:val="auto"/>
              </w:rPr>
            </w:pPr>
          </w:p>
        </w:tc>
      </w:tr>
      <w:tr>
        <w:trPr>
          <w:trHeight w:val="100"/>
        </w:trPr>
        <w:tc>
          <w:tcPr>
            <w:tcW w:w="520" w:type="dxa"/>
            <w:vAlign w:val="bottom"/>
            <w:gridSpan w:val="2"/>
            <w:vMerge w:val="continue"/>
          </w:tcPr>
          <w:p>
            <w:pPr>
              <w:spacing w:after="0"/>
              <w:rPr>
                <w:sz w:val="8"/>
                <w:szCs w:val="8"/>
                <w:color w:val="auto"/>
              </w:rPr>
            </w:pPr>
          </w:p>
        </w:tc>
        <w:tc>
          <w:tcPr>
            <w:tcW w:w="6100" w:type="dxa"/>
            <w:vAlign w:val="bottom"/>
            <w:vMerge w:val="restart"/>
          </w:tcPr>
          <w:p>
            <w:pPr>
              <w:ind w:left="240"/>
              <w:spacing w:after="0"/>
              <w:rPr>
                <w:sz w:val="20"/>
                <w:szCs w:val="20"/>
                <w:color w:val="auto"/>
              </w:rPr>
            </w:pPr>
            <w:r>
              <w:rPr>
                <w:rFonts w:ascii="Arial" w:cs="Arial" w:eastAsia="Arial" w:hAnsi="Arial"/>
                <w:sz w:val="17"/>
                <w:szCs w:val="17"/>
                <w:color w:val="auto"/>
              </w:rPr>
              <w:t>pursuant to Section 906 of the Sarbanes-Oxley Act of 2002</w:t>
            </w:r>
          </w:p>
        </w:tc>
        <w:tc>
          <w:tcPr>
            <w:tcW w:w="0" w:type="dxa"/>
            <w:vAlign w:val="bottom"/>
          </w:tcPr>
          <w:p>
            <w:pPr>
              <w:spacing w:after="0"/>
              <w:rPr>
                <w:sz w:val="1"/>
                <w:szCs w:val="1"/>
                <w:color w:val="auto"/>
              </w:rPr>
            </w:pPr>
          </w:p>
        </w:tc>
      </w:tr>
      <w:tr>
        <w:trPr>
          <w:trHeight w:val="92"/>
        </w:trPr>
        <w:tc>
          <w:tcPr>
            <w:tcW w:w="3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2</w:t>
            </w:r>
          </w:p>
        </w:tc>
        <w:tc>
          <w:tcPr>
            <w:tcW w:w="6100" w:type="dxa"/>
            <w:vAlign w:val="bottom"/>
          </w:tcPr>
          <w:p>
            <w:pPr>
              <w:ind w:left="240"/>
              <w:spacing w:after="0" w:line="174" w:lineRule="exact"/>
              <w:rPr>
                <w:sz w:val="20"/>
                <w:szCs w:val="20"/>
                <w:color w:val="auto"/>
              </w:rPr>
            </w:pPr>
            <w:r>
              <w:rPr>
                <w:rFonts w:ascii="Arial" w:cs="Arial" w:eastAsia="Arial" w:hAnsi="Arial"/>
                <w:sz w:val="17"/>
                <w:szCs w:val="17"/>
                <w:color w:val="auto"/>
                <w:w w:val="89"/>
              </w:rPr>
              <w:t>Certification by Chief Financial Officer Pursuant to 18 U.S.C. Section 1350, as adopted</w:t>
            </w:r>
          </w:p>
        </w:tc>
        <w:tc>
          <w:tcPr>
            <w:tcW w:w="0" w:type="dxa"/>
            <w:vAlign w:val="bottom"/>
          </w:tcPr>
          <w:p>
            <w:pPr>
              <w:spacing w:after="0"/>
              <w:rPr>
                <w:sz w:val="1"/>
                <w:szCs w:val="1"/>
                <w:color w:val="auto"/>
              </w:rPr>
            </w:pPr>
          </w:p>
        </w:tc>
      </w:tr>
      <w:tr>
        <w:trPr>
          <w:trHeight w:val="100"/>
        </w:trPr>
        <w:tc>
          <w:tcPr>
            <w:tcW w:w="520" w:type="dxa"/>
            <w:vAlign w:val="bottom"/>
            <w:gridSpan w:val="2"/>
            <w:vMerge w:val="continue"/>
          </w:tcPr>
          <w:p>
            <w:pPr>
              <w:spacing w:after="0"/>
              <w:rPr>
                <w:sz w:val="8"/>
                <w:szCs w:val="8"/>
                <w:color w:val="auto"/>
              </w:rPr>
            </w:pPr>
          </w:p>
        </w:tc>
        <w:tc>
          <w:tcPr>
            <w:tcW w:w="6100" w:type="dxa"/>
            <w:vAlign w:val="bottom"/>
            <w:vMerge w:val="restart"/>
          </w:tcPr>
          <w:p>
            <w:pPr>
              <w:ind w:left="240"/>
              <w:spacing w:after="0"/>
              <w:rPr>
                <w:sz w:val="20"/>
                <w:szCs w:val="20"/>
                <w:color w:val="auto"/>
              </w:rPr>
            </w:pPr>
            <w:r>
              <w:rPr>
                <w:rFonts w:ascii="Arial" w:cs="Arial" w:eastAsia="Arial" w:hAnsi="Arial"/>
                <w:sz w:val="17"/>
                <w:szCs w:val="17"/>
                <w:color w:val="auto"/>
              </w:rPr>
              <w:t>pursuant to Section 906 of the Sarbanes-Oxley Act of 2002</w:t>
            </w:r>
          </w:p>
        </w:tc>
        <w:tc>
          <w:tcPr>
            <w:tcW w:w="0" w:type="dxa"/>
            <w:vAlign w:val="bottom"/>
          </w:tcPr>
          <w:p>
            <w:pPr>
              <w:spacing w:after="0"/>
              <w:rPr>
                <w:sz w:val="1"/>
                <w:szCs w:val="1"/>
                <w:color w:val="auto"/>
              </w:rPr>
            </w:pPr>
          </w:p>
        </w:tc>
      </w:tr>
      <w:tr>
        <w:trPr>
          <w:trHeight w:val="92"/>
        </w:trPr>
        <w:tc>
          <w:tcPr>
            <w:tcW w:w="3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-481330</wp:posOffset>
            </wp:positionV>
            <wp:extent cx="7143115" cy="2451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7">
                      <a:extLst>
                        <a:ext uri="{28A0092B-C50C-407E-A947-70E740481C1C}"/>
                      </a:extLst>
                    </a:blip>
                    <a:srcRect/>
                    <a:stretch>
                      <a:fillRect/>
                    </a:stretch>
                  </pic:blipFill>
                  <pic:spPr bwMode="auto">
                    <a:xfrm>
                      <a:off x="0" y="0"/>
                      <a:ext cx="7143115"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60"/>
        <w:spacing w:after="0"/>
        <w:tabs>
          <w:tab w:leader="none" w:pos="1620" w:val="left"/>
          <w:tab w:leader="none" w:pos="64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10.2</w:t>
      </w:r>
      <w:r>
        <w:rPr>
          <w:sz w:val="20"/>
          <w:szCs w:val="20"/>
          <w:color w:val="auto"/>
        </w:rPr>
        <w:tab/>
      </w:r>
      <w:r>
        <w:rPr>
          <w:rFonts w:ascii="Arial" w:cs="Arial" w:eastAsia="Arial" w:hAnsi="Arial"/>
          <w:sz w:val="13"/>
          <w:szCs w:val="13"/>
          <w:color w:val="auto"/>
        </w:rPr>
        <w:t>12/8/2022</w:t>
      </w:r>
    </w:p>
    <w:p>
      <w:pPr>
        <w:spacing w:after="0" w:line="265" w:lineRule="exact"/>
        <w:rPr>
          <w:sz w:val="20"/>
          <w:szCs w:val="20"/>
          <w:color w:val="auto"/>
        </w:rPr>
      </w:pPr>
    </w:p>
    <w:p>
      <w:pPr>
        <w:ind w:left="840"/>
        <w:spacing w:after="0"/>
        <w:tabs>
          <w:tab w:leader="none" w:pos="1820" w:val="left"/>
          <w:tab w:leader="none" w:pos="2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10.2</w:t>
      </w:r>
      <w:r>
        <w:rPr>
          <w:sz w:val="20"/>
          <w:szCs w:val="20"/>
          <w:color w:val="auto"/>
        </w:rPr>
        <w:tab/>
      </w:r>
      <w:r>
        <w:rPr>
          <w:rFonts w:ascii="Arial" w:cs="Arial" w:eastAsia="Arial" w:hAnsi="Arial"/>
          <w:sz w:val="13"/>
          <w:szCs w:val="13"/>
          <w:color w:val="auto"/>
        </w:rPr>
        <w:t>5/9/2022</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Furnished</w:t>
      </w:r>
    </w:p>
    <w:p>
      <w:pPr>
        <w:spacing w:after="0" w:line="19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Furnished</w:t>
      </w:r>
    </w:p>
    <w:p>
      <w:pPr>
        <w:spacing w:after="0" w:line="103" w:lineRule="exact"/>
        <w:rPr>
          <w:sz w:val="20"/>
          <w:szCs w:val="20"/>
          <w:color w:val="auto"/>
        </w:rPr>
      </w:pPr>
    </w:p>
    <w:p>
      <w:pPr>
        <w:sectPr>
          <w:pgSz w:w="11900" w:h="16838" w:orient="portrait"/>
          <w:cols w:equalWidth="0" w:num="2">
            <w:col w:w="6980" w:space="520"/>
            <w:col w:w="3740"/>
          </w:cols>
          <w:pgMar w:left="320" w:top="1060" w:right="339" w:bottom="1440" w:gutter="0" w:footer="0" w:header="0"/>
          <w:type w:val="continuous"/>
        </w:sectPr>
      </w:pPr>
    </w:p>
    <w:p>
      <w:pPr>
        <w:ind w:left="1100"/>
        <w:spacing w:after="0"/>
        <w:rPr>
          <w:sz w:val="20"/>
          <w:szCs w:val="20"/>
          <w:color w:val="auto"/>
        </w:rPr>
      </w:pPr>
      <w:r>
        <w:rPr>
          <w:rFonts w:ascii="Arial" w:cs="Arial" w:eastAsia="Arial" w:hAnsi="Arial"/>
          <w:sz w:val="15"/>
          <w:szCs w:val="15"/>
          <w:color w:val="auto"/>
        </w:rPr>
        <w:t>The following financial information from the Company’s Annual Report on Form 10-K for the year ended December 31, 2022, formatted in Inline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115" cy="4502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8">
                      <a:extLst>
                        <a:ext uri="{28A0092B-C50C-407E-A947-70E740481C1C}"/>
                      </a:extLst>
                    </a:blip>
                    <a:srcRect/>
                    <a:stretch>
                      <a:fillRect/>
                    </a:stretch>
                  </pic:blipFill>
                  <pic:spPr bwMode="auto">
                    <a:xfrm>
                      <a:off x="0" y="0"/>
                      <a:ext cx="7143115" cy="450215"/>
                    </a:xfrm>
                    <a:prstGeom prst="rect">
                      <a:avLst/>
                    </a:prstGeom>
                    <a:noFill/>
                  </pic:spPr>
                </pic:pic>
              </a:graphicData>
            </a:graphic>
          </wp:anchor>
        </w:drawing>
      </w:r>
    </w:p>
    <w:p>
      <w:pPr>
        <w:ind w:left="1100" w:right="380" w:hanging="733"/>
        <w:spacing w:after="0" w:line="188" w:lineRule="auto"/>
        <w:tabs>
          <w:tab w:leader="none" w:pos="1100" w:val="left"/>
        </w:tabs>
        <w:numPr>
          <w:ilvl w:val="0"/>
          <w:numId w:val="44"/>
        </w:numPr>
        <w:rPr>
          <w:rFonts w:ascii="Arial" w:cs="Arial" w:eastAsia="Arial" w:hAnsi="Arial"/>
          <w:sz w:val="29"/>
          <w:szCs w:val="29"/>
          <w:color w:val="auto"/>
          <w:vertAlign w:val="subscript"/>
        </w:rPr>
      </w:pPr>
      <w:r>
        <w:rPr>
          <w:rFonts w:ascii="Arial" w:cs="Arial" w:eastAsia="Arial" w:hAnsi="Arial"/>
          <w:sz w:val="15"/>
          <w:szCs w:val="15"/>
          <w:color w:val="auto"/>
        </w:rPr>
        <w:t>Extensible Business Reporting Language (iXBRL) includes: (i) the Consolidated Statements of Income, (ii) the Consolidated Statements of Comprehensive Income, (iii) the Consolidated Balance Sheets, (iv) the Consolidated Statements of Cash Flows, (v) the Consolidated Statements of Shareholders’ Equity, and (vi) the Notes to Consolidated Financial Statements</w:t>
      </w:r>
    </w:p>
    <w:p>
      <w:pPr>
        <w:spacing w:after="0" w:line="2" w:lineRule="exact"/>
        <w:rPr>
          <w:sz w:val="20"/>
          <w:szCs w:val="20"/>
          <w:color w:val="auto"/>
        </w:rPr>
      </w:pPr>
    </w:p>
    <w:p>
      <w:pPr>
        <w:ind w:left="180" w:right="4820" w:firstLine="187"/>
        <w:spacing w:after="0" w:line="328" w:lineRule="auto"/>
        <w:tabs>
          <w:tab w:leader="none" w:pos="1096" w:val="left"/>
        </w:tabs>
        <w:numPr>
          <w:ilvl w:val="1"/>
          <w:numId w:val="45"/>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 Management contract or compensatory plan or arrangement.</w:t>
      </w:r>
    </w:p>
    <w:p>
      <w:pPr>
        <w:spacing w:after="0" w:line="1" w:lineRule="exact"/>
        <w:rPr>
          <w:sz w:val="20"/>
          <w:szCs w:val="20"/>
          <w:color w:val="auto"/>
        </w:rPr>
      </w:pPr>
    </w:p>
    <w:p>
      <w:pPr>
        <w:jc w:val="both"/>
        <w:ind w:left="460" w:right="320" w:hanging="278"/>
        <w:spacing w:after="0" w:line="279"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pacing w:after="0" w:line="84" w:lineRule="exact"/>
        <w:rPr>
          <w:sz w:val="20"/>
          <w:szCs w:val="20"/>
          <w:color w:val="auto"/>
        </w:rPr>
      </w:pPr>
    </w:p>
    <w:p>
      <w:pPr>
        <w:ind w:left="460" w:right="440" w:hanging="314"/>
        <w:spacing w:after="0" w:line="185" w:lineRule="auto"/>
        <w:tabs>
          <w:tab w:leader="none" w:pos="460" w:val="left"/>
        </w:tabs>
        <w:numPr>
          <w:ilvl w:val="0"/>
          <w:numId w:val="47"/>
        </w:numPr>
        <w:rPr>
          <w:rFonts w:ascii="Arial" w:cs="Arial" w:eastAsia="Arial" w:hAnsi="Arial"/>
          <w:sz w:val="26"/>
          <w:szCs w:val="26"/>
          <w:color w:val="auto"/>
          <w:vertAlign w:val="superscript"/>
        </w:rPr>
      </w:pPr>
      <w:r>
        <w:rPr>
          <w:rFonts w:ascii="Arial" w:cs="Arial" w:eastAsia="Arial" w:hAnsi="Arial"/>
          <w:sz w:val="16"/>
          <w:szCs w:val="16"/>
          <w:color w:val="auto"/>
        </w:rPr>
        <w:t>Schedules have been omitted pursuant to Item 601(b)(2) of Regulation S-K. The Company agrees to furnish supplemental copies to the SEC of any omitted schedule upon request by the SEC.</w:t>
      </w:r>
    </w:p>
    <w:p>
      <w:pPr>
        <w:spacing w:after="0" w:line="14" w:lineRule="exact"/>
        <w:rPr>
          <w:rFonts w:ascii="Arial" w:cs="Arial" w:eastAsia="Arial" w:hAnsi="Arial"/>
          <w:sz w:val="26"/>
          <w:szCs w:val="26"/>
          <w:color w:val="auto"/>
          <w:vertAlign w:val="superscript"/>
        </w:rPr>
      </w:pPr>
    </w:p>
    <w:p>
      <w:pPr>
        <w:ind w:left="460" w:hanging="314"/>
        <w:spacing w:after="0"/>
        <w:tabs>
          <w:tab w:leader="none" w:pos="460" w:val="left"/>
        </w:tabs>
        <w:numPr>
          <w:ilvl w:val="0"/>
          <w:numId w:val="47"/>
        </w:numPr>
        <w:rPr>
          <w:rFonts w:ascii="Arial" w:cs="Arial" w:eastAsia="Arial" w:hAnsi="Arial"/>
          <w:sz w:val="27"/>
          <w:szCs w:val="27"/>
          <w:color w:val="auto"/>
          <w:vertAlign w:val="superscript"/>
        </w:rPr>
      </w:pPr>
      <w:r>
        <w:rPr>
          <w:rFonts w:ascii="Arial" w:cs="Arial" w:eastAsia="Arial" w:hAnsi="Arial"/>
          <w:sz w:val="17"/>
          <w:szCs w:val="17"/>
          <w:color w:val="auto"/>
        </w:rPr>
        <w:t>Filing made by ILG, LLC under SEC File No. 001-34062.</w:t>
      </w:r>
    </w:p>
    <w:p>
      <w:pPr>
        <w:spacing w:after="0" w:line="195" w:lineRule="exact"/>
        <w:rPr>
          <w:sz w:val="20"/>
          <w:szCs w:val="20"/>
          <w:color w:val="auto"/>
        </w:rPr>
      </w:pPr>
    </w:p>
    <w:p>
      <w:pPr>
        <w:ind w:left="20"/>
        <w:spacing w:after="0"/>
        <w:tabs>
          <w:tab w:leader="none" w:pos="188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8515"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7"/>
          <w:szCs w:val="17"/>
          <w:b w:val="1"/>
          <w:bCs w:val="1"/>
          <w:color w:val="auto"/>
        </w:rPr>
        <w:t>SIGNATURES</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7840" w:type="dxa"/>
            <w:vAlign w:val="bottom"/>
            <w:gridSpan w:val="2"/>
          </w:tcPr>
          <w:p>
            <w:pPr>
              <w:ind w:left="1760"/>
              <w:spacing w:after="0"/>
              <w:rPr>
                <w:sz w:val="20"/>
                <w:szCs w:val="20"/>
                <w:color w:val="auto"/>
              </w:rPr>
            </w:pPr>
            <w:r>
              <w:rPr>
                <w:rFonts w:ascii="Arial" w:cs="Arial" w:eastAsia="Arial" w:hAnsi="Arial"/>
                <w:sz w:val="17"/>
                <w:szCs w:val="17"/>
                <w:b w:val="1"/>
                <w:bCs w:val="1"/>
                <w:color w:val="auto"/>
              </w:rPr>
              <w:t>MARRIOTT VACATIONS WORLDWIDE CORPORATION</w:t>
            </w:r>
          </w:p>
        </w:tc>
      </w:tr>
      <w:tr>
        <w:trPr>
          <w:trHeight w:val="361"/>
        </w:trPr>
        <w:tc>
          <w:tcPr>
            <w:tcW w:w="3380" w:type="dxa"/>
            <w:vAlign w:val="bottom"/>
          </w:tcPr>
          <w:p>
            <w:pPr>
              <w:spacing w:after="0"/>
              <w:rPr>
                <w:sz w:val="20"/>
                <w:szCs w:val="20"/>
                <w:color w:val="auto"/>
              </w:rPr>
            </w:pPr>
            <w:r>
              <w:rPr>
                <w:rFonts w:ascii="Arial" w:cs="Arial" w:eastAsia="Arial" w:hAnsi="Arial"/>
                <w:sz w:val="17"/>
                <w:szCs w:val="17"/>
                <w:color w:val="auto"/>
              </w:rPr>
              <w:t>Date: February 27, 2023</w:t>
            </w:r>
          </w:p>
        </w:tc>
        <w:tc>
          <w:tcPr>
            <w:tcW w:w="7840" w:type="dxa"/>
            <w:vAlign w:val="bottom"/>
            <w:gridSpan w:val="2"/>
          </w:tcPr>
          <w:p>
            <w:pPr>
              <w:ind w:left="1760"/>
              <w:spacing w:after="0"/>
              <w:rPr>
                <w:sz w:val="20"/>
                <w:szCs w:val="20"/>
                <w:color w:val="auto"/>
              </w:rPr>
            </w:pPr>
            <w:r>
              <w:rPr>
                <w:rFonts w:ascii="Arial" w:cs="Arial" w:eastAsia="Arial" w:hAnsi="Arial"/>
                <w:sz w:val="17"/>
                <w:szCs w:val="17"/>
                <w:color w:val="auto"/>
              </w:rPr>
              <w:t>By:   /s/ John E. Geller, Jr.</w:t>
            </w:r>
          </w:p>
        </w:tc>
      </w:tr>
      <w:tr>
        <w:trPr>
          <w:trHeight w:val="204"/>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John E. Geller, Jr.</w:t>
            </w:r>
          </w:p>
        </w:tc>
      </w:tr>
      <w:tr>
        <w:trPr>
          <w:trHeight w:val="212"/>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bl>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0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KNOW BY ALL PERSONS BY THESE PRESENTS, that each person whose signature appears below constitutes and appoints jointly and severally, John E. Geller, Jr., Anthony E. Terry,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8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by the following persons on our behalf in the capacities and on the date indicated above.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Principal Executive Officer:</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/s/ John E. Geller, Jr.</w:t>
            </w:r>
          </w:p>
        </w:tc>
        <w:tc>
          <w:tcPr>
            <w:tcW w:w="3660" w:type="dxa"/>
            <w:vAlign w:val="bottom"/>
            <w:vMerge w:val="restart"/>
          </w:tcPr>
          <w:p>
            <w:pPr>
              <w:ind w:left="120"/>
              <w:spacing w:after="0"/>
              <w:rPr>
                <w:sz w:val="20"/>
                <w:szCs w:val="20"/>
                <w:color w:val="auto"/>
              </w:rPr>
            </w:pPr>
            <w:r>
              <w:rPr>
                <w:rFonts w:ascii="Arial" w:cs="Arial" w:eastAsia="Arial" w:hAnsi="Arial"/>
                <w:sz w:val="17"/>
                <w:szCs w:val="17"/>
                <w:color w:val="auto"/>
              </w:rPr>
              <w:t>President, Chief Executive Officer and Director</w:t>
            </w:r>
          </w:p>
        </w:tc>
        <w:tc>
          <w:tcPr>
            <w:tcW w:w="0" w:type="dxa"/>
            <w:vAlign w:val="bottom"/>
          </w:tcPr>
          <w:p>
            <w:pPr>
              <w:spacing w:after="0"/>
              <w:rPr>
                <w:sz w:val="1"/>
                <w:szCs w:val="1"/>
                <w:color w:val="auto"/>
              </w:rPr>
            </w:pPr>
          </w:p>
        </w:tc>
      </w:tr>
      <w:tr>
        <w:trPr>
          <w:trHeight w:val="86"/>
        </w:trPr>
        <w:tc>
          <w:tcPr>
            <w:tcW w:w="5540" w:type="dxa"/>
            <w:vAlign w:val="bottom"/>
            <w:vMerge w:val="restart"/>
          </w:tcPr>
          <w:p>
            <w:pPr>
              <w:jc w:val="center"/>
              <w:spacing w:after="0"/>
              <w:rPr>
                <w:sz w:val="20"/>
                <w:szCs w:val="20"/>
                <w:color w:val="auto"/>
              </w:rPr>
            </w:pPr>
            <w:r>
              <w:rPr>
                <w:rFonts w:ascii="Arial" w:cs="Arial" w:eastAsia="Arial" w:hAnsi="Arial"/>
                <w:sz w:val="17"/>
                <w:szCs w:val="17"/>
                <w:color w:val="auto"/>
                <w:w w:val="86"/>
              </w:rPr>
              <w:t>John E. Geller, Jr.</w:t>
            </w: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540" w:type="dxa"/>
            <w:vAlign w:val="bottom"/>
            <w:vMerge w:val="continue"/>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Principal Financial Officer:</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Anthony E. Terry</w:t>
            </w:r>
          </w:p>
        </w:tc>
        <w:tc>
          <w:tcPr>
            <w:tcW w:w="3660" w:type="dxa"/>
            <w:vAlign w:val="bottom"/>
            <w:vMerge w:val="restart"/>
          </w:tcPr>
          <w:p>
            <w:pPr>
              <w:ind w:left="120"/>
              <w:spacing w:after="0"/>
              <w:rPr>
                <w:sz w:val="20"/>
                <w:szCs w:val="20"/>
                <w:color w:val="auto"/>
              </w:rPr>
            </w:pPr>
            <w:r>
              <w:rPr>
                <w:rFonts w:ascii="Arial" w:cs="Arial" w:eastAsia="Arial" w:hAnsi="Arial"/>
                <w:sz w:val="17"/>
                <w:szCs w:val="17"/>
                <w:color w:val="auto"/>
                <w:w w:val="89"/>
              </w:rPr>
              <w:t>Executive Vice President and Chief Financial Officer</w:t>
            </w:r>
          </w:p>
        </w:tc>
        <w:tc>
          <w:tcPr>
            <w:tcW w:w="0" w:type="dxa"/>
            <w:vAlign w:val="bottom"/>
          </w:tcPr>
          <w:p>
            <w:pPr>
              <w:spacing w:after="0"/>
              <w:rPr>
                <w:sz w:val="1"/>
                <w:szCs w:val="1"/>
                <w:color w:val="auto"/>
              </w:rPr>
            </w:pPr>
          </w:p>
        </w:tc>
      </w:tr>
      <w:tr>
        <w:trPr>
          <w:trHeight w:val="86"/>
        </w:trPr>
        <w:tc>
          <w:tcPr>
            <w:tcW w:w="5540" w:type="dxa"/>
            <w:vAlign w:val="bottom"/>
            <w:vMerge w:val="restart"/>
          </w:tcPr>
          <w:p>
            <w:pPr>
              <w:jc w:val="center"/>
              <w:spacing w:after="0"/>
              <w:rPr>
                <w:sz w:val="20"/>
                <w:szCs w:val="20"/>
                <w:color w:val="auto"/>
              </w:rPr>
            </w:pPr>
            <w:r>
              <w:rPr>
                <w:rFonts w:ascii="Arial" w:cs="Arial" w:eastAsia="Arial" w:hAnsi="Arial"/>
                <w:sz w:val="17"/>
                <w:szCs w:val="17"/>
                <w:color w:val="auto"/>
                <w:w w:val="90"/>
              </w:rPr>
              <w:t>Anthony E. Terry</w:t>
            </w: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540" w:type="dxa"/>
            <w:vAlign w:val="bottom"/>
            <w:vMerge w:val="continue"/>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Principal Accounting Officer:</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540" w:type="dxa"/>
            <w:vAlign w:val="bottom"/>
          </w:tcPr>
          <w:p>
            <w:pPr>
              <w:jc w:val="center"/>
              <w:spacing w:after="0"/>
              <w:rPr>
                <w:sz w:val="20"/>
                <w:szCs w:val="20"/>
                <w:color w:val="auto"/>
              </w:rPr>
            </w:pPr>
            <w:r>
              <w:rPr>
                <w:rFonts w:ascii="Arial" w:cs="Arial" w:eastAsia="Arial" w:hAnsi="Arial"/>
                <w:sz w:val="17"/>
                <w:szCs w:val="17"/>
                <w:color w:val="auto"/>
                <w:w w:val="91"/>
              </w:rPr>
              <w:t>/s/ Kathleen A. Pighini</w:t>
            </w:r>
          </w:p>
        </w:tc>
        <w:tc>
          <w:tcPr>
            <w:tcW w:w="3660" w:type="dxa"/>
            <w:vAlign w:val="bottom"/>
          </w:tcPr>
          <w:p>
            <w:pPr>
              <w:ind w:left="120"/>
              <w:spacing w:after="0"/>
              <w:rPr>
                <w:sz w:val="20"/>
                <w:szCs w:val="20"/>
                <w:color w:val="auto"/>
              </w:rPr>
            </w:pPr>
            <w:r>
              <w:rPr>
                <w:rFonts w:ascii="Arial" w:cs="Arial" w:eastAsia="Arial" w:hAnsi="Arial"/>
                <w:sz w:val="17"/>
                <w:szCs w:val="17"/>
                <w:color w:val="auto"/>
                <w:w w:val="97"/>
              </w:rPr>
              <w:t>Senior Vice President, Corporate Controller and</w:t>
            </w:r>
          </w:p>
        </w:tc>
        <w:tc>
          <w:tcPr>
            <w:tcW w:w="0" w:type="dxa"/>
            <w:vAlign w:val="bottom"/>
          </w:tcPr>
          <w:p>
            <w:pPr>
              <w:spacing w:after="0"/>
              <w:rPr>
                <w:sz w:val="1"/>
                <w:szCs w:val="1"/>
                <w:color w:val="auto"/>
              </w:rPr>
            </w:pPr>
          </w:p>
        </w:tc>
      </w:tr>
      <w:tr>
        <w:trPr>
          <w:trHeight w:val="37"/>
        </w:trPr>
        <w:tc>
          <w:tcPr>
            <w:tcW w:w="5540" w:type="dxa"/>
            <w:vAlign w:val="bottom"/>
            <w:tcBorders>
              <w:bottom w:val="single" w:sz="8" w:color="auto"/>
            </w:tcBorders>
          </w:tcPr>
          <w:p>
            <w:pPr>
              <w:spacing w:after="0"/>
              <w:rPr>
                <w:sz w:val="3"/>
                <w:szCs w:val="3"/>
                <w:color w:val="auto"/>
              </w:rPr>
            </w:pPr>
          </w:p>
        </w:tc>
        <w:tc>
          <w:tcPr>
            <w:tcW w:w="3660" w:type="dxa"/>
            <w:vAlign w:val="bottom"/>
            <w:vMerge w:val="restart"/>
          </w:tcPr>
          <w:p>
            <w:pPr>
              <w:ind w:left="120"/>
              <w:spacing w:after="0"/>
              <w:rPr>
                <w:sz w:val="20"/>
                <w:szCs w:val="20"/>
                <w:color w:val="auto"/>
              </w:rPr>
            </w:pPr>
            <w:r>
              <w:rPr>
                <w:rFonts w:ascii="Arial" w:cs="Arial" w:eastAsia="Arial" w:hAnsi="Arial"/>
                <w:sz w:val="17"/>
                <w:szCs w:val="17"/>
                <w:color w:val="auto"/>
              </w:rPr>
              <w:t>Chief Accounting Officer</w:t>
            </w:r>
          </w:p>
        </w:tc>
        <w:tc>
          <w:tcPr>
            <w:tcW w:w="0" w:type="dxa"/>
            <w:vAlign w:val="bottom"/>
          </w:tcPr>
          <w:p>
            <w:pPr>
              <w:spacing w:after="0"/>
              <w:rPr>
                <w:sz w:val="1"/>
                <w:szCs w:val="1"/>
                <w:color w:val="auto"/>
              </w:rPr>
            </w:pPr>
          </w:p>
        </w:tc>
      </w:tr>
      <w:tr>
        <w:trPr>
          <w:trHeight w:val="204"/>
        </w:trPr>
        <w:tc>
          <w:tcPr>
            <w:tcW w:w="5540" w:type="dxa"/>
            <w:vAlign w:val="bottom"/>
          </w:tcPr>
          <w:p>
            <w:pPr>
              <w:jc w:val="center"/>
              <w:spacing w:after="0"/>
              <w:rPr>
                <w:sz w:val="20"/>
                <w:szCs w:val="20"/>
                <w:color w:val="auto"/>
              </w:rPr>
            </w:pPr>
            <w:r>
              <w:rPr>
                <w:rFonts w:ascii="Arial" w:cs="Arial" w:eastAsia="Arial" w:hAnsi="Arial"/>
                <w:sz w:val="17"/>
                <w:szCs w:val="17"/>
                <w:color w:val="auto"/>
                <w:w w:val="91"/>
              </w:rPr>
              <w:t>Kathleen A. Pighini</w:t>
            </w: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gridSpan w:val="2"/>
          </w:tcPr>
          <w:p>
            <w:pPr>
              <w:spacing w:after="0"/>
              <w:rPr>
                <w:sz w:val="20"/>
                <w:szCs w:val="20"/>
                <w:color w:val="auto"/>
              </w:rPr>
            </w:pPr>
            <w:r>
              <w:rPr>
                <w:rFonts w:ascii="Arial" w:cs="Arial" w:eastAsia="Arial" w:hAnsi="Arial"/>
                <w:sz w:val="17"/>
                <w:szCs w:val="17"/>
                <w:b w:val="1"/>
                <w:bCs w:val="1"/>
                <w:color w:val="auto"/>
              </w:rPr>
              <w:t>Directors: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336"/>
        </w:trPr>
        <w:tc>
          <w:tcPr>
            <w:tcW w:w="376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/s/ William J. Shaw</w:t>
            </w:r>
          </w:p>
        </w:tc>
        <w:tc>
          <w:tcPr>
            <w:tcW w:w="3800" w:type="dxa"/>
            <w:vAlign w:val="bottom"/>
            <w:gridSpan w:val="2"/>
          </w:tcPr>
          <w:p>
            <w:pPr>
              <w:jc w:val="center"/>
              <w:ind w:right="140"/>
              <w:spacing w:after="0"/>
              <w:rPr>
                <w:sz w:val="20"/>
                <w:szCs w:val="20"/>
                <w:color w:val="auto"/>
              </w:rPr>
            </w:pPr>
            <w:r>
              <w:rPr>
                <w:rFonts w:ascii="Arial" w:cs="Arial" w:eastAsia="Arial" w:hAnsi="Arial"/>
                <w:sz w:val="17"/>
                <w:szCs w:val="17"/>
                <w:color w:val="auto"/>
                <w:w w:val="88"/>
              </w:rPr>
              <w:t>/s/ Raymond L. Gellein, Jr.</w:t>
            </w:r>
          </w:p>
        </w:tc>
        <w:tc>
          <w:tcPr>
            <w:tcW w:w="3660" w:type="dxa"/>
            <w:vAlign w:val="bottom"/>
          </w:tcPr>
          <w:p>
            <w:pPr>
              <w:jc w:val="center"/>
              <w:spacing w:after="0"/>
              <w:rPr>
                <w:sz w:val="20"/>
                <w:szCs w:val="20"/>
                <w:color w:val="auto"/>
              </w:rPr>
            </w:pPr>
            <w:r>
              <w:rPr>
                <w:rFonts w:ascii="Arial" w:cs="Arial" w:eastAsia="Arial" w:hAnsi="Arial"/>
                <w:sz w:val="17"/>
                <w:szCs w:val="17"/>
                <w:color w:val="auto"/>
                <w:w w:val="88"/>
              </w:rPr>
              <w:t>/s/ Dianna F. Morgan</w:t>
            </w:r>
          </w:p>
        </w:tc>
      </w:tr>
      <w:tr>
        <w:trPr>
          <w:trHeight w:val="20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William J. Shaw, Director, Chairman</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Raymond L. Gellein, Jr., Director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Dianna F. Morgan, Director</w:t>
            </w:r>
          </w:p>
        </w:tc>
      </w:tr>
      <w:tr>
        <w:trPr>
          <w:trHeight w:val="460"/>
        </w:trPr>
        <w:tc>
          <w:tcPr>
            <w:tcW w:w="376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 C.E. Andrews</w:t>
            </w:r>
          </w:p>
        </w:tc>
        <w:tc>
          <w:tcPr>
            <w:tcW w:w="38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/s/ Melquiades R. Martinez</w:t>
            </w:r>
          </w:p>
        </w:tc>
        <w:tc>
          <w:tcPr>
            <w:tcW w:w="3660" w:type="dxa"/>
            <w:vAlign w:val="bottom"/>
          </w:tcPr>
          <w:p>
            <w:pPr>
              <w:jc w:val="center"/>
              <w:spacing w:after="0"/>
              <w:rPr>
                <w:sz w:val="20"/>
                <w:szCs w:val="20"/>
                <w:color w:val="auto"/>
              </w:rPr>
            </w:pPr>
            <w:r>
              <w:rPr>
                <w:rFonts w:ascii="Arial" w:cs="Arial" w:eastAsia="Arial" w:hAnsi="Arial"/>
                <w:sz w:val="17"/>
                <w:szCs w:val="17"/>
                <w:color w:val="auto"/>
                <w:w w:val="85"/>
              </w:rPr>
              <w:t>/s/ Stephen R. Quazzo</w:t>
            </w:r>
          </w:p>
        </w:tc>
      </w:tr>
      <w:tr>
        <w:trPr>
          <w:trHeight w:val="20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C.E. Andrews, Director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Melquiades R. Martinez, Director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Stephen R. Quazzo, Director</w:t>
            </w:r>
          </w:p>
        </w:tc>
      </w:tr>
      <w:tr>
        <w:trPr>
          <w:trHeight w:val="460"/>
        </w:trPr>
        <w:tc>
          <w:tcPr>
            <w:tcW w:w="376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/s/ Lizanne Galbreath</w:t>
            </w:r>
          </w:p>
        </w:tc>
        <w:tc>
          <w:tcPr>
            <w:tcW w:w="380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/s/ William W. McCarten</w:t>
            </w:r>
          </w:p>
        </w:tc>
        <w:tc>
          <w:tcPr>
            <w:tcW w:w="3660" w:type="dxa"/>
            <w:vAlign w:val="bottom"/>
          </w:tcPr>
          <w:p>
            <w:pPr>
              <w:jc w:val="center"/>
              <w:spacing w:after="0"/>
              <w:rPr>
                <w:sz w:val="20"/>
                <w:szCs w:val="20"/>
                <w:color w:val="auto"/>
              </w:rPr>
            </w:pPr>
            <w:r>
              <w:rPr>
                <w:rFonts w:ascii="Arial" w:cs="Arial" w:eastAsia="Arial" w:hAnsi="Arial"/>
                <w:sz w:val="17"/>
                <w:szCs w:val="17"/>
                <w:color w:val="auto"/>
                <w:w w:val="88"/>
              </w:rPr>
              <w:t>/s/ Jonice G. Tucker</w:t>
            </w:r>
          </w:p>
        </w:tc>
      </w:tr>
      <w:tr>
        <w:trPr>
          <w:trHeight w:val="20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Lizanne Galbreath, Director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William W. McCarten, Director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Jonice G. Tucker,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121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10.22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APPRECIATION RIGHT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EQUITY INCENTIVE PLAN</w:t>
      </w:r>
    </w:p>
    <w:p>
      <w:pPr>
        <w:spacing w:after="0" w:line="206" w:lineRule="exact"/>
        <w:rPr>
          <w:sz w:val="20"/>
          <w:szCs w:val="20"/>
          <w:color w:val="auto"/>
        </w:rPr>
      </w:pPr>
    </w:p>
    <w:p>
      <w:pPr>
        <w:ind w:right="280" w:firstLine="597"/>
        <w:spacing w:after="0" w:line="270" w:lineRule="auto"/>
        <w:rPr>
          <w:sz w:val="20"/>
          <w:szCs w:val="20"/>
          <w:color w:val="auto"/>
        </w:rPr>
      </w:pPr>
      <w:r>
        <w:rPr>
          <w:rFonts w:ascii="Arial" w:cs="Arial" w:eastAsia="Arial" w:hAnsi="Arial"/>
          <w:sz w:val="16"/>
          <w:szCs w:val="16"/>
          <w:color w:val="auto"/>
        </w:rPr>
        <w:t>THIS AGREEMENT (the “Agreement”) is made on &lt;</w:t>
      </w:r>
      <w:r>
        <w:rPr>
          <w:rFonts w:ascii="Arial" w:cs="Arial" w:eastAsia="Arial" w:hAnsi="Arial"/>
          <w:sz w:val="16"/>
          <w:szCs w:val="16"/>
          <w:b w:val="1"/>
          <w:bCs w:val="1"/>
          <w:color w:val="auto"/>
        </w:rPr>
        <w:t>&lt;GRANT DATE&gt;&gt;</w:t>
      </w:r>
      <w:r>
        <w:rPr>
          <w:rFonts w:ascii="Arial" w:cs="Arial" w:eastAsia="Arial" w:hAnsi="Arial"/>
          <w:sz w:val="16"/>
          <w:szCs w:val="16"/>
          <w:color w:val="auto"/>
        </w:rPr>
        <w:t xml:space="preserve"> (the “Grant Date”) by MARRIOTT VACATIONS WORLDWIDE CORPORATION (the “Company”) and </w:t>
      </w:r>
      <w:r>
        <w:rPr>
          <w:rFonts w:ascii="Arial" w:cs="Arial" w:eastAsia="Arial" w:hAnsi="Arial"/>
          <w:sz w:val="16"/>
          <w:szCs w:val="16"/>
          <w:b w:val="1"/>
          <w:bCs w:val="1"/>
          <w:color w:val="auto"/>
        </w:rPr>
        <w:t>&lt;&lt;PARTICIPANT NAME&gt;&gt;</w:t>
      </w:r>
      <w:r>
        <w:rPr>
          <w:rFonts w:ascii="Arial" w:cs="Arial" w:eastAsia="Arial" w:hAnsi="Arial"/>
          <w:sz w:val="16"/>
          <w:szCs w:val="16"/>
          <w:color w:val="auto"/>
        </w:rPr>
        <w:t xml:space="preserve"> (“Employee”).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WITNESSETH:</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WHEREAS, the Company maintains the Marriott Vacations Worldwide Corporation 2020 Equity Incentive Plan, as it may be amended from time to time (the “Plan”);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13" w:lineRule="exact"/>
        <w:rPr>
          <w:sz w:val="20"/>
          <w:szCs w:val="20"/>
          <w:color w:val="auto"/>
        </w:rPr>
      </w:pPr>
    </w:p>
    <w:p>
      <w:pPr>
        <w:ind w:right="700" w:firstLine="597"/>
        <w:spacing w:after="0" w:line="264" w:lineRule="auto"/>
        <w:rPr>
          <w:sz w:val="20"/>
          <w:szCs w:val="20"/>
          <w:color w:val="auto"/>
        </w:rPr>
      </w:pPr>
      <w:r>
        <w:rPr>
          <w:rFonts w:ascii="Arial" w:cs="Arial" w:eastAsia="Arial" w:hAnsi="Arial"/>
          <w:sz w:val="16"/>
          <w:szCs w:val="16"/>
          <w:color w:val="auto"/>
        </w:rPr>
        <w:t>WHEREAS, the Company wishes to award to designated employees certain Stock Appreciation Right awards as provided in Article 6 of the Plan (“SARs” or “Awards”); and</w:t>
      </w:r>
    </w:p>
    <w:p>
      <w:pPr>
        <w:spacing w:after="0" w:line="193" w:lineRule="exact"/>
        <w:rPr>
          <w:sz w:val="20"/>
          <w:szCs w:val="20"/>
          <w:color w:val="auto"/>
        </w:rPr>
      </w:pPr>
    </w:p>
    <w:p>
      <w:pPr>
        <w:ind w:right="440" w:firstLine="597"/>
        <w:spacing w:after="0" w:line="281" w:lineRule="auto"/>
        <w:rPr>
          <w:sz w:val="20"/>
          <w:szCs w:val="20"/>
          <w:color w:val="auto"/>
        </w:rPr>
      </w:pPr>
      <w:r>
        <w:rPr>
          <w:rFonts w:ascii="Arial" w:cs="Arial" w:eastAsia="Arial" w:hAnsi="Arial"/>
          <w:sz w:val="16"/>
          <w:szCs w:val="16"/>
          <w:color w:val="auto"/>
        </w:rPr>
        <w:t>WHEREAS, Employee has been approved by the Compensation Policy Committee (including any delegate thereof, the “Committee”) of the Company’s Board of Directors (the “Board”) to receive an award of SARs under the Plan;</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 THEREFORE, it is agreed as follows:</w:t>
      </w:r>
    </w:p>
    <w:p>
      <w:pPr>
        <w:spacing w:after="0" w:line="223" w:lineRule="exact"/>
        <w:rPr>
          <w:sz w:val="20"/>
          <w:szCs w:val="20"/>
          <w:color w:val="auto"/>
        </w:rPr>
      </w:pPr>
    </w:p>
    <w:p>
      <w:pPr>
        <w:jc w:val="both"/>
        <w:ind w:right="400" w:firstLine="597"/>
        <w:spacing w:after="0" w:line="256" w:lineRule="auto"/>
        <w:tabs>
          <w:tab w:leader="none" w:pos="755"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Prospectus</w:t>
      </w:r>
      <w:r>
        <w:rPr>
          <w:rFonts w:ascii="Arial" w:cs="Arial" w:eastAsia="Arial" w:hAnsi="Arial"/>
          <w:sz w:val="16"/>
          <w:szCs w:val="16"/>
          <w:color w:val="auto"/>
        </w:rPr>
        <w:t>. Employee has been provided with, and hereby acknowledges receipt of, a Prospectus for the Plan dated &lt;</w:t>
      </w:r>
      <w:r>
        <w:rPr>
          <w:rFonts w:ascii="Arial" w:cs="Arial" w:eastAsia="Arial" w:hAnsi="Arial"/>
          <w:sz w:val="16"/>
          <w:szCs w:val="16"/>
          <w:b w:val="1"/>
          <w:bCs w:val="1"/>
          <w:color w:val="auto"/>
        </w:rPr>
        <w:t xml:space="preserve">&lt; DATE&gt;&gt; </w:t>
      </w:r>
      <w:r>
        <w:rPr>
          <w:rFonts w:ascii="Arial" w:cs="Arial" w:eastAsia="Arial" w:hAnsi="Arial"/>
          <w:sz w:val="16"/>
          <w:szCs w:val="16"/>
          <w:color w:val="auto"/>
        </w:rPr>
        <w:t>which contains, among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things, a detailed description of the SAR award provisions of the Plan. Employee further acknowledges that Employee has read the Prospectus and this Agreement, and that Employee understands the provisions thereof.</w:t>
      </w:r>
    </w:p>
    <w:p>
      <w:pPr>
        <w:spacing w:after="0" w:line="195" w:lineRule="exact"/>
        <w:rPr>
          <w:rFonts w:ascii="Arial" w:cs="Arial" w:eastAsia="Arial" w:hAnsi="Arial"/>
          <w:sz w:val="16"/>
          <w:szCs w:val="16"/>
          <w:color w:val="auto"/>
        </w:rPr>
      </w:pPr>
    </w:p>
    <w:p>
      <w:pPr>
        <w:jc w:val="both"/>
        <w:ind w:right="220" w:firstLine="597"/>
        <w:spacing w:after="0" w:line="280" w:lineRule="auto"/>
        <w:tabs>
          <w:tab w:leader="none" w:pos="755" w:val="left"/>
        </w:tabs>
        <w:numPr>
          <w:ilvl w:val="1"/>
          <w:numId w:val="48"/>
        </w:numPr>
        <w:rPr>
          <w:rFonts w:ascii="Arial" w:cs="Arial" w:eastAsia="Arial" w:hAnsi="Arial"/>
          <w:sz w:val="15"/>
          <w:szCs w:val="15"/>
          <w:color w:val="auto"/>
        </w:rPr>
      </w:pPr>
      <w:r>
        <w:rPr>
          <w:rFonts w:ascii="Arial" w:cs="Arial" w:eastAsia="Arial" w:hAnsi="Arial"/>
          <w:sz w:val="15"/>
          <w:szCs w:val="15"/>
          <w:b w:val="1"/>
          <w:bCs w:val="1"/>
          <w:color w:val="auto"/>
        </w:rPr>
        <w:t>Interpretation</w:t>
      </w:r>
      <w:r>
        <w:rPr>
          <w:rFonts w:ascii="Arial" w:cs="Arial" w:eastAsia="Arial" w:hAnsi="Arial"/>
          <w:sz w:val="15"/>
          <w:szCs w:val="15"/>
          <w:color w:val="auto"/>
        </w:rPr>
        <w:t>. The provisions of the Plan are incorporated herein by reference and form an integral part of this Agreement. Except as otherwise set forth herein,</w:t>
      </w:r>
      <w:r>
        <w:rPr>
          <w:rFonts w:ascii="Arial" w:cs="Arial" w:eastAsia="Arial" w:hAnsi="Arial"/>
          <w:sz w:val="15"/>
          <w:szCs w:val="15"/>
          <w:b w:val="1"/>
          <w:bCs w:val="1"/>
          <w:color w:val="auto"/>
        </w:rPr>
        <w:t xml:space="preserve"> </w:t>
      </w:r>
      <w:r>
        <w:rPr>
          <w:rFonts w:ascii="Arial" w:cs="Arial" w:eastAsia="Arial" w:hAnsi="Arial"/>
          <w:sz w:val="15"/>
          <w:szCs w:val="15"/>
          <w:color w:val="auto"/>
        </w:rPr>
        <w:t>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78" w:lineRule="exact"/>
        <w:rPr>
          <w:rFonts w:ascii="Arial" w:cs="Arial" w:eastAsia="Arial" w:hAnsi="Arial"/>
          <w:sz w:val="15"/>
          <w:szCs w:val="15"/>
          <w:color w:val="auto"/>
        </w:rPr>
      </w:pPr>
    </w:p>
    <w:p>
      <w:pPr>
        <w:ind w:right="100" w:firstLine="597"/>
        <w:spacing w:after="0" w:line="252" w:lineRule="auto"/>
        <w:tabs>
          <w:tab w:leader="none" w:pos="755"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Grant of SARs. </w:t>
      </w:r>
      <w:r>
        <w:rPr>
          <w:rFonts w:ascii="Arial" w:cs="Arial" w:eastAsia="Arial" w:hAnsi="Arial"/>
          <w:sz w:val="16"/>
          <w:szCs w:val="16"/>
          <w:color w:val="auto"/>
        </w:rPr>
        <w:t>The Company hereby grants to Employee as of the Grant Date SARs on</w:t>
      </w:r>
      <w:r>
        <w:rPr>
          <w:rFonts w:ascii="Arial" w:cs="Arial" w:eastAsia="Arial" w:hAnsi="Arial"/>
          <w:sz w:val="16"/>
          <w:szCs w:val="16"/>
          <w:b w:val="1"/>
          <w:bCs w:val="1"/>
          <w:color w:val="auto"/>
        </w:rPr>
        <w:t xml:space="preserve"> &lt;&lt;QTY GRANTED&gt;&gt; </w:t>
      </w:r>
      <w:r>
        <w:rPr>
          <w:rFonts w:ascii="Arial" w:cs="Arial" w:eastAsia="Arial" w:hAnsi="Arial"/>
          <w:sz w:val="16"/>
          <w:szCs w:val="16"/>
          <w:color w:val="auto"/>
        </w:rPr>
        <w:t>shares of the Company’s Common Stock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Shares”), subject to the terms and conditions of the Plan, Employee’s acceptance of this Agreement and satisfaction of the tax provisions of any policy of the Company regarding international assignments, if applicable. Under this Agreement, upon satisfying the conditions for exercising SARs as set forth in paragraphs 5 and 6 below, Employee shall receive a number of shares of Common Stock of the Company having a Fair Market Value equal to the number of SAR Shares that are being exercised under such SARs multiplied by the quotient of (a) the Final Value minus the Base Value, divided by (b) the Final Value. Any fractional share of Common Stock resulting from such calculation shall be rounded to the nearest whole share.</w:t>
      </w:r>
    </w:p>
    <w:p>
      <w:pPr>
        <w:spacing w:after="0" w:line="197" w:lineRule="exact"/>
        <w:rPr>
          <w:rFonts w:ascii="Arial" w:cs="Arial" w:eastAsia="Arial" w:hAnsi="Arial"/>
          <w:sz w:val="16"/>
          <w:szCs w:val="16"/>
          <w:color w:val="auto"/>
        </w:rPr>
      </w:pPr>
    </w:p>
    <w:p>
      <w:pPr>
        <w:ind w:firstLine="597"/>
        <w:spacing w:after="0" w:line="286" w:lineRule="auto"/>
        <w:tabs>
          <w:tab w:leader="none" w:pos="755"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Base Value and Final Value. </w:t>
      </w:r>
      <w:r>
        <w:rPr>
          <w:rFonts w:ascii="Arial" w:cs="Arial" w:eastAsia="Arial" w:hAnsi="Arial"/>
          <w:sz w:val="16"/>
          <w:szCs w:val="16"/>
          <w:color w:val="auto"/>
        </w:rPr>
        <w:t>Subject to paragraph 13 hereof, the Base Value per share of the SAR Shares is</w:t>
      </w:r>
      <w:r>
        <w:rPr>
          <w:rFonts w:ascii="Arial" w:cs="Arial" w:eastAsia="Arial" w:hAnsi="Arial"/>
          <w:sz w:val="16"/>
          <w:szCs w:val="16"/>
          <w:b w:val="1"/>
          <w:bCs w:val="1"/>
          <w:color w:val="auto"/>
        </w:rPr>
        <w:t xml:space="preserve"> &lt;&lt;GRANT PRICE&gt;&gt; </w:t>
      </w:r>
      <w:r>
        <w:rPr>
          <w:rFonts w:ascii="Arial" w:cs="Arial" w:eastAsia="Arial" w:hAnsi="Arial"/>
          <w:sz w:val="16"/>
          <w:szCs w:val="16"/>
          <w:color w:val="auto"/>
        </w:rPr>
        <w:t>and the Final Value is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Value of a share of Common Stock of the Company as of the date the SARs are exercised.</w:t>
      </w:r>
    </w:p>
    <w:p>
      <w:pPr>
        <w:spacing w:after="0" w:line="171" w:lineRule="exact"/>
        <w:rPr>
          <w:rFonts w:ascii="Arial" w:cs="Arial" w:eastAsia="Arial" w:hAnsi="Arial"/>
          <w:sz w:val="16"/>
          <w:szCs w:val="16"/>
          <w:color w:val="auto"/>
        </w:rPr>
      </w:pPr>
    </w:p>
    <w:p>
      <w:pPr>
        <w:jc w:val="both"/>
        <w:ind w:right="140" w:firstLine="597"/>
        <w:spacing w:after="0" w:line="291" w:lineRule="auto"/>
        <w:tabs>
          <w:tab w:leader="none" w:pos="755" w:val="left"/>
        </w:tabs>
        <w:numPr>
          <w:ilvl w:val="1"/>
          <w:numId w:val="48"/>
        </w:numPr>
        <w:rPr>
          <w:rFonts w:ascii="Arial" w:cs="Arial" w:eastAsia="Arial" w:hAnsi="Arial"/>
          <w:sz w:val="14"/>
          <w:szCs w:val="14"/>
          <w:color w:val="auto"/>
        </w:rPr>
      </w:pPr>
      <w:r>
        <w:rPr>
          <w:rFonts w:ascii="Arial" w:cs="Arial" w:eastAsia="Arial" w:hAnsi="Arial"/>
          <w:sz w:val="14"/>
          <w:szCs w:val="14"/>
          <w:b w:val="1"/>
          <w:bCs w:val="1"/>
          <w:color w:val="auto"/>
        </w:rPr>
        <w:t xml:space="preserve">Waiting Period and Exercise Dates. </w:t>
      </w:r>
      <w:r>
        <w:rPr>
          <w:rFonts w:ascii="Arial" w:cs="Arial" w:eastAsia="Arial" w:hAnsi="Arial"/>
          <w:sz w:val="14"/>
          <w:szCs w:val="14"/>
          <w:color w:val="auto"/>
        </w:rPr>
        <w:t>The SAR Shares may not be exercised during the one-year period following the Grant Date (the “waiting period”). Following</w:t>
      </w:r>
      <w:r>
        <w:rPr>
          <w:rFonts w:ascii="Arial" w:cs="Arial" w:eastAsia="Arial" w:hAnsi="Arial"/>
          <w:sz w:val="14"/>
          <w:szCs w:val="14"/>
          <w:b w:val="1"/>
          <w:bCs w:val="1"/>
          <w:color w:val="auto"/>
        </w:rPr>
        <w:t xml:space="preserve"> </w:t>
      </w:r>
      <w:r>
        <w:rPr>
          <w:rFonts w:ascii="Arial" w:cs="Arial" w:eastAsia="Arial" w:hAnsi="Arial"/>
          <w:sz w:val="14"/>
          <w:szCs w:val="14"/>
          <w:color w:val="auto"/>
        </w:rPr>
        <w:t>the waiting period, the SAR Shares may be exercised in accordance with the following schedule: twenty-five percent (25%) of the SAR Shares commencing on each of the four</w:t>
      </w:r>
    </w:p>
    <w:p>
      <w:pPr>
        <w:ind w:right="40"/>
        <w:spacing w:after="0" w:line="268" w:lineRule="auto"/>
        <w:tabs>
          <w:tab w:leader="none" w:pos="223"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anniversaries of the Grant Date, provided that if the application of the foregoing exercise schedule would cause a fractional SAR Share to become exercisable, then the Committee shall determine how to reallocate such fractional SAR Share so that only whole SAR Shares shall become exercisable. To the extent that the SARs are not exercised by Employee when they become initially exercisable, the SARs shall not expire but shall be carried forward and shall be exercisable at any time thereafter; provided, however, that the SARs shall not be exercisable after the expiration of ten (10) years from the Grant Date or sooner as set forth in paragraph 9, if applicable. Exercise of the SARs shall not be dependent upon the prior or sequential exercise of any other SARs heretofore granted to Employee by the Company.</w:t>
      </w:r>
    </w:p>
    <w:p>
      <w:pPr>
        <w:spacing w:after="0" w:line="188" w:lineRule="exact"/>
        <w:rPr>
          <w:rFonts w:ascii="Arial" w:cs="Arial" w:eastAsia="Arial" w:hAnsi="Arial"/>
          <w:sz w:val="15"/>
          <w:szCs w:val="15"/>
          <w:color w:val="auto"/>
        </w:rPr>
      </w:pPr>
    </w:p>
    <w:p>
      <w:pPr>
        <w:ind w:right="40" w:firstLine="597"/>
        <w:spacing w:after="0" w:line="294" w:lineRule="auto"/>
        <w:tabs>
          <w:tab w:leader="none" w:pos="755" w:val="left"/>
        </w:tabs>
        <w:numPr>
          <w:ilvl w:val="1"/>
          <w:numId w:val="49"/>
        </w:numPr>
        <w:rPr>
          <w:rFonts w:ascii="Arial" w:cs="Arial" w:eastAsia="Arial" w:hAnsi="Arial"/>
          <w:sz w:val="14"/>
          <w:szCs w:val="14"/>
          <w:color w:val="auto"/>
        </w:rPr>
      </w:pPr>
      <w:r>
        <w:rPr>
          <w:rFonts w:ascii="Arial" w:cs="Arial" w:eastAsia="Arial" w:hAnsi="Arial"/>
          <w:sz w:val="14"/>
          <w:szCs w:val="14"/>
          <w:b w:val="1"/>
          <w:bCs w:val="1"/>
          <w:color w:val="auto"/>
        </w:rPr>
        <w:t xml:space="preserve">Method of Exercising SARs. </w:t>
      </w:r>
      <w:r>
        <w:rPr>
          <w:rFonts w:ascii="Arial" w:cs="Arial" w:eastAsia="Arial" w:hAnsi="Arial"/>
          <w:sz w:val="14"/>
          <w:szCs w:val="14"/>
          <w:color w:val="auto"/>
        </w:rPr>
        <w:t>To exercise the SARs, the person entitled to exercise the SARs must provide a signed written notice or the equivalent to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or its designee, as prescribed in the administrative procedures of the Plan, stating the number of SAR Shares with respect to which the SARs are being exercised. The SARs may be exercised by (a) making provision for the satisfaction of the applicable withholding taxes pursuant to procedures specified by the Committee, and (b) an undertaking to furnish and execute such documents as the Company deems necessary (i) to evidence such exercise, and (ii) to determine whether registration is then required to comply with the Securities Act of 1933 or any other law. Upon satisfying the conditions for exercise including the provision for the satisfaction of the withholding taxes, the Company shall transfer a number of Common Shares calculated according to paragraph 3 to an individual brokerage account (the “Account”) established and maintained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4825-6071-1869.2</w:t>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in Employee’s name. The exercise of the SARs may be made by any other means that the Committee determines to be consistent with the Plan’s purpose and applicable law.</w:t>
      </w:r>
    </w:p>
    <w:p>
      <w:pPr>
        <w:spacing w:after="0" w:line="246" w:lineRule="exact"/>
        <w:rPr>
          <w:sz w:val="20"/>
          <w:szCs w:val="20"/>
          <w:color w:val="auto"/>
        </w:rPr>
      </w:pPr>
    </w:p>
    <w:p>
      <w:pPr>
        <w:ind w:right="660" w:firstLine="597"/>
        <w:spacing w:after="0" w:line="304" w:lineRule="auto"/>
        <w:tabs>
          <w:tab w:leader="none" w:pos="755" w:val="left"/>
        </w:tabs>
        <w:numPr>
          <w:ilvl w:val="0"/>
          <w:numId w:val="50"/>
        </w:numPr>
        <w:rPr>
          <w:rFonts w:ascii="Arial" w:cs="Arial" w:eastAsia="Arial" w:hAnsi="Arial"/>
          <w:sz w:val="15"/>
          <w:szCs w:val="15"/>
          <w:color w:val="auto"/>
        </w:rPr>
      </w:pPr>
      <w:r>
        <w:rPr>
          <w:rFonts w:ascii="Arial" w:cs="Arial" w:eastAsia="Arial" w:hAnsi="Arial"/>
          <w:sz w:val="15"/>
          <w:szCs w:val="15"/>
          <w:b w:val="1"/>
          <w:bCs w:val="1"/>
          <w:color w:val="auto"/>
        </w:rPr>
        <w:t xml:space="preserve">Conditions of Exercise. </w:t>
      </w:r>
      <w:r>
        <w:rPr>
          <w:rFonts w:ascii="Arial" w:cs="Arial" w:eastAsia="Arial" w:hAnsi="Arial"/>
          <w:sz w:val="15"/>
          <w:szCs w:val="15"/>
          <w:color w:val="auto"/>
        </w:rPr>
        <w:t>As a condition of exercising any SARs hereunder and receiving the Common Shares in accordance with paragraphs 5 and 6 above,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shall meet all of the following conditions during the entire period from the Grant Date through the date of exercise:</w:t>
      </w:r>
    </w:p>
    <w:p>
      <w:pPr>
        <w:spacing w:after="0" w:line="177" w:lineRule="exact"/>
        <w:rPr>
          <w:sz w:val="20"/>
          <w:szCs w:val="20"/>
          <w:color w:val="auto"/>
        </w:rPr>
      </w:pPr>
    </w:p>
    <w:p>
      <w:pPr>
        <w:ind w:right="140" w:firstLine="597"/>
        <w:spacing w:after="0" w:line="254" w:lineRule="auto"/>
        <w:tabs>
          <w:tab w:leader="none" w:pos="811"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as otherwise provided herein, Employee must continue to be an active employee of the Company or any Subsidiary (“Continuous Employment”). For purposes of this Award, Employee shall be deemed to no longer be in Continuous Employment as of the first day following a continuous leave of absence for a period of twelve months (other than a leave of absence approved by the Board of Directors or the Committee);</w:t>
      </w:r>
    </w:p>
    <w:p>
      <w:pPr>
        <w:spacing w:after="0" w:line="199" w:lineRule="exact"/>
        <w:rPr>
          <w:rFonts w:ascii="Arial" w:cs="Arial" w:eastAsia="Arial" w:hAnsi="Arial"/>
          <w:sz w:val="16"/>
          <w:szCs w:val="16"/>
          <w:color w:val="auto"/>
        </w:rPr>
      </w:pPr>
    </w:p>
    <w:p>
      <w:pPr>
        <w:ind w:right="340" w:firstLine="597"/>
        <w:spacing w:after="0" w:line="264"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Employee must refrain from Engaging in Competition (as defined in Section 2.17 of the Plan) without first having obtained the written consent thereto from the Company (“Non-competition”); and</w:t>
      </w:r>
    </w:p>
    <w:p>
      <w:pPr>
        <w:spacing w:after="0" w:line="204" w:lineRule="exact"/>
        <w:rPr>
          <w:rFonts w:ascii="Arial" w:cs="Arial" w:eastAsia="Arial" w:hAnsi="Arial"/>
          <w:sz w:val="16"/>
          <w:szCs w:val="16"/>
          <w:color w:val="auto"/>
        </w:rPr>
      </w:pPr>
    </w:p>
    <w:p>
      <w:pPr>
        <w:ind w:right="100" w:firstLine="597"/>
        <w:spacing w:after="0" w:line="250" w:lineRule="auto"/>
        <w:tabs>
          <w:tab w:leader="none" w:pos="811" w:val="left"/>
        </w:tabs>
        <w:numPr>
          <w:ilvl w:val="0"/>
          <w:numId w:val="51"/>
        </w:numPr>
        <w:rPr>
          <w:rFonts w:ascii="Arial" w:cs="Arial" w:eastAsia="Arial" w:hAnsi="Arial"/>
          <w:sz w:val="16"/>
          <w:szCs w:val="16"/>
          <w:color w:val="auto"/>
        </w:rPr>
      </w:pPr>
      <w:r>
        <w:rPr>
          <w:rFonts w:ascii="Arial" w:cs="Arial" w:eastAsia="Arial" w:hAnsi="Arial"/>
          <w:sz w:val="16"/>
          <w:szCs w:val="16"/>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204" w:lineRule="exact"/>
        <w:rPr>
          <w:sz w:val="20"/>
          <w:szCs w:val="20"/>
          <w:color w:val="auto"/>
        </w:rPr>
      </w:pPr>
    </w:p>
    <w:p>
      <w:pPr>
        <w:ind w:firstLine="597"/>
        <w:spacing w:after="0" w:line="303" w:lineRule="auto"/>
        <w:rPr>
          <w:sz w:val="20"/>
          <w:szCs w:val="20"/>
          <w:color w:val="auto"/>
        </w:rPr>
      </w:pPr>
      <w:r>
        <w:rPr>
          <w:rFonts w:ascii="Arial" w:cs="Arial" w:eastAsia="Arial" w:hAnsi="Arial"/>
          <w:sz w:val="14"/>
          <w:szCs w:val="14"/>
          <w:color w:val="auto"/>
        </w:rPr>
        <w:t>If Employee should fail to meet the requirements relating to (i) Continuous Employment, (ii) Non-competition, or (iii) No Improper Conduct, then Employee shall forfeit the right to exercise any SARs that have not already been exercised as of the time such failure is determined, and Employee shall accordingly forfeit the right to receive the transfer of title to any corresponding Common Shares. The forfeiture of rights with respect to unexercised SARs (and corresponding Common Shares) shall not affect the rights of Employee with respect to any SARs that have already been exercised nor with respect to any Common Shares the title of which has already been transferred to the Account.</w:t>
      </w:r>
    </w:p>
    <w:p>
      <w:pPr>
        <w:spacing w:after="0" w:line="166" w:lineRule="exact"/>
        <w:rPr>
          <w:sz w:val="20"/>
          <w:szCs w:val="20"/>
          <w:color w:val="auto"/>
        </w:rPr>
      </w:pPr>
    </w:p>
    <w:p>
      <w:pPr>
        <w:jc w:val="both"/>
        <w:ind w:firstLine="597"/>
        <w:spacing w:after="0" w:line="256" w:lineRule="auto"/>
        <w:tabs>
          <w:tab w:leader="none" w:pos="767"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Rights as a Shareholder. </w:t>
      </w:r>
      <w:r>
        <w:rPr>
          <w:rFonts w:ascii="Arial" w:cs="Arial" w:eastAsia="Arial" w:hAnsi="Arial"/>
          <w:sz w:val="16"/>
          <w:szCs w:val="16"/>
          <w:color w:val="auto"/>
        </w:rPr>
        <w:t>Employee shall have no rights as a shareholder with respect to any SAR Shares covered by the SARs granted hereby until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Common Shares are transferred to the Account as described in paragraph 6. No adjustment shall be made for dividends or other rights for which the record date is prior to such date.</w:t>
      </w:r>
    </w:p>
    <w:p>
      <w:pPr>
        <w:spacing w:after="0" w:line="207" w:lineRule="exact"/>
        <w:rPr>
          <w:rFonts w:ascii="Arial" w:cs="Arial" w:eastAsia="Arial" w:hAnsi="Arial"/>
          <w:sz w:val="16"/>
          <w:szCs w:val="16"/>
          <w:color w:val="auto"/>
        </w:rPr>
      </w:pPr>
    </w:p>
    <w:p>
      <w:pPr>
        <w:ind w:right="380" w:firstLine="597"/>
        <w:spacing w:after="0" w:line="270" w:lineRule="auto"/>
        <w:tabs>
          <w:tab w:leader="none" w:pos="755"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Non-Assignability. </w:t>
      </w:r>
      <w:r>
        <w:rPr>
          <w:rFonts w:ascii="Arial" w:cs="Arial" w:eastAsia="Arial" w:hAnsi="Arial"/>
          <w:sz w:val="16"/>
          <w:szCs w:val="16"/>
          <w:color w:val="auto"/>
        </w:rPr>
        <w:t>The SARs shall not be assignable or transferable by Employee except by will or by the laws of descent and distribution. During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lifetime, the SARs may be exercised only by Employee or, in the event of incompetence, by Employee’s legally appointed guardian.</w:t>
      </w:r>
    </w:p>
    <w:p>
      <w:pPr>
        <w:spacing w:after="0" w:line="183" w:lineRule="exact"/>
        <w:rPr>
          <w:rFonts w:ascii="Arial" w:cs="Arial" w:eastAsia="Arial" w:hAnsi="Arial"/>
          <w:sz w:val="16"/>
          <w:szCs w:val="16"/>
          <w:color w:val="auto"/>
        </w:rPr>
      </w:pPr>
    </w:p>
    <w:p>
      <w:pPr>
        <w:ind w:left="840" w:hanging="243"/>
        <w:spacing w:after="0"/>
        <w:tabs>
          <w:tab w:leader="none" w:pos="84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Effect of Termination of Employment or Death.</w:t>
      </w:r>
    </w:p>
    <w:p>
      <w:pPr>
        <w:spacing w:after="0" w:line="231" w:lineRule="exact"/>
        <w:rPr>
          <w:sz w:val="20"/>
          <w:szCs w:val="20"/>
          <w:color w:val="auto"/>
        </w:rPr>
      </w:pPr>
    </w:p>
    <w:p>
      <w:pPr>
        <w:ind w:right="160" w:firstLine="597"/>
        <w:spacing w:after="0" w:line="256" w:lineRule="auto"/>
        <w:tabs>
          <w:tab w:leader="none" w:pos="81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Employee’s Continuous Employment is terminated for any reason other than those specified in (b) or (c) below, Employee shall immediately forfeit all of the SARs which are unexercisable and, provided that Employee continues to meet the requirements related to Non-competition and No Improper Conduct, any SARs which were otherwise exercisable on such date shall expire at the earlier of (i) the expiration of the SARs in accordance with the term for which the SARs were granted, or (ii) three months from the date on which Employee’s Continuous Service terminated.</w:t>
      </w:r>
    </w:p>
    <w:p>
      <w:pPr>
        <w:spacing w:after="0" w:line="198" w:lineRule="exact"/>
        <w:rPr>
          <w:rFonts w:ascii="Arial" w:cs="Arial" w:eastAsia="Arial" w:hAnsi="Arial"/>
          <w:sz w:val="16"/>
          <w:szCs w:val="16"/>
          <w:color w:val="auto"/>
        </w:rPr>
      </w:pPr>
    </w:p>
    <w:p>
      <w:pPr>
        <w:ind w:right="20" w:firstLine="597"/>
        <w:spacing w:after="0" w:line="286" w:lineRule="auto"/>
        <w:tabs>
          <w:tab w:leader="none" w:pos="8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the event Employee’s Continuous Employment is terminated on account of Employee’s Retirement (as defined below), and if Employee had otherwise met the requirements of Continuous Employment, Non-competition and No Improper Conduct from the Grant Date through the date of such Retirement, then all the SAR Shares shall continue to become exercisable in accordance with the schedule set forth in Paragraph 5, except that if the Grant Date is less than one year before the date Employee retires then the portion of the SARs equal to the number of SARs granted hereunder multiplied by the ratio of (a) the number of days between the Grant Date and the retirement date inclusive, over (b) the number of days in the twelve (12) month period following the Grant Date shall immediately be forfeited upon Employee’s termination. Provided that Employee continues to meet the requirements of Non-competition and No Improper Conduct, all of the SARs that remain outstanding shall expire at the sooner to occur of (i) the expiration of such SARs in accordance with their original term, and (ii) the expiration of five years from the date of retirement. For purposes of this Agreement, “Retirement” shall mean termination of employment on account of Disability (as defined in Section 2.14 of the Plan) or by retiring with the specific approval of the Committee on or after such date on which Employee has attained age 55 and completed ten (10) Years of Service. If the Committee subsequently determines, in its sole discretion, that Employee has violated the Non-competition or No Improper Conduct requirement, then Employee shall have ninety (90) days from the date of such finding within which to exercise any SARs or portions thereof which are exercisable on such date, and any SARs or portions thereof which are not exercised within such ninety (90) day period shall expire and any SARs or portion thereof which are not exercisable on such date shall be cancelled on such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4825-6071-1869.2</w:t>
      </w:r>
    </w:p>
    <w:p>
      <w:pPr>
        <w:sectPr>
          <w:pgSz w:w="11900" w:h="16838" w:orient="portrait"/>
          <w:cols w:equalWidth="0" w:num="1">
            <w:col w:w="11240"/>
          </w:cols>
          <w:pgMar w:left="320" w:top="719" w:right="339" w:bottom="1440" w:gutter="0" w:footer="0" w:header="0"/>
        </w:sectPr>
      </w:pPr>
    </w:p>
    <w:bookmarkStart w:id="142" w:name="page143"/>
    <w:bookmarkEnd w:id="142"/>
    <w:p>
      <w:pPr>
        <w:ind w:right="40" w:firstLine="597"/>
        <w:spacing w:after="0" w:line="273" w:lineRule="auto"/>
        <w:tabs>
          <w:tab w:leader="none" w:pos="811"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 the event of the death of Employee during the three (3) month period following termination of Continuous Employment other than due to Retirement, the SARs shall be exercisable by Employee’s personal representative, heirs or legatees to the same extent and during the same period that Employee could have exercised the SARs if Employee had not died. In the event the Employee’s Continuous Employment is terminated due to death, or if Employee dies after Retirement, the SARs shall be exercisable in their entirety by Employee’s personal representatives, heirs or legatees at any time prior to the expiration of one year from the date of the death of Employee, but in no event after the term for which the SARs were granted or before the waiting period has elapsed.</w:t>
      </w:r>
    </w:p>
    <w:p>
      <w:pPr>
        <w:spacing w:after="0" w:line="188" w:lineRule="exact"/>
        <w:rPr>
          <w:rFonts w:ascii="Arial" w:cs="Arial" w:eastAsia="Arial" w:hAnsi="Arial"/>
          <w:sz w:val="15"/>
          <w:szCs w:val="15"/>
          <w:color w:val="auto"/>
        </w:rPr>
      </w:pPr>
    </w:p>
    <w:p>
      <w:pPr>
        <w:ind w:firstLine="597"/>
        <w:spacing w:after="0" w:line="273" w:lineRule="auto"/>
        <w:tabs>
          <w:tab w:leader="none" w:pos="8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 the event Employee’s employment or service with the Company and its Subsidiaries terminates as the result of a Divestiture, defined as either (i) the disposition by the Company or a Subsidiary of all or a portion of the assets used by the Company or Subsidiary in a trade or business, for which the participant works, to an unrelated corporation or entity and which results in the participant ceasing to be employed by the Company or a Subsidiary or (ii) the disposition by the Company of its equity interest in a Subsidiary that employs the participant to an unrelated individual or entity (which, for the avoidance of doubt, excludes a spin-off or split-off or similar transaction), provided that such Subsidiary ceases to be controlled by the Company as a result of such disposition. then:</w:t>
      </w:r>
    </w:p>
    <w:p>
      <w:pPr>
        <w:spacing w:after="0" w:line="64" w:lineRule="exact"/>
        <w:rPr>
          <w:rFonts w:ascii="Arial" w:cs="Arial" w:eastAsia="Arial" w:hAnsi="Arial"/>
          <w:sz w:val="15"/>
          <w:szCs w:val="15"/>
          <w:color w:val="auto"/>
        </w:rPr>
      </w:pPr>
    </w:p>
    <w:p>
      <w:pPr>
        <w:ind w:left="1200" w:hanging="6"/>
        <w:spacing w:after="0" w:line="264" w:lineRule="auto"/>
        <w:tabs>
          <w:tab w:leader="none" w:pos="1388"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unvested or unexercisable SARs shall be deemed fully vested and exercisable as of the Divestiture, and shall remain outstanding until the earlier of the end of their original term and twelve months following the Divestiture;</w:t>
      </w:r>
    </w:p>
    <w:p>
      <w:pPr>
        <w:spacing w:after="0" w:line="167" w:lineRule="exact"/>
        <w:rPr>
          <w:rFonts w:ascii="Arial" w:cs="Arial" w:eastAsia="Arial" w:hAnsi="Arial"/>
          <w:sz w:val="16"/>
          <w:szCs w:val="16"/>
          <w:color w:val="auto"/>
        </w:rPr>
      </w:pPr>
    </w:p>
    <w:p>
      <w:pPr>
        <w:jc w:val="both"/>
        <w:ind w:left="1200" w:hanging="6"/>
        <w:spacing w:after="0" w:line="288" w:lineRule="auto"/>
        <w:tabs>
          <w:tab w:leader="none" w:pos="1437" w:val="left"/>
        </w:tabs>
        <w:numPr>
          <w:ilvl w:val="1"/>
          <w:numId w:val="54"/>
        </w:numPr>
        <w:rPr>
          <w:rFonts w:ascii="Arial" w:cs="Arial" w:eastAsia="Arial" w:hAnsi="Arial"/>
          <w:sz w:val="14"/>
          <w:szCs w:val="14"/>
          <w:color w:val="auto"/>
        </w:rPr>
      </w:pPr>
      <w:r>
        <w:rPr>
          <w:rFonts w:ascii="Arial" w:cs="Arial" w:eastAsia="Arial" w:hAnsi="Arial"/>
          <w:sz w:val="14"/>
          <w:szCs w:val="14"/>
          <w:color w:val="auto"/>
        </w:rPr>
        <w:t>All unvested RSUs shall be deemed fully vested as of the Divestiture, but shall be settled (in shares of the Company’s common stock or cash, as provided for in the participant’s award agreement) at the same time(s) the RSUs would otherwise have been settled had no Divestiture occurred and the participant remained in the employment or service of the Company through the applicable vesting and payment dates under the award. Notwithstanding the foregoing, in lieu of the foregoing, the Company may, in its discretion, “terminate and liquidate” the RSUs in accordance with Treas. Reg. Section 1.409A-3(j)(4)(ix) (provided that the Divestiture would be a “change in control event” with respect to the participant’s employer under Treas. Reg. Section 1.409A-3(i)(5) pursuant to an irrevocable action taken within 30 days preceding or 12 months following the Divestiture, provided that the Company (i) terminates and liquidates all plans and agreements that are treated as being aggregated with the RSUs under Treas. Reg. Section 1.409A-1(c)(2) with respect to all divested participants, (ii) settles the RSUs within 12 months of the date the Company takes such irrevocable action, and (iii) otherwise complies with the requirements of Code Section 409A. The Chief Executive Officer of the Company shall have the authority to exercise the Company’s discretion to terminate and liquidate the RSUs, provided that if any divested participant is an executive officer of the Company, then only the Committee shall have such authority.</w:t>
      </w:r>
    </w:p>
    <w:p>
      <w:pPr>
        <w:spacing w:after="0" w:line="158" w:lineRule="exact"/>
        <w:rPr>
          <w:rFonts w:ascii="Arial" w:cs="Arial" w:eastAsia="Arial" w:hAnsi="Arial"/>
          <w:sz w:val="14"/>
          <w:szCs w:val="14"/>
          <w:color w:val="auto"/>
        </w:rPr>
      </w:pPr>
    </w:p>
    <w:p>
      <w:pPr>
        <w:jc w:val="both"/>
        <w:ind w:left="1200" w:hanging="6"/>
        <w:spacing w:after="0" w:line="278" w:lineRule="auto"/>
        <w:tabs>
          <w:tab w:leader="none" w:pos="1481" w:val="left"/>
        </w:tabs>
        <w:numPr>
          <w:ilvl w:val="1"/>
          <w:numId w:val="54"/>
        </w:numPr>
        <w:rPr>
          <w:rFonts w:ascii="Arial" w:cs="Arial" w:eastAsia="Arial" w:hAnsi="Arial"/>
          <w:sz w:val="15"/>
          <w:szCs w:val="15"/>
          <w:color w:val="auto"/>
        </w:rPr>
      </w:pPr>
      <w:r>
        <w:rPr>
          <w:rFonts w:ascii="Arial" w:cs="Arial" w:eastAsia="Arial" w:hAnsi="Arial"/>
          <w:sz w:val="15"/>
          <w:szCs w:val="15"/>
          <w:color w:val="auto"/>
        </w:rPr>
        <w:t>All unvested PSUs for which the performance period has not been completed as of the Divestiture shall be deemed vested upon the Divestiture assuming target performance goals were achieved, and unvested PSUs for which the performance period has been completed as of the Divestiture shall vest upon the Divestiture based on actual performance results, and all such PSUs shall be settled (in shares of the Company’s common stock or cash, as provided for in the participant’s award agreement) as soon as reasonably practicable following the Divestiture.</w:t>
      </w:r>
    </w:p>
    <w:p>
      <w:pPr>
        <w:spacing w:after="0" w:line="329" w:lineRule="exact"/>
        <w:rPr>
          <w:sz w:val="20"/>
          <w:szCs w:val="20"/>
          <w:color w:val="auto"/>
        </w:rPr>
      </w:pPr>
    </w:p>
    <w:p>
      <w:pPr>
        <w:ind w:right="40" w:firstLine="597"/>
        <w:spacing w:after="0" w:line="287" w:lineRule="auto"/>
        <w:tabs>
          <w:tab w:leader="none" w:pos="827"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 xml:space="preserve">Non-Solicitation. </w:t>
      </w:r>
      <w:r>
        <w:rPr>
          <w:rFonts w:ascii="Arial" w:cs="Arial" w:eastAsia="Arial" w:hAnsi="Arial"/>
          <w:sz w:val="14"/>
          <w:szCs w:val="14"/>
          <w:color w:val="auto"/>
        </w:rPr>
        <w:t>In consideration of good and valuable consideration in the form of the SARs granted herein to which Employee is not otherwise entitled, the</w:t>
      </w:r>
      <w:r>
        <w:rPr>
          <w:rFonts w:ascii="Arial" w:cs="Arial" w:eastAsia="Arial" w:hAnsi="Arial"/>
          <w:sz w:val="14"/>
          <w:szCs w:val="14"/>
          <w:b w:val="1"/>
          <w:bCs w:val="1"/>
          <w:color w:val="auto"/>
        </w:rPr>
        <w:t xml:space="preserve"> </w:t>
      </w:r>
      <w:r>
        <w:rPr>
          <w:rFonts w:ascii="Arial" w:cs="Arial" w:eastAsia="Arial" w:hAnsi="Arial"/>
          <w:sz w:val="14"/>
          <w:szCs w:val="14"/>
          <w:color w:val="auto"/>
        </w:rPr>
        <w:t>receipt and sufficiency of which are hereby acknowledged, and in recognition of the Company’s and its Subsidiary’s legitimate purpose of avoiding for limited times competition from persons whom the Company or its Subsidiary has trained and/or given experience,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4825-6071-1869.2</w:t>
      </w:r>
    </w:p>
    <w:p>
      <w:pPr>
        <w:sectPr>
          <w:pgSz w:w="11900" w:h="16838" w:orient="portrait"/>
          <w:cols w:equalWidth="0" w:num="1">
            <w:col w:w="11240"/>
          </w:cols>
          <w:pgMar w:left="320" w:top="719" w:right="339" w:bottom="1440" w:gutter="0" w:footer="0" w:header="0"/>
        </w:sectPr>
      </w:pPr>
    </w:p>
    <w:bookmarkStart w:id="143" w:name="page144"/>
    <w:bookmarkEnd w:id="143"/>
    <w:p>
      <w:pPr>
        <w:jc w:val="both"/>
        <w:ind w:firstLine="597"/>
        <w:spacing w:after="0" w:line="294" w:lineRule="auto"/>
        <w:tabs>
          <w:tab w:leader="none" w:pos="833" w:val="left"/>
        </w:tabs>
        <w:numPr>
          <w:ilvl w:val="1"/>
          <w:numId w:val="56"/>
        </w:numPr>
        <w:rPr>
          <w:rFonts w:ascii="Arial" w:cs="Arial" w:eastAsia="Arial" w:hAnsi="Arial"/>
          <w:sz w:val="14"/>
          <w:szCs w:val="14"/>
          <w:color w:val="auto"/>
        </w:rPr>
      </w:pPr>
      <w:r>
        <w:rPr>
          <w:rFonts w:ascii="Arial" w:cs="Arial" w:eastAsia="Arial" w:hAnsi="Arial"/>
          <w:sz w:val="14"/>
          <w:szCs w:val="14"/>
          <w:b w:val="1"/>
          <w:bCs w:val="1"/>
          <w:color w:val="auto"/>
        </w:rPr>
        <w:t xml:space="preserve">Consent. </w:t>
      </w:r>
      <w:r>
        <w:rPr>
          <w:rFonts w:ascii="Arial" w:cs="Arial" w:eastAsia="Arial" w:hAnsi="Arial"/>
          <w:sz w:val="14"/>
          <w:szCs w:val="14"/>
          <w:color w:val="auto"/>
        </w:rPr>
        <w:t>By executing this Agreement, Employee consents to the collection, maintenance and processing of Employee’s personal information (such as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Exercise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52" w:lineRule="exact"/>
        <w:rPr>
          <w:rFonts w:ascii="Arial" w:cs="Arial" w:eastAsia="Arial" w:hAnsi="Arial"/>
          <w:sz w:val="14"/>
          <w:szCs w:val="14"/>
          <w:color w:val="auto"/>
        </w:rPr>
      </w:pPr>
    </w:p>
    <w:p>
      <w:pPr>
        <w:ind w:left="600" w:right="360" w:hanging="302"/>
        <w:spacing w:after="0" w:line="264" w:lineRule="auto"/>
        <w:tabs>
          <w:tab w:leader="none" w:pos="5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from this Agreement, investor questionnaires or other forms that Employee submits to the Company or a Subsidiary or contracts that Employee enters into with the Company or a Subsidiary;</w:t>
      </w:r>
    </w:p>
    <w:p>
      <w:pPr>
        <w:spacing w:after="0" w:line="180" w:lineRule="exact"/>
        <w:rPr>
          <w:rFonts w:ascii="Arial" w:cs="Arial" w:eastAsia="Arial" w:hAnsi="Arial"/>
          <w:sz w:val="16"/>
          <w:szCs w:val="16"/>
          <w:color w:val="auto"/>
        </w:rPr>
      </w:pPr>
    </w:p>
    <w:p>
      <w:pPr>
        <w:ind w:left="600" w:hanging="302"/>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from Employee’s transactions with the Company, the Company’s affiliates and service providers;</w:t>
      </w:r>
    </w:p>
    <w:p>
      <w:pPr>
        <w:spacing w:after="0" w:line="201" w:lineRule="exact"/>
        <w:rPr>
          <w:rFonts w:ascii="Arial" w:cs="Arial" w:eastAsia="Arial" w:hAnsi="Arial"/>
          <w:sz w:val="16"/>
          <w:szCs w:val="16"/>
          <w:color w:val="auto"/>
        </w:rPr>
      </w:pPr>
    </w:p>
    <w:p>
      <w:pPr>
        <w:ind w:left="580" w:hanging="282"/>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from Employee’s employment records with the Company or a Subsidiary; and</w:t>
      </w:r>
    </w:p>
    <w:p>
      <w:pPr>
        <w:spacing w:after="0" w:line="201" w:lineRule="exact"/>
        <w:rPr>
          <w:rFonts w:ascii="Arial" w:cs="Arial" w:eastAsia="Arial" w:hAnsi="Arial"/>
          <w:sz w:val="16"/>
          <w:szCs w:val="16"/>
          <w:color w:val="auto"/>
        </w:rPr>
      </w:pPr>
    </w:p>
    <w:p>
      <w:pPr>
        <w:ind w:left="600" w:hanging="302"/>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from meetings, telephone conversations and other communications with Employee.</w:t>
      </w:r>
    </w:p>
    <w:p>
      <w:pPr>
        <w:spacing w:after="0" w:line="22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4"/>
          <w:szCs w:val="14"/>
          <w:color w:val="auto"/>
        </w:rPr>
        <w:t>In addition, Employee further consents to the Company or a Subsidiary disclosing Employee’s personal information to the Company’s third party service providers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affiliates and other entities in connection with the services the Company provides related to Employee’s participation in the Plan, including:</w:t>
      </w:r>
    </w:p>
    <w:p>
      <w:pPr>
        <w:spacing w:after="0" w:line="188" w:lineRule="exact"/>
        <w:rPr>
          <w:sz w:val="20"/>
          <w:szCs w:val="20"/>
          <w:color w:val="auto"/>
        </w:rPr>
      </w:pPr>
    </w:p>
    <w:p>
      <w:pPr>
        <w:ind w:left="520" w:hanging="222"/>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financial service providers, such as broker-dealers, custodians, banks and others used to finance or facilitate transactions by, or operations of, the Plan</w:t>
      </w:r>
    </w:p>
    <w:p>
      <w:pPr>
        <w:spacing w:after="0" w:line="214" w:lineRule="exact"/>
        <w:rPr>
          <w:rFonts w:ascii="Arial" w:cs="Arial" w:eastAsia="Arial" w:hAnsi="Arial"/>
          <w:sz w:val="16"/>
          <w:szCs w:val="16"/>
          <w:color w:val="auto"/>
        </w:rPr>
      </w:pPr>
    </w:p>
    <w:p>
      <w:pPr>
        <w:ind w:left="520" w:hanging="222"/>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other service providers to the Plan, such as accounting, legal, or tax preparation services;</w:t>
      </w:r>
    </w:p>
    <w:p>
      <w:pPr>
        <w:spacing w:after="0" w:line="201" w:lineRule="exact"/>
        <w:rPr>
          <w:rFonts w:ascii="Arial" w:cs="Arial" w:eastAsia="Arial" w:hAnsi="Arial"/>
          <w:sz w:val="16"/>
          <w:szCs w:val="16"/>
          <w:color w:val="auto"/>
        </w:rPr>
      </w:pPr>
    </w:p>
    <w:p>
      <w:pPr>
        <w:ind w:left="520" w:hanging="222"/>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regulatory authorities; and</w:t>
      </w:r>
    </w:p>
    <w:p>
      <w:pPr>
        <w:spacing w:after="0" w:line="201" w:lineRule="exact"/>
        <w:rPr>
          <w:rFonts w:ascii="Arial" w:cs="Arial" w:eastAsia="Arial" w:hAnsi="Arial"/>
          <w:sz w:val="16"/>
          <w:szCs w:val="16"/>
          <w:color w:val="auto"/>
        </w:rPr>
      </w:pPr>
    </w:p>
    <w:p>
      <w:pPr>
        <w:ind w:left="520" w:hanging="222"/>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transfer agents, portfolio companies, brokerage firms and the like, in connection with distributions to Plan participants.</w:t>
      </w:r>
    </w:p>
    <w:p>
      <w:pPr>
        <w:spacing w:after="0" w:line="227" w:lineRule="exact"/>
        <w:rPr>
          <w:sz w:val="20"/>
          <w:szCs w:val="20"/>
          <w:color w:val="auto"/>
        </w:rPr>
      </w:pPr>
    </w:p>
    <w:p>
      <w:pPr>
        <w:ind w:firstLine="597"/>
        <w:spacing w:after="0" w:line="264" w:lineRule="auto"/>
        <w:rPr>
          <w:sz w:val="20"/>
          <w:szCs w:val="20"/>
          <w:color w:val="auto"/>
        </w:rPr>
      </w:pPr>
      <w:r>
        <w:rPr>
          <w:rFonts w:ascii="Arial" w:cs="Arial" w:eastAsia="Arial" w:hAnsi="Arial"/>
          <w:sz w:val="16"/>
          <w:szCs w:val="16"/>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205" w:lineRule="exact"/>
        <w:rPr>
          <w:sz w:val="20"/>
          <w:szCs w:val="20"/>
          <w:color w:val="auto"/>
        </w:rPr>
      </w:pPr>
    </w:p>
    <w:p>
      <w:pPr>
        <w:ind w:right="20" w:firstLine="597"/>
        <w:spacing w:after="0" w:line="266" w:lineRule="auto"/>
        <w:rPr>
          <w:sz w:val="20"/>
          <w:szCs w:val="20"/>
          <w:color w:val="auto"/>
        </w:rPr>
      </w:pPr>
      <w:r>
        <w:rPr>
          <w:rFonts w:ascii="Arial" w:cs="Arial" w:eastAsia="Arial" w:hAnsi="Arial"/>
          <w:sz w:val="15"/>
          <w:szCs w:val="15"/>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92" w:lineRule="exact"/>
        <w:rPr>
          <w:sz w:val="20"/>
          <w:szCs w:val="20"/>
          <w:color w:val="auto"/>
        </w:rPr>
      </w:pPr>
    </w:p>
    <w:p>
      <w:pPr>
        <w:ind w:right="20" w:firstLine="597"/>
        <w:spacing w:after="0" w:line="294" w:lineRule="auto"/>
        <w:tabs>
          <w:tab w:leader="none" w:pos="833"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 xml:space="preserve">No Additional Rights. </w:t>
      </w:r>
      <w:r>
        <w:rPr>
          <w:rFonts w:ascii="Arial" w:cs="Arial" w:eastAsia="Arial" w:hAnsi="Arial"/>
          <w:sz w:val="14"/>
          <w:szCs w:val="14"/>
          <w:color w:val="auto"/>
        </w:rPr>
        <w:t>Benefits under the Plan are not guaranteed. The grant of this Award is a one-time benefit and does not create any contractual or other right or</w:t>
      </w:r>
      <w:r>
        <w:rPr>
          <w:rFonts w:ascii="Arial" w:cs="Arial" w:eastAsia="Arial" w:hAnsi="Arial"/>
          <w:sz w:val="14"/>
          <w:szCs w:val="14"/>
          <w:b w:val="1"/>
          <w:bCs w:val="1"/>
          <w:color w:val="auto"/>
        </w:rPr>
        <w:t xml:space="preserve"> </w:t>
      </w:r>
      <w:r>
        <w:rPr>
          <w:rFonts w:ascii="Arial" w:cs="Arial" w:eastAsia="Arial" w:hAnsi="Arial"/>
          <w:sz w:val="14"/>
          <w:szCs w:val="14"/>
          <w:color w:val="auto"/>
        </w:rPr>
        <w:t>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 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4825-6071-1869.2</w:t>
      </w:r>
    </w:p>
    <w:p>
      <w:pPr>
        <w:sectPr>
          <w:pgSz w:w="11900" w:h="16838" w:orient="portrait"/>
          <w:cols w:equalWidth="0" w:num="1">
            <w:col w:w="11240"/>
          </w:cols>
          <w:pgMar w:left="320" w:top="715" w:right="339" w:bottom="1440" w:gutter="0" w:footer="0" w:header="0"/>
        </w:sectPr>
      </w:pPr>
    </w:p>
    <w:bookmarkStart w:id="144" w:name="page145"/>
    <w:bookmarkEnd w:id="144"/>
    <w:p>
      <w:pPr>
        <w:ind w:firstLine="597"/>
        <w:spacing w:after="0" w:line="257" w:lineRule="auto"/>
        <w:tabs>
          <w:tab w:leader="none" w:pos="833"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Recapitalization, Reorganization, Unusual Events. </w:t>
      </w:r>
      <w:r>
        <w:rPr>
          <w:rFonts w:ascii="Arial" w:cs="Arial" w:eastAsia="Arial" w:hAnsi="Arial"/>
          <w:sz w:val="16"/>
          <w:szCs w:val="16"/>
          <w:color w:val="auto"/>
        </w:rPr>
        <w:t>Certain events affecting the Common Shares of the Company and mergers, consolidations and reorganizations</w:t>
      </w:r>
      <w:r>
        <w:rPr>
          <w:rFonts w:ascii="Arial" w:cs="Arial" w:eastAsia="Arial" w:hAnsi="Arial"/>
          <w:sz w:val="16"/>
          <w:szCs w:val="16"/>
          <w:b w:val="1"/>
          <w:bCs w:val="1"/>
          <w:color w:val="auto"/>
        </w:rPr>
        <w:t xml:space="preserve"> </w:t>
      </w:r>
      <w:r>
        <w:rPr>
          <w:rFonts w:ascii="Arial" w:cs="Arial" w:eastAsia="Arial" w:hAnsi="Arial"/>
          <w:sz w:val="16"/>
          <w:szCs w:val="16"/>
          <w:color w:val="auto"/>
        </w:rPr>
        <w:t>affecting the Company may affect the number or type of securities deliverable upon exercise of the SARs or limit the remaining term over which the SARs may be exercised, as set forth in Section 4.2 of the Plan. The Committee may make adjustments to this award of SARs due to the occurrence of unusual or unforeseeable circumstances as set forth in Section 14.2 of the Plan.</w:t>
      </w:r>
    </w:p>
    <w:p>
      <w:pPr>
        <w:spacing w:after="0" w:line="194" w:lineRule="exact"/>
        <w:rPr>
          <w:rFonts w:ascii="Arial" w:cs="Arial" w:eastAsia="Arial" w:hAnsi="Arial"/>
          <w:sz w:val="16"/>
          <w:szCs w:val="16"/>
          <w:color w:val="auto"/>
        </w:rPr>
      </w:pPr>
    </w:p>
    <w:p>
      <w:pPr>
        <w:ind w:right="300" w:firstLine="597"/>
        <w:spacing w:after="0" w:line="304" w:lineRule="auto"/>
        <w:tabs>
          <w:tab w:leader="none" w:pos="83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General Restriction. </w:t>
      </w:r>
      <w:r>
        <w:rPr>
          <w:rFonts w:ascii="Arial" w:cs="Arial" w:eastAsia="Arial" w:hAnsi="Arial"/>
          <w:sz w:val="15"/>
          <w:szCs w:val="15"/>
          <w:color w:val="auto"/>
        </w:rPr>
        <w:t>In accordance with the terms of the Plan, the Company may limit or suspend the exercisability of the SARs or the purchase or issuance of</w:t>
      </w:r>
      <w:r>
        <w:rPr>
          <w:rFonts w:ascii="Arial" w:cs="Arial" w:eastAsia="Arial" w:hAnsi="Arial"/>
          <w:sz w:val="15"/>
          <w:szCs w:val="15"/>
          <w:b w:val="1"/>
          <w:bCs w:val="1"/>
          <w:color w:val="auto"/>
        </w:rPr>
        <w:t xml:space="preserve"> </w:t>
      </w:r>
      <w:r>
        <w:rPr>
          <w:rFonts w:ascii="Arial" w:cs="Arial" w:eastAsia="Arial" w:hAnsi="Arial"/>
          <w:sz w:val="15"/>
          <w:szCs w:val="15"/>
          <w:color w:val="auto"/>
        </w:rPr>
        <w:t>SAR Shares thereunder under certain circumstances. Any delay caused thereby shall in no way affect the date of termination of the SARs.</w:t>
      </w:r>
    </w:p>
    <w:p>
      <w:pPr>
        <w:spacing w:after="0" w:line="160" w:lineRule="exact"/>
        <w:rPr>
          <w:rFonts w:ascii="Arial" w:cs="Arial" w:eastAsia="Arial" w:hAnsi="Arial"/>
          <w:sz w:val="15"/>
          <w:szCs w:val="15"/>
          <w:color w:val="auto"/>
        </w:rPr>
      </w:pPr>
    </w:p>
    <w:p>
      <w:pPr>
        <w:ind w:firstLine="597"/>
        <w:spacing w:after="0" w:line="275" w:lineRule="auto"/>
        <w:tabs>
          <w:tab w:leader="none" w:pos="83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Amendment of this Agreement. </w:t>
      </w:r>
      <w:r>
        <w:rPr>
          <w:rFonts w:ascii="Arial" w:cs="Arial" w:eastAsia="Arial" w:hAnsi="Arial"/>
          <w:sz w:val="15"/>
          <w:szCs w:val="15"/>
          <w:color w:val="auto"/>
        </w:rPr>
        <w:t>The Board of Directors may at any time amend, suspend or terminate the Plan; provided, however, that no amendment, suspension</w:t>
      </w:r>
      <w:r>
        <w:rPr>
          <w:rFonts w:ascii="Arial" w:cs="Arial" w:eastAsia="Arial" w:hAnsi="Arial"/>
          <w:sz w:val="15"/>
          <w:szCs w:val="15"/>
          <w:b w:val="1"/>
          <w:bCs w:val="1"/>
          <w:color w:val="auto"/>
        </w:rPr>
        <w:t xml:space="preserve"> </w:t>
      </w:r>
      <w:r>
        <w:rPr>
          <w:rFonts w:ascii="Arial" w:cs="Arial" w:eastAsia="Arial" w:hAnsi="Arial"/>
          <w:sz w:val="15"/>
          <w:szCs w:val="15"/>
          <w:color w:val="auto"/>
        </w:rPr>
        <w:t>or termination of the Plan or the SARs shall adversely affect in any material way the SARs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81" w:lineRule="exact"/>
        <w:rPr>
          <w:rFonts w:ascii="Arial" w:cs="Arial" w:eastAsia="Arial" w:hAnsi="Arial"/>
          <w:sz w:val="15"/>
          <w:szCs w:val="15"/>
          <w:color w:val="auto"/>
        </w:rPr>
      </w:pPr>
    </w:p>
    <w:p>
      <w:pPr>
        <w:ind w:right="20" w:firstLine="597"/>
        <w:spacing w:after="0" w:line="281" w:lineRule="auto"/>
        <w:tabs>
          <w:tab w:leader="none" w:pos="83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Notices. </w:t>
      </w:r>
      <w:r>
        <w:rPr>
          <w:rFonts w:ascii="Arial" w:cs="Arial" w:eastAsia="Arial" w:hAnsi="Arial"/>
          <w:sz w:val="15"/>
          <w:szCs w:val="15"/>
          <w:color w:val="auto"/>
        </w:rPr>
        <w:t>Notices hereunder shall be in writing, and if to the Company, may be delivered personally to the Compensation Department or such other party as</w:t>
      </w:r>
      <w:r>
        <w:rPr>
          <w:rFonts w:ascii="Arial" w:cs="Arial" w:eastAsia="Arial" w:hAnsi="Arial"/>
          <w:sz w:val="15"/>
          <w:szCs w:val="15"/>
          <w:b w:val="1"/>
          <w:bCs w:val="1"/>
          <w:color w:val="auto"/>
        </w:rPr>
        <w:t xml:space="preserve"> </w:t>
      </w:r>
      <w:r>
        <w:rPr>
          <w:rFonts w:ascii="Arial" w:cs="Arial" w:eastAsia="Arial" w:hAnsi="Arial"/>
          <w:sz w:val="15"/>
          <w:szCs w:val="15"/>
          <w:color w:val="auto"/>
        </w:rPr>
        <w:t>designated by the Company or mailed to its principal office at 6649 Westwood Boulevard, Orlando, Florida 32821, addressed to the attention of the Vice President, Global Talent Management, and if to Employee, may be delivered personally or mailed to Employee at his or her address on the records of the Company.</w:t>
      </w:r>
    </w:p>
    <w:p>
      <w:pPr>
        <w:spacing w:after="0" w:line="190" w:lineRule="exact"/>
        <w:rPr>
          <w:rFonts w:ascii="Arial" w:cs="Arial" w:eastAsia="Arial" w:hAnsi="Arial"/>
          <w:sz w:val="15"/>
          <w:szCs w:val="15"/>
          <w:color w:val="auto"/>
        </w:rPr>
      </w:pPr>
    </w:p>
    <w:p>
      <w:pPr>
        <w:ind w:right="120" w:firstLine="597"/>
        <w:spacing w:after="0" w:line="304" w:lineRule="auto"/>
        <w:tabs>
          <w:tab w:leader="none" w:pos="83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Successors and Assigns. </w:t>
      </w:r>
      <w:r>
        <w:rPr>
          <w:rFonts w:ascii="Arial" w:cs="Arial" w:eastAsia="Arial" w:hAnsi="Arial"/>
          <w:sz w:val="15"/>
          <w:szCs w:val="15"/>
          <w:color w:val="auto"/>
        </w:rPr>
        <w:t>This Agreement shall bind and inure to the benefit of the parties hereto and the successors and assigns of the Company and,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in Paragraph 10(c) above and the provisions of the Plan, to the personal representatives, legatees and heirs of Employee.</w:t>
      </w:r>
    </w:p>
    <w:p>
      <w:pPr>
        <w:spacing w:after="0" w:line="160" w:lineRule="exact"/>
        <w:rPr>
          <w:rFonts w:ascii="Arial" w:cs="Arial" w:eastAsia="Arial" w:hAnsi="Arial"/>
          <w:sz w:val="15"/>
          <w:szCs w:val="15"/>
          <w:color w:val="auto"/>
        </w:rPr>
      </w:pPr>
    </w:p>
    <w:p>
      <w:pPr>
        <w:ind w:right="100" w:firstLine="597"/>
        <w:spacing w:after="0" w:line="304" w:lineRule="auto"/>
        <w:tabs>
          <w:tab w:leader="none" w:pos="83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No Effect on Employment. </w:t>
      </w:r>
      <w:r>
        <w:rPr>
          <w:rFonts w:ascii="Arial" w:cs="Arial" w:eastAsia="Arial" w:hAnsi="Arial"/>
          <w:sz w:val="15"/>
          <w:szCs w:val="15"/>
          <w:color w:val="auto"/>
        </w:rPr>
        <w:t>This agreement is not a contract of employment or otherwise a limitation on the right of the Company to terminate the employment of</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or to increase or decrease Employee’s compensation from the rate of compensation in existence at the time this Agreement is executed.</w:t>
      </w:r>
    </w:p>
    <w:p>
      <w:pPr>
        <w:spacing w:after="0" w:line="160" w:lineRule="exact"/>
        <w:rPr>
          <w:rFonts w:ascii="Arial" w:cs="Arial" w:eastAsia="Arial" w:hAnsi="Arial"/>
          <w:sz w:val="15"/>
          <w:szCs w:val="15"/>
          <w:color w:val="auto"/>
        </w:rPr>
      </w:pPr>
    </w:p>
    <w:p>
      <w:pPr>
        <w:jc w:val="both"/>
        <w:ind w:right="80" w:firstLine="597"/>
        <w:spacing w:after="0" w:line="361" w:lineRule="auto"/>
        <w:tabs>
          <w:tab w:leader="none" w:pos="833"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 xml:space="preserve">Additional (Non-U.S.) Terms and Conditions. </w:t>
      </w:r>
      <w:r>
        <w:rPr>
          <w:rFonts w:ascii="Arial" w:cs="Arial" w:eastAsia="Arial" w:hAnsi="Arial"/>
          <w:sz w:val="14"/>
          <w:szCs w:val="14"/>
          <w:color w:val="auto"/>
        </w:rPr>
        <w:t>SARs awarded under this Agreement shall be subject to additional terms and conditions, as applicable, set forth in</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Company’s Policies for Global Compliance of Equity Compensation Awards, which are attached in the Appendix hereto and shall be incorporated herein fully by reference.</w:t>
      </w:r>
    </w:p>
    <w:p>
      <w:pPr>
        <w:spacing w:after="0" w:line="125" w:lineRule="exact"/>
        <w:rPr>
          <w:rFonts w:ascii="Arial" w:cs="Arial" w:eastAsia="Arial" w:hAnsi="Arial"/>
          <w:sz w:val="14"/>
          <w:szCs w:val="14"/>
          <w:color w:val="auto"/>
        </w:rPr>
      </w:pPr>
    </w:p>
    <w:p>
      <w:pPr>
        <w:jc w:val="both"/>
        <w:ind w:right="140" w:firstLine="597"/>
        <w:spacing w:after="0" w:line="256" w:lineRule="auto"/>
        <w:tabs>
          <w:tab w:leader="none" w:pos="833"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SARs awarded under this Agreement, as well as any Common Stock issued with respect to such SARs, shall be subject to the Clawback Policy</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by the Committee on February 13, 2014, and any successor policy thereto, to the extent that at any relevant time Employee is subject to such policy in accordance with its terms.</w:t>
      </w:r>
    </w:p>
    <w:p>
      <w:pPr>
        <w:spacing w:after="0" w:line="195" w:lineRule="exact"/>
        <w:rPr>
          <w:sz w:val="20"/>
          <w:szCs w:val="20"/>
          <w:color w:val="auto"/>
        </w:rPr>
      </w:pPr>
    </w:p>
    <w:p>
      <w:pPr>
        <w:ind w:right="260" w:firstLine="597"/>
        <w:spacing w:after="0" w:line="286"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MARRIOTT VACATIONS WORLDWIDE CORPORATION has caused this Agreement to be signed by its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Chief Human Resources Officer, effective as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2724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0">
                      <a:extLst>
                        <a:ext uri="{28A0092B-C50C-407E-A947-70E740481C1C}"/>
                      </a:extLst>
                    </a:blip>
                    <a:srcRect/>
                    <a:stretch>
                      <a:fillRect/>
                    </a:stretch>
                  </pic:blipFill>
                  <pic:spPr bwMode="auto">
                    <a:xfrm>
                      <a:off x="0" y="0"/>
                      <a:ext cx="712724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MARRIOTT VACATIONS WORLDWIDE</w:t>
      </w:r>
    </w:p>
    <w:p>
      <w:pPr>
        <w:ind w:left="6220" w:right="3040" w:hanging="6199"/>
        <w:spacing w:after="0" w:line="634" w:lineRule="auto"/>
        <w:tabs>
          <w:tab w:leader="none" w:pos="6200" w:val="left"/>
        </w:tabs>
        <w:rPr>
          <w:sz w:val="20"/>
          <w:szCs w:val="20"/>
          <w:color w:val="auto"/>
        </w:rPr>
      </w:pPr>
      <w:r>
        <w:rPr>
          <w:rFonts w:ascii="Arial" w:cs="Arial" w:eastAsia="Arial" w:hAnsi="Arial"/>
          <w:sz w:val="16"/>
          <w:szCs w:val="16"/>
          <w:color w:val="auto"/>
        </w:rPr>
        <w:t>CORPORATION</w:t>
      </w:r>
      <w:r>
        <w:rPr>
          <w:sz w:val="20"/>
          <w:szCs w:val="20"/>
          <w:color w:val="auto"/>
        </w:rPr>
        <w:tab/>
      </w:r>
      <w:r>
        <w:rPr>
          <w:rFonts w:ascii="Arial" w:cs="Arial" w:eastAsia="Arial" w:hAnsi="Arial"/>
          <w:sz w:val="16"/>
          <w:szCs w:val="16"/>
          <w:color w:val="auto"/>
        </w:rPr>
        <w:t>EMPLOYEE &lt;&lt;PARTICIPANT NAME&gt;&gt;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2724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1">
                      <a:extLst>
                        <a:ext uri="{28A0092B-C50C-407E-A947-70E740481C1C}"/>
                      </a:extLst>
                    </a:blip>
                    <a:srcRect/>
                    <a:stretch>
                      <a:fillRect/>
                    </a:stretch>
                  </pic:blipFill>
                  <pic:spPr bwMode="auto">
                    <a:xfrm>
                      <a:off x="0" y="0"/>
                      <a:ext cx="7127240" cy="7620"/>
                    </a:xfrm>
                    <a:prstGeom prst="rect">
                      <a:avLst/>
                    </a:prstGeom>
                    <a:noFill/>
                  </pic:spPr>
                </pic:pic>
              </a:graphicData>
            </a:graphic>
          </wp:anchor>
        </w:drawing>
      </w:r>
    </w:p>
    <w:p>
      <w:pPr>
        <w:spacing w:after="0" w:line="176"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7"/>
          <w:szCs w:val="17"/>
          <w:color w:val="auto"/>
        </w:rPr>
        <w:t>Executive Vice President, Chief Human Resources Officer</w:t>
      </w:r>
      <w:r>
        <w:rPr>
          <w:sz w:val="20"/>
          <w:szCs w:val="20"/>
          <w:color w:val="auto"/>
        </w:rPr>
        <w:tab/>
      </w:r>
      <w:r>
        <w:rPr>
          <w:rFonts w:ascii="Arial" w:cs="Arial" w:eastAsia="Arial" w:hAnsi="Arial"/>
          <w:sz w:val="15"/>
          <w:szCs w:val="15"/>
          <w:color w:val="auto"/>
        </w:rPr>
        <w:t>Signed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4825-6071-1869.2</w:t>
      </w:r>
    </w:p>
    <w:p>
      <w:pPr>
        <w:sectPr>
          <w:pgSz w:w="11900" w:h="16838" w:orient="portrait"/>
          <w:cols w:equalWidth="0" w:num="1">
            <w:col w:w="11200"/>
          </w:cols>
          <w:pgMar w:left="320" w:top="715" w:right="379" w:bottom="1440" w:gutter="0" w:footer="0" w:header="0"/>
        </w:sectPr>
      </w:pPr>
    </w:p>
    <w:bookmarkStart w:id="145" w:name="page146"/>
    <w:bookmarkEnd w:id="145"/>
    <w:p>
      <w:pPr>
        <w:ind w:left="404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POLICIES FOR GLOBAL COMPLIANCE OF EQUITY COMPENSATION AWARDS</w:t>
      </w:r>
    </w:p>
    <w:p>
      <w:pPr>
        <w:spacing w:after="0" w:line="200" w:lineRule="exact"/>
        <w:rPr>
          <w:sz w:val="20"/>
          <w:szCs w:val="20"/>
          <w:color w:val="auto"/>
        </w:rPr>
      </w:pPr>
    </w:p>
    <w:p>
      <w:pPr>
        <w:spacing w:after="0" w:line="234" w:lineRule="exact"/>
        <w:rPr>
          <w:sz w:val="20"/>
          <w:szCs w:val="20"/>
          <w:color w:val="auto"/>
        </w:rPr>
      </w:pPr>
    </w:p>
    <w:p>
      <w:pPr>
        <w:ind w:right="200" w:firstLine="597"/>
        <w:spacing w:after="0" w:line="256" w:lineRule="auto"/>
        <w:rPr>
          <w:sz w:val="20"/>
          <w:szCs w:val="20"/>
          <w:color w:val="auto"/>
        </w:rPr>
      </w:pPr>
      <w:r>
        <w:rPr>
          <w:rFonts w:ascii="Arial" w:cs="Arial" w:eastAsia="Arial" w:hAnsi="Arial"/>
          <w:sz w:val="16"/>
          <w:szCs w:val="16"/>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98" w:lineRule="exact"/>
        <w:rPr>
          <w:sz w:val="20"/>
          <w:szCs w:val="20"/>
          <w:color w:val="auto"/>
        </w:rPr>
      </w:pPr>
    </w:p>
    <w:p>
      <w:pPr>
        <w:ind w:right="40" w:firstLine="597"/>
        <w:spacing w:after="0" w:line="269" w:lineRule="auto"/>
        <w:rPr>
          <w:sz w:val="20"/>
          <w:szCs w:val="20"/>
          <w:color w:val="auto"/>
        </w:rPr>
      </w:pPr>
      <w:r>
        <w:rPr>
          <w:rFonts w:ascii="Arial" w:cs="Arial" w:eastAsia="Arial" w:hAnsi="Arial"/>
          <w:sz w:val="15"/>
          <w:szCs w:val="15"/>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Arial" w:cs="Arial" w:eastAsia="Arial" w:hAnsi="Arial"/>
          <w:sz w:val="15"/>
          <w:szCs w:val="15"/>
          <w:u w:val="single" w:color="auto"/>
          <w:color w:val="auto"/>
        </w:rPr>
        <w:t>must satisfy</w:t>
      </w:r>
      <w:r>
        <w:rPr>
          <w:rFonts w:ascii="Arial" w:cs="Arial" w:eastAsia="Arial" w:hAnsi="Arial"/>
          <w:sz w:val="15"/>
          <w:szCs w:val="15"/>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90" w:lineRule="exact"/>
        <w:rPr>
          <w:sz w:val="20"/>
          <w:szCs w:val="20"/>
          <w:color w:val="auto"/>
        </w:rPr>
      </w:pPr>
    </w:p>
    <w:p>
      <w:pPr>
        <w:ind w:firstLine="597"/>
        <w:spacing w:after="0" w:line="256" w:lineRule="auto"/>
        <w:rPr>
          <w:sz w:val="20"/>
          <w:szCs w:val="20"/>
          <w:color w:val="auto"/>
        </w:rPr>
      </w:pPr>
      <w:r>
        <w:rPr>
          <w:rFonts w:ascii="Arial" w:cs="Arial" w:eastAsia="Arial" w:hAnsi="Arial"/>
          <w:sz w:val="16"/>
          <w:szCs w:val="16"/>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98" w:lineRule="exact"/>
        <w:rPr>
          <w:sz w:val="20"/>
          <w:szCs w:val="20"/>
          <w:color w:val="auto"/>
        </w:rPr>
      </w:pPr>
    </w:p>
    <w:p>
      <w:pPr>
        <w:ind w:firstLine="597"/>
        <w:spacing w:after="0" w:line="264" w:lineRule="auto"/>
        <w:rPr>
          <w:sz w:val="20"/>
          <w:szCs w:val="20"/>
          <w:color w:val="auto"/>
        </w:rPr>
      </w:pPr>
      <w:r>
        <w:rPr>
          <w:rFonts w:ascii="Arial" w:cs="Arial" w:eastAsia="Arial" w:hAnsi="Arial"/>
          <w:sz w:val="16"/>
          <w:szCs w:val="16"/>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720"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4"/>
          <w:szCs w:val="14"/>
          <w:color w:val="auto"/>
        </w:rPr>
        <w:t>COUNTRY-SPECIF1C POLICIES</w:t>
      </w:r>
    </w:p>
    <w:p>
      <w:pPr>
        <w:sectPr>
          <w:pgSz w:w="11900" w:h="16838" w:orient="portrait"/>
          <w:cols w:equalWidth="0" w:num="1">
            <w:col w:w="9019"/>
          </w:cols>
          <w:pgMar w:left="1440" w:top="11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 be added if applicable]</w:t>
      </w:r>
    </w:p>
    <w:p>
      <w:pPr>
        <w:sectPr>
          <w:pgSz w:w="11900" w:h="16838" w:orient="portrait"/>
          <w:cols w:equalWidth="0" w:num="1">
            <w:col w:w="9019"/>
          </w:cols>
          <w:pgMar w:left="1440" w:top="1167" w:right="1440"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10.23</w:t>
      </w: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RESTRICTED STOCK UNIT AGREEMENT</w:t>
      </w:r>
    </w:p>
    <w:p>
      <w:pPr>
        <w:spacing w:after="0" w:line="103"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EQUITY INCENTIVE PLAN</w:t>
      </w:r>
    </w:p>
    <w:p>
      <w:pPr>
        <w:spacing w:after="0" w:line="206" w:lineRule="exact"/>
        <w:rPr>
          <w:sz w:val="20"/>
          <w:szCs w:val="20"/>
          <w:color w:val="auto"/>
        </w:rPr>
      </w:pPr>
    </w:p>
    <w:p>
      <w:pPr>
        <w:ind w:right="280" w:firstLine="597"/>
        <w:spacing w:after="0" w:line="270" w:lineRule="auto"/>
        <w:rPr>
          <w:sz w:val="20"/>
          <w:szCs w:val="20"/>
          <w:color w:val="auto"/>
        </w:rPr>
      </w:pPr>
      <w:r>
        <w:rPr>
          <w:rFonts w:ascii="Arial" w:cs="Arial" w:eastAsia="Arial" w:hAnsi="Arial"/>
          <w:sz w:val="16"/>
          <w:szCs w:val="16"/>
          <w:color w:val="auto"/>
        </w:rPr>
        <w:t>THIS AGREEMENT (the “Agreement”) is made on &lt;</w:t>
      </w:r>
      <w:r>
        <w:rPr>
          <w:rFonts w:ascii="Arial" w:cs="Arial" w:eastAsia="Arial" w:hAnsi="Arial"/>
          <w:sz w:val="16"/>
          <w:szCs w:val="16"/>
          <w:b w:val="1"/>
          <w:bCs w:val="1"/>
          <w:color w:val="auto"/>
        </w:rPr>
        <w:t>&lt;</w:t>
      </w:r>
      <w:r>
        <w:rPr>
          <w:rFonts w:ascii="Arial" w:cs="Arial" w:eastAsia="Arial" w:hAnsi="Arial"/>
          <w:sz w:val="16"/>
          <w:szCs w:val="16"/>
          <w:b w:val="1"/>
          <w:bCs w:val="1"/>
          <w:color w:val="auto"/>
          <w:highlight w:val="yellow"/>
        </w:rPr>
        <w:t>GRANT DATE</w:t>
      </w:r>
      <w:r>
        <w:rPr>
          <w:rFonts w:ascii="Arial" w:cs="Arial" w:eastAsia="Arial" w:hAnsi="Arial"/>
          <w:sz w:val="16"/>
          <w:szCs w:val="16"/>
          <w:b w:val="1"/>
          <w:bCs w:val="1"/>
          <w:color w:val="auto"/>
        </w:rPr>
        <w:t>&gt;&gt;</w:t>
      </w:r>
      <w:r>
        <w:rPr>
          <w:rFonts w:ascii="Arial" w:cs="Arial" w:eastAsia="Arial" w:hAnsi="Arial"/>
          <w:sz w:val="16"/>
          <w:szCs w:val="16"/>
          <w:color w:val="auto"/>
        </w:rPr>
        <w:t xml:space="preserve"> (the “Grant Date”) by MARRIOTT VACATIONS WORLDWIDE CORPORATION (the “Company”) and </w:t>
      </w:r>
      <w:r>
        <w:rPr>
          <w:rFonts w:ascii="Arial" w:cs="Arial" w:eastAsia="Arial" w:hAnsi="Arial"/>
          <w:sz w:val="16"/>
          <w:szCs w:val="16"/>
          <w:b w:val="1"/>
          <w:bCs w:val="1"/>
          <w:color w:val="auto"/>
        </w:rPr>
        <w:t>&lt;&lt;</w:t>
      </w:r>
      <w:r>
        <w:rPr>
          <w:rFonts w:ascii="Arial" w:cs="Arial" w:eastAsia="Arial" w:hAnsi="Arial"/>
          <w:sz w:val="16"/>
          <w:szCs w:val="16"/>
          <w:b w:val="1"/>
          <w:bCs w:val="1"/>
          <w:color w:val="auto"/>
          <w:highlight w:val="yellow"/>
        </w:rPr>
        <w:t>PARTICIPANT NAME</w:t>
      </w:r>
      <w:r>
        <w:rPr>
          <w:rFonts w:ascii="Arial" w:cs="Arial" w:eastAsia="Arial" w:hAnsi="Arial"/>
          <w:sz w:val="16"/>
          <w:szCs w:val="16"/>
          <w:b w:val="1"/>
          <w:bCs w:val="1"/>
          <w:color w:val="auto"/>
        </w:rPr>
        <w:t>&gt;&gt;</w:t>
      </w:r>
      <w:r>
        <w:rPr>
          <w:rFonts w:ascii="Arial" w:cs="Arial" w:eastAsia="Arial" w:hAnsi="Arial"/>
          <w:sz w:val="16"/>
          <w:szCs w:val="16"/>
          <w:color w:val="auto"/>
        </w:rPr>
        <w:t xml:space="preserve"> (“Employee”).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WITNESSETH:</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WHEREAS, the Company maintains the Marriott Vacations Worldwide Corporation 2020 Equity Incentive Plan, as it may be amended from time to time (the “Plan”);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WHEREAS, the Company wishes to award to designated employees certain Restricted Stock Unit awards (“RSUs”) as provided in Article 8 of the Plan; and</w:t>
      </w:r>
    </w:p>
    <w:p>
      <w:pPr>
        <w:spacing w:after="0" w:line="238" w:lineRule="exact"/>
        <w:rPr>
          <w:sz w:val="20"/>
          <w:szCs w:val="20"/>
          <w:color w:val="auto"/>
        </w:rPr>
      </w:pPr>
    </w:p>
    <w:p>
      <w:pPr>
        <w:ind w:right="440" w:firstLine="597"/>
        <w:spacing w:after="0" w:line="264" w:lineRule="auto"/>
        <w:rPr>
          <w:sz w:val="20"/>
          <w:szCs w:val="20"/>
          <w:color w:val="auto"/>
        </w:rPr>
      </w:pPr>
      <w:r>
        <w:rPr>
          <w:rFonts w:ascii="Arial" w:cs="Arial" w:eastAsia="Arial" w:hAnsi="Arial"/>
          <w:sz w:val="16"/>
          <w:szCs w:val="16"/>
          <w:color w:val="auto"/>
        </w:rPr>
        <w:t>WHEREAS, Employee has been approved by the Compensation Policy Committee (including any delegate thereof, the “Committee”) of the Company’s Board of Directors (the “Board”) to receive an award of RSUs under the Plan;</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 THEREFORE, it is agreed as follows:</w:t>
      </w:r>
    </w:p>
    <w:p>
      <w:pPr>
        <w:spacing w:after="0" w:line="198" w:lineRule="exact"/>
        <w:rPr>
          <w:sz w:val="20"/>
          <w:szCs w:val="20"/>
          <w:color w:val="auto"/>
        </w:rPr>
      </w:pPr>
    </w:p>
    <w:p>
      <w:pPr>
        <w:ind w:right="100" w:firstLine="448"/>
        <w:spacing w:after="0" w:line="256" w:lineRule="auto"/>
        <w:tabs>
          <w:tab w:leader="none" w:pos="591"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Prospectus</w:t>
      </w:r>
      <w:r>
        <w:rPr>
          <w:rFonts w:ascii="Arial" w:cs="Arial" w:eastAsia="Arial" w:hAnsi="Arial"/>
          <w:sz w:val="16"/>
          <w:szCs w:val="16"/>
          <w:color w:val="auto"/>
        </w:rPr>
        <w:t>. Employee has been provided with, and hereby acknowledges receipt of, a Prospectus for the Plan dated &lt;</w:t>
      </w:r>
      <w:r>
        <w:rPr>
          <w:rFonts w:ascii="Arial" w:cs="Arial" w:eastAsia="Arial" w:hAnsi="Arial"/>
          <w:sz w:val="16"/>
          <w:szCs w:val="16"/>
          <w:b w:val="1"/>
          <w:bCs w:val="1"/>
          <w:color w:val="auto"/>
        </w:rPr>
        <w:t xml:space="preserve">&lt; </w:t>
      </w:r>
      <w:r>
        <w:rPr>
          <w:rFonts w:ascii="Arial" w:cs="Arial" w:eastAsia="Arial" w:hAnsi="Arial"/>
          <w:sz w:val="16"/>
          <w:szCs w:val="16"/>
          <w:b w:val="1"/>
          <w:bCs w:val="1"/>
          <w:color w:val="auto"/>
          <w:highlight w:val="yellow"/>
        </w:rPr>
        <w:t>DATE&gt;&gt;,</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contains, among other things,</w:t>
      </w:r>
      <w:r>
        <w:rPr>
          <w:rFonts w:ascii="Arial" w:cs="Arial" w:eastAsia="Arial" w:hAnsi="Arial"/>
          <w:sz w:val="16"/>
          <w:szCs w:val="16"/>
          <w:b w:val="1"/>
          <w:bCs w:val="1"/>
          <w:color w:val="auto"/>
        </w:rPr>
        <w:t xml:space="preserve"> </w:t>
      </w:r>
      <w:r>
        <w:rPr>
          <w:rFonts w:ascii="Arial" w:cs="Arial" w:eastAsia="Arial" w:hAnsi="Arial"/>
          <w:sz w:val="16"/>
          <w:szCs w:val="16"/>
          <w:color w:val="auto"/>
        </w:rPr>
        <w:t>a detailed description of the RSU award provisions of the Plan. Employee further acknowledges that Employee has read the Prospectus and this Agreement, and that Employee understands the provisions thereof.</w:t>
      </w:r>
    </w:p>
    <w:p>
      <w:pPr>
        <w:spacing w:after="0" w:line="170" w:lineRule="exact"/>
        <w:rPr>
          <w:rFonts w:ascii="Arial" w:cs="Arial" w:eastAsia="Arial" w:hAnsi="Arial"/>
          <w:sz w:val="16"/>
          <w:szCs w:val="16"/>
          <w:color w:val="auto"/>
        </w:rPr>
      </w:pPr>
    </w:p>
    <w:p>
      <w:pPr>
        <w:ind w:right="220" w:firstLine="448"/>
        <w:spacing w:after="0" w:line="280" w:lineRule="auto"/>
        <w:tabs>
          <w:tab w:leader="none" w:pos="591"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Interpretation</w:t>
      </w:r>
      <w:r>
        <w:rPr>
          <w:rFonts w:ascii="Arial" w:cs="Arial" w:eastAsia="Arial" w:hAnsi="Arial"/>
          <w:sz w:val="15"/>
          <w:szCs w:val="15"/>
          <w:color w:val="auto"/>
        </w:rPr>
        <w:t>. The provisions of the Plan are incorporated herein by reference and form an integral part of this Agreement. Except as otherwise set forth herein,</w:t>
      </w:r>
      <w:r>
        <w:rPr>
          <w:rFonts w:ascii="Arial" w:cs="Arial" w:eastAsia="Arial" w:hAnsi="Arial"/>
          <w:sz w:val="15"/>
          <w:szCs w:val="15"/>
          <w:b w:val="1"/>
          <w:bCs w:val="1"/>
          <w:color w:val="auto"/>
        </w:rPr>
        <w:t xml:space="preserve"> </w:t>
      </w:r>
      <w:r>
        <w:rPr>
          <w:rFonts w:ascii="Arial" w:cs="Arial" w:eastAsia="Arial" w:hAnsi="Arial"/>
          <w:sz w:val="15"/>
          <w:szCs w:val="15"/>
          <w:color w:val="auto"/>
        </w:rPr>
        <w:t>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53" w:lineRule="exact"/>
        <w:rPr>
          <w:rFonts w:ascii="Arial" w:cs="Arial" w:eastAsia="Arial" w:hAnsi="Arial"/>
          <w:sz w:val="15"/>
          <w:szCs w:val="15"/>
          <w:color w:val="auto"/>
        </w:rPr>
      </w:pPr>
    </w:p>
    <w:p>
      <w:pPr>
        <w:ind w:right="280" w:firstLine="448"/>
        <w:spacing w:after="0" w:line="304" w:lineRule="auto"/>
        <w:tabs>
          <w:tab w:leader="none" w:pos="591"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Grant of RSUs</w:t>
      </w:r>
      <w:r>
        <w:rPr>
          <w:rFonts w:ascii="Arial" w:cs="Arial" w:eastAsia="Arial" w:hAnsi="Arial"/>
          <w:sz w:val="15"/>
          <w:szCs w:val="15"/>
          <w:color w:val="auto"/>
        </w:rPr>
        <w:t>. Subject to the terms and conditions of the Plan, Employee’s acceptance of this Agreement and satisfaction of the tax provisions of any policy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regarding international assignments, if applicable, this award (the “Award”) of </w:t>
      </w:r>
      <w:r>
        <w:rPr>
          <w:rFonts w:ascii="Arial" w:cs="Arial" w:eastAsia="Arial" w:hAnsi="Arial"/>
          <w:sz w:val="15"/>
          <w:szCs w:val="15"/>
          <w:b w:val="1"/>
          <w:bCs w:val="1"/>
          <w:color w:val="auto"/>
        </w:rPr>
        <w:t>&lt;&lt;</w:t>
      </w:r>
      <w:r>
        <w:rPr>
          <w:rFonts w:ascii="Arial" w:cs="Arial" w:eastAsia="Arial" w:hAnsi="Arial"/>
          <w:sz w:val="15"/>
          <w:szCs w:val="15"/>
          <w:b w:val="1"/>
          <w:bCs w:val="1"/>
          <w:color w:val="auto"/>
          <w:highlight w:val="yellow"/>
        </w:rPr>
        <w:t>QTY GRANTED</w:t>
      </w:r>
      <w:r>
        <w:rPr>
          <w:rFonts w:ascii="Arial" w:cs="Arial" w:eastAsia="Arial" w:hAnsi="Arial"/>
          <w:sz w:val="15"/>
          <w:szCs w:val="15"/>
          <w:b w:val="1"/>
          <w:bCs w:val="1"/>
          <w:color w:val="auto"/>
        </w:rPr>
        <w:t>&gt;&gt;</w:t>
      </w:r>
      <w:r>
        <w:rPr>
          <w:rFonts w:ascii="Arial" w:cs="Arial" w:eastAsia="Arial" w:hAnsi="Arial"/>
          <w:sz w:val="15"/>
          <w:szCs w:val="15"/>
          <w:color w:val="auto"/>
        </w:rPr>
        <w:t xml:space="preserve"> RSUs is made as of the Grant Date.</w:t>
      </w:r>
    </w:p>
    <w:p>
      <w:pPr>
        <w:spacing w:after="0" w:line="135" w:lineRule="exact"/>
        <w:rPr>
          <w:rFonts w:ascii="Arial" w:cs="Arial" w:eastAsia="Arial" w:hAnsi="Arial"/>
          <w:sz w:val="15"/>
          <w:szCs w:val="15"/>
          <w:color w:val="auto"/>
        </w:rPr>
      </w:pPr>
    </w:p>
    <w:p>
      <w:pPr>
        <w:ind w:right="80" w:firstLine="448"/>
        <w:spacing w:after="0" w:line="267" w:lineRule="auto"/>
        <w:tabs>
          <w:tab w:leader="none" w:pos="591"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RSU and Common Share Rights</w:t>
      </w:r>
      <w:r>
        <w:rPr>
          <w:rFonts w:ascii="Arial" w:cs="Arial" w:eastAsia="Arial" w:hAnsi="Arial"/>
          <w:sz w:val="15"/>
          <w:szCs w:val="15"/>
          <w:color w:val="auto"/>
        </w:rPr>
        <w:t>. The RSUs awarded under this Agreement shall be recorded in a Company book-keeping account and shall represent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unsecured right to receive from the Company the transfer of title to shares of Common Stock of the Company (“Common Shares”) in accordance with the schedule of Vesting Dates set forth in paragraph 5 below, provided that Employee has satisfied the Conditions of Transfer set forth in paragraph 6 below and subject to the satisfaction of the provision on withholding taxes set forth in paragraph 10 below. On each such Vesting Date, if it occurs, the Company shall reverse the book-keeping entry for all such related RSUs and transfer a corresponding number of Common Shares (which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the corresponding Common Shares are transferred, if at all, to the Account.</w:t>
      </w:r>
    </w:p>
    <w:p>
      <w:pPr>
        <w:spacing w:after="0" w:line="166" w:lineRule="exact"/>
        <w:rPr>
          <w:rFonts w:ascii="Arial" w:cs="Arial" w:eastAsia="Arial" w:hAnsi="Arial"/>
          <w:sz w:val="15"/>
          <w:szCs w:val="15"/>
          <w:color w:val="auto"/>
        </w:rPr>
      </w:pPr>
    </w:p>
    <w:p>
      <w:pPr>
        <w:ind w:right="20" w:firstLine="448"/>
        <w:spacing w:after="0" w:line="264" w:lineRule="auto"/>
        <w:tabs>
          <w:tab w:leader="none" w:pos="591"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Vesting in RSUs</w:t>
      </w:r>
      <w:r>
        <w:rPr>
          <w:rFonts w:ascii="Arial" w:cs="Arial" w:eastAsia="Arial" w:hAnsi="Arial"/>
          <w:sz w:val="14"/>
          <w:szCs w:val="14"/>
          <w:color w:val="auto"/>
        </w:rPr>
        <w:t>. The RSUs shall vest pro rata with respect to an additional twenty-five percent (25%) of the RSUs granted hereunder as follows: (a) with respect to</w:t>
      </w:r>
      <w:r>
        <w:rPr>
          <w:rFonts w:ascii="Arial" w:cs="Arial" w:eastAsia="Arial" w:hAnsi="Arial"/>
          <w:sz w:val="14"/>
          <w:szCs w:val="14"/>
          <w:b w:val="1"/>
          <w:bCs w:val="1"/>
          <w:color w:val="auto"/>
        </w:rPr>
        <w:t xml:space="preserve"> </w:t>
      </w:r>
      <w:r>
        <w:rPr>
          <w:rFonts w:ascii="Arial" w:cs="Arial" w:eastAsia="Arial" w:hAnsi="Arial"/>
          <w:sz w:val="14"/>
          <w:szCs w:val="14"/>
          <w:color w:val="auto"/>
        </w:rPr>
        <w:t>annual grants, on February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each year after the year in which the Grant Date occurs, and (b) with respect to all other grants, the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the month in which occurs the first four (4) anniversaries of the Grant Date (each such date, a “Vesting Date”); provided that if the application of the foregoing vesting schedule would cause a fractional RSU to vest, then the Committee shall determine how to reallocate such fractional RSUs so that only whole RSUs vest. Notwithstanding the foregoing, in the event that any such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the month is a Saturday, Sunday or other day on which stock of the Company is not traded on the New York Stock Exchange or another national exchange, then the Vesting Date shall be the next following day on which the stock of the Company is traded on the New York Stock Exchange or another national exchange.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3" w:right="339" w:bottom="1440" w:gutter="0" w:footer="0" w:header="0"/>
        </w:sectPr>
      </w:pPr>
    </w:p>
    <w:bookmarkStart w:id="148" w:name="page149"/>
    <w:bookmarkEnd w:id="148"/>
    <w:p>
      <w:pPr>
        <w:ind w:right="200" w:firstLine="448"/>
        <w:spacing w:after="0" w:line="256" w:lineRule="auto"/>
        <w:tabs>
          <w:tab w:leader="none" w:pos="591"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Conditions of Transfer</w:t>
      </w:r>
      <w:r>
        <w:rPr>
          <w:rFonts w:ascii="Arial" w:cs="Arial" w:eastAsia="Arial" w:hAnsi="Arial"/>
          <w:sz w:val="16"/>
          <w:szCs w:val="16"/>
          <w:color w:val="auto"/>
        </w:rPr>
        <w:t>. Except as otherwise provided in paragraph 8 below, with respect to any RSUs awarded to Employee under this Agreement, as a condition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receiving a transfer of corresponding Common Shares in accordance with paragraph 4 above, Employee shall meet all of the following conditions during the entire period from the Grant Date hereof through the Vesting Date relating to such RSUs:</w:t>
      </w:r>
    </w:p>
    <w:p>
      <w:pPr>
        <w:spacing w:after="0" w:line="186" w:lineRule="exact"/>
        <w:rPr>
          <w:rFonts w:ascii="Arial" w:cs="Arial" w:eastAsia="Arial" w:hAnsi="Arial"/>
          <w:sz w:val="16"/>
          <w:szCs w:val="16"/>
          <w:color w:val="auto"/>
        </w:rPr>
      </w:pPr>
    </w:p>
    <w:p>
      <w:pPr>
        <w:ind w:left="880" w:hanging="283"/>
        <w:spacing w:after="0"/>
        <w:tabs>
          <w:tab w:leader="none" w:pos="8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must continue to be an active employee of the Company or any Subsidiary (“Continuous Employment”);</w:t>
      </w:r>
    </w:p>
    <w:p>
      <w:pPr>
        <w:spacing w:after="0" w:line="201" w:lineRule="exact"/>
        <w:rPr>
          <w:rFonts w:ascii="Arial" w:cs="Arial" w:eastAsia="Arial" w:hAnsi="Arial"/>
          <w:sz w:val="16"/>
          <w:szCs w:val="16"/>
          <w:color w:val="auto"/>
        </w:rPr>
      </w:pPr>
    </w:p>
    <w:p>
      <w:pPr>
        <w:ind w:left="900" w:right="280" w:hanging="303"/>
        <w:spacing w:after="0" w:line="264" w:lineRule="auto"/>
        <w:tabs>
          <w:tab w:leader="none" w:pos="8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must refrain from Engaging in Competition (as defined in Section 2.17 of the Plan) without first having obtained the written consent thereto from the Company (“Non-competition”); and</w:t>
      </w:r>
    </w:p>
    <w:p>
      <w:pPr>
        <w:spacing w:after="0" w:line="167" w:lineRule="exact"/>
        <w:rPr>
          <w:rFonts w:ascii="Arial" w:cs="Arial" w:eastAsia="Arial" w:hAnsi="Arial"/>
          <w:sz w:val="16"/>
          <w:szCs w:val="16"/>
          <w:color w:val="auto"/>
        </w:rPr>
      </w:pPr>
    </w:p>
    <w:p>
      <w:pPr>
        <w:ind w:left="900" w:hanging="303"/>
        <w:spacing w:after="0" w:line="256" w:lineRule="auto"/>
        <w:tabs>
          <w:tab w:leader="none" w:pos="888"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173" w:lineRule="exact"/>
        <w:rPr>
          <w:sz w:val="20"/>
          <w:szCs w:val="20"/>
          <w:color w:val="auto"/>
        </w:rPr>
      </w:pPr>
    </w:p>
    <w:p>
      <w:pPr>
        <w:ind w:right="20" w:firstLine="597"/>
        <w:spacing w:after="0" w:line="297" w:lineRule="auto"/>
        <w:rPr>
          <w:sz w:val="20"/>
          <w:szCs w:val="20"/>
          <w:color w:val="auto"/>
        </w:rPr>
      </w:pPr>
      <w:r>
        <w:rPr>
          <w:rFonts w:ascii="Arial" w:cs="Arial" w:eastAsia="Arial" w:hAnsi="Arial"/>
          <w:sz w:val="14"/>
          <w:szCs w:val="14"/>
          <w:color w:val="auto"/>
        </w:rPr>
        <w:t>If Employee should fail to meet the requirements relating to (i) Continuous Employment, (ii) Non-competition, or (iii) No Improper Conduct, then Employee shall forfeit the right to vest in any RSUs that have not already vested as of the time such failure is determined, and Employee shall accordingly forfeit the right to receive the transfer of title to any corresponding Common Shares. The forfeiture of rights with respect to unvested RSUs (and corresponding Common Shares) shall not affect the rights of Employee with respect to any RSUs that already have vested nor with respect to any Common Shares the title of which has already been transferred to the Account.</w:t>
      </w:r>
    </w:p>
    <w:p>
      <w:pPr>
        <w:spacing w:after="0" w:line="157" w:lineRule="exact"/>
        <w:rPr>
          <w:sz w:val="20"/>
          <w:szCs w:val="20"/>
          <w:color w:val="auto"/>
        </w:rPr>
      </w:pPr>
    </w:p>
    <w:p>
      <w:pPr>
        <w:ind w:left="600" w:hanging="152"/>
        <w:spacing w:after="0"/>
        <w:tabs>
          <w:tab w:leader="none" w:pos="600"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Non-Assignability. </w:t>
      </w:r>
      <w:r>
        <w:rPr>
          <w:rFonts w:ascii="Arial" w:cs="Arial" w:eastAsia="Arial" w:hAnsi="Arial"/>
          <w:sz w:val="16"/>
          <w:szCs w:val="16"/>
          <w:color w:val="auto"/>
        </w:rPr>
        <w:t>The RSUs shall not be assignable or transferable by Employee except by will or by the laws of descent and distribution.</w:t>
      </w:r>
    </w:p>
    <w:p>
      <w:pPr>
        <w:spacing w:after="0" w:line="201" w:lineRule="exact"/>
        <w:rPr>
          <w:rFonts w:ascii="Arial" w:cs="Arial" w:eastAsia="Arial" w:hAnsi="Arial"/>
          <w:sz w:val="16"/>
          <w:szCs w:val="16"/>
          <w:color w:val="auto"/>
        </w:rPr>
      </w:pPr>
    </w:p>
    <w:p>
      <w:pPr>
        <w:ind w:left="600" w:hanging="152"/>
        <w:spacing w:after="0"/>
        <w:tabs>
          <w:tab w:leader="none" w:pos="600"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Effect of Termination of Employment</w:t>
      </w:r>
      <w:r>
        <w:rPr>
          <w:rFonts w:ascii="Arial" w:cs="Arial" w:eastAsia="Arial" w:hAnsi="Arial"/>
          <w:sz w:val="16"/>
          <w:szCs w:val="16"/>
          <w:color w:val="auto"/>
        </w:rPr>
        <w:t>.</w:t>
      </w:r>
    </w:p>
    <w:p>
      <w:pPr>
        <w:spacing w:after="0" w:line="205" w:lineRule="exact"/>
        <w:rPr>
          <w:rFonts w:ascii="Arial" w:cs="Arial" w:eastAsia="Arial" w:hAnsi="Arial"/>
          <w:sz w:val="16"/>
          <w:szCs w:val="16"/>
          <w:color w:val="auto"/>
        </w:rPr>
      </w:pPr>
    </w:p>
    <w:p>
      <w:pPr>
        <w:ind w:left="600" w:right="140" w:hanging="302"/>
        <w:spacing w:after="0" w:line="256" w:lineRule="auto"/>
        <w:tabs>
          <w:tab w:leader="none" w:pos="58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event Employee’s Continuous Employment is terminated prior to the relevant Vesting Date on account of Employee’s death, and if Employee had otherwise met the requirements of Continuous Employment, Non- competition and No Improper Conduct from the Grant Date through the date of such death, then Employee’s unvested RSUs shall immediately vest in full upon death and Employee’s rights hereunder with respect to any such RSUs shall inure to the benefit of Employee’s executors, administrators, personal representatives and assigns.</w:t>
      </w:r>
    </w:p>
    <w:p>
      <w:pPr>
        <w:spacing w:after="0" w:line="173" w:lineRule="exact"/>
        <w:rPr>
          <w:rFonts w:ascii="Arial" w:cs="Arial" w:eastAsia="Arial" w:hAnsi="Arial"/>
          <w:sz w:val="16"/>
          <w:szCs w:val="16"/>
          <w:color w:val="auto"/>
        </w:rPr>
      </w:pPr>
    </w:p>
    <w:p>
      <w:pPr>
        <w:ind w:left="600" w:right="60" w:hanging="302"/>
        <w:spacing w:after="0" w:line="287" w:lineRule="auto"/>
        <w:tabs>
          <w:tab w:leader="none" w:pos="597"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the event Employee’s Continuous Employment is terminated prior to the relevant Vesting Date on account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any outstanding, unvested RSUs shall continue in the same manner as if Employee continued to meet the Continuous Employment requirement through the Vesting Dates, except that if Employee’s termination occurs before the one year anniversary of the Grant Date, then that portion of RSUs equal to the total number of RSUs granted hereunder multiplied by the ratio of (i) the number of days after the termination date and before the first anniversary of the Grant Date, over (ii) the number of days in the twelve (12) month period following the Grant Date shall be immediately forfeited upon Employee’s termination. For purposes of this Agreement, “Retirement” shall mean termination of employment on account of Disability (as defined in Section 2.15 of the Plan) or by retiring with the specific approval of the Committee on or after such date on which Employee has attained age 55 and completed ten (10) Years of Service.</w:t>
      </w:r>
    </w:p>
    <w:p>
      <w:pPr>
        <w:spacing w:after="0" w:line="158" w:lineRule="exact"/>
        <w:rPr>
          <w:rFonts w:ascii="Arial" w:cs="Arial" w:eastAsia="Arial" w:hAnsi="Arial"/>
          <w:sz w:val="14"/>
          <w:szCs w:val="14"/>
          <w:color w:val="auto"/>
        </w:rPr>
      </w:pPr>
    </w:p>
    <w:p>
      <w:pPr>
        <w:ind w:left="600" w:right="600" w:hanging="302"/>
        <w:spacing w:after="0" w:line="281" w:lineRule="auto"/>
        <w:tabs>
          <w:tab w:leader="none" w:pos="58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event Employee’s Continuous Employment is terminated prior to the relevant Vesting Date for any reason other than those specified in (a) and (b) above, Employee shall immediately forfeit all of the unvested RSUs granted hereunder.</w:t>
      </w:r>
    </w:p>
    <w:p>
      <w:pPr>
        <w:spacing w:after="0" w:line="154" w:lineRule="exact"/>
        <w:rPr>
          <w:rFonts w:ascii="Arial" w:cs="Arial" w:eastAsia="Arial" w:hAnsi="Arial"/>
          <w:sz w:val="16"/>
          <w:szCs w:val="16"/>
          <w:color w:val="auto"/>
        </w:rPr>
      </w:pPr>
    </w:p>
    <w:p>
      <w:pPr>
        <w:ind w:left="600" w:right="100" w:hanging="302"/>
        <w:spacing w:after="0" w:line="273" w:lineRule="auto"/>
        <w:tabs>
          <w:tab w:leader="none" w:pos="597" w:val="left"/>
        </w:tabs>
        <w:numPr>
          <w:ilvl w:val="0"/>
          <w:numId w:val="64"/>
        </w:numPr>
        <w:rPr>
          <w:rFonts w:ascii="Arial" w:cs="Arial" w:eastAsia="Arial" w:hAnsi="Arial"/>
          <w:sz w:val="15"/>
          <w:szCs w:val="15"/>
          <w:color w:val="auto"/>
        </w:rPr>
      </w:pPr>
      <w:r>
        <w:rPr>
          <w:rFonts w:ascii="Arial" w:cs="Arial" w:eastAsia="Arial" w:hAnsi="Arial"/>
          <w:sz w:val="15"/>
          <w:szCs w:val="15"/>
          <w:color w:val="auto"/>
        </w:rPr>
        <w:t>) In the event Employee’s employment or service with the Company and its Subsidiaries terminates as the result of a Divestiture, defined as either (i) the disposition by the Company or a Subsidiary of all or a portion of the assets used by the Company or Subsidiary in a trade or business, for which the participant works, to an unrelated corporation or entity and which results in the participant ceasing to be employed by the Company or a Subsidiary or (ii) the disposition by the Company of its equity interest in a Subsidiary that employs the participant to an unrelated individual or entity (which, for the avoidance of doubt, excludes a spin-off or split-off or similar transaction), provided that such Subsidiary ceases to be controlled by the Company as a result of such disposition.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914" w:right="339" w:bottom="1440" w:gutter="0" w:footer="0" w:header="0"/>
        </w:sectPr>
      </w:pPr>
    </w:p>
    <w:bookmarkStart w:id="149" w:name="page150"/>
    <w:bookmarkEnd w:id="149"/>
    <w:p>
      <w:pPr>
        <w:ind w:left="600"/>
        <w:spacing w:after="0"/>
        <w:rPr>
          <w:sz w:val="20"/>
          <w:szCs w:val="20"/>
          <w:color w:val="auto"/>
        </w:rPr>
      </w:pPr>
      <w:r>
        <w:rPr>
          <w:rFonts w:ascii="Arial" w:cs="Arial" w:eastAsia="Arial" w:hAnsi="Arial"/>
          <w:sz w:val="16"/>
          <w:szCs w:val="16"/>
          <w:color w:val="auto"/>
        </w:rPr>
        <w:t>then:</w:t>
      </w:r>
    </w:p>
    <w:p>
      <w:pPr>
        <w:spacing w:after="0" w:line="202" w:lineRule="exact"/>
        <w:rPr>
          <w:sz w:val="20"/>
          <w:szCs w:val="20"/>
          <w:color w:val="auto"/>
        </w:rPr>
      </w:pPr>
    </w:p>
    <w:p>
      <w:pPr>
        <w:ind w:left="900" w:right="40" w:hanging="5"/>
        <w:spacing w:after="0" w:line="264" w:lineRule="auto"/>
        <w:tabs>
          <w:tab w:leader="none" w:pos="1198"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unvested or unexercisable SARs shall be deemed fully vested and exercisable as of the Divestiture, and shall remain outstanding until the earlier of the end of their original term and twelve months following the Divestiture;</w:t>
      </w:r>
    </w:p>
    <w:p>
      <w:pPr>
        <w:spacing w:after="0" w:line="180" w:lineRule="exact"/>
        <w:rPr>
          <w:rFonts w:ascii="Arial" w:cs="Arial" w:eastAsia="Arial" w:hAnsi="Arial"/>
          <w:sz w:val="16"/>
          <w:szCs w:val="16"/>
          <w:color w:val="auto"/>
        </w:rPr>
      </w:pPr>
    </w:p>
    <w:p>
      <w:pPr>
        <w:ind w:left="900" w:hanging="5"/>
        <w:spacing w:after="0" w:line="265" w:lineRule="auto"/>
        <w:tabs>
          <w:tab w:leader="none" w:pos="1192" w:val="left"/>
        </w:tabs>
        <w:numPr>
          <w:ilvl w:val="0"/>
          <w:numId w:val="65"/>
        </w:numPr>
        <w:rPr>
          <w:rFonts w:ascii="Arial" w:cs="Arial" w:eastAsia="Arial" w:hAnsi="Arial"/>
          <w:sz w:val="15"/>
          <w:szCs w:val="15"/>
          <w:color w:val="auto"/>
        </w:rPr>
      </w:pPr>
      <w:r>
        <w:rPr>
          <w:rFonts w:ascii="Arial" w:cs="Arial" w:eastAsia="Arial" w:hAnsi="Arial"/>
          <w:sz w:val="15"/>
          <w:szCs w:val="15"/>
          <w:color w:val="auto"/>
        </w:rPr>
        <w:t>All unvested RSUs shall be deemed fully vested as of the Divestiture, but shall be settled (in shares of the Company’s common stock or cash, as provided for in the participant’s award agreement) at the same time(s) the RSUs would otherwise have been settled had no Divestiture occurred and the participant remained in the employment or service of the Company through the applicable vesting and payment dates under the award. Notwithstanding the foregoing, in lieu of the foregoing, the Company may, in its discretion, “terminate and liquidate” the RSUs in accordance with Treas. Reg. Section 1.409A-3(j)(4)(ix) (provided that the Divestiture would be a “change in control event” with respect to the participant’s employer under Treas. Reg. Section 1.409A-3(i)(5) pursuant to an irrevocable action taken within 30 days preceding or 12 months following the Divestiture, provided that the Company (i) terminates and liquidates all plans and agreements that are treated as being aggregated with the RSUs under Treas. Reg. Section 1.409A-1(c)(2) with respect to all divested participants, (ii) settles the RSUs within 12 months of the date the Company takes such irrevocable action, and (iii) otherwise complies with the requirements of Code Section 409A. The Chief Executive Officer of the Company shall have the authority to exercise the Company’s discretion to terminate and liquidate the RSUs, provided that if any divested participant is an executive officer of the Company, then only the Committee shall have such authority.</w:t>
      </w:r>
    </w:p>
    <w:p>
      <w:pPr>
        <w:spacing w:after="0" w:line="173" w:lineRule="exact"/>
        <w:rPr>
          <w:rFonts w:ascii="Arial" w:cs="Arial" w:eastAsia="Arial" w:hAnsi="Arial"/>
          <w:sz w:val="15"/>
          <w:szCs w:val="15"/>
          <w:color w:val="auto"/>
        </w:rPr>
      </w:pPr>
    </w:p>
    <w:p>
      <w:pPr>
        <w:ind w:left="900" w:right="20" w:hanging="5"/>
        <w:spacing w:after="0" w:line="278" w:lineRule="auto"/>
        <w:tabs>
          <w:tab w:leader="none" w:pos="1198" w:val="left"/>
        </w:tabs>
        <w:numPr>
          <w:ilvl w:val="0"/>
          <w:numId w:val="65"/>
        </w:numPr>
        <w:rPr>
          <w:rFonts w:ascii="Arial" w:cs="Arial" w:eastAsia="Arial" w:hAnsi="Arial"/>
          <w:sz w:val="15"/>
          <w:szCs w:val="15"/>
          <w:color w:val="auto"/>
        </w:rPr>
      </w:pPr>
      <w:r>
        <w:rPr>
          <w:rFonts w:ascii="Arial" w:cs="Arial" w:eastAsia="Arial" w:hAnsi="Arial"/>
          <w:sz w:val="15"/>
          <w:szCs w:val="15"/>
          <w:color w:val="auto"/>
        </w:rPr>
        <w:t>All unvested PSUs for which the performance period has not been completed as of the Divestiture shall be deemed vested upon the Divestiture assuming target performance goals were achieved, and unvested PSUs for which the performance period has been completed as of the Divestiture shall vest upon the Divestiture based on actual performance results, and all such PSUs shall be settled (in shares of the Company’s common stock or cash, as provided for in the participant’s award agreement) as soon as reasonably practicable following the Divestiture.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in paragraph 8(a) above, no other transfer of rights with respect to RSUs shall be permitted pursuant to this Agreement.</w:t>
      </w:r>
    </w:p>
    <w:p>
      <w:pPr>
        <w:spacing w:after="0" w:line="198" w:lineRule="exact"/>
        <w:rPr>
          <w:sz w:val="20"/>
          <w:szCs w:val="20"/>
          <w:color w:val="auto"/>
        </w:rPr>
      </w:pPr>
    </w:p>
    <w:p>
      <w:pPr>
        <w:ind w:right="40" w:firstLine="373"/>
        <w:spacing w:after="0" w:line="287" w:lineRule="auto"/>
        <w:tabs>
          <w:tab w:leader="none" w:pos="591"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Non-Solicitation. </w:t>
      </w:r>
      <w:r>
        <w:rPr>
          <w:rFonts w:ascii="Arial" w:cs="Arial" w:eastAsia="Arial" w:hAnsi="Arial"/>
          <w:sz w:val="14"/>
          <w:szCs w:val="14"/>
          <w:color w:val="auto"/>
        </w:rPr>
        <w:t>In consideration of good and valuable consideration in the form of the RSUs granted herein to which Employee is not otherwise entitled, the receipt</w:t>
      </w:r>
      <w:r>
        <w:rPr>
          <w:rFonts w:ascii="Arial" w:cs="Arial" w:eastAsia="Arial" w:hAnsi="Arial"/>
          <w:sz w:val="14"/>
          <w:szCs w:val="14"/>
          <w:b w:val="1"/>
          <w:bCs w:val="1"/>
          <w:color w:val="auto"/>
        </w:rPr>
        <w:t xml:space="preserve"> </w:t>
      </w:r>
      <w:r>
        <w:rPr>
          <w:rFonts w:ascii="Arial" w:cs="Arial" w:eastAsia="Arial" w:hAnsi="Arial"/>
          <w:sz w:val="14"/>
          <w:szCs w:val="14"/>
          <w:color w:val="auto"/>
        </w:rPr>
        <w:t>and sufficiency of which are hereby acknowledged, and in recognition of the Company’s and its Subsidiary’s legitimate purpose of avoiding for limited times competition from persons whom the Company or its Subsidiary has trained and/or given experience,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65" w:lineRule="exact"/>
        <w:rPr>
          <w:rFonts w:ascii="Arial" w:cs="Arial" w:eastAsia="Arial" w:hAnsi="Arial"/>
          <w:sz w:val="14"/>
          <w:szCs w:val="14"/>
          <w:color w:val="auto"/>
        </w:rPr>
      </w:pPr>
    </w:p>
    <w:p>
      <w:pPr>
        <w:jc w:val="both"/>
        <w:ind w:firstLine="298"/>
        <w:spacing w:after="0" w:line="256" w:lineRule="auto"/>
        <w:tabs>
          <w:tab w:leader="none" w:pos="595"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The transfer of Common Shares upon each Vesting Date, pursuant to paragraphs 4, 6 and 8 above, shall be subject to the further condition that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the withholding of any taxes required by federal, state, or local law in respect of that Vesting Date by reducing the number of RSUs to be transferred to the Account or by such other manner as the Committee shall determine in its discretion.</w:t>
      </w:r>
    </w:p>
    <w:p>
      <w:pPr>
        <w:spacing w:after="0" w:line="170" w:lineRule="exact"/>
        <w:rPr>
          <w:rFonts w:ascii="Arial" w:cs="Arial" w:eastAsia="Arial" w:hAnsi="Arial"/>
          <w:sz w:val="16"/>
          <w:szCs w:val="16"/>
          <w:color w:val="auto"/>
        </w:rPr>
      </w:pPr>
    </w:p>
    <w:p>
      <w:pPr>
        <w:ind w:firstLine="298"/>
        <w:spacing w:after="0" w:line="294" w:lineRule="auto"/>
        <w:tabs>
          <w:tab w:leader="none" w:pos="589"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Consent. </w:t>
      </w:r>
      <w:r>
        <w:rPr>
          <w:rFonts w:ascii="Arial" w:cs="Arial" w:eastAsia="Arial" w:hAnsi="Arial"/>
          <w:sz w:val="14"/>
          <w:szCs w:val="14"/>
          <w:color w:val="auto"/>
        </w:rPr>
        <w:t>By executing this Agreement, Employee consents to the collection, maintenance and processing of Employee’s personal information (such as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Vesting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918" w:right="339" w:bottom="1440" w:gutter="0" w:footer="0" w:header="0"/>
        </w:sectPr>
      </w:pPr>
    </w:p>
    <w:bookmarkStart w:id="150" w:name="page151"/>
    <w:bookmarkEnd w:id="150"/>
    <w:p>
      <w:pPr>
        <w:ind w:left="600" w:right="360" w:hanging="302"/>
        <w:spacing w:after="0" w:line="264" w:lineRule="auto"/>
        <w:tabs>
          <w:tab w:leader="none" w:pos="5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from this Agreement, investor questionnaires or other forms that Employee submits to the Company or a Subsidiary or contracts that Employee enters into with the Company or a Subsidiary;</w:t>
      </w:r>
    </w:p>
    <w:p>
      <w:pPr>
        <w:spacing w:after="0" w:line="167" w:lineRule="exact"/>
        <w:rPr>
          <w:rFonts w:ascii="Arial" w:cs="Arial" w:eastAsia="Arial" w:hAnsi="Arial"/>
          <w:sz w:val="16"/>
          <w:szCs w:val="16"/>
          <w:color w:val="auto"/>
        </w:rPr>
      </w:pPr>
    </w:p>
    <w:p>
      <w:pPr>
        <w:ind w:left="600" w:hanging="302"/>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from Employee’s transactions with the Company, the Company’s affiliates and service providers;</w:t>
      </w:r>
    </w:p>
    <w:p>
      <w:pPr>
        <w:spacing w:after="0" w:line="214" w:lineRule="exact"/>
        <w:rPr>
          <w:rFonts w:ascii="Arial" w:cs="Arial" w:eastAsia="Arial" w:hAnsi="Arial"/>
          <w:sz w:val="16"/>
          <w:szCs w:val="16"/>
          <w:color w:val="auto"/>
        </w:rPr>
      </w:pPr>
    </w:p>
    <w:p>
      <w:pPr>
        <w:ind w:left="580" w:hanging="282"/>
        <w:spacing w:after="0"/>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from Employee’s employment records with the Company or a Subsidiary; and</w:t>
      </w:r>
    </w:p>
    <w:p>
      <w:pPr>
        <w:spacing w:after="0" w:line="201" w:lineRule="exact"/>
        <w:rPr>
          <w:rFonts w:ascii="Arial" w:cs="Arial" w:eastAsia="Arial" w:hAnsi="Arial"/>
          <w:sz w:val="16"/>
          <w:szCs w:val="16"/>
          <w:color w:val="auto"/>
        </w:rPr>
      </w:pPr>
    </w:p>
    <w:p>
      <w:pPr>
        <w:ind w:left="600" w:hanging="302"/>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from meetings, telephone conversations and other communications with Employee.</w:t>
      </w:r>
    </w:p>
    <w:p>
      <w:pPr>
        <w:spacing w:after="0" w:line="202" w:lineRule="exact"/>
        <w:rPr>
          <w:sz w:val="20"/>
          <w:szCs w:val="20"/>
          <w:color w:val="auto"/>
        </w:rPr>
      </w:pPr>
    </w:p>
    <w:p>
      <w:pPr>
        <w:ind w:right="320" w:firstLine="373"/>
        <w:spacing w:after="0" w:line="298" w:lineRule="auto"/>
        <w:rPr>
          <w:sz w:val="20"/>
          <w:szCs w:val="20"/>
          <w:color w:val="auto"/>
        </w:rPr>
      </w:pPr>
      <w:r>
        <w:rPr>
          <w:rFonts w:ascii="Arial" w:cs="Arial" w:eastAsia="Arial" w:hAnsi="Arial"/>
          <w:sz w:val="15"/>
          <w:szCs w:val="15"/>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144" w:lineRule="exact"/>
        <w:rPr>
          <w:sz w:val="20"/>
          <w:szCs w:val="20"/>
          <w:color w:val="auto"/>
        </w:rPr>
      </w:pPr>
    </w:p>
    <w:p>
      <w:pPr>
        <w:ind w:left="580" w:hanging="282"/>
        <w:spacing w:after="0"/>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financial service providers, such as broker-dealers, custodians, banks and others used to finance or facilitate transactions by, or operations of, the Plan;</w:t>
      </w:r>
    </w:p>
    <w:p>
      <w:pPr>
        <w:spacing w:after="0" w:line="225" w:lineRule="exact"/>
        <w:rPr>
          <w:rFonts w:ascii="Arial" w:cs="Arial" w:eastAsia="Arial" w:hAnsi="Arial"/>
          <w:sz w:val="15"/>
          <w:szCs w:val="15"/>
          <w:color w:val="auto"/>
        </w:rPr>
      </w:pPr>
    </w:p>
    <w:p>
      <w:pPr>
        <w:ind w:left="600" w:hanging="302"/>
        <w:spacing w:after="0"/>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other service providers to the Plan, such as accounting, legal, or tax preparation services;</w:t>
      </w:r>
    </w:p>
    <w:p>
      <w:pPr>
        <w:spacing w:after="0" w:line="201" w:lineRule="exact"/>
        <w:rPr>
          <w:rFonts w:ascii="Arial" w:cs="Arial" w:eastAsia="Arial" w:hAnsi="Arial"/>
          <w:sz w:val="16"/>
          <w:szCs w:val="16"/>
          <w:color w:val="auto"/>
        </w:rPr>
      </w:pPr>
    </w:p>
    <w:p>
      <w:pPr>
        <w:ind w:left="580" w:hanging="282"/>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regulatory authorities; and</w:t>
      </w:r>
    </w:p>
    <w:p>
      <w:pPr>
        <w:spacing w:after="0" w:line="201" w:lineRule="exact"/>
        <w:rPr>
          <w:rFonts w:ascii="Arial" w:cs="Arial" w:eastAsia="Arial" w:hAnsi="Arial"/>
          <w:sz w:val="16"/>
          <w:szCs w:val="16"/>
          <w:color w:val="auto"/>
        </w:rPr>
      </w:pPr>
    </w:p>
    <w:p>
      <w:pPr>
        <w:ind w:left="600" w:hanging="302"/>
        <w:spacing w:after="0"/>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transfer agents, portfolio companies, brokerage firms and the like, in connection with distributions to Plan participants.</w:t>
      </w:r>
    </w:p>
    <w:p>
      <w:pPr>
        <w:spacing w:after="0" w:line="202" w:lineRule="exact"/>
        <w:rPr>
          <w:sz w:val="20"/>
          <w:szCs w:val="20"/>
          <w:color w:val="auto"/>
        </w:rPr>
      </w:pPr>
    </w:p>
    <w:p>
      <w:pPr>
        <w:ind w:right="480" w:firstLine="373"/>
        <w:spacing w:after="0" w:line="264" w:lineRule="auto"/>
        <w:rPr>
          <w:sz w:val="20"/>
          <w:szCs w:val="20"/>
          <w:color w:val="auto"/>
        </w:rPr>
      </w:pPr>
      <w:r>
        <w:rPr>
          <w:rFonts w:ascii="Arial" w:cs="Arial" w:eastAsia="Arial" w:hAnsi="Arial"/>
          <w:sz w:val="16"/>
          <w:szCs w:val="16"/>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68" w:lineRule="exact"/>
        <w:rPr>
          <w:sz w:val="20"/>
          <w:szCs w:val="20"/>
          <w:color w:val="auto"/>
        </w:rPr>
      </w:pPr>
    </w:p>
    <w:p>
      <w:pPr>
        <w:ind w:right="20" w:firstLine="373"/>
        <w:spacing w:after="0" w:line="268" w:lineRule="auto"/>
        <w:rPr>
          <w:sz w:val="20"/>
          <w:szCs w:val="20"/>
          <w:color w:val="auto"/>
        </w:rPr>
      </w:pPr>
      <w:r>
        <w:rPr>
          <w:rFonts w:ascii="Arial" w:cs="Arial" w:eastAsia="Arial" w:hAnsi="Arial"/>
          <w:sz w:val="15"/>
          <w:szCs w:val="15"/>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66" w:lineRule="exact"/>
        <w:rPr>
          <w:sz w:val="20"/>
          <w:szCs w:val="20"/>
          <w:color w:val="auto"/>
        </w:rPr>
      </w:pPr>
    </w:p>
    <w:p>
      <w:pPr>
        <w:ind w:firstLine="298"/>
        <w:spacing w:after="0" w:line="272" w:lineRule="auto"/>
        <w:tabs>
          <w:tab w:leader="none" w:pos="595"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 xml:space="preserve">No Additional Rights. </w:t>
      </w:r>
      <w:r>
        <w:rPr>
          <w:rFonts w:ascii="Arial" w:cs="Arial" w:eastAsia="Arial" w:hAnsi="Arial"/>
          <w:sz w:val="15"/>
          <w:szCs w:val="15"/>
          <w:color w:val="auto"/>
        </w:rPr>
        <w:t>Benefits under the Plan are not guaranteed. The grant of this Award is a one-time benefit and does not create any contractual or other right or</w:t>
      </w:r>
      <w:r>
        <w:rPr>
          <w:rFonts w:ascii="Arial" w:cs="Arial" w:eastAsia="Arial" w:hAnsi="Arial"/>
          <w:sz w:val="15"/>
          <w:szCs w:val="15"/>
          <w:b w:val="1"/>
          <w:bCs w:val="1"/>
          <w:color w:val="auto"/>
        </w:rPr>
        <w:t xml:space="preserve"> </w:t>
      </w:r>
      <w:r>
        <w:rPr>
          <w:rFonts w:ascii="Arial" w:cs="Arial" w:eastAsia="Arial" w:hAnsi="Arial"/>
          <w:sz w:val="15"/>
          <w:szCs w:val="15"/>
          <w:color w:val="auto"/>
        </w:rPr>
        <w:t>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58" w:lineRule="exact"/>
        <w:rPr>
          <w:rFonts w:ascii="Arial" w:cs="Arial" w:eastAsia="Arial" w:hAnsi="Arial"/>
          <w:sz w:val="15"/>
          <w:szCs w:val="15"/>
          <w:color w:val="auto"/>
        </w:rPr>
      </w:pPr>
    </w:p>
    <w:p>
      <w:pPr>
        <w:ind w:right="280" w:firstLine="298"/>
        <w:spacing w:after="0" w:line="319" w:lineRule="auto"/>
        <w:tabs>
          <w:tab w:leader="none" w:pos="595"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Recapitalization, Reorganization, Unusual Events</w:t>
      </w:r>
      <w:r>
        <w:rPr>
          <w:rFonts w:ascii="Arial" w:cs="Arial" w:eastAsia="Arial" w:hAnsi="Arial"/>
          <w:sz w:val="14"/>
          <w:szCs w:val="14"/>
          <w:color w:val="auto"/>
        </w:rPr>
        <w:t>. Certain events affecting the Common Shares of the Company and mergers, consolidations and reorganizations</w:t>
      </w:r>
      <w:r>
        <w:rPr>
          <w:rFonts w:ascii="Arial" w:cs="Arial" w:eastAsia="Arial" w:hAnsi="Arial"/>
          <w:sz w:val="14"/>
          <w:szCs w:val="14"/>
          <w:b w:val="1"/>
          <w:bCs w:val="1"/>
          <w:color w:val="auto"/>
        </w:rPr>
        <w:t xml:space="preserve"> </w:t>
      </w:r>
      <w:r>
        <w:rPr>
          <w:rFonts w:ascii="Arial" w:cs="Arial" w:eastAsia="Arial" w:hAnsi="Arial"/>
          <w:sz w:val="14"/>
          <w:szCs w:val="14"/>
          <w:color w:val="auto"/>
        </w:rPr>
        <w:t>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129" w:lineRule="exact"/>
        <w:rPr>
          <w:rFonts w:ascii="Arial" w:cs="Arial" w:eastAsia="Arial" w:hAnsi="Arial"/>
          <w:sz w:val="14"/>
          <w:szCs w:val="14"/>
          <w:color w:val="auto"/>
        </w:rPr>
      </w:pPr>
    </w:p>
    <w:p>
      <w:pPr>
        <w:ind w:right="100" w:firstLine="298"/>
        <w:spacing w:after="0" w:line="275" w:lineRule="auto"/>
        <w:tabs>
          <w:tab w:leader="none" w:pos="595"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Amendment of this Agreement</w:t>
      </w:r>
      <w:r>
        <w:rPr>
          <w:rFonts w:ascii="Arial" w:cs="Arial" w:eastAsia="Arial" w:hAnsi="Arial"/>
          <w:sz w:val="15"/>
          <w:szCs w:val="15"/>
          <w:color w:val="auto"/>
        </w:rPr>
        <w:t>. The Board of Directors may at any time amend, suspend or terminate the Plan; provided, however, that no amendment, suspension or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the Plan or the Award shall adversely affect the Award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918" w:right="339" w:bottom="1440" w:gutter="0" w:footer="0" w:header="0"/>
        </w:sectPr>
      </w:pPr>
    </w:p>
    <w:bookmarkStart w:id="151" w:name="page152"/>
    <w:bookmarkEnd w:id="151"/>
    <w:p>
      <w:pPr>
        <w:ind w:right="40" w:firstLine="298"/>
        <w:spacing w:after="0" w:line="281" w:lineRule="auto"/>
        <w:tabs>
          <w:tab w:leader="none" w:pos="595"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 xml:space="preserve">Notices. </w:t>
      </w:r>
      <w:r>
        <w:rPr>
          <w:rFonts w:ascii="Arial" w:cs="Arial" w:eastAsia="Arial" w:hAnsi="Arial"/>
          <w:sz w:val="15"/>
          <w:szCs w:val="15"/>
          <w:color w:val="auto"/>
        </w:rPr>
        <w:t>Notices hereunder shall be in writing, and if to the Company, may be delivered personally to the Compensation Department or such other party as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by the Company or mailed to its principal office at 6649 Westwood Boulevard, Orlando, Florida 32821, addressed to the attention of the Vice President, Global Talent Management, and if to Employee, may be delivered personally or mailed to Employee at his or her address on the records of the Company.</w:t>
      </w:r>
    </w:p>
    <w:p>
      <w:pPr>
        <w:spacing w:after="0" w:line="165" w:lineRule="exact"/>
        <w:rPr>
          <w:rFonts w:ascii="Arial" w:cs="Arial" w:eastAsia="Arial" w:hAnsi="Arial"/>
          <w:sz w:val="15"/>
          <w:szCs w:val="15"/>
          <w:color w:val="auto"/>
        </w:rPr>
      </w:pPr>
    </w:p>
    <w:p>
      <w:pPr>
        <w:ind w:right="260" w:firstLine="298"/>
        <w:spacing w:after="0" w:line="270" w:lineRule="auto"/>
        <w:tabs>
          <w:tab w:leader="none" w:pos="595"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This Agreement shall bind and inure to the benefit of the parties hereto and the successors and assigns of the Company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paragraph 8(a) above and in the Plan, to the personal representatives, legatees and heirs of Employee.</w:t>
      </w:r>
    </w:p>
    <w:p>
      <w:pPr>
        <w:spacing w:after="0" w:line="158" w:lineRule="exact"/>
        <w:rPr>
          <w:rFonts w:ascii="Arial" w:cs="Arial" w:eastAsia="Arial" w:hAnsi="Arial"/>
          <w:sz w:val="16"/>
          <w:szCs w:val="16"/>
          <w:color w:val="auto"/>
        </w:rPr>
      </w:pPr>
    </w:p>
    <w:p>
      <w:pPr>
        <w:ind w:right="240" w:firstLine="298"/>
        <w:spacing w:after="0" w:line="304" w:lineRule="auto"/>
        <w:tabs>
          <w:tab w:leader="none" w:pos="595"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No Effect on Employment</w:t>
      </w:r>
      <w:r>
        <w:rPr>
          <w:rFonts w:ascii="Arial" w:cs="Arial" w:eastAsia="Arial" w:hAnsi="Arial"/>
          <w:sz w:val="15"/>
          <w:szCs w:val="15"/>
          <w:color w:val="auto"/>
        </w:rPr>
        <w:t>. This agreement is not a contract of employment or otherwise a limitation on the right of the Company to terminate the employment of</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or to increase or decrease Employee’s compensation from the rate of compensation in existence at the time this Agreement is executed.</w:t>
      </w:r>
    </w:p>
    <w:p>
      <w:pPr>
        <w:spacing w:after="0" w:line="135" w:lineRule="exact"/>
        <w:rPr>
          <w:rFonts w:ascii="Arial" w:cs="Arial" w:eastAsia="Arial" w:hAnsi="Arial"/>
          <w:sz w:val="15"/>
          <w:szCs w:val="15"/>
          <w:color w:val="auto"/>
        </w:rPr>
      </w:pPr>
    </w:p>
    <w:p>
      <w:pPr>
        <w:ind w:firstLine="298"/>
        <w:spacing w:after="0" w:line="361" w:lineRule="auto"/>
        <w:tabs>
          <w:tab w:leader="none" w:pos="595"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 xml:space="preserve">Additional (Non-U.S.) Terms and Conditions. </w:t>
      </w:r>
      <w:r>
        <w:rPr>
          <w:rFonts w:ascii="Arial" w:cs="Arial" w:eastAsia="Arial" w:hAnsi="Arial"/>
          <w:sz w:val="14"/>
          <w:szCs w:val="14"/>
          <w:color w:val="auto"/>
        </w:rPr>
        <w:t>RSUs awarded under this Agreement shall be subject to additional terms and conditions, as applicable, set forth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Policies for Global Compliance of Equity Compensation Awards, which are attached in the Appendix hereto and shall be incorporated herein fully by reference.</w:t>
      </w:r>
    </w:p>
    <w:p>
      <w:pPr>
        <w:spacing w:after="0" w:line="100" w:lineRule="exact"/>
        <w:rPr>
          <w:rFonts w:ascii="Arial" w:cs="Arial" w:eastAsia="Arial" w:hAnsi="Arial"/>
          <w:sz w:val="14"/>
          <w:szCs w:val="14"/>
          <w:color w:val="auto"/>
        </w:rPr>
      </w:pPr>
    </w:p>
    <w:p>
      <w:pPr>
        <w:ind w:right="40" w:firstLine="298"/>
        <w:spacing w:after="0" w:line="256" w:lineRule="auto"/>
        <w:tabs>
          <w:tab w:leader="none" w:pos="595"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RSUs awarded under this Agreement, as well as any Common Shares issued with respect to such RSUs, shall be subject to the Clawback Policy</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by the Committee on February 13, 2014, and any successor policy thereto, to the extent that at any relevant time Employee is subject to such policy in accordance with its terms.</w:t>
      </w:r>
    </w:p>
    <w:p>
      <w:pPr>
        <w:spacing w:after="0" w:line="369" w:lineRule="exact"/>
        <w:rPr>
          <w:sz w:val="20"/>
          <w:szCs w:val="20"/>
          <w:color w:val="auto"/>
        </w:rPr>
      </w:pPr>
    </w:p>
    <w:p>
      <w:pPr>
        <w:ind w:firstLine="373"/>
        <w:spacing w:after="0" w:line="27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MARRIOTT VACATIONS WORLDWIDE CORPORATION has caused this Agreement to be signed by its Executive Vice President, Chief</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2724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2">
                      <a:extLst>
                        <a:ext uri="{28A0092B-C50C-407E-A947-70E740481C1C}"/>
                      </a:extLst>
                    </a:blip>
                    <a:srcRect/>
                    <a:stretch>
                      <a:fillRect/>
                    </a:stretch>
                  </pic:blipFill>
                  <pic:spPr bwMode="auto">
                    <a:xfrm>
                      <a:off x="0" y="0"/>
                      <a:ext cx="7127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MARRIOTT VACATIONS WORLDWIDE</w:t>
      </w:r>
    </w:p>
    <w:p>
      <w:pPr>
        <w:ind w:left="20"/>
        <w:spacing w:after="0"/>
        <w:tabs>
          <w:tab w:leader="none" w:pos="6200" w:val="left"/>
        </w:tabs>
        <w:rPr>
          <w:sz w:val="20"/>
          <w:szCs w:val="20"/>
          <w:color w:val="auto"/>
        </w:rPr>
      </w:pPr>
      <w:r>
        <w:rPr>
          <w:rFonts w:ascii="Arial" w:cs="Arial" w:eastAsia="Arial" w:hAnsi="Arial"/>
          <w:sz w:val="17"/>
          <w:szCs w:val="17"/>
          <w:color w:val="auto"/>
        </w:rPr>
        <w:t>CORPORATION</w:t>
      </w:r>
      <w:r>
        <w:rPr>
          <w:sz w:val="20"/>
          <w:szCs w:val="20"/>
          <w:color w:val="auto"/>
        </w:rPr>
        <w:tab/>
      </w:r>
      <w:r>
        <w:rPr>
          <w:rFonts w:ascii="Arial" w:cs="Arial" w:eastAsia="Arial" w:hAnsi="Arial"/>
          <w:sz w:val="17"/>
          <w:szCs w:val="17"/>
          <w:color w:val="auto"/>
        </w:rPr>
        <w:t>EMPLOYEE</w:t>
      </w:r>
    </w:p>
    <w:p>
      <w:pPr>
        <w:spacing w:after="0" w:line="263"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&lt;&lt;</w:t>
      </w:r>
      <w:r>
        <w:rPr>
          <w:rFonts w:ascii="Arial" w:cs="Arial" w:eastAsia="Arial" w:hAnsi="Arial"/>
          <w:sz w:val="17"/>
          <w:szCs w:val="17"/>
          <w:color w:val="auto"/>
          <w:highlight w:val="yellow"/>
        </w:rPr>
        <w:t>PARTICIPANT NAME</w:t>
      </w:r>
      <w:r>
        <w:rPr>
          <w:rFonts w:ascii="Arial" w:cs="Arial" w:eastAsia="Arial" w:hAnsi="Arial"/>
          <w:sz w:val="17"/>
          <w:szCs w:val="17"/>
          <w:color w:val="auto"/>
        </w:rPr>
        <w: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12724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3">
                      <a:extLst>
                        <a:ext uri="{28A0092B-C50C-407E-A947-70E740481C1C}"/>
                      </a:extLst>
                    </a:blip>
                    <a:srcRect/>
                    <a:stretch>
                      <a:fillRect/>
                    </a:stretch>
                  </pic:blipFill>
                  <pic:spPr bwMode="auto">
                    <a:xfrm>
                      <a:off x="0" y="0"/>
                      <a:ext cx="7127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420" w:type="dxa"/>
            <w:vAlign w:val="bottom"/>
          </w:tcPr>
          <w:p>
            <w:pPr>
              <w:spacing w:after="0"/>
              <w:rPr>
                <w:sz w:val="20"/>
                <w:szCs w:val="20"/>
                <w:color w:val="auto"/>
              </w:rPr>
            </w:pPr>
            <w:r>
              <w:rPr>
                <w:rFonts w:ascii="Arial" w:cs="Arial" w:eastAsia="Arial" w:hAnsi="Arial"/>
                <w:sz w:val="17"/>
                <w:szCs w:val="17"/>
                <w:color w:val="auto"/>
              </w:rPr>
              <w:t>Executive Vice President, Chief Human</w:t>
            </w:r>
          </w:p>
        </w:tc>
        <w:tc>
          <w:tcPr>
            <w:tcW w:w="3200" w:type="dxa"/>
            <w:vAlign w:val="bottom"/>
          </w:tcPr>
          <w:p>
            <w:pPr>
              <w:spacing w:after="0"/>
              <w:rPr>
                <w:sz w:val="16"/>
                <w:szCs w:val="16"/>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7"/>
                <w:szCs w:val="17"/>
                <w:color w:val="auto"/>
              </w:rPr>
              <w:t>Resources Officer</w:t>
            </w:r>
          </w:p>
        </w:tc>
        <w:tc>
          <w:tcPr>
            <w:tcW w:w="3200" w:type="dxa"/>
            <w:vAlign w:val="bottom"/>
          </w:tcPr>
          <w:p>
            <w:pPr>
              <w:ind w:left="1780"/>
              <w:spacing w:after="0"/>
              <w:rPr>
                <w:sz w:val="20"/>
                <w:szCs w:val="20"/>
                <w:color w:val="auto"/>
              </w:rPr>
            </w:pPr>
            <w:r>
              <w:rPr>
                <w:rFonts w:ascii="Arial" w:cs="Arial" w:eastAsia="Arial" w:hAnsi="Arial"/>
                <w:sz w:val="17"/>
                <w:szCs w:val="17"/>
                <w:color w:val="auto"/>
                <w:w w:val="88"/>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00"/>
          </w:cols>
          <w:pgMar w:left="320" w:top="914" w:right="479" w:bottom="1440" w:gutter="0" w:footer="0" w:header="0"/>
        </w:sectPr>
      </w:pPr>
    </w:p>
    <w:bookmarkStart w:id="152" w:name="page153"/>
    <w:bookmarkEnd w:id="152"/>
    <w:p>
      <w:pPr>
        <w:ind w:left="404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POLICIES FOR GLOBAL COMPLIANCE OF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firstLine="597"/>
        <w:spacing w:after="0" w:line="256" w:lineRule="auto"/>
        <w:rPr>
          <w:sz w:val="20"/>
          <w:szCs w:val="20"/>
          <w:color w:val="auto"/>
        </w:rPr>
      </w:pPr>
      <w:r>
        <w:rPr>
          <w:rFonts w:ascii="Arial" w:cs="Arial" w:eastAsia="Arial" w:hAnsi="Arial"/>
          <w:sz w:val="16"/>
          <w:szCs w:val="16"/>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73" w:lineRule="exact"/>
        <w:rPr>
          <w:sz w:val="20"/>
          <w:szCs w:val="20"/>
          <w:color w:val="auto"/>
        </w:rPr>
      </w:pPr>
    </w:p>
    <w:p>
      <w:pPr>
        <w:ind w:right="40" w:firstLine="697"/>
        <w:spacing w:after="0" w:line="269" w:lineRule="auto"/>
        <w:rPr>
          <w:sz w:val="20"/>
          <w:szCs w:val="20"/>
          <w:color w:val="auto"/>
        </w:rPr>
      </w:pPr>
      <w:r>
        <w:rPr>
          <w:rFonts w:ascii="Arial" w:cs="Arial" w:eastAsia="Arial" w:hAnsi="Arial"/>
          <w:sz w:val="15"/>
          <w:szCs w:val="15"/>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Arial" w:cs="Arial" w:eastAsia="Arial" w:hAnsi="Arial"/>
          <w:sz w:val="15"/>
          <w:szCs w:val="15"/>
          <w:u w:val="single" w:color="auto"/>
          <w:color w:val="auto"/>
        </w:rPr>
        <w:t>must satisfy</w:t>
      </w:r>
      <w:r>
        <w:rPr>
          <w:rFonts w:ascii="Arial" w:cs="Arial" w:eastAsia="Arial" w:hAnsi="Arial"/>
          <w:sz w:val="15"/>
          <w:szCs w:val="15"/>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65" w:lineRule="exact"/>
        <w:rPr>
          <w:sz w:val="20"/>
          <w:szCs w:val="20"/>
          <w:color w:val="auto"/>
        </w:rPr>
      </w:pPr>
    </w:p>
    <w:p>
      <w:pPr>
        <w:ind w:right="80" w:firstLine="697"/>
        <w:spacing w:after="0" w:line="256" w:lineRule="auto"/>
        <w:rPr>
          <w:sz w:val="20"/>
          <w:szCs w:val="20"/>
          <w:color w:val="auto"/>
        </w:rPr>
      </w:pPr>
      <w:r>
        <w:rPr>
          <w:rFonts w:ascii="Arial" w:cs="Arial" w:eastAsia="Arial" w:hAnsi="Arial"/>
          <w:sz w:val="16"/>
          <w:szCs w:val="16"/>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73" w:lineRule="exact"/>
        <w:rPr>
          <w:sz w:val="20"/>
          <w:szCs w:val="20"/>
          <w:color w:val="auto"/>
        </w:rPr>
      </w:pPr>
    </w:p>
    <w:p>
      <w:pPr>
        <w:ind w:firstLine="697"/>
        <w:spacing w:after="0" w:line="264" w:lineRule="auto"/>
        <w:rPr>
          <w:sz w:val="20"/>
          <w:szCs w:val="20"/>
          <w:color w:val="auto"/>
        </w:rPr>
      </w:pPr>
      <w:r>
        <w:rPr>
          <w:rFonts w:ascii="Arial" w:cs="Arial" w:eastAsia="Arial" w:hAnsi="Arial"/>
          <w:sz w:val="16"/>
          <w:szCs w:val="16"/>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720"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4"/>
          <w:szCs w:val="14"/>
          <w:color w:val="auto"/>
        </w:rPr>
        <w:t>COUNTRY-SPECIF1C POLICIES</w:t>
      </w:r>
    </w:p>
    <w:p>
      <w:pPr>
        <w:sectPr>
          <w:pgSz w:w="11900" w:h="16838" w:orient="portrait"/>
          <w:cols w:equalWidth="0" w:num="1">
            <w:col w:w="9019"/>
          </w:cols>
          <w:pgMar w:left="1440" w:top="11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 be added if applicable]</w:t>
      </w:r>
    </w:p>
    <w:p>
      <w:pPr>
        <w:sectPr>
          <w:pgSz w:w="11900" w:h="16838" w:orient="portrait"/>
          <w:cols w:equalWidth="0" w:num="1">
            <w:col w:w="9019"/>
          </w:cols>
          <w:pgMar w:left="1440" w:top="1167" w:right="1440"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PERFORMANCE UNIT AWARD AGREEMENT</w:t>
      </w:r>
    </w:p>
    <w:p>
      <w:pPr>
        <w:spacing w:after="0" w:line="227"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PERFORMANCE-BASED RESTRICTED STOCK UNIT AGREEMENT</w:t>
      </w:r>
    </w:p>
    <w:p>
      <w:pPr>
        <w:spacing w:after="0" w:line="20"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4"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2020 EQUITY INCENTIVE PLAN</w:t>
      </w:r>
    </w:p>
    <w:p>
      <w:pPr>
        <w:spacing w:after="0" w:line="211" w:lineRule="exact"/>
        <w:rPr>
          <w:sz w:val="20"/>
          <w:szCs w:val="20"/>
          <w:color w:val="auto"/>
        </w:rPr>
      </w:pPr>
    </w:p>
    <w:p>
      <w:pPr>
        <w:ind w:right="120" w:firstLine="506"/>
        <w:spacing w:after="0" w:line="269" w:lineRule="auto"/>
        <w:rPr>
          <w:sz w:val="20"/>
          <w:szCs w:val="20"/>
          <w:color w:val="auto"/>
        </w:rPr>
      </w:pPr>
      <w:r>
        <w:rPr>
          <w:rFonts w:ascii="Arial" w:cs="Arial" w:eastAsia="Arial" w:hAnsi="Arial"/>
          <w:sz w:val="17"/>
          <w:szCs w:val="17"/>
          <w:color w:val="auto"/>
        </w:rPr>
        <w:t xml:space="preserve">THIS AGREEMENT (the “Agreement”) is made on </w:t>
      </w:r>
      <w:r>
        <w:rPr>
          <w:rFonts w:ascii="Arial" w:cs="Arial" w:eastAsia="Arial" w:hAnsi="Arial"/>
          <w:sz w:val="17"/>
          <w:szCs w:val="17"/>
          <w:b w:val="1"/>
          <w:bCs w:val="1"/>
          <w:color w:val="auto"/>
          <w:highlight w:val="yellow"/>
        </w:rPr>
        <w:t>&lt;&lt;GRANT DATE&gt;&gt;</w:t>
      </w:r>
      <w:r>
        <w:rPr>
          <w:rFonts w:ascii="Arial" w:cs="Arial" w:eastAsia="Arial" w:hAnsi="Arial"/>
          <w:sz w:val="17"/>
          <w:szCs w:val="17"/>
          <w:color w:val="auto"/>
        </w:rPr>
        <w:t xml:space="preserve"> (the “Grant Date”) by MARRIOTT VACATIONS WORLDWIDE CORPORATION (the “Company”) and </w:t>
      </w:r>
      <w:r>
        <w:rPr>
          <w:rFonts w:ascii="Arial" w:cs="Arial" w:eastAsia="Arial" w:hAnsi="Arial"/>
          <w:sz w:val="17"/>
          <w:szCs w:val="17"/>
          <w:b w:val="1"/>
          <w:bCs w:val="1"/>
          <w:color w:val="auto"/>
          <w:highlight w:val="yellow"/>
        </w:rPr>
        <w:t>&lt;&lt;PARTICIPANT NAME&gt;&gt;</w:t>
      </w:r>
      <w:r>
        <w:rPr>
          <w:rFonts w:ascii="Arial" w:cs="Arial" w:eastAsia="Arial" w:hAnsi="Arial"/>
          <w:sz w:val="17"/>
          <w:szCs w:val="17"/>
          <w:color w:val="auto"/>
        </w:rPr>
        <w:t>(“Employee”).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WITNESSETH:</w:t>
      </w:r>
    </w:p>
    <w:p>
      <w:pPr>
        <w:spacing w:after="0" w:line="228" w:lineRule="exact"/>
        <w:rPr>
          <w:sz w:val="20"/>
          <w:szCs w:val="20"/>
          <w:color w:val="auto"/>
        </w:rPr>
      </w:pPr>
    </w:p>
    <w:p>
      <w:pPr>
        <w:ind w:left="100" w:right="4280" w:firstLine="406"/>
        <w:spacing w:after="0" w:line="264" w:lineRule="auto"/>
        <w:rPr>
          <w:sz w:val="20"/>
          <w:szCs w:val="20"/>
          <w:color w:val="auto"/>
        </w:rPr>
      </w:pPr>
      <w:r>
        <w:rPr>
          <w:rFonts w:ascii="Arial" w:cs="Arial" w:eastAsia="Arial" w:hAnsi="Arial"/>
          <w:sz w:val="17"/>
          <w:szCs w:val="17"/>
          <w:color w:val="auto"/>
        </w:rPr>
        <w:t>WHEREAS, the Company maintains the Marriott Vacations Worldwide Corporation 2020 Equity Incentive Plan, as it may be amended from time to time (the “Plan”); and</w:t>
      </w:r>
    </w:p>
    <w:p>
      <w:pPr>
        <w:spacing w:after="0" w:line="192" w:lineRule="exact"/>
        <w:rPr>
          <w:sz w:val="20"/>
          <w:szCs w:val="20"/>
          <w:color w:val="auto"/>
        </w:rPr>
      </w:pPr>
    </w:p>
    <w:p>
      <w:pPr>
        <w:ind w:left="100" w:right="3700" w:firstLine="406"/>
        <w:spacing w:after="0" w:line="295" w:lineRule="auto"/>
        <w:rPr>
          <w:sz w:val="20"/>
          <w:szCs w:val="20"/>
          <w:color w:val="auto"/>
        </w:rPr>
      </w:pPr>
      <w:r>
        <w:rPr>
          <w:rFonts w:ascii="Arial" w:cs="Arial" w:eastAsia="Arial" w:hAnsi="Arial"/>
          <w:sz w:val="16"/>
          <w:szCs w:val="16"/>
          <w:color w:val="auto"/>
        </w:rPr>
        <w:t>WHEREAS, the Company wishes to award to designated employees certain Restricted Stock Unit awards (“RSUs”) as provided in Article 8 of the Plan with performance-based vesting criteria; and</w:t>
      </w:r>
    </w:p>
    <w:p>
      <w:pPr>
        <w:spacing w:after="0" w:line="170" w:lineRule="exact"/>
        <w:rPr>
          <w:sz w:val="20"/>
          <w:szCs w:val="20"/>
          <w:color w:val="auto"/>
        </w:rPr>
      </w:pPr>
    </w:p>
    <w:p>
      <w:pPr>
        <w:ind w:right="160" w:firstLine="506"/>
        <w:spacing w:after="0" w:line="264" w:lineRule="auto"/>
        <w:rPr>
          <w:sz w:val="20"/>
          <w:szCs w:val="20"/>
          <w:color w:val="auto"/>
        </w:rPr>
      </w:pPr>
      <w:r>
        <w:rPr>
          <w:rFonts w:ascii="Arial" w:cs="Arial" w:eastAsia="Arial" w:hAnsi="Arial"/>
          <w:sz w:val="17"/>
          <w:szCs w:val="17"/>
          <w:color w:val="auto"/>
        </w:rPr>
        <w:t>WHEREAS, Employee has been approved by the Compensation Policy Committee (including any delegate thereof, the “Committee”) of the Company’s Board of Directors (the “Board”) to receive an award of RSUs under the Plan;</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NOW, THEREFORE, it is agreed as follows:</w:t>
      </w:r>
    </w:p>
    <w:p>
      <w:pPr>
        <w:spacing w:after="0" w:line="224" w:lineRule="exact"/>
        <w:rPr>
          <w:sz w:val="20"/>
          <w:szCs w:val="20"/>
          <w:color w:val="auto"/>
        </w:rPr>
      </w:pPr>
    </w:p>
    <w:p>
      <w:pPr>
        <w:ind w:right="20" w:firstLine="505"/>
        <w:spacing w:after="0" w:line="256" w:lineRule="auto"/>
        <w:tabs>
          <w:tab w:leader="none" w:pos="672"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Prospectus</w:t>
      </w:r>
      <w:r>
        <w:rPr>
          <w:rFonts w:ascii="Arial" w:cs="Arial" w:eastAsia="Arial" w:hAnsi="Arial"/>
          <w:sz w:val="17"/>
          <w:szCs w:val="17"/>
          <w:color w:val="auto"/>
        </w:rPr>
        <w:t>. Employee has been provided with, and hereby acknowledges receipt of, a Prospectus for the Plan dated</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highlight w:val="yellow"/>
        </w:rPr>
        <w:t>&lt;&lt;DATE&gt;&gt;</w:t>
      </w:r>
      <w:r>
        <w:rPr>
          <w:rFonts w:ascii="Arial" w:cs="Arial" w:eastAsia="Arial" w:hAnsi="Arial"/>
          <w:sz w:val="17"/>
          <w:szCs w:val="17"/>
          <w:color w:val="auto"/>
        </w:rPr>
        <w:t>, which contains, among</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things, a detailed description of the RSU award provisions of the Plan. Employee further acknowledges that Employee has read the Prospectus and this Agreement, and that Employee understands the provisions thereof.</w:t>
      </w:r>
    </w:p>
    <w:p>
      <w:pPr>
        <w:spacing w:after="0" w:line="195" w:lineRule="exact"/>
        <w:rPr>
          <w:rFonts w:ascii="Arial" w:cs="Arial" w:eastAsia="Arial" w:hAnsi="Arial"/>
          <w:sz w:val="17"/>
          <w:szCs w:val="17"/>
          <w:color w:val="auto"/>
        </w:rPr>
      </w:pPr>
    </w:p>
    <w:p>
      <w:pPr>
        <w:ind w:firstLine="505"/>
        <w:spacing w:after="0" w:line="273" w:lineRule="auto"/>
        <w:tabs>
          <w:tab w:leader="none" w:pos="672"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provisions of the Plan are incorporated herein by reference and form an integral part of this Agreement. Except as otherwise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83" w:lineRule="exact"/>
        <w:rPr>
          <w:rFonts w:ascii="Arial" w:cs="Arial" w:eastAsia="Arial" w:hAnsi="Arial"/>
          <w:sz w:val="16"/>
          <w:szCs w:val="16"/>
          <w:color w:val="auto"/>
        </w:rPr>
      </w:pPr>
    </w:p>
    <w:p>
      <w:pPr>
        <w:ind w:right="80" w:firstLine="505"/>
        <w:spacing w:after="0" w:line="337" w:lineRule="auto"/>
        <w:tabs>
          <w:tab w:leader="none" w:pos="672"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Grant of RSUs</w:t>
      </w:r>
      <w:r>
        <w:rPr>
          <w:rFonts w:ascii="Arial" w:cs="Arial" w:eastAsia="Arial" w:hAnsi="Arial"/>
          <w:sz w:val="15"/>
          <w:szCs w:val="15"/>
          <w:color w:val="auto"/>
        </w:rPr>
        <w:t>. Subject to the terms and conditions of the Plan, Employee’s acceptance of this Agreement and satisfaction of the tax provisions of any policy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the Company regarding international assignments, if applicable, this award (the “Award”) of </w:t>
      </w:r>
      <w:r>
        <w:rPr>
          <w:rFonts w:ascii="Arial" w:cs="Arial" w:eastAsia="Arial" w:hAnsi="Arial"/>
          <w:sz w:val="15"/>
          <w:szCs w:val="15"/>
          <w:b w:val="1"/>
          <w:bCs w:val="1"/>
          <w:color w:val="auto"/>
          <w:highlight w:val="yellow"/>
        </w:rPr>
        <w:t>&lt;&lt;QTY GRANTED&gt;&gt;</w:t>
      </w:r>
      <w:r>
        <w:rPr>
          <w:rFonts w:ascii="Arial" w:cs="Arial" w:eastAsia="Arial" w:hAnsi="Arial"/>
          <w:sz w:val="15"/>
          <w:szCs w:val="15"/>
          <w:color w:val="auto"/>
        </w:rPr>
        <w:t xml:space="preserve"> RSUs is made as of the Grant Date.</w:t>
      </w:r>
    </w:p>
    <w:p>
      <w:pPr>
        <w:spacing w:after="0" w:line="137" w:lineRule="exact"/>
        <w:rPr>
          <w:rFonts w:ascii="Arial" w:cs="Arial" w:eastAsia="Arial" w:hAnsi="Arial"/>
          <w:sz w:val="15"/>
          <w:szCs w:val="15"/>
          <w:color w:val="auto"/>
        </w:rPr>
      </w:pPr>
    </w:p>
    <w:p>
      <w:pPr>
        <w:ind w:firstLine="505"/>
        <w:spacing w:after="0" w:line="282" w:lineRule="auto"/>
        <w:tabs>
          <w:tab w:leader="none" w:pos="672"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RSU and Common Share Rights</w:t>
      </w:r>
      <w:r>
        <w:rPr>
          <w:rFonts w:ascii="Arial" w:cs="Arial" w:eastAsia="Arial" w:hAnsi="Arial"/>
          <w:sz w:val="15"/>
          <w:szCs w:val="15"/>
          <w:color w:val="auto"/>
        </w:rPr>
        <w:t>. The RSUs awarded under this Agreement shall be recorded in a Company book-keeping account and shall represent</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unsecured right to receive from the Company the transfer of title to shares of Common Stock of the Company (“Common Shares”) earned in accordance with paragraph 5 below and Appendix A attached hereto, provided that Employee has satisfied the Conditions of Transfer set forth in paragraph 6 below and subject to the satisfaction of the provision on withholding taxes set forth in paragraph 10 below. On the Settlement Date set forth below, the Company shall reverse the book-keeping entry for all of the RSUs and transfer a number of Common Shares equal to the portion of the RSUs that is earned in accordance with paragraph 5 below and Appendix A hereto (which number of Common Shares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Any RSUs which are not earned in accordance with paragraph 5 and Appendix A shall be forfeited effective as of the last day of the Performance Period (as defined in paragraph 5 below). Employee shall have all the rights of a stockholder with respect to the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such Common Shares are transferred, if at all, to the Account.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3" w:right="339" w:bottom="1440" w:gutter="0" w:footer="0" w:header="0"/>
        </w:sectPr>
      </w:pPr>
    </w:p>
    <w:bookmarkStart w:id="155" w:name="page156"/>
    <w:bookmarkEnd w:id="155"/>
    <w:p>
      <w:pPr>
        <w:ind w:right="140" w:firstLine="597"/>
        <w:spacing w:after="0" w:line="279" w:lineRule="auto"/>
        <w:tabs>
          <w:tab w:leader="none" w:pos="763" w:val="left"/>
        </w:tabs>
        <w:numPr>
          <w:ilvl w:val="1"/>
          <w:numId w:val="72"/>
        </w:numPr>
        <w:rPr>
          <w:rFonts w:ascii="Arial" w:cs="Arial" w:eastAsia="Arial" w:hAnsi="Arial"/>
          <w:sz w:val="15"/>
          <w:szCs w:val="15"/>
          <w:color w:val="auto"/>
        </w:rPr>
      </w:pPr>
      <w:r>
        <w:rPr>
          <w:rFonts w:ascii="Arial" w:cs="Arial" w:eastAsia="Arial" w:hAnsi="Arial"/>
          <w:sz w:val="15"/>
          <w:szCs w:val="15"/>
          <w:b w:val="1"/>
          <w:bCs w:val="1"/>
          <w:color w:val="auto"/>
        </w:rPr>
        <w:t>Vesting and Settlement of the RSUs</w:t>
      </w:r>
      <w:r>
        <w:rPr>
          <w:rFonts w:ascii="Arial" w:cs="Arial" w:eastAsia="Arial" w:hAnsi="Arial"/>
          <w:sz w:val="15"/>
          <w:szCs w:val="15"/>
          <w:color w:val="auto"/>
        </w:rPr>
        <w:t>. Except as otherwise provided in paragraph 8 below and subject to paragraph 6 below, on the Settlement Date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shall vest in a number of RSUs, if any, based upon the achievement of specified levels of performance during the Performance Period, as set forth in Appendix A hereto. For purposes of this Agreement, the “Performance Period” shall be the three fiscal year period commencing on January 1, [2020] and ending on December 31, [2022]. For purposes of this Agreement, the “Settlement Date” shall be a date established by the Committee on or after the date on which the Committee determines the level of achievement with respect to the performance criteria set forth in Appendix A, which Settlement Date shall be no later than the 15th day of the third month following the month in which the Performance Period ends. Notwithstanding the foregoing, in the event that the Settlement Date is a Saturday, Sunday or other day on which stock of the Company is not traded on the New York Stock Exchange or another national exchange, then the Settlement Date shall be the next following day on which the stock of the Company is traded on the New York Stock Exchange or another national</w:t>
      </w:r>
    </w:p>
    <w:p>
      <w:pPr>
        <w:spacing w:after="0" w:line="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exchange.</w:t>
      </w:r>
    </w:p>
    <w:p>
      <w:pPr>
        <w:spacing w:after="0" w:line="210" w:lineRule="exact"/>
        <w:rPr>
          <w:rFonts w:ascii="Arial" w:cs="Arial" w:eastAsia="Arial" w:hAnsi="Arial"/>
          <w:sz w:val="15"/>
          <w:szCs w:val="15"/>
          <w:color w:val="auto"/>
        </w:rPr>
      </w:pPr>
    </w:p>
    <w:p>
      <w:pPr>
        <w:jc w:val="both"/>
        <w:ind w:right="420" w:firstLine="505"/>
        <w:spacing w:after="0" w:line="307" w:lineRule="auto"/>
        <w:tabs>
          <w:tab w:leader="none" w:pos="672"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Conditions of Transfer</w:t>
      </w:r>
      <w:r>
        <w:rPr>
          <w:rFonts w:ascii="Arial" w:cs="Arial" w:eastAsia="Arial" w:hAnsi="Arial"/>
          <w:sz w:val="15"/>
          <w:szCs w:val="15"/>
          <w:color w:val="auto"/>
        </w:rPr>
        <w:t>. Except as otherwise provided in paragraph 8 below, with respect to any RSUs awarded to Employee under this Agreement, as a</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 of Employee receiving a transfer in accordance with paragraph 4 above of any Common Shares earned in accordance with paragraph 5 and Appendix A, Employee shall meet all of the following conditions during the entire period from the Grant Date hereof through the Settlement Date relating to such RSUs:</w:t>
      </w:r>
    </w:p>
    <w:p>
      <w:pPr>
        <w:spacing w:after="0" w:line="163" w:lineRule="exact"/>
        <w:rPr>
          <w:sz w:val="20"/>
          <w:szCs w:val="20"/>
          <w:color w:val="auto"/>
        </w:rPr>
      </w:pPr>
    </w:p>
    <w:p>
      <w:pPr>
        <w:ind w:left="680" w:hanging="232"/>
        <w:spacing w:after="0"/>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Employee must continue to be an active employee of the Company or any Subsidiary (“Continuous Employment”);</w:t>
      </w:r>
    </w:p>
    <w:p>
      <w:pPr>
        <w:spacing w:after="0" w:line="227" w:lineRule="exact"/>
        <w:rPr>
          <w:rFonts w:ascii="Arial" w:cs="Arial" w:eastAsia="Arial" w:hAnsi="Arial"/>
          <w:sz w:val="17"/>
          <w:szCs w:val="17"/>
          <w:color w:val="auto"/>
        </w:rPr>
      </w:pPr>
    </w:p>
    <w:p>
      <w:pPr>
        <w:ind w:left="740" w:right="200" w:hanging="292"/>
        <w:spacing w:after="0" w:line="264" w:lineRule="auto"/>
        <w:tabs>
          <w:tab w:leader="none" w:pos="676" w:val="left"/>
        </w:tabs>
        <w:numPr>
          <w:ilvl w:val="0"/>
          <w:numId w:val="74"/>
        </w:numPr>
        <w:rPr>
          <w:rFonts w:ascii="Arial" w:cs="Arial" w:eastAsia="Arial" w:hAnsi="Arial"/>
          <w:sz w:val="17"/>
          <w:szCs w:val="17"/>
          <w:color w:val="auto"/>
        </w:rPr>
      </w:pPr>
      <w:r>
        <w:rPr>
          <w:rFonts w:ascii="Arial" w:cs="Arial" w:eastAsia="Arial" w:hAnsi="Arial"/>
          <w:sz w:val="17"/>
          <w:szCs w:val="17"/>
          <w:color w:val="auto"/>
        </w:rPr>
        <w:t>Employee must refrain from Engaging in Competition (as defined in Section 2.17 of the Plan) without first having obtained the written consent thereto from the Company (“Non-competition”); and</w:t>
      </w:r>
    </w:p>
    <w:p>
      <w:pPr>
        <w:spacing w:after="0" w:line="192" w:lineRule="exact"/>
        <w:rPr>
          <w:rFonts w:ascii="Arial" w:cs="Arial" w:eastAsia="Arial" w:hAnsi="Arial"/>
          <w:sz w:val="17"/>
          <w:szCs w:val="17"/>
          <w:color w:val="auto"/>
        </w:rPr>
      </w:pPr>
    </w:p>
    <w:p>
      <w:pPr>
        <w:ind w:left="740" w:right="60" w:hanging="292"/>
        <w:spacing w:after="0" w:line="251" w:lineRule="auto"/>
        <w:tabs>
          <w:tab w:leader="none" w:pos="667" w:val="left"/>
        </w:tabs>
        <w:numPr>
          <w:ilvl w:val="0"/>
          <w:numId w:val="74"/>
        </w:numPr>
        <w:rPr>
          <w:rFonts w:ascii="Arial" w:cs="Arial" w:eastAsia="Arial" w:hAnsi="Arial"/>
          <w:sz w:val="17"/>
          <w:szCs w:val="17"/>
          <w:color w:val="auto"/>
        </w:rPr>
      </w:pPr>
      <w:r>
        <w:rPr>
          <w:rFonts w:ascii="Arial" w:cs="Arial" w:eastAsia="Arial" w:hAnsi="Arial"/>
          <w:sz w:val="17"/>
          <w:szCs w:val="17"/>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203" w:lineRule="exact"/>
        <w:rPr>
          <w:sz w:val="20"/>
          <w:szCs w:val="20"/>
          <w:color w:val="auto"/>
        </w:rPr>
      </w:pPr>
    </w:p>
    <w:p>
      <w:pPr>
        <w:ind w:right="260" w:firstLine="506"/>
        <w:spacing w:after="0" w:line="251" w:lineRule="auto"/>
        <w:rPr>
          <w:sz w:val="20"/>
          <w:szCs w:val="20"/>
          <w:color w:val="auto"/>
        </w:rPr>
      </w:pPr>
      <w:r>
        <w:rPr>
          <w:rFonts w:ascii="Arial" w:cs="Arial" w:eastAsia="Arial" w:hAnsi="Arial"/>
          <w:sz w:val="17"/>
          <w:szCs w:val="17"/>
          <w:color w:val="auto"/>
        </w:rPr>
        <w:t>If Employee should fail to meet the requirements relating to (i) Continuous Employment, (ii) Non- competition, or (iii) No Improper Conduct, then Employee shall forfeit the right to earn any RSUs granted hereunder, and Employee shall accordingly forfeit the right to receive the transfer of title to any Common Shares underlying such RSUs. The forfeiture of rights with respect to RSUs (and corresponding Common Shares) shall not affect the rights of Employee with respect to any Common Shares the title of which has already been transferred to the Account.</w:t>
      </w:r>
    </w:p>
    <w:p>
      <w:pPr>
        <w:spacing w:after="0" w:line="199" w:lineRule="exact"/>
        <w:rPr>
          <w:sz w:val="20"/>
          <w:szCs w:val="20"/>
          <w:color w:val="auto"/>
        </w:rPr>
      </w:pPr>
    </w:p>
    <w:p>
      <w:pPr>
        <w:ind w:left="680" w:hanging="175"/>
        <w:spacing w:after="0"/>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Non-Assignability. </w:t>
      </w:r>
      <w:r>
        <w:rPr>
          <w:rFonts w:ascii="Arial" w:cs="Arial" w:eastAsia="Arial" w:hAnsi="Arial"/>
          <w:sz w:val="17"/>
          <w:szCs w:val="17"/>
          <w:color w:val="auto"/>
        </w:rPr>
        <w:t>The RSUs shall not be assignable or transferable by Employee except by will or by the laws of descent and distribution.</w:t>
      </w:r>
    </w:p>
    <w:p>
      <w:pPr>
        <w:spacing w:after="0" w:line="227" w:lineRule="exact"/>
        <w:rPr>
          <w:rFonts w:ascii="Arial" w:cs="Arial" w:eastAsia="Arial" w:hAnsi="Arial"/>
          <w:sz w:val="17"/>
          <w:szCs w:val="17"/>
          <w:color w:val="auto"/>
        </w:rPr>
      </w:pPr>
    </w:p>
    <w:p>
      <w:pPr>
        <w:ind w:left="680" w:hanging="175"/>
        <w:spacing w:after="0"/>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Effect of Termination of Employment</w:t>
      </w:r>
      <w:r>
        <w:rPr>
          <w:rFonts w:ascii="Arial" w:cs="Arial" w:eastAsia="Arial" w:hAnsi="Arial"/>
          <w:sz w:val="17"/>
          <w:szCs w:val="17"/>
          <w:color w:val="auto"/>
        </w:rPr>
        <w:t>.</w:t>
      </w:r>
    </w:p>
    <w:p>
      <w:pPr>
        <w:spacing w:after="0" w:line="232" w:lineRule="exact"/>
        <w:rPr>
          <w:sz w:val="20"/>
          <w:szCs w:val="20"/>
          <w:color w:val="auto"/>
        </w:rPr>
      </w:pPr>
    </w:p>
    <w:p>
      <w:pPr>
        <w:ind w:left="740" w:hanging="292"/>
        <w:spacing w:after="0" w:line="263" w:lineRule="auto"/>
        <w:tabs>
          <w:tab w:leader="none" w:pos="66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event Employee’s Continuous Employment is terminated prior to the Settlement Date on account of Employee’s death or Disability (as defined in Section 2.15 of the Plan), and if Employee had otherwise met the requirements of Continuous Employment, Non-competition and No Improper Conduct from the Grant Date through the date of such death or Disability, then, immediately upon such termination of employment due to death or Disability, a portion of Employee’s RSUs granted hereunder equal to the total number of RSUs awarded under this Agreement multiplied by a fraction (in no event greater than 1), the numerator of which is the days between the beginning of the Performance Period and the date of such termination, and the denominator of which is the total number of days in the Performance Period, shall vest and be settled in accordance with paragraph 4, with the date of death or Disability deemed to be the Settlement Date for purposes of such paragraph, assuming the target level of performance set forth on Appendix A had been achieved. In the case of Employee’s death, Employee’s rights hereunder with respect to any such RSUs that vest shall inure to the benefit of Employee’s executors, administrators, personal representatives and assigns. The RSUs that do not vest in accordance with this paragraph shall be immediately forfeited upon such termination due to death or Disability.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944" w:right="339" w:bottom="1440" w:gutter="0" w:footer="0" w:header="0"/>
        </w:sectPr>
      </w:pPr>
    </w:p>
    <w:bookmarkStart w:id="156" w:name="page157"/>
    <w:bookmarkEnd w:id="156"/>
    <w:p>
      <w:pPr>
        <w:ind w:left="740" w:right="20" w:hanging="292"/>
        <w:spacing w:after="0" w:line="283" w:lineRule="auto"/>
        <w:tabs>
          <w:tab w:leader="none" w:pos="676"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 the event Employee’s Continuous Employment is terminated prior to the Settlement Date on account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 portion of Employee’s unvested RSUs equal to the total number of RSUs awarded under this Agreement multiplied by a fraction (in no event greater than 1), the numerator of which is the days between the beginning of the Performance Period and the date of Retirement inclusive, and the denominator of which is the total number of days in the Performance Period, shall continue in the same manner as if Employee continued to meet the Continuous Employment requirement through the Settlement Date (and, as such, shall remain contingent upon achievement of the performance criteria set forth in Appendix A), and the remaining unvested RSUs shall be immediately forfeited upon such Retirement. For purposes of this Agreement, “Retirement” shall mean termination of employment on account of retiring with the specific approval of the Committee on or after such date on which Employee has attained age 55 and completed ten (10) Years of Service.</w:t>
      </w:r>
    </w:p>
    <w:p>
      <w:pPr>
        <w:spacing w:after="0" w:line="181" w:lineRule="exact"/>
        <w:rPr>
          <w:rFonts w:ascii="Arial" w:cs="Arial" w:eastAsia="Arial" w:hAnsi="Arial"/>
          <w:sz w:val="15"/>
          <w:szCs w:val="15"/>
          <w:color w:val="auto"/>
        </w:rPr>
      </w:pPr>
    </w:p>
    <w:p>
      <w:pPr>
        <w:ind w:left="740" w:right="340" w:hanging="292"/>
        <w:spacing w:after="0" w:line="264" w:lineRule="auto"/>
        <w:tabs>
          <w:tab w:leader="none" w:pos="667"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Employee’s Continuous Employment is terminated prior to the Settlement Date for any reason other than those specified in (a) and (b) above, Employee shall immediately forfeit all of the RSUs granted hereunder.</w:t>
      </w:r>
    </w:p>
    <w:p>
      <w:pPr>
        <w:spacing w:after="0" w:line="192" w:lineRule="exact"/>
        <w:rPr>
          <w:rFonts w:ascii="Arial" w:cs="Arial" w:eastAsia="Arial" w:hAnsi="Arial"/>
          <w:sz w:val="17"/>
          <w:szCs w:val="17"/>
          <w:color w:val="auto"/>
        </w:rPr>
      </w:pPr>
    </w:p>
    <w:p>
      <w:pPr>
        <w:ind w:left="740" w:right="40" w:hanging="292"/>
        <w:spacing w:after="0" w:line="248" w:lineRule="auto"/>
        <w:tabs>
          <w:tab w:leader="none" w:pos="676" w:val="left"/>
        </w:tabs>
        <w:numPr>
          <w:ilvl w:val="0"/>
          <w:numId w:val="77"/>
        </w:numPr>
        <w:rPr>
          <w:rFonts w:ascii="Arial" w:cs="Arial" w:eastAsia="Arial" w:hAnsi="Arial"/>
          <w:sz w:val="17"/>
          <w:szCs w:val="17"/>
          <w:color w:val="auto"/>
        </w:rPr>
      </w:pPr>
      <w:r>
        <w:rPr>
          <w:rFonts w:ascii="Arial" w:cs="Arial" w:eastAsia="Arial" w:hAnsi="Arial"/>
          <w:sz w:val="17"/>
          <w:szCs w:val="17"/>
          <w:color w:val="auto"/>
        </w:rPr>
        <w:t>) In the event Employee’s employment or service with the Company and its Subsidiaries terminates as the result of a Divestiture, defined as either (i) the disposition by the Company or a Subsidiary of all or a portion of the assets used by the Company or Subsidiary in a trade or business, for which the participant works, to an unrelated corporation or entity and which results in the participant ceasing to be employed by the Company or a Subsidiary or (ii) the disposition by the Company of its equity interest in a Subsidiary that employs the participant to an unrelated individual or entity (which, for the avoidance of doubt, excludes a spin-off or split-off or similar transaction), provided that such Subsidiary ceases to be controlled by the Company as a result of such disposition. then:</w:t>
      </w:r>
    </w:p>
    <w:p>
      <w:pPr>
        <w:spacing w:after="0" w:line="82" w:lineRule="exact"/>
        <w:rPr>
          <w:rFonts w:ascii="Arial" w:cs="Arial" w:eastAsia="Arial" w:hAnsi="Arial"/>
          <w:sz w:val="17"/>
          <w:szCs w:val="17"/>
          <w:color w:val="auto"/>
        </w:rPr>
      </w:pPr>
    </w:p>
    <w:p>
      <w:pPr>
        <w:ind w:left="1200" w:right="20" w:hanging="6"/>
        <w:spacing w:after="0" w:line="264" w:lineRule="auto"/>
        <w:tabs>
          <w:tab w:leader="none" w:pos="1398"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unvested or unexercisable SARs shall be deemed fully vested and exercisable as of the Divestiture, and shall remain outstanding until the earlier of the end of their original term and twelve months following the Divestiture;</w:t>
      </w:r>
    </w:p>
    <w:p>
      <w:pPr>
        <w:spacing w:after="0" w:line="192" w:lineRule="exact"/>
        <w:rPr>
          <w:rFonts w:ascii="Arial" w:cs="Arial" w:eastAsia="Arial" w:hAnsi="Arial"/>
          <w:sz w:val="17"/>
          <w:szCs w:val="17"/>
          <w:color w:val="auto"/>
        </w:rPr>
      </w:pPr>
    </w:p>
    <w:p>
      <w:pPr>
        <w:ind w:left="1440" w:hanging="246"/>
        <w:spacing w:after="0"/>
        <w:tabs>
          <w:tab w:leader="none" w:pos="1440" w:val="left"/>
        </w:tabs>
        <w:numPr>
          <w:ilvl w:val="1"/>
          <w:numId w:val="77"/>
        </w:numPr>
        <w:rPr>
          <w:rFonts w:ascii="Arial" w:cs="Arial" w:eastAsia="Arial" w:hAnsi="Arial"/>
          <w:sz w:val="15"/>
          <w:szCs w:val="15"/>
          <w:color w:val="auto"/>
        </w:rPr>
      </w:pPr>
      <w:r>
        <w:rPr>
          <w:rFonts w:ascii="Arial" w:cs="Arial" w:eastAsia="Arial" w:hAnsi="Arial"/>
          <w:sz w:val="15"/>
          <w:szCs w:val="15"/>
          <w:color w:val="auto"/>
        </w:rPr>
        <w:t>All unvested RSUs shall be deemed fully vested as of the Divestiture, but shall be settled (in shares of the Company’s common stock or cash, as</w:t>
      </w:r>
    </w:p>
    <w:p>
      <w:pPr>
        <w:spacing w:after="0" w:line="39" w:lineRule="exact"/>
        <w:rPr>
          <w:rFonts w:ascii="Arial" w:cs="Arial" w:eastAsia="Arial" w:hAnsi="Arial"/>
          <w:sz w:val="15"/>
          <w:szCs w:val="15"/>
          <w:color w:val="auto"/>
        </w:rPr>
      </w:pPr>
    </w:p>
    <w:p>
      <w:pPr>
        <w:ind w:left="1200"/>
        <w:spacing w:after="0" w:line="261" w:lineRule="auto"/>
        <w:rPr>
          <w:rFonts w:ascii="Arial" w:cs="Arial" w:eastAsia="Arial" w:hAnsi="Arial"/>
          <w:sz w:val="15"/>
          <w:szCs w:val="15"/>
          <w:color w:val="auto"/>
        </w:rPr>
      </w:pPr>
      <w:r>
        <w:rPr>
          <w:rFonts w:ascii="Arial" w:cs="Arial" w:eastAsia="Arial" w:hAnsi="Arial"/>
          <w:sz w:val="16"/>
          <w:szCs w:val="16"/>
          <w:color w:val="auto"/>
        </w:rPr>
        <w:t>provided for in the participant’s award agreement) at the same time(s) the RSUs would otherwise have been settled had no Divestiture occurred and the participant remained in the employment or service of the Company through the applicable vesting and payment dates under the award. Notwithstanding the foregoing, in lieu of the foregoing, the Company may, in its discretion, “terminate and liquidate” the RSUs in accordance with Treas. Reg. Section 1.409A-3(j)(4)(ix) (provided that the Divestiture would be a “change in control event” with respect to the participant’s employer under Treas. Reg. Section 1.409A-3(i)(5) pursuant to an irrevocable action taken within 30 days preceding or 12 months following the Divestiture, provided that the Company (i) terminates and liquidates all plans and agreements that are treated as being aggregated with the RSUs under Treas. Reg. Section 1.409A-1(c)(2) with respect to all divested participants, (ii) settles the RSUs within 12 months of the date the Company takes such irrevocable action, and (iii) otherwise complies with the requirements of Code Section 409A. The Chief Executive Officer of the Company shall have the authority to exercise the Company’s discretion to terminate and liquidate the RSUs, provided that if any divested participant is an executive officer of the Company, then only the Committee shall have such authority.</w:t>
      </w:r>
    </w:p>
    <w:p>
      <w:pPr>
        <w:spacing w:after="0" w:line="196" w:lineRule="exact"/>
        <w:rPr>
          <w:rFonts w:ascii="Arial" w:cs="Arial" w:eastAsia="Arial" w:hAnsi="Arial"/>
          <w:sz w:val="15"/>
          <w:szCs w:val="15"/>
          <w:color w:val="auto"/>
        </w:rPr>
      </w:pPr>
    </w:p>
    <w:p>
      <w:pPr>
        <w:ind w:left="1200" w:right="140" w:hanging="6"/>
        <w:spacing w:after="0" w:line="278" w:lineRule="auto"/>
        <w:tabs>
          <w:tab w:leader="none" w:pos="1475" w:val="left"/>
        </w:tabs>
        <w:numPr>
          <w:ilvl w:val="1"/>
          <w:numId w:val="77"/>
        </w:numPr>
        <w:rPr>
          <w:rFonts w:ascii="Arial" w:cs="Arial" w:eastAsia="Arial" w:hAnsi="Arial"/>
          <w:sz w:val="15"/>
          <w:szCs w:val="15"/>
          <w:color w:val="auto"/>
        </w:rPr>
      </w:pPr>
      <w:r>
        <w:rPr>
          <w:rFonts w:ascii="Arial" w:cs="Arial" w:eastAsia="Arial" w:hAnsi="Arial"/>
          <w:sz w:val="15"/>
          <w:szCs w:val="15"/>
          <w:color w:val="auto"/>
        </w:rPr>
        <w:t>All unvested PSUs for which the performance period has not been completed as of the Divestiture shall be deemed vested upon the Divestiture assuming target performance goals were achieved, and unvested PSUs for which the performance period has been completed as of the Divestiture shall vest upon the Divestiture based on actual performance results, and all such PSUs shall be settled (in shares of the Company’s common stock or cash, as provided for in the participant’s award agreement) as soon as reasonably practicable following the Divestiture.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Except as set forth in paragraph 8(a) above, no other transfer of rights with respect to RSUs shall be permitted pursuant to this Agreement.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724" w:right="339" w:bottom="1440" w:gutter="0" w:footer="0" w:header="0"/>
        </w:sectPr>
      </w:pPr>
    </w:p>
    <w:bookmarkStart w:id="157" w:name="page158"/>
    <w:bookmarkEnd w:id="157"/>
    <w:p>
      <w:pPr>
        <w:ind w:firstLine="489"/>
        <w:spacing w:after="0" w:line="263" w:lineRule="auto"/>
        <w:tabs>
          <w:tab w:leader="none" w:pos="655" w:val="left"/>
        </w:tabs>
        <w:numPr>
          <w:ilvl w:val="2"/>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Non-Solicitation. </w:t>
      </w:r>
      <w:r>
        <w:rPr>
          <w:rFonts w:ascii="Arial" w:cs="Arial" w:eastAsia="Arial" w:hAnsi="Arial"/>
          <w:sz w:val="16"/>
          <w:szCs w:val="16"/>
          <w:color w:val="auto"/>
        </w:rPr>
        <w:t>In consideration of good and valuable consideration in the form of the RSUs granted herein to which Employee is not otherwise entitled,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and in recognition of the Company’s and its Subsidiary’s legitimate purpose of avoiding for limited times competition from persons whom the Company or its Subsidiary has trained and/or given experience,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a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66" w:lineRule="exact"/>
        <w:rPr>
          <w:rFonts w:ascii="Arial" w:cs="Arial" w:eastAsia="Arial" w:hAnsi="Arial"/>
          <w:sz w:val="16"/>
          <w:szCs w:val="16"/>
          <w:color w:val="auto"/>
        </w:rPr>
      </w:pPr>
    </w:p>
    <w:p>
      <w:pPr>
        <w:ind w:right="160" w:firstLine="488"/>
        <w:spacing w:after="0" w:line="256" w:lineRule="auto"/>
        <w:tabs>
          <w:tab w:leader="none" w:pos="737" w:val="left"/>
        </w:tabs>
        <w:numPr>
          <w:ilvl w:val="2"/>
          <w:numId w:val="78"/>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The transfer of Common Shares on the Settlement Date, pursuant to paragraphs 4, 6 and 8 above, shall be subject to the further condition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provide for the withholding of any taxes required by federal, state, or local law in respect of the Settlement Date by reducing the number of RSUs to be transferred to the Account or by such other manner as the Committee shall determine in its discretion.</w:t>
      </w:r>
    </w:p>
    <w:p>
      <w:pPr>
        <w:spacing w:after="0" w:line="71" w:lineRule="exact"/>
        <w:rPr>
          <w:rFonts w:ascii="Arial" w:cs="Arial" w:eastAsia="Arial" w:hAnsi="Arial"/>
          <w:sz w:val="17"/>
          <w:szCs w:val="17"/>
          <w:color w:val="auto"/>
        </w:rPr>
      </w:pPr>
    </w:p>
    <w:p>
      <w:pPr>
        <w:ind w:right="100" w:firstLine="489"/>
        <w:spacing w:after="0" w:line="266" w:lineRule="auto"/>
        <w:tabs>
          <w:tab w:leader="none" w:pos="732" w:val="left"/>
        </w:tabs>
        <w:numPr>
          <w:ilvl w:val="2"/>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Settlement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94" w:lineRule="exact"/>
        <w:rPr>
          <w:rFonts w:ascii="Arial" w:cs="Arial" w:eastAsia="Arial" w:hAnsi="Arial"/>
          <w:sz w:val="16"/>
          <w:szCs w:val="16"/>
          <w:color w:val="auto"/>
        </w:rPr>
      </w:pPr>
    </w:p>
    <w:p>
      <w:pPr>
        <w:ind w:left="680" w:right="40" w:hanging="307"/>
        <w:spacing w:after="0" w:line="264" w:lineRule="auto"/>
        <w:tabs>
          <w:tab w:leader="none" w:pos="607" w:val="left"/>
        </w:tabs>
        <w:numPr>
          <w:ilvl w:val="0"/>
          <w:numId w:val="79"/>
        </w:numPr>
        <w:rPr>
          <w:rFonts w:ascii="Arial" w:cs="Arial" w:eastAsia="Arial" w:hAnsi="Arial"/>
          <w:sz w:val="17"/>
          <w:szCs w:val="17"/>
          <w:color w:val="auto"/>
        </w:rPr>
      </w:pPr>
      <w:r>
        <w:rPr>
          <w:rFonts w:ascii="Arial" w:cs="Arial" w:eastAsia="Arial" w:hAnsi="Arial"/>
          <w:sz w:val="17"/>
          <w:szCs w:val="17"/>
          <w:color w:val="auto"/>
        </w:rPr>
        <w:t>from this Agreement, investor questionnaires or other forms that Employee submits to the Company or a Subsidiary or contracts that Employee enters into with the Company or a Subsidiary;</w:t>
      </w:r>
    </w:p>
    <w:p>
      <w:pPr>
        <w:spacing w:after="0" w:line="192" w:lineRule="exact"/>
        <w:rPr>
          <w:rFonts w:ascii="Arial" w:cs="Arial" w:eastAsia="Arial" w:hAnsi="Arial"/>
          <w:sz w:val="17"/>
          <w:szCs w:val="17"/>
          <w:color w:val="auto"/>
        </w:rPr>
      </w:pPr>
    </w:p>
    <w:p>
      <w:pPr>
        <w:ind w:left="620" w:hanging="226"/>
        <w:spacing w:after="0"/>
        <w:tabs>
          <w:tab w:leader="none" w:pos="6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from Employee’s transactions with the Company, the Company’s affiliates and service providers;</w:t>
      </w:r>
    </w:p>
    <w:p>
      <w:pPr>
        <w:spacing w:after="0" w:line="227" w:lineRule="exact"/>
        <w:rPr>
          <w:rFonts w:ascii="Arial" w:cs="Arial" w:eastAsia="Arial" w:hAnsi="Arial"/>
          <w:sz w:val="17"/>
          <w:szCs w:val="17"/>
          <w:color w:val="auto"/>
        </w:rPr>
      </w:pPr>
    </w:p>
    <w:p>
      <w:pPr>
        <w:ind w:left="640" w:hanging="229"/>
        <w:spacing w:after="0"/>
        <w:tabs>
          <w:tab w:leader="none" w:pos="640" w:val="left"/>
        </w:tabs>
        <w:numPr>
          <w:ilvl w:val="1"/>
          <w:numId w:val="79"/>
        </w:numPr>
        <w:rPr>
          <w:rFonts w:ascii="Arial" w:cs="Arial" w:eastAsia="Arial" w:hAnsi="Arial"/>
          <w:sz w:val="17"/>
          <w:szCs w:val="17"/>
          <w:color w:val="auto"/>
        </w:rPr>
      </w:pPr>
      <w:r>
        <w:rPr>
          <w:rFonts w:ascii="Arial" w:cs="Arial" w:eastAsia="Arial" w:hAnsi="Arial"/>
          <w:sz w:val="17"/>
          <w:szCs w:val="17"/>
          <w:color w:val="auto"/>
        </w:rPr>
        <w:t>from Employee’s employment records with the Company or a Subsidiary; and</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 from meetings, telephone conversations and other communications with Employee.</w:t>
      </w:r>
    </w:p>
    <w:p>
      <w:pPr>
        <w:spacing w:after="0" w:line="103" w:lineRule="exact"/>
        <w:rPr>
          <w:sz w:val="20"/>
          <w:szCs w:val="20"/>
          <w:color w:val="auto"/>
        </w:rPr>
      </w:pPr>
    </w:p>
    <w:p>
      <w:pPr>
        <w:ind w:right="580" w:firstLine="506"/>
        <w:spacing w:after="0" w:line="331" w:lineRule="auto"/>
        <w:rPr>
          <w:sz w:val="20"/>
          <w:szCs w:val="20"/>
          <w:color w:val="auto"/>
        </w:rPr>
      </w:pPr>
      <w:r>
        <w:rPr>
          <w:rFonts w:ascii="Arial" w:cs="Arial" w:eastAsia="Arial" w:hAnsi="Arial"/>
          <w:sz w:val="15"/>
          <w:szCs w:val="15"/>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22" w:lineRule="exact"/>
        <w:rPr>
          <w:sz w:val="20"/>
          <w:szCs w:val="20"/>
          <w:color w:val="auto"/>
        </w:rPr>
      </w:pPr>
    </w:p>
    <w:p>
      <w:pPr>
        <w:ind w:left="640" w:hanging="229"/>
        <w:spacing w:after="0"/>
        <w:tabs>
          <w:tab w:leader="none" w:pos="640" w:val="left"/>
        </w:tabs>
        <w:numPr>
          <w:ilvl w:val="1"/>
          <w:numId w:val="80"/>
        </w:numPr>
        <w:rPr>
          <w:rFonts w:ascii="Arial" w:cs="Arial" w:eastAsia="Arial" w:hAnsi="Arial"/>
          <w:sz w:val="15"/>
          <w:szCs w:val="15"/>
          <w:color w:val="auto"/>
        </w:rPr>
      </w:pPr>
      <w:r>
        <w:rPr>
          <w:rFonts w:ascii="Arial" w:cs="Arial" w:eastAsia="Arial" w:hAnsi="Arial"/>
          <w:sz w:val="15"/>
          <w:szCs w:val="15"/>
          <w:color w:val="auto"/>
        </w:rPr>
        <w:t>financial service providers, such as broker-dealers, custodians, banks and others used to finance or facilitate transactions by, or operations of, the Plan;</w:t>
      </w:r>
    </w:p>
    <w:p>
      <w:pPr>
        <w:spacing w:after="0" w:line="250" w:lineRule="exact"/>
        <w:rPr>
          <w:rFonts w:ascii="Arial" w:cs="Arial" w:eastAsia="Arial" w:hAnsi="Arial"/>
          <w:sz w:val="15"/>
          <w:szCs w:val="15"/>
          <w:color w:val="auto"/>
        </w:rPr>
      </w:pPr>
    </w:p>
    <w:p>
      <w:pPr>
        <w:ind w:left="640" w:hanging="229"/>
        <w:spacing w:after="0"/>
        <w:tabs>
          <w:tab w:leader="none" w:pos="6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other service providers to the Plan, such as accounting, legal, or tax preparation services;</w:t>
      </w:r>
    </w:p>
    <w:p>
      <w:pPr>
        <w:spacing w:after="0" w:line="103" w:lineRule="exact"/>
        <w:rPr>
          <w:rFonts w:ascii="Arial" w:cs="Arial" w:eastAsia="Arial" w:hAnsi="Arial"/>
          <w:sz w:val="17"/>
          <w:szCs w:val="17"/>
          <w:color w:val="auto"/>
        </w:rPr>
      </w:pPr>
    </w:p>
    <w:p>
      <w:pPr>
        <w:ind w:left="640" w:hanging="229"/>
        <w:spacing w:after="0"/>
        <w:tabs>
          <w:tab w:leader="none" w:pos="6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regulatory authorities; and</w:t>
      </w:r>
    </w:p>
    <w:p>
      <w:pPr>
        <w:spacing w:after="0" w:line="103" w:lineRule="exact"/>
        <w:rPr>
          <w:rFonts w:ascii="Arial" w:cs="Arial" w:eastAsia="Arial" w:hAnsi="Arial"/>
          <w:sz w:val="17"/>
          <w:szCs w:val="17"/>
          <w:color w:val="auto"/>
        </w:rPr>
      </w:pPr>
    </w:p>
    <w:p>
      <w:pPr>
        <w:ind w:left="600" w:hanging="227"/>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transfer agents, portfolio companies, brokerage firms and the like, in connection with distributions to Plan participants.</w:t>
      </w:r>
    </w:p>
    <w:p>
      <w:pPr>
        <w:spacing w:after="0" w:line="103" w:lineRule="exact"/>
        <w:rPr>
          <w:sz w:val="20"/>
          <w:szCs w:val="20"/>
          <w:color w:val="auto"/>
        </w:rPr>
      </w:pPr>
    </w:p>
    <w:p>
      <w:pPr>
        <w:ind w:firstLine="506"/>
        <w:spacing w:after="0" w:line="264" w:lineRule="auto"/>
        <w:rPr>
          <w:sz w:val="20"/>
          <w:szCs w:val="20"/>
          <w:color w:val="auto"/>
        </w:rPr>
      </w:pPr>
      <w:r>
        <w:rPr>
          <w:rFonts w:ascii="Arial" w:cs="Arial" w:eastAsia="Arial" w:hAnsi="Arial"/>
          <w:sz w:val="17"/>
          <w:szCs w:val="17"/>
          <w:color w:val="auto"/>
        </w:rPr>
        <w:t>Where Employee’s personal information is provided to such third parties, the Company requires (to the extent permitted by applicable law) that such parties agree to process Employee’s personal information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720" w:right="3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color w:val="auto"/>
        </w:rPr>
        <w:t>the Company’s instructions.</w:t>
      </w:r>
    </w:p>
    <w:p>
      <w:pPr>
        <w:spacing w:after="0" w:line="153" w:lineRule="exact"/>
        <w:rPr>
          <w:sz w:val="20"/>
          <w:szCs w:val="20"/>
          <w:color w:val="auto"/>
        </w:rPr>
      </w:pPr>
    </w:p>
    <w:p>
      <w:pPr>
        <w:ind w:firstLine="506"/>
        <w:spacing w:after="0" w:line="283" w:lineRule="auto"/>
        <w:rPr>
          <w:sz w:val="20"/>
          <w:szCs w:val="20"/>
          <w:color w:val="auto"/>
        </w:rPr>
      </w:pPr>
      <w:r>
        <w:rPr>
          <w:rFonts w:ascii="Arial" w:cs="Arial" w:eastAsia="Arial" w:hAnsi="Arial"/>
          <w:sz w:val="15"/>
          <w:szCs w:val="15"/>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07" w:lineRule="exact"/>
        <w:rPr>
          <w:sz w:val="20"/>
          <w:szCs w:val="20"/>
          <w:color w:val="auto"/>
        </w:rPr>
      </w:pPr>
    </w:p>
    <w:p>
      <w:pPr>
        <w:ind w:right="20" w:firstLine="505"/>
        <w:spacing w:after="0" w:line="248" w:lineRule="auto"/>
        <w:tabs>
          <w:tab w:leader="none" w:pos="755"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the Plan are not guaranteed. The grant of this Award is a one-time benefit and does not create any contractual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29" w:lineRule="exact"/>
        <w:rPr>
          <w:rFonts w:ascii="Arial" w:cs="Arial" w:eastAsia="Arial" w:hAnsi="Arial"/>
          <w:sz w:val="17"/>
          <w:szCs w:val="17"/>
          <w:color w:val="auto"/>
        </w:rPr>
      </w:pPr>
    </w:p>
    <w:p>
      <w:pPr>
        <w:ind w:firstLine="505"/>
        <w:spacing w:after="0" w:line="372" w:lineRule="auto"/>
        <w:tabs>
          <w:tab w:leader="none" w:pos="755"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 xml:space="preserve">Recapitalization, Reorganization, Unusual Events. </w:t>
      </w:r>
      <w:r>
        <w:rPr>
          <w:rFonts w:ascii="Arial" w:cs="Arial" w:eastAsia="Arial" w:hAnsi="Arial"/>
          <w:sz w:val="13"/>
          <w:szCs w:val="13"/>
          <w:color w:val="auto"/>
        </w:rPr>
        <w:t>Certain events affecting the Common Shares of the Company and mergers, consolidations and</w:t>
      </w:r>
      <w:r>
        <w:rPr>
          <w:rFonts w:ascii="Arial" w:cs="Arial" w:eastAsia="Arial" w:hAnsi="Arial"/>
          <w:sz w:val="13"/>
          <w:szCs w:val="13"/>
          <w:b w:val="1"/>
          <w:bCs w:val="1"/>
          <w:color w:val="auto"/>
        </w:rPr>
        <w:t xml:space="preserve"> </w:t>
      </w:r>
      <w:r>
        <w:rPr>
          <w:rFonts w:ascii="Arial" w:cs="Arial" w:eastAsia="Arial" w:hAnsi="Arial"/>
          <w:sz w:val="13"/>
          <w:szCs w:val="13"/>
          <w:color w:val="auto"/>
        </w:rPr>
        <w:t>reorganizations 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51" w:lineRule="exact"/>
        <w:rPr>
          <w:rFonts w:ascii="Arial" w:cs="Arial" w:eastAsia="Arial" w:hAnsi="Arial"/>
          <w:sz w:val="13"/>
          <w:szCs w:val="13"/>
          <w:color w:val="auto"/>
        </w:rPr>
      </w:pPr>
    </w:p>
    <w:p>
      <w:pPr>
        <w:ind w:right="300" w:firstLine="505"/>
        <w:spacing w:after="0" w:line="292" w:lineRule="auto"/>
        <w:tabs>
          <w:tab w:leader="none" w:pos="754" w:val="left"/>
        </w:tabs>
        <w:numPr>
          <w:ilvl w:val="0"/>
          <w:numId w:val="82"/>
        </w:numPr>
        <w:rPr>
          <w:rFonts w:ascii="Arial" w:cs="Arial" w:eastAsia="Arial" w:hAnsi="Arial"/>
          <w:sz w:val="15"/>
          <w:szCs w:val="15"/>
          <w:color w:val="auto"/>
        </w:rPr>
      </w:pPr>
      <w:r>
        <w:rPr>
          <w:rFonts w:ascii="Arial" w:cs="Arial" w:eastAsia="Arial" w:hAnsi="Arial"/>
          <w:sz w:val="15"/>
          <w:szCs w:val="15"/>
          <w:b w:val="1"/>
          <w:bCs w:val="1"/>
          <w:color w:val="auto"/>
        </w:rPr>
        <w:t>Amendment of this Agreement</w:t>
      </w:r>
      <w:r>
        <w:rPr>
          <w:rFonts w:ascii="Arial" w:cs="Arial" w:eastAsia="Arial" w:hAnsi="Arial"/>
          <w:sz w:val="15"/>
          <w:szCs w:val="15"/>
          <w:color w:val="auto"/>
        </w:rPr>
        <w:t>. The Board of Directors may at any time amend, suspend or terminate the Plan; provided, however, that no amendment,</w:t>
      </w:r>
      <w:r>
        <w:rPr>
          <w:rFonts w:ascii="Arial" w:cs="Arial" w:eastAsia="Arial" w:hAnsi="Arial"/>
          <w:sz w:val="15"/>
          <w:szCs w:val="15"/>
          <w:b w:val="1"/>
          <w:bCs w:val="1"/>
          <w:color w:val="auto"/>
        </w:rPr>
        <w:t xml:space="preserve"> </w:t>
      </w:r>
      <w:r>
        <w:rPr>
          <w:rFonts w:ascii="Arial" w:cs="Arial" w:eastAsia="Arial" w:hAnsi="Arial"/>
          <w:sz w:val="15"/>
          <w:szCs w:val="15"/>
          <w:color w:val="auto"/>
        </w:rPr>
        <w:t>suspension or termination of the Plan or the Award shall adversely affect the Award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95" w:lineRule="exact"/>
        <w:rPr>
          <w:rFonts w:ascii="Arial" w:cs="Arial" w:eastAsia="Arial" w:hAnsi="Arial"/>
          <w:sz w:val="15"/>
          <w:szCs w:val="15"/>
          <w:color w:val="auto"/>
        </w:rPr>
      </w:pPr>
    </w:p>
    <w:p>
      <w:pPr>
        <w:ind w:right="220" w:firstLine="505"/>
        <w:spacing w:after="0" w:line="307" w:lineRule="auto"/>
        <w:tabs>
          <w:tab w:leader="none" w:pos="755" w:val="left"/>
        </w:tabs>
        <w:numPr>
          <w:ilvl w:val="0"/>
          <w:numId w:val="82"/>
        </w:numPr>
        <w:rPr>
          <w:rFonts w:ascii="Arial" w:cs="Arial" w:eastAsia="Arial" w:hAnsi="Arial"/>
          <w:sz w:val="15"/>
          <w:szCs w:val="15"/>
          <w:color w:val="auto"/>
        </w:rPr>
      </w:pPr>
      <w:r>
        <w:rPr>
          <w:rFonts w:ascii="Arial" w:cs="Arial" w:eastAsia="Arial" w:hAnsi="Arial"/>
          <w:sz w:val="15"/>
          <w:szCs w:val="15"/>
          <w:b w:val="1"/>
          <w:bCs w:val="1"/>
          <w:color w:val="auto"/>
        </w:rPr>
        <w:t xml:space="preserve">Notices. </w:t>
      </w:r>
      <w:r>
        <w:rPr>
          <w:rFonts w:ascii="Arial" w:cs="Arial" w:eastAsia="Arial" w:hAnsi="Arial"/>
          <w:sz w:val="15"/>
          <w:szCs w:val="15"/>
          <w:color w:val="auto"/>
        </w:rPr>
        <w:t>Notices hereunder shall be in writing, and if to the Company, may be delivered personally to the Compensation Department or such other party as</w:t>
      </w:r>
      <w:r>
        <w:rPr>
          <w:rFonts w:ascii="Arial" w:cs="Arial" w:eastAsia="Arial" w:hAnsi="Arial"/>
          <w:sz w:val="15"/>
          <w:szCs w:val="15"/>
          <w:b w:val="1"/>
          <w:bCs w:val="1"/>
          <w:color w:val="auto"/>
        </w:rPr>
        <w:t xml:space="preserve"> </w:t>
      </w:r>
      <w:r>
        <w:rPr>
          <w:rFonts w:ascii="Arial" w:cs="Arial" w:eastAsia="Arial" w:hAnsi="Arial"/>
          <w:sz w:val="15"/>
          <w:szCs w:val="15"/>
          <w:color w:val="auto"/>
        </w:rPr>
        <w:t>designated by the Company or mailed to its principal office at 6649 Westwood Boulevard, Orlando, Florida 32821, addressed to the attention of the Vice President, Global Talent Management, and if to Employee, may be delivered personally or mailed to Employee at his or her address on the records of the Company.</w:t>
      </w:r>
    </w:p>
    <w:p>
      <w:pPr>
        <w:spacing w:after="0" w:line="84" w:lineRule="exact"/>
        <w:rPr>
          <w:rFonts w:ascii="Arial" w:cs="Arial" w:eastAsia="Arial" w:hAnsi="Arial"/>
          <w:sz w:val="15"/>
          <w:szCs w:val="15"/>
          <w:color w:val="auto"/>
        </w:rPr>
      </w:pPr>
    </w:p>
    <w:p>
      <w:pPr>
        <w:ind w:right="140" w:firstLine="505"/>
        <w:spacing w:after="0" w:line="269" w:lineRule="auto"/>
        <w:tabs>
          <w:tab w:leader="none" w:pos="755"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bind and inure to the benefit of the parties hereto and the successors and assigns of the Company and,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provided in paragraph 8(a) above and in the Plan, to the personal representatives, legatees and heirs of Employee.</w:t>
      </w:r>
    </w:p>
    <w:p>
      <w:pPr>
        <w:spacing w:after="0" w:line="109" w:lineRule="exact"/>
        <w:rPr>
          <w:rFonts w:ascii="Arial" w:cs="Arial" w:eastAsia="Arial" w:hAnsi="Arial"/>
          <w:sz w:val="17"/>
          <w:szCs w:val="17"/>
          <w:color w:val="auto"/>
        </w:rPr>
      </w:pPr>
    </w:p>
    <w:p>
      <w:pPr>
        <w:ind w:right="520" w:firstLine="505"/>
        <w:spacing w:after="0" w:line="426" w:lineRule="auto"/>
        <w:tabs>
          <w:tab w:leader="none" w:pos="755"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No Effect on Employment</w:t>
      </w:r>
      <w:r>
        <w:rPr>
          <w:rFonts w:ascii="Arial" w:cs="Arial" w:eastAsia="Arial" w:hAnsi="Arial"/>
          <w:sz w:val="13"/>
          <w:szCs w:val="13"/>
          <w:color w:val="auto"/>
        </w:rPr>
        <w:t>. This agreement is not a contract of employment or otherwise a limitation on the right of the Company to terminate the</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of Employee or to increase or decrease Employee’s compensation from the rate of compensation in existence at the time this Agreement is executed.</w:t>
      </w:r>
    </w:p>
    <w:p>
      <w:pPr>
        <w:spacing w:after="0" w:line="17" w:lineRule="exact"/>
        <w:rPr>
          <w:sz w:val="20"/>
          <w:szCs w:val="20"/>
          <w:color w:val="auto"/>
        </w:rPr>
      </w:pPr>
    </w:p>
    <w:p>
      <w:pPr>
        <w:ind w:right="200" w:firstLine="506"/>
        <w:spacing w:after="0" w:line="256" w:lineRule="auto"/>
        <w:rPr>
          <w:sz w:val="20"/>
          <w:szCs w:val="20"/>
          <w:color w:val="auto"/>
        </w:rPr>
      </w:pPr>
      <w:r>
        <w:rPr>
          <w:rFonts w:ascii="Arial" w:cs="Arial" w:eastAsia="Arial" w:hAnsi="Arial"/>
          <w:sz w:val="17"/>
          <w:szCs w:val="17"/>
          <w:color w:val="auto"/>
        </w:rPr>
        <w:t>18</w:t>
      </w:r>
      <w:r>
        <w:rPr>
          <w:rFonts w:ascii="Arial" w:cs="Arial" w:eastAsia="Arial" w:hAnsi="Arial"/>
          <w:sz w:val="17"/>
          <w:szCs w:val="17"/>
          <w:b w:val="1"/>
          <w:bCs w:val="1"/>
          <w:color w:val="auto"/>
        </w:rPr>
        <w:t>. Additional (Non-U.S.) Terms and Conditions.</w:t>
      </w:r>
      <w:r>
        <w:rPr>
          <w:rFonts w:ascii="Arial" w:cs="Arial" w:eastAsia="Arial" w:hAnsi="Arial"/>
          <w:sz w:val="17"/>
          <w:szCs w:val="17"/>
          <w:color w:val="auto"/>
        </w:rPr>
        <w:t xml:space="preserve">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24" w:right="339" w:bottom="1440" w:gutter="0" w:footer="0" w:header="0"/>
        </w:sectPr>
      </w:pPr>
    </w:p>
    <w:bookmarkStart w:id="159" w:name="page160"/>
    <w:bookmarkEnd w:id="159"/>
    <w:p>
      <w:pPr>
        <w:ind w:right="140" w:firstLine="505"/>
        <w:spacing w:after="0" w:line="256" w:lineRule="auto"/>
        <w:tabs>
          <w:tab w:leader="none" w:pos="755"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Clawback Policy. </w:t>
      </w:r>
      <w:r>
        <w:rPr>
          <w:rFonts w:ascii="Arial" w:cs="Arial" w:eastAsia="Arial" w:hAnsi="Arial"/>
          <w:sz w:val="17"/>
          <w:szCs w:val="17"/>
          <w:color w:val="auto"/>
        </w:rPr>
        <w:t>RSUs awarded under this Agreement, as well as any Common Shares issued with respect to such RSUs, shall be subject to the Clawback</w:t>
      </w:r>
      <w:r>
        <w:rPr>
          <w:rFonts w:ascii="Arial" w:cs="Arial" w:eastAsia="Arial" w:hAnsi="Arial"/>
          <w:sz w:val="17"/>
          <w:szCs w:val="17"/>
          <w:b w:val="1"/>
          <w:bCs w:val="1"/>
          <w:color w:val="auto"/>
        </w:rPr>
        <w:t xml:space="preserve"> </w:t>
      </w:r>
      <w:r>
        <w:rPr>
          <w:rFonts w:ascii="Arial" w:cs="Arial" w:eastAsia="Arial" w:hAnsi="Arial"/>
          <w:sz w:val="17"/>
          <w:szCs w:val="17"/>
          <w:color w:val="auto"/>
        </w:rPr>
        <w:t>Policy adopted by the Committee on February 13, 2014, and any successor policy thereto, to the extent that at any relevant time Employee is subject to such policy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537"/>
        <w:spacing w:after="0" w:line="269"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MARRIOTT VACATIONS WORLDWIDE CORPORATION has caused this Agreement to be signed by its Executive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Chief Human Resources 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714311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gridSpan w:val="2"/>
          </w:tcPr>
          <w:p>
            <w:pPr>
              <w:ind w:left="20"/>
              <w:spacing w:after="0"/>
              <w:rPr>
                <w:sz w:val="20"/>
                <w:szCs w:val="20"/>
                <w:color w:val="auto"/>
              </w:rPr>
            </w:pPr>
            <w:r>
              <w:rPr>
                <w:rFonts w:ascii="Arial" w:cs="Arial" w:eastAsia="Arial" w:hAnsi="Arial"/>
                <w:sz w:val="17"/>
                <w:szCs w:val="17"/>
                <w:color w:val="auto"/>
              </w:rPr>
              <w:t>MARRIOTT VACATIONS WORLDWIDE</w:t>
            </w: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00" w:type="dxa"/>
            <w:vAlign w:val="bottom"/>
            <w:gridSpan w:val="2"/>
          </w:tcPr>
          <w:p>
            <w:pPr>
              <w:ind w:left="20"/>
              <w:spacing w:after="0"/>
              <w:rPr>
                <w:sz w:val="20"/>
                <w:szCs w:val="20"/>
                <w:color w:val="auto"/>
              </w:rPr>
            </w:pPr>
            <w:r>
              <w:rPr>
                <w:rFonts w:ascii="Arial" w:cs="Arial" w:eastAsia="Arial" w:hAnsi="Arial"/>
                <w:sz w:val="17"/>
                <w:szCs w:val="17"/>
                <w:color w:val="auto"/>
              </w:rPr>
              <w:t>CORPORATION</w:t>
            </w:r>
          </w:p>
        </w:tc>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7"/>
                <w:szCs w:val="17"/>
                <w:color w:val="auto"/>
              </w:rPr>
              <w:t>EMPLOYEE</w:t>
            </w:r>
          </w:p>
        </w:tc>
        <w:tc>
          <w:tcPr>
            <w:tcW w:w="0" w:type="dxa"/>
            <w:vAlign w:val="bottom"/>
          </w:tcPr>
          <w:p>
            <w:pPr>
              <w:spacing w:after="0"/>
              <w:rPr>
                <w:sz w:val="1"/>
                <w:szCs w:val="1"/>
                <w:color w:val="auto"/>
              </w:rPr>
            </w:pPr>
          </w:p>
        </w:tc>
      </w:tr>
      <w:tr>
        <w:trPr>
          <w:trHeight w:val="261"/>
        </w:trPr>
        <w:tc>
          <w:tcPr>
            <w:tcW w:w="5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8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shd w:val="clear" w:color="auto" w:fill="FFFF00"/>
          </w:tcPr>
          <w:p>
            <w:pPr>
              <w:spacing w:after="0" w:line="187" w:lineRule="exact"/>
              <w:rPr>
                <w:sz w:val="20"/>
                <w:szCs w:val="20"/>
                <w:color w:val="auto"/>
              </w:rPr>
            </w:pPr>
            <w:r>
              <w:rPr>
                <w:rFonts w:ascii="Arial" w:cs="Arial" w:eastAsia="Arial" w:hAnsi="Arial"/>
                <w:sz w:val="17"/>
                <w:szCs w:val="17"/>
                <w:color w:val="auto"/>
                <w:highlight w:val="yellow"/>
                <w:w w:val="93"/>
              </w:rPr>
              <w:t>&lt;&lt;PARTICIPANT NAME&gt;&gt;</w:t>
            </w: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02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20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Executive Vice President, Chief Human</w:t>
            </w: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Resources Officer</w:t>
            </w:r>
          </w:p>
        </w:tc>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Signed Electronically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70" w:right="339" w:bottom="1440" w:gutter="0" w:footer="0" w:header="0"/>
        </w:sectPr>
      </w:pPr>
    </w:p>
    <w:bookmarkStart w:id="160" w:name="page161"/>
    <w:bookmarkEnd w:id="160"/>
    <w:p>
      <w:pPr>
        <w:ind w:left="5720"/>
        <w:spacing w:after="0"/>
        <w:rPr>
          <w:sz w:val="20"/>
          <w:szCs w:val="20"/>
          <w:color w:val="auto"/>
        </w:rPr>
      </w:pPr>
      <w:r>
        <w:rPr>
          <w:rFonts w:ascii="Arial" w:cs="Arial" w:eastAsia="Arial" w:hAnsi="Arial"/>
          <w:sz w:val="20"/>
          <w:szCs w:val="20"/>
          <w:b w:val="1"/>
          <w:bCs w:val="1"/>
          <w:color w:val="auto"/>
        </w:rPr>
        <w:t>EXHIBIT A</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TERMS OF PERFORMANCE UNIT AWARDS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 Performance Period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January 1, [20__] through December 31, [20__]</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Criteria</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The number of RSUs earned, if any, will be determined following the end of the Performance Period based on the Company’s cumulative achievement over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Performance Period with respect to two performance objectives: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(1) Adjusted EBITDA and (2) Adjusted ROIC.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Payout Formula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 total number of RSUs earned for the Performance Period shall equal the following:</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(Target Number of RSUs) multiplied by 50% multiplied by (% of target earned with respect to the Adjusted EBITDA objective); plus</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(Target Number of RSUs) multiplied by 50% multiplied by (% of target earned with respect to the Adjusted ROIC objective).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Payout Matrix</w:t>
      </w:r>
    </w:p>
    <w:p>
      <w:pPr>
        <w:spacing w:after="0" w:line="45"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Committee has established the following payout matrix with respect to each of the performance objectives described above. If performance falls between threshold and below target, between below target and target or between target and maximum, the vesting percentage will be determined by the Committee based on straight-line interpolation; provided, however, that no payout shall be made with respect to a performance objective if the Threshold level of performance is not attained for the objective.</w:t>
      </w:r>
    </w:p>
    <w:p>
      <w:pPr>
        <w:spacing w:after="0" w:line="96" w:lineRule="exact"/>
        <w:rPr>
          <w:sz w:val="20"/>
          <w:szCs w:val="20"/>
          <w:color w:val="auto"/>
        </w:rPr>
      </w:pPr>
    </w:p>
    <w:tbl>
      <w:tblPr>
        <w:tblLayout w:type="fixed"/>
        <w:tblInd w:w="90" w:type="dxa"/>
        <w:tblCellMar>
          <w:top w:w="0" w:type="dxa"/>
          <w:left w:w="0" w:type="dxa"/>
          <w:bottom w:w="0" w:type="dxa"/>
          <w:right w:w="0" w:type="dxa"/>
        </w:tblCellMar>
      </w:tblPr>
      <w:tr>
        <w:trPr>
          <w:trHeight w:val="195"/>
        </w:trPr>
        <w:tc>
          <w:tcPr>
            <w:tcW w:w="1620" w:type="dxa"/>
            <w:vAlign w:val="bottom"/>
            <w:tcBorders>
              <w:top w:val="single" w:sz="8" w:color="auto"/>
              <w:left w:val="single" w:sz="8" w:color="auto"/>
              <w:right w:val="single" w:sz="8" w:color="auto"/>
            </w:tcBorders>
            <w:vMerge w:val="restart"/>
            <w:shd w:val="clear" w:color="auto" w:fill="C5D9F1"/>
          </w:tcPr>
          <w:p>
            <w:pPr>
              <w:ind w:left="120"/>
              <w:spacing w:after="0"/>
              <w:rPr>
                <w:sz w:val="20"/>
                <w:szCs w:val="20"/>
                <w:color w:val="auto"/>
              </w:rPr>
            </w:pPr>
            <w:r>
              <w:rPr>
                <w:rFonts w:ascii="Arial" w:cs="Arial" w:eastAsia="Arial" w:hAnsi="Arial"/>
                <w:sz w:val="17"/>
                <w:szCs w:val="17"/>
                <w:b w:val="1"/>
                <w:bCs w:val="1"/>
                <w:color w:val="auto"/>
                <w:w w:val="95"/>
              </w:rPr>
              <w:t>Performance Level</w:t>
            </w:r>
          </w:p>
        </w:tc>
        <w:tc>
          <w:tcPr>
            <w:tcW w:w="1960" w:type="dxa"/>
            <w:vAlign w:val="bottom"/>
            <w:tcBorders>
              <w:top w:val="single" w:sz="8" w:color="auto"/>
              <w:right w:val="single" w:sz="8" w:color="auto"/>
            </w:tcBorders>
            <w:shd w:val="clear" w:color="auto" w:fill="C5D9F1"/>
          </w:tcPr>
          <w:p>
            <w:pPr>
              <w:jc w:val="center"/>
              <w:spacing w:after="0"/>
              <w:rPr>
                <w:sz w:val="20"/>
                <w:szCs w:val="20"/>
                <w:color w:val="auto"/>
              </w:rPr>
            </w:pPr>
            <w:r>
              <w:rPr>
                <w:rFonts w:ascii="Arial" w:cs="Arial" w:eastAsia="Arial" w:hAnsi="Arial"/>
                <w:sz w:val="17"/>
                <w:szCs w:val="17"/>
                <w:b w:val="1"/>
                <w:bCs w:val="1"/>
                <w:color w:val="auto"/>
                <w:w w:val="91"/>
              </w:rPr>
              <w:t>Cumulative</w:t>
            </w:r>
          </w:p>
        </w:tc>
        <w:tc>
          <w:tcPr>
            <w:tcW w:w="1820" w:type="dxa"/>
            <w:vAlign w:val="bottom"/>
            <w:tcBorders>
              <w:top w:val="single" w:sz="8" w:color="auto"/>
              <w:right w:val="single" w:sz="8" w:color="auto"/>
            </w:tcBorders>
            <w:shd w:val="clear" w:color="auto" w:fill="C5D9F1"/>
          </w:tcPr>
          <w:p>
            <w:pPr>
              <w:jc w:val="center"/>
              <w:spacing w:after="0"/>
              <w:rPr>
                <w:sz w:val="20"/>
                <w:szCs w:val="20"/>
                <w:color w:val="auto"/>
              </w:rPr>
            </w:pPr>
            <w:r>
              <w:rPr>
                <w:rFonts w:ascii="Arial" w:cs="Arial" w:eastAsia="Arial" w:hAnsi="Arial"/>
                <w:sz w:val="17"/>
                <w:szCs w:val="17"/>
                <w:b w:val="1"/>
                <w:bCs w:val="1"/>
                <w:color w:val="auto"/>
                <w:w w:val="87"/>
              </w:rPr>
              <w:t>Adjusted</w:t>
            </w:r>
          </w:p>
        </w:tc>
        <w:tc>
          <w:tcPr>
            <w:tcW w:w="1840" w:type="dxa"/>
            <w:vAlign w:val="bottom"/>
            <w:tcBorders>
              <w:top w:val="single" w:sz="8" w:color="auto"/>
              <w:right w:val="single" w:sz="8" w:color="auto"/>
            </w:tcBorders>
            <w:shd w:val="clear" w:color="auto" w:fill="C5D9F1"/>
          </w:tcPr>
          <w:p>
            <w:pPr>
              <w:jc w:val="center"/>
              <w:spacing w:after="0"/>
              <w:rPr>
                <w:sz w:val="20"/>
                <w:szCs w:val="20"/>
                <w:color w:val="auto"/>
              </w:rPr>
            </w:pPr>
            <w:r>
              <w:rPr>
                <w:rFonts w:ascii="Arial" w:cs="Arial" w:eastAsia="Arial" w:hAnsi="Arial"/>
                <w:sz w:val="17"/>
                <w:szCs w:val="17"/>
                <w:b w:val="1"/>
                <w:bCs w:val="1"/>
                <w:color w:val="auto"/>
                <w:w w:val="90"/>
              </w:rPr>
              <w:t>RSUs Earned (% of</w:t>
            </w:r>
          </w:p>
        </w:tc>
        <w:tc>
          <w:tcPr>
            <w:tcW w:w="0" w:type="dxa"/>
            <w:vAlign w:val="bottom"/>
          </w:tcPr>
          <w:p>
            <w:pPr>
              <w:spacing w:after="0"/>
              <w:rPr>
                <w:sz w:val="1"/>
                <w:szCs w:val="1"/>
                <w:color w:val="auto"/>
              </w:rPr>
            </w:pPr>
          </w:p>
        </w:tc>
      </w:tr>
      <w:tr>
        <w:trPr>
          <w:trHeight w:val="116"/>
        </w:trPr>
        <w:tc>
          <w:tcPr>
            <w:tcW w:w="1620" w:type="dxa"/>
            <w:vAlign w:val="bottom"/>
            <w:tcBorders>
              <w:left w:val="single" w:sz="8" w:color="auto"/>
              <w:right w:val="single" w:sz="8" w:color="auto"/>
            </w:tcBorders>
            <w:vMerge w:val="continue"/>
            <w:shd w:val="clear" w:color="auto" w:fill="C5D9F1"/>
          </w:tcPr>
          <w:p>
            <w:pPr>
              <w:spacing w:after="0"/>
              <w:rPr>
                <w:sz w:val="10"/>
                <w:szCs w:val="10"/>
                <w:color w:val="auto"/>
              </w:rPr>
            </w:pPr>
          </w:p>
        </w:tc>
        <w:tc>
          <w:tcPr>
            <w:tcW w:w="1960" w:type="dxa"/>
            <w:vAlign w:val="bottom"/>
            <w:tcBorders>
              <w:right w:val="single" w:sz="8" w:color="auto"/>
            </w:tcBorders>
            <w:vMerge w:val="restart"/>
            <w:shd w:val="clear" w:color="auto" w:fill="C5D9F1"/>
          </w:tcPr>
          <w:p>
            <w:pPr>
              <w:jc w:val="center"/>
              <w:spacing w:after="0"/>
              <w:rPr>
                <w:sz w:val="20"/>
                <w:szCs w:val="20"/>
                <w:color w:val="auto"/>
              </w:rPr>
            </w:pPr>
            <w:r>
              <w:rPr>
                <w:rFonts w:ascii="Arial" w:cs="Arial" w:eastAsia="Arial" w:hAnsi="Arial"/>
                <w:sz w:val="17"/>
                <w:szCs w:val="17"/>
                <w:b w:val="1"/>
                <w:bCs w:val="1"/>
                <w:color w:val="auto"/>
                <w:w w:val="93"/>
              </w:rPr>
              <w:t>Adjusted EBITDA</w:t>
            </w:r>
          </w:p>
        </w:tc>
        <w:tc>
          <w:tcPr>
            <w:tcW w:w="1820" w:type="dxa"/>
            <w:vAlign w:val="bottom"/>
            <w:tcBorders>
              <w:right w:val="single" w:sz="8" w:color="auto"/>
            </w:tcBorders>
            <w:vMerge w:val="restart"/>
            <w:shd w:val="clear" w:color="auto" w:fill="C5D9F1"/>
          </w:tcPr>
          <w:p>
            <w:pPr>
              <w:jc w:val="center"/>
              <w:spacing w:after="0"/>
              <w:rPr>
                <w:sz w:val="20"/>
                <w:szCs w:val="20"/>
                <w:color w:val="auto"/>
              </w:rPr>
            </w:pPr>
            <w:r>
              <w:rPr>
                <w:rFonts w:ascii="Arial" w:cs="Arial" w:eastAsia="Arial" w:hAnsi="Arial"/>
                <w:sz w:val="17"/>
                <w:szCs w:val="17"/>
                <w:b w:val="1"/>
                <w:bCs w:val="1"/>
                <w:color w:val="auto"/>
              </w:rPr>
              <w:t>ROIC</w:t>
            </w:r>
          </w:p>
        </w:tc>
        <w:tc>
          <w:tcPr>
            <w:tcW w:w="1840" w:type="dxa"/>
            <w:vAlign w:val="bottom"/>
            <w:tcBorders>
              <w:right w:val="single" w:sz="8" w:color="auto"/>
            </w:tcBorders>
            <w:vMerge w:val="restart"/>
            <w:shd w:val="clear" w:color="auto" w:fill="C5D9F1"/>
          </w:tcPr>
          <w:p>
            <w:pPr>
              <w:jc w:val="center"/>
              <w:spacing w:after="0"/>
              <w:rPr>
                <w:sz w:val="20"/>
                <w:szCs w:val="20"/>
                <w:color w:val="auto"/>
              </w:rPr>
            </w:pPr>
            <w:r>
              <w:rPr>
                <w:rFonts w:ascii="Arial" w:cs="Arial" w:eastAsia="Arial" w:hAnsi="Arial"/>
                <w:sz w:val="17"/>
                <w:szCs w:val="17"/>
                <w:b w:val="1"/>
                <w:bCs w:val="1"/>
                <w:color w:val="auto"/>
                <w:w w:val="90"/>
              </w:rPr>
              <w:t>target)</w:t>
            </w:r>
          </w:p>
        </w:tc>
        <w:tc>
          <w:tcPr>
            <w:tcW w:w="0" w:type="dxa"/>
            <w:vAlign w:val="bottom"/>
          </w:tcPr>
          <w:p>
            <w:pPr>
              <w:spacing w:after="0"/>
              <w:rPr>
                <w:sz w:val="1"/>
                <w:szCs w:val="1"/>
                <w:color w:val="auto"/>
              </w:rPr>
            </w:pPr>
          </w:p>
        </w:tc>
      </w:tr>
      <w:tr>
        <w:trPr>
          <w:trHeight w:val="124"/>
        </w:trPr>
        <w:tc>
          <w:tcPr>
            <w:tcW w:w="1620" w:type="dxa"/>
            <w:vAlign w:val="bottom"/>
            <w:tcBorders>
              <w:left w:val="single" w:sz="8" w:color="auto"/>
              <w:bottom w:val="single" w:sz="8" w:color="C5D9F1"/>
              <w:right w:val="single" w:sz="8" w:color="auto"/>
            </w:tcBorders>
            <w:shd w:val="clear" w:color="auto" w:fill="C5D9F1"/>
          </w:tcPr>
          <w:p>
            <w:pPr>
              <w:spacing w:after="0"/>
              <w:rPr>
                <w:sz w:val="10"/>
                <w:szCs w:val="10"/>
                <w:color w:val="auto"/>
              </w:rPr>
            </w:pPr>
          </w:p>
        </w:tc>
        <w:tc>
          <w:tcPr>
            <w:tcW w:w="1960" w:type="dxa"/>
            <w:vAlign w:val="bottom"/>
            <w:tcBorders>
              <w:bottom w:val="single" w:sz="8" w:color="C5D9F1"/>
              <w:right w:val="single" w:sz="8" w:color="auto"/>
            </w:tcBorders>
            <w:vMerge w:val="continue"/>
            <w:shd w:val="clear" w:color="auto" w:fill="C5D9F1"/>
          </w:tcPr>
          <w:p>
            <w:pPr>
              <w:spacing w:after="0"/>
              <w:rPr>
                <w:sz w:val="10"/>
                <w:szCs w:val="10"/>
                <w:color w:val="auto"/>
              </w:rPr>
            </w:pPr>
          </w:p>
        </w:tc>
        <w:tc>
          <w:tcPr>
            <w:tcW w:w="1820" w:type="dxa"/>
            <w:vAlign w:val="bottom"/>
            <w:tcBorders>
              <w:bottom w:val="single" w:sz="8" w:color="C5D9F1"/>
              <w:right w:val="single" w:sz="8" w:color="auto"/>
            </w:tcBorders>
            <w:vMerge w:val="continue"/>
            <w:shd w:val="clear" w:color="auto" w:fill="C5D9F1"/>
          </w:tcPr>
          <w:p>
            <w:pPr>
              <w:spacing w:after="0"/>
              <w:rPr>
                <w:sz w:val="10"/>
                <w:szCs w:val="10"/>
                <w:color w:val="auto"/>
              </w:rPr>
            </w:pPr>
          </w:p>
        </w:tc>
        <w:tc>
          <w:tcPr>
            <w:tcW w:w="1840" w:type="dxa"/>
            <w:vAlign w:val="bottom"/>
            <w:tcBorders>
              <w:bottom w:val="single" w:sz="8" w:color="C5D9F1"/>
              <w:right w:val="single" w:sz="8" w:color="auto"/>
            </w:tcBorders>
            <w:vMerge w:val="continue"/>
            <w:shd w:val="clear" w:color="auto" w:fill="C5D9F1"/>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Maximum</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 million</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Target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 million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Below Target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 million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50%</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Threshold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 million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Objective Definitions</w:t>
      </w:r>
    </w:p>
    <w:p>
      <w:pPr>
        <w:spacing w:after="0" w:line="45" w:lineRule="exact"/>
        <w:rPr>
          <w:sz w:val="20"/>
          <w:szCs w:val="20"/>
          <w:color w:val="auto"/>
        </w:rPr>
      </w:pPr>
    </w:p>
    <w:p>
      <w:pPr>
        <w:spacing w:after="0" w:line="294" w:lineRule="auto"/>
        <w:rPr>
          <w:sz w:val="20"/>
          <w:szCs w:val="20"/>
          <w:color w:val="auto"/>
        </w:rPr>
      </w:pPr>
      <w:r>
        <w:rPr>
          <w:rFonts w:ascii="Arial" w:cs="Arial" w:eastAsia="Arial" w:hAnsi="Arial"/>
          <w:sz w:val="15"/>
          <w:szCs w:val="15"/>
          <w:u w:val="single" w:color="auto"/>
          <w:color w:val="auto"/>
        </w:rPr>
        <w:t>Adjusted Earnings Before Interest, Taxes, Depreciation and Amortization</w:t>
      </w:r>
      <w:r>
        <w:rPr>
          <w:rFonts w:ascii="Arial" w:cs="Arial" w:eastAsia="Arial" w:hAnsi="Arial"/>
          <w:sz w:val="15"/>
          <w:szCs w:val="15"/>
          <w:color w:val="auto"/>
        </w:rPr>
        <w:t>. “Adjusted EBITDA” means EBITDA (as reported in the Company’s Annual Reports on Form 10-K) over the Performance Period, excluding the impact of non-cash share-based compensation expense, impairments, transaction costs, gains and losses on the disposal of assets, gains and losses on foreign currency exchange related activity, litigation settlements, and activity not associated with the Company’s ongoing core</w:t>
      </w:r>
    </w:p>
    <w:p>
      <w:pPr>
        <w:spacing w:after="0" w:line="1" w:lineRule="exact"/>
        <w:rPr>
          <w:sz w:val="20"/>
          <w:szCs w:val="20"/>
          <w:color w:val="auto"/>
        </w:rPr>
      </w:pPr>
    </w:p>
    <w:p>
      <w:pPr>
        <w:ind w:right="400"/>
        <w:spacing w:after="0" w:line="264" w:lineRule="auto"/>
        <w:rPr>
          <w:sz w:val="20"/>
          <w:szCs w:val="20"/>
          <w:color w:val="auto"/>
        </w:rPr>
      </w:pPr>
      <w:r>
        <w:rPr>
          <w:rFonts w:ascii="Arial" w:cs="Arial" w:eastAsia="Arial" w:hAnsi="Arial"/>
          <w:sz w:val="17"/>
          <w:szCs w:val="17"/>
          <w:color w:val="auto"/>
        </w:rPr>
        <w:t>operations. Adjusted EBITDA shall include the impact of interest expense associated with the Company’s debt from the securitization of vacation ownership notes receivable.</w:t>
      </w:r>
    </w:p>
    <w:p>
      <w:pPr>
        <w:spacing w:after="0" w:line="229"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u w:val="single" w:color="auto"/>
          <w:color w:val="auto"/>
        </w:rPr>
        <w:t>Adjusted Return on Invested Capital</w:t>
      </w:r>
      <w:r>
        <w:rPr>
          <w:rFonts w:ascii="Arial" w:cs="Arial" w:eastAsia="Arial" w:hAnsi="Arial"/>
          <w:sz w:val="15"/>
          <w:szCs w:val="15"/>
          <w:color w:val="auto"/>
        </w:rPr>
        <w:t>. “Adjusted ROIC” means net income (as reported in the Company’s Annual Reports on Form 10-K) over the Performance Period, excluding the impact of non-consumer financing interest expense, provision for income taxes, non-cash share based compensation expense, impairments, transaction costs, gains and losses on the disposal of assets, litigation settlements, and activity not associated with the Company’s ongoing core operations as a percentage of Net</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Total 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In calculating Adjusted EBITDA and Adjusted ROIC, the impact of any changes in U.S. generally accepted accounting principles will be excluded.</w:t>
      </w:r>
    </w:p>
    <w:p>
      <w:pPr>
        <w:sectPr>
          <w:pgSz w:w="11900" w:h="16838" w:orient="portrait"/>
          <w:cols w:equalWidth="0" w:num="1">
            <w:col w:w="11220"/>
          </w:cols>
          <w:pgMar w:left="320" w:top="712" w:right="3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MARRIOTT VACATIONS WORLDWIDE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CONTROL SEVERANCE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Originally Adopted January 27, 2012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Effective May 12, 2022</w:t>
      </w:r>
    </w:p>
    <w:p>
      <w:pPr>
        <w:spacing w:after="0" w:line="336"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20"/>
          <w:szCs w:val="20"/>
          <w:color w:val="auto"/>
        </w:rPr>
        <w:t>THIS MARRIOTT VACATIONS WORLDWIDE CORPORATION CHANGE IN CONTROL SEVERANCE PLAN, adopted by Marriott Vacations Worldwide Corporation, a Delaware corporation, is hereby established to provide for the payment of severance benefits to certain of its key Executives in the event of certain terminations of employment following a Change in Control (as defined herein). The primary purposes of the Plan are to (i) motivate executives to drive business success independent of the possible occurrence of a Change in Control and reduce distractions associated with a potential Change in Control, and (ii) maximize shareholder value by retaining key Executives through the closing of a Change in Control.</w:t>
      </w:r>
    </w:p>
    <w:p>
      <w:pPr>
        <w:spacing w:after="0" w:line="170"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clearly indicates otherwise, when used in this Plan:</w:t>
      </w:r>
    </w:p>
    <w:p>
      <w:pPr>
        <w:spacing w:after="0" w:line="206" w:lineRule="exact"/>
        <w:rPr>
          <w:sz w:val="20"/>
          <w:szCs w:val="20"/>
          <w:color w:val="auto"/>
        </w:rPr>
      </w:pPr>
    </w:p>
    <w:p>
      <w:pPr>
        <w:jc w:val="both"/>
        <w:ind w:left="600" w:firstLine="594"/>
        <w:spacing w:after="0" w:line="258" w:lineRule="auto"/>
        <w:tabs>
          <w:tab w:leader="none" w:pos="1791"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entity, any other corporation, organization, association, partnership, sole proprietorship or other type of entity, whether incorporated or unincorporated, directly or indirectly controlling or controlled by or under direct or indirect common control with such entity.</w:t>
      </w:r>
    </w:p>
    <w:p>
      <w:pPr>
        <w:spacing w:after="0" w:line="179" w:lineRule="exact"/>
        <w:rPr>
          <w:rFonts w:ascii="Arial" w:cs="Arial" w:eastAsia="Arial" w:hAnsi="Arial"/>
          <w:sz w:val="20"/>
          <w:szCs w:val="20"/>
          <w:color w:val="auto"/>
        </w:rPr>
      </w:pPr>
    </w:p>
    <w:p>
      <w:pPr>
        <w:jc w:val="both"/>
        <w:ind w:left="600" w:firstLine="594"/>
        <w:spacing w:after="0" w:line="254" w:lineRule="auto"/>
        <w:tabs>
          <w:tab w:leader="none" w:pos="179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means Executive’s annual rate of base salary in effect on the date of Executive’s Termination of Employment (or, if higher, on the date of the Change in Control), determined in each case prior to (i) reduction for any employee-elected salary reduction contributions made to an Employer-sponsored non-qualified deferred compensation plan or an Employer-sponsored plan pursuant to Section 401(k) or 125 of the Code, and excluding bonuses, overtime, allowances, commissions, deferred compensation payments and any other extraordinary remuneration, and (ii) any reduction that is a basis for Executive’s termination for Good Reason.</w:t>
      </w:r>
    </w:p>
    <w:p>
      <w:pPr>
        <w:spacing w:after="0" w:line="169" w:lineRule="exact"/>
        <w:rPr>
          <w:rFonts w:ascii="Arial" w:cs="Arial" w:eastAsia="Arial" w:hAnsi="Arial"/>
          <w:sz w:val="20"/>
          <w:szCs w:val="20"/>
          <w:color w:val="auto"/>
        </w:rPr>
      </w:pPr>
    </w:p>
    <w:p>
      <w:pPr>
        <w:ind w:left="600" w:firstLine="594"/>
        <w:spacing w:after="0" w:line="271" w:lineRule="auto"/>
        <w:tabs>
          <w:tab w:leader="none" w:pos="1791"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w:t>
      </w:r>
      <w:r>
        <w:rPr>
          <w:rFonts w:ascii="Arial" w:cs="Arial" w:eastAsia="Arial" w:hAnsi="Arial"/>
          <w:sz w:val="20"/>
          <w:szCs w:val="20"/>
          <w:color w:val="auto"/>
        </w:rPr>
        <w:t>” has the meaning ascribed to such term in Rule 13d-3 of the General Rules and Regulations under the Exchange Act.</w:t>
      </w:r>
    </w:p>
    <w:p>
      <w:pPr>
        <w:spacing w:after="0" w:line="152" w:lineRule="exact"/>
        <w:rPr>
          <w:rFonts w:ascii="Arial" w:cs="Arial" w:eastAsia="Arial" w:hAnsi="Arial"/>
          <w:sz w:val="20"/>
          <w:szCs w:val="20"/>
          <w:color w:val="auto"/>
        </w:rPr>
      </w:pPr>
    </w:p>
    <w:p>
      <w:pPr>
        <w:ind w:left="1780" w:hanging="586"/>
        <w:spacing w:after="0"/>
        <w:tabs>
          <w:tab w:leader="none" w:pos="17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05" w:lineRule="exact"/>
        <w:rPr>
          <w:rFonts w:ascii="Arial" w:cs="Arial" w:eastAsia="Arial" w:hAnsi="Arial"/>
          <w:sz w:val="20"/>
          <w:szCs w:val="20"/>
          <w:color w:val="auto"/>
        </w:rPr>
      </w:pPr>
    </w:p>
    <w:p>
      <w:pPr>
        <w:jc w:val="both"/>
        <w:ind w:left="600" w:firstLine="594"/>
        <w:spacing w:after="0" w:line="256" w:lineRule="auto"/>
        <w:tabs>
          <w:tab w:leader="none" w:pos="1791"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(i) Executive’s conviction of a felony; (ii) an act by Executive which constitutes willful or gross misconduct and which is demonstrably and materially injurious to the Company; or (iii) continued substantial willful violations by Executive of Executive’s employment duties after there has been delivered to Executive a written demand for performance from the Company which specifically sets forth the factual basis for the Company's belief that Executive has not substantially performed his or her duties.</w:t>
      </w:r>
    </w:p>
    <w:p>
      <w:pPr>
        <w:spacing w:after="0" w:line="167" w:lineRule="exact"/>
        <w:rPr>
          <w:rFonts w:ascii="Arial" w:cs="Arial" w:eastAsia="Arial" w:hAnsi="Arial"/>
          <w:sz w:val="20"/>
          <w:szCs w:val="20"/>
          <w:color w:val="auto"/>
        </w:rPr>
      </w:pPr>
    </w:p>
    <w:p>
      <w:pPr>
        <w:ind w:left="1800" w:hanging="606"/>
        <w:spacing w:after="0"/>
        <w:tabs>
          <w:tab w:leader="none" w:pos="18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and shall be deemed to have occurred if:</w:t>
      </w:r>
    </w:p>
    <w:p>
      <w:pPr>
        <w:sectPr>
          <w:pgSz w:w="11900" w:h="16838" w:orient="portrait"/>
          <w:cols w:equalWidth="0" w:num="1">
            <w:col w:w="11240"/>
          </w:cols>
          <w:pgMar w:left="320" w:top="123"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00" w:firstLine="591"/>
        <w:spacing w:after="0" w:line="282" w:lineRule="auto"/>
        <w:tabs>
          <w:tab w:leader="none" w:pos="17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Person directly or indirectly becomes the Beneficial Owner of more than thirty percent (30%) of the 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w:t>
      </w:r>
    </w:p>
    <w:p>
      <w:pPr>
        <w:spacing w:after="0" w:line="1" w:lineRule="exact"/>
        <w:rPr>
          <w:rFonts w:ascii="Arial" w:cs="Arial" w:eastAsia="Arial" w:hAnsi="Arial"/>
          <w:sz w:val="18"/>
          <w:szCs w:val="18"/>
          <w:color w:val="auto"/>
        </w:rPr>
      </w:pPr>
    </w:p>
    <w:p>
      <w:pPr>
        <w:jc w:val="both"/>
        <w:ind w:left="600" w:hanging="6"/>
        <w:spacing w:after="0" w:line="291" w:lineRule="auto"/>
        <w:tabs>
          <w:tab w:leader="none" w:pos="9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is not an underwriter temporarily holding the voting securities in connection with an offering thereof, and (v) is not a corporation that, immediately following such transaction, is owned, directly or indirectly, by the stockholders of the Company in substantially the same proportions as their ownership of Company stock immediately prior to such transaction; or</w:t>
      </w:r>
    </w:p>
    <w:p>
      <w:pPr>
        <w:spacing w:after="0" w:line="139" w:lineRule="exact"/>
        <w:rPr>
          <w:rFonts w:ascii="Arial" w:cs="Arial" w:eastAsia="Arial" w:hAnsi="Arial"/>
          <w:sz w:val="18"/>
          <w:szCs w:val="18"/>
          <w:color w:val="auto"/>
        </w:rPr>
      </w:pPr>
    </w:p>
    <w:p>
      <w:pPr>
        <w:jc w:val="both"/>
        <w:ind w:left="600" w:firstLine="591"/>
        <w:spacing w:after="0" w:line="256" w:lineRule="auto"/>
        <w:tabs>
          <w:tab w:leader="none" w:pos="1790"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67" w:lineRule="exact"/>
        <w:rPr>
          <w:rFonts w:ascii="Arial" w:cs="Arial" w:eastAsia="Arial" w:hAnsi="Arial"/>
          <w:sz w:val="20"/>
          <w:szCs w:val="20"/>
          <w:color w:val="auto"/>
        </w:rPr>
      </w:pPr>
    </w:p>
    <w:p>
      <w:pPr>
        <w:jc w:val="both"/>
        <w:ind w:left="600" w:firstLine="591"/>
        <w:spacing w:after="0" w:line="308" w:lineRule="auto"/>
        <w:tabs>
          <w:tab w:leader="none" w:pos="17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Continuing Directors cease to represent a majority of the Board, where “Continuing Directors” shall mean the directors of the Board immediately after the date this Plan is adopted, and any other director whose appointment, election or nomination for election by the stockholders is approved by at least a majority of the Continuing Directors at such time; or</w:t>
      </w:r>
    </w:p>
    <w:p>
      <w:pPr>
        <w:spacing w:after="0" w:line="123" w:lineRule="exact"/>
        <w:rPr>
          <w:rFonts w:ascii="Arial" w:cs="Arial" w:eastAsia="Arial" w:hAnsi="Arial"/>
          <w:sz w:val="18"/>
          <w:szCs w:val="18"/>
          <w:color w:val="auto"/>
        </w:rPr>
      </w:pPr>
    </w:p>
    <w:p>
      <w:pPr>
        <w:ind w:left="600" w:firstLine="591"/>
        <w:spacing w:after="0" w:line="271" w:lineRule="auto"/>
        <w:tabs>
          <w:tab w:leader="none" w:pos="1790"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or the Company sells or disposes of all or substantially all of its assets.</w:t>
      </w:r>
    </w:p>
    <w:p>
      <w:pPr>
        <w:spacing w:after="0" w:line="153" w:lineRule="exact"/>
        <w:rPr>
          <w:sz w:val="20"/>
          <w:szCs w:val="20"/>
          <w:color w:val="auto"/>
        </w:rPr>
      </w:pPr>
    </w:p>
    <w:p>
      <w:pPr>
        <w:ind w:left="1180" w:hanging="586"/>
        <w:spacing w:after="0"/>
        <w:tabs>
          <w:tab w:leader="none" w:pos="11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COBRA</w:t>
      </w:r>
      <w:r>
        <w:rPr>
          <w:rFonts w:ascii="Arial" w:cs="Arial" w:eastAsia="Arial" w:hAnsi="Arial"/>
          <w:sz w:val="20"/>
          <w:szCs w:val="20"/>
          <w:color w:val="auto"/>
        </w:rPr>
        <w:t>” means the Consolidated Omnibus Budget Reconciliation Act of 1985, as amended.</w:t>
      </w:r>
    </w:p>
    <w:p>
      <w:pPr>
        <w:spacing w:after="0" w:line="205" w:lineRule="exact"/>
        <w:rPr>
          <w:rFonts w:ascii="Arial" w:cs="Arial" w:eastAsia="Arial" w:hAnsi="Arial"/>
          <w:sz w:val="20"/>
          <w:szCs w:val="20"/>
          <w:color w:val="auto"/>
        </w:rPr>
      </w:pPr>
    </w:p>
    <w:p>
      <w:pPr>
        <w:ind w:firstLine="594"/>
        <w:spacing w:after="0" w:line="284" w:lineRule="auto"/>
        <w:tabs>
          <w:tab w:leader="none" w:pos="119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Any reference to a specific provision of the Code includes any successor provision thereto, and the regulations promulgated thereunder.</w:t>
      </w:r>
    </w:p>
    <w:p>
      <w:pPr>
        <w:spacing w:after="0" w:line="140" w:lineRule="exact"/>
        <w:rPr>
          <w:rFonts w:ascii="Arial" w:cs="Arial" w:eastAsia="Arial" w:hAnsi="Arial"/>
          <w:sz w:val="20"/>
          <w:szCs w:val="20"/>
          <w:color w:val="auto"/>
        </w:rPr>
      </w:pPr>
    </w:p>
    <w:p>
      <w:pPr>
        <w:ind w:left="1180" w:hanging="586"/>
        <w:spacing w:after="0"/>
        <w:tabs>
          <w:tab w:leader="none" w:pos="11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committee designated pursuant to Section 6 to administer this Plan.</w:t>
      </w:r>
    </w:p>
    <w:p>
      <w:pPr>
        <w:spacing w:after="0" w:line="205" w:lineRule="exact"/>
        <w:rPr>
          <w:rFonts w:ascii="Arial" w:cs="Arial" w:eastAsia="Arial" w:hAnsi="Arial"/>
          <w:sz w:val="20"/>
          <w:szCs w:val="20"/>
          <w:color w:val="auto"/>
        </w:rPr>
      </w:pPr>
    </w:p>
    <w:p>
      <w:pPr>
        <w:ind w:firstLine="594"/>
        <w:spacing w:after="0" w:line="271" w:lineRule="auto"/>
        <w:tabs>
          <w:tab w:leader="none" w:pos="1183"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Marriott Vacations Worldwide Corporation, a Delaware corporation and, after a Change in Control, any successor or successors thereto.</w:t>
      </w:r>
    </w:p>
    <w:p>
      <w:pPr>
        <w:spacing w:after="0" w:line="152" w:lineRule="exact"/>
        <w:rPr>
          <w:rFonts w:ascii="Arial" w:cs="Arial" w:eastAsia="Arial" w:hAnsi="Arial"/>
          <w:sz w:val="20"/>
          <w:szCs w:val="20"/>
          <w:color w:val="auto"/>
        </w:rPr>
      </w:pPr>
    </w:p>
    <w:p>
      <w:pPr>
        <w:ind w:firstLine="594"/>
        <w:spacing w:after="0" w:line="284" w:lineRule="auto"/>
        <w:tabs>
          <w:tab w:leader="none" w:pos="119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the Company, each of its direct and indirect wholly-owned subsidiaries, and any other Affiliate of the Company that adopts this Plan with the consent of the Board.</w:t>
      </w:r>
    </w:p>
    <w:p>
      <w:pPr>
        <w:sectPr>
          <w:pgSz w:w="11900" w:h="16838" w:orient="portrait"/>
          <w:cols w:equalWidth="0" w:num="1">
            <w:col w:w="10640"/>
          </w:cols>
          <w:pgMar w:left="920" w:top="133"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594"/>
        <w:spacing w:after="0" w:line="271" w:lineRule="auto"/>
        <w:tabs>
          <w:tab w:leader="none" w:pos="1183"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Any reference to a specific provision of the Exchange Act includes any successor provision thereto, and the regulations promulgated thereunder.</w:t>
      </w:r>
    </w:p>
    <w:p>
      <w:pPr>
        <w:spacing w:after="0" w:line="152" w:lineRule="exact"/>
        <w:rPr>
          <w:rFonts w:ascii="Arial" w:cs="Arial" w:eastAsia="Arial" w:hAnsi="Arial"/>
          <w:sz w:val="20"/>
          <w:szCs w:val="20"/>
          <w:color w:val="auto"/>
        </w:rPr>
      </w:pPr>
    </w:p>
    <w:p>
      <w:pPr>
        <w:jc w:val="both"/>
        <w:ind w:firstLine="594"/>
        <w:spacing w:after="0" w:line="265" w:lineRule="auto"/>
        <w:tabs>
          <w:tab w:leader="none" w:pos="1183"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w:t>
      </w:r>
      <w:r>
        <w:rPr>
          <w:rFonts w:ascii="Arial" w:cs="Arial" w:eastAsia="Arial" w:hAnsi="Arial"/>
          <w:sz w:val="20"/>
          <w:szCs w:val="20"/>
          <w:color w:val="auto"/>
        </w:rPr>
        <w:t xml:space="preserve">” means an individual who (i) is employed by the Employer in a position specified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as of the day before the day a Change in Control occurs, (ii) has been designated by the Committee to participate in the Plan, and (iii) has executed a Participation Agreement.</w:t>
      </w:r>
    </w:p>
    <w:p>
      <w:pPr>
        <w:spacing w:after="0" w:line="159" w:lineRule="exact"/>
        <w:rPr>
          <w:rFonts w:ascii="Arial" w:cs="Arial" w:eastAsia="Arial" w:hAnsi="Arial"/>
          <w:sz w:val="20"/>
          <w:szCs w:val="20"/>
          <w:color w:val="auto"/>
        </w:rPr>
      </w:pPr>
    </w:p>
    <w:p>
      <w:pPr>
        <w:jc w:val="both"/>
        <w:ind w:firstLine="594"/>
        <w:spacing w:after="0" w:line="280" w:lineRule="auto"/>
        <w:tabs>
          <w:tab w:leader="none" w:pos="119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of the following actions upon or after a Change in Control, without Executive’s express prior written approval, other than due to Executive’s Total Disability or death: (i) a substantial change in Executive’s status, title, position or responsibilities from Executive’s status, title, position or responsibilities as in effect immediately prior to the Change in Control, other than in connection with the Termination of Executive’s employment for Cause; (ii) a material reduction in Executive’s Base Salary or any failure to pay Executive any compensation or benefits to which Executive is entitled within five days of the date due; (iii) a material reduction in Executive’s annual cash bonus opportunity or the grant date value of equity-type incentive opportunity; (iv) a change in the Executive’s principal place of employment that increases the Executive’s one-way commute by more than 50 miles compared to the Executive’s principal place of employment immediately prior to the Change in Control, except for reasonably required travel on the business of the Company or an Affiliate which is not materially greater than such travel requirements in effect immediately prior thereto; (v) the failure by the Employer to continue in effect employee benefits for Executive no less favorable in the aggregate as in effect immediately prior to the Change in Control; or (vi) the failure of the Company to obtain an agreement from any successors and assigns to assume and agree to perform the obligations created under this Plan. With respect to (i) through (vi) above, Good Reason shall not be deemed to have occurred unless Executive shall have notified the Employer in writing of his or her intent to resign for Good Reason within sixty (60) days following the Executive’s knowledge of the first occurrence of the event constituting Good Reason and the Employer shall not have cured the grounds for Good Reason within thirty (30) days following the provision of such notice.</w:t>
      </w:r>
    </w:p>
    <w:p>
      <w:pPr>
        <w:spacing w:after="0" w:line="155" w:lineRule="exact"/>
        <w:rPr>
          <w:rFonts w:ascii="Arial" w:cs="Arial" w:eastAsia="Arial" w:hAnsi="Arial"/>
          <w:sz w:val="18"/>
          <w:szCs w:val="18"/>
          <w:color w:val="auto"/>
        </w:rPr>
      </w:pPr>
    </w:p>
    <w:p>
      <w:pPr>
        <w:ind w:firstLine="594"/>
        <w:spacing w:after="0" w:line="271" w:lineRule="auto"/>
        <w:tabs>
          <w:tab w:leader="none" w:pos="1190"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Participation Agreement</w:t>
      </w:r>
      <w:r>
        <w:rPr>
          <w:rFonts w:ascii="Arial" w:cs="Arial" w:eastAsia="Arial" w:hAnsi="Arial"/>
          <w:sz w:val="20"/>
          <w:szCs w:val="20"/>
          <w:color w:val="auto"/>
        </w:rPr>
        <w:t>” means a written agreement between the Company and an Executive providing for Executive’s participation in this Plan.</w:t>
      </w:r>
    </w:p>
    <w:p>
      <w:pPr>
        <w:spacing w:after="0" w:line="152" w:lineRule="exact"/>
        <w:rPr>
          <w:rFonts w:ascii="Arial" w:cs="Arial" w:eastAsia="Arial" w:hAnsi="Arial"/>
          <w:sz w:val="20"/>
          <w:szCs w:val="20"/>
          <w:color w:val="auto"/>
        </w:rPr>
      </w:pPr>
    </w:p>
    <w:p>
      <w:pPr>
        <w:ind w:firstLine="594"/>
        <w:spacing w:after="0" w:line="284" w:lineRule="auto"/>
        <w:tabs>
          <w:tab w:leader="none" w:pos="1190"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have the meaning ascribed to such term in Section 3(a)(9) of the Exchange Act and used in Sections 13(d) and 14(d) thereof, including a “group” as defined in Section 13(d) thereof.</w:t>
      </w:r>
    </w:p>
    <w:p>
      <w:pPr>
        <w:spacing w:after="0" w:line="140" w:lineRule="exact"/>
        <w:rPr>
          <w:rFonts w:ascii="Arial" w:cs="Arial" w:eastAsia="Arial" w:hAnsi="Arial"/>
          <w:sz w:val="20"/>
          <w:szCs w:val="20"/>
          <w:color w:val="auto"/>
        </w:rPr>
      </w:pPr>
    </w:p>
    <w:p>
      <w:pPr>
        <w:ind w:left="1180" w:hanging="586"/>
        <w:spacing w:after="0"/>
        <w:tabs>
          <w:tab w:leader="none" w:pos="11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Marriott Vacations Worldwide Corporation Change in Control Severance Plan as in effect from</w:t>
      </w:r>
    </w:p>
    <w:p>
      <w:pPr>
        <w:spacing w:after="0" w:line="3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time to time.</w:t>
      </w:r>
    </w:p>
    <w:p>
      <w:pPr>
        <w:spacing w:after="0" w:line="189" w:lineRule="exact"/>
        <w:rPr>
          <w:rFonts w:ascii="Arial" w:cs="Arial" w:eastAsia="Arial" w:hAnsi="Arial"/>
          <w:sz w:val="19"/>
          <w:szCs w:val="19"/>
          <w:color w:val="auto"/>
        </w:rPr>
      </w:pPr>
    </w:p>
    <w:p>
      <w:pPr>
        <w:ind w:firstLine="594"/>
        <w:spacing w:after="0" w:line="271" w:lineRule="auto"/>
        <w:tabs>
          <w:tab w:leader="none" w:pos="1194"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means a waiver and release, in a form to be prepared by the Company substantially in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but as amended from time to time, to be signed by an Executive.</w:t>
      </w:r>
    </w:p>
    <w:p>
      <w:pPr>
        <w:sectPr>
          <w:pgSz w:w="11900" w:h="16838" w:orient="portrait"/>
          <w:cols w:equalWidth="0" w:num="1">
            <w:col w:w="10640"/>
          </w:cols>
          <w:pgMar w:left="920" w:top="133"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594"/>
        <w:spacing w:after="0" w:line="258" w:lineRule="auto"/>
        <w:tabs>
          <w:tab w:leader="none" w:pos="1193" w:val="left"/>
        </w:tabs>
        <w:numPr>
          <w:ilvl w:val="0"/>
          <w:numId w:val="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corporation, partnership, joint venture, trust or other entity in which the Company has a controlling interest as defined in Treasury Regulation Section 1.414(c)-2(b)(2), except that the threshold interest shall be “more than fifty percent (50%)” instead of “at least eighty percent (80%).”</w:t>
      </w:r>
    </w:p>
    <w:p>
      <w:pPr>
        <w:spacing w:after="0" w:line="179" w:lineRule="exact"/>
        <w:rPr>
          <w:rFonts w:ascii="Arial" w:cs="Arial" w:eastAsia="Arial" w:hAnsi="Arial"/>
          <w:sz w:val="20"/>
          <w:szCs w:val="20"/>
          <w:color w:val="auto"/>
        </w:rPr>
      </w:pPr>
    </w:p>
    <w:p>
      <w:pPr>
        <w:jc w:val="both"/>
        <w:ind w:firstLine="594"/>
        <w:spacing w:after="0" w:line="258" w:lineRule="auto"/>
        <w:tabs>
          <w:tab w:leader="none" w:pos="1183" w:val="left"/>
        </w:tabs>
        <w:numPr>
          <w:ilvl w:val="0"/>
          <w:numId w:val="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Bonus</w:t>
      </w:r>
      <w:r>
        <w:rPr>
          <w:rFonts w:ascii="Arial" w:cs="Arial" w:eastAsia="Arial" w:hAnsi="Arial"/>
          <w:sz w:val="20"/>
          <w:szCs w:val="20"/>
          <w:color w:val="auto"/>
        </w:rPr>
        <w:t>” means the greater of (i) Executive’s annual cash target bonus in effect immediately prior to the date a Change in Control occurs, or (ii) Executive’s annual cash target bonus in effect as of the date his or her employment Terminates, in either case assuming full attainment of companywide milestones at target levels.</w:t>
      </w:r>
    </w:p>
    <w:p>
      <w:pPr>
        <w:spacing w:after="0" w:line="166" w:lineRule="exact"/>
        <w:rPr>
          <w:rFonts w:ascii="Arial" w:cs="Arial" w:eastAsia="Arial" w:hAnsi="Arial"/>
          <w:sz w:val="20"/>
          <w:szCs w:val="20"/>
          <w:color w:val="auto"/>
        </w:rPr>
      </w:pPr>
    </w:p>
    <w:p>
      <w:pPr>
        <w:ind w:firstLine="594"/>
        <w:spacing w:after="0" w:line="271" w:lineRule="auto"/>
        <w:tabs>
          <w:tab w:leader="none" w:pos="1190" w:val="left"/>
        </w:tabs>
        <w:numPr>
          <w:ilvl w:val="0"/>
          <w:numId w:val="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w:t>
      </w:r>
      <w:r>
        <w:rPr>
          <w:rFonts w:ascii="Arial" w:cs="Arial" w:eastAsia="Arial" w:hAnsi="Arial"/>
          <w:sz w:val="20"/>
          <w:szCs w:val="20"/>
          <w:color w:val="auto"/>
        </w:rPr>
        <w:t>” or “</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Executive’s “separation from service” from the Company, as determined pursuant to Section 409A of the Code.</w:t>
      </w:r>
    </w:p>
    <w:p>
      <w:pPr>
        <w:spacing w:after="0" w:line="165" w:lineRule="exact"/>
        <w:rPr>
          <w:rFonts w:ascii="Arial" w:cs="Arial" w:eastAsia="Arial" w:hAnsi="Arial"/>
          <w:sz w:val="20"/>
          <w:szCs w:val="20"/>
          <w:color w:val="auto"/>
        </w:rPr>
      </w:pPr>
    </w:p>
    <w:p>
      <w:pPr>
        <w:jc w:val="both"/>
        <w:ind w:firstLine="594"/>
        <w:spacing w:after="0" w:line="254" w:lineRule="auto"/>
        <w:tabs>
          <w:tab w:leader="none" w:pos="1190" w:val="left"/>
        </w:tabs>
        <w:numPr>
          <w:ilvl w:val="0"/>
          <w:numId w:val="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Disability</w:t>
      </w:r>
      <w:r>
        <w:rPr>
          <w:rFonts w:ascii="Arial" w:cs="Arial" w:eastAsia="Arial" w:hAnsi="Arial"/>
          <w:sz w:val="20"/>
          <w:szCs w:val="20"/>
          <w:color w:val="auto"/>
        </w:rPr>
        <w:t>” means that the Executive is, by reason of any medical determinable physical or mental impairment that can be expected to result in death or can be expected to last for a continuous period of not less than twelve (12) months, receiving income replacement benefits for a period of six (6) months under an accident and health plan sponsored by the Employer or an Affiliate thereof.</w:t>
      </w:r>
    </w:p>
    <w:p>
      <w:pPr>
        <w:spacing w:after="0" w:line="17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7"/>
          <w:szCs w:val="17"/>
          <w:u w:val="single" w:color="auto"/>
          <w:color w:val="auto"/>
        </w:rPr>
        <w:t>Payments Upon Termination</w:t>
      </w:r>
      <w:r>
        <w:rPr>
          <w:rFonts w:ascii="Arial" w:cs="Arial" w:eastAsia="Arial" w:hAnsi="Arial"/>
          <w:sz w:val="17"/>
          <w:szCs w:val="17"/>
          <w:color w:val="auto"/>
        </w:rPr>
        <w:t>.</w:t>
      </w:r>
    </w:p>
    <w:p>
      <w:pPr>
        <w:spacing w:after="0" w:line="206" w:lineRule="exact"/>
        <w:rPr>
          <w:sz w:val="20"/>
          <w:szCs w:val="20"/>
          <w:color w:val="auto"/>
        </w:rPr>
      </w:pPr>
    </w:p>
    <w:p>
      <w:pPr>
        <w:jc w:val="both"/>
        <w:ind w:firstLine="594"/>
        <w:spacing w:after="0" w:line="282" w:lineRule="auto"/>
        <w:tabs>
          <w:tab w:leader="none" w:pos="119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Accrued Benefits</w:t>
      </w:r>
      <w:r>
        <w:rPr>
          <w:rFonts w:ascii="Arial" w:cs="Arial" w:eastAsia="Arial" w:hAnsi="Arial"/>
          <w:sz w:val="18"/>
          <w:szCs w:val="18"/>
          <w:color w:val="auto"/>
        </w:rPr>
        <w:t>. Upon any Termination occurring on or within two years following a Change in Control, Executive shall receive (i) any unpaid Base Salary through the date of such Executive’s Termination, (ii) unless the Termination is for Cause, any bonus unpaid as of the date of such Executive’s Termination for any previously completed fiscal year of the Company, and (iii) unless the Termination is for Cause, a pro rata bonus for the fiscal year of the Company in which such Executive’s Termination occurs, determined by multiplying the Executive’s Target Bonus for such fiscal year by a fraction, the numerator of which is the number of days from the beginning of such fiscal year to the date of the Termination, and the denominator of which is 365. In addition, Executive shall be entitled to prompt reimbursement of any unreimbursed expenses properly incurred by such Executive in accordance with Company policies prior to the date of such Executive’s Termination. Executive shall also receive such other compensation (including any stock options or other equity-related payments) and benefits, if any, to which such Executive may be entitled from time to time pursuant to the terms and conditions of the employee compensation, incentive, equity, benefit or fringe benefit plans, policies, or programs of the Company, other than any Company severance policy.</w:t>
      </w:r>
    </w:p>
    <w:p>
      <w:pPr>
        <w:spacing w:after="0" w:line="161" w:lineRule="exact"/>
        <w:rPr>
          <w:rFonts w:ascii="Arial" w:cs="Arial" w:eastAsia="Arial" w:hAnsi="Arial"/>
          <w:sz w:val="18"/>
          <w:szCs w:val="18"/>
          <w:color w:val="auto"/>
        </w:rPr>
      </w:pPr>
    </w:p>
    <w:p>
      <w:pPr>
        <w:jc w:val="both"/>
        <w:ind w:firstLine="594"/>
        <w:spacing w:after="0" w:line="292" w:lineRule="auto"/>
        <w:tabs>
          <w:tab w:leader="none" w:pos="119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 If (i) Executive’s employment with his or her Employer (x) is involuntarily Terminated by the Employer within two years following a Change in Control, other than due to Cause, Total Disability or death, or (y) is Terminated by Executive for Good Reason within two years following a Change in Control, and (ii) Executive executes a Release at the time and in the manner prescribed by the Company (but in no event later than forty-five (45) days following Executive’s</w:t>
      </w:r>
    </w:p>
    <w:p>
      <w:pPr>
        <w:sectPr>
          <w:pgSz w:w="11900" w:h="16838" w:orient="portrait"/>
          <w:cols w:equalWidth="0" w:num="1">
            <w:col w:w="10640"/>
          </w:cols>
          <w:pgMar w:left="920" w:top="13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Termination of Employment), and does not revoke such Release, Executive shall be entitled to the following:</w:t>
      </w:r>
    </w:p>
    <w:p>
      <w:pPr>
        <w:spacing w:after="0" w:line="206" w:lineRule="exact"/>
        <w:rPr>
          <w:sz w:val="20"/>
          <w:szCs w:val="20"/>
          <w:color w:val="auto"/>
        </w:rPr>
      </w:pPr>
    </w:p>
    <w:p>
      <w:pPr>
        <w:jc w:val="right"/>
        <w:spacing w:after="0"/>
        <w:tabs>
          <w:tab w:leader="none" w:pos="82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u w:val="single" w:color="auto"/>
          <w:color w:val="auto"/>
        </w:rPr>
        <w:t>Cash Severance Pay</w:t>
      </w:r>
      <w:r>
        <w:rPr>
          <w:rFonts w:ascii="Arial" w:cs="Arial" w:eastAsia="Arial" w:hAnsi="Arial"/>
          <w:sz w:val="18"/>
          <w:szCs w:val="18"/>
          <w:color w:val="auto"/>
        </w:rPr>
        <w:t>. Executive shall receive a lump sum cash payment equal to two (2) times (three</w:t>
      </w:r>
    </w:p>
    <w:p>
      <w:pPr>
        <w:spacing w:after="0" w:line="22" w:lineRule="exact"/>
        <w:rPr>
          <w:sz w:val="20"/>
          <w:szCs w:val="20"/>
          <w:color w:val="auto"/>
        </w:rPr>
      </w:pPr>
    </w:p>
    <w:p>
      <w:pPr>
        <w:ind w:left="1800" w:hanging="9"/>
        <w:spacing w:after="0" w:line="267" w:lineRule="auto"/>
        <w:tabs>
          <w:tab w:leader="none" w:pos="2102" w:val="left"/>
        </w:tabs>
        <w:numPr>
          <w:ilvl w:val="0"/>
          <w:numId w:val="91"/>
        </w:numPr>
        <w:rPr>
          <w:rFonts w:ascii="Arial" w:cs="Arial" w:eastAsia="Arial" w:hAnsi="Arial"/>
          <w:sz w:val="20"/>
          <w:szCs w:val="20"/>
          <w:color w:val="auto"/>
        </w:rPr>
      </w:pPr>
      <w:r>
        <w:rPr>
          <w:rFonts w:ascii="Arial" w:cs="Arial" w:eastAsia="Arial" w:hAnsi="Arial"/>
          <w:sz w:val="20"/>
          <w:szCs w:val="20"/>
          <w:color w:val="auto"/>
        </w:rPr>
        <w:t>times for the Chief Executive Officer of the Company as of the date the Change in Control occurs) the sum of Executive’s (i) Base Salary and (ii) Target Bonus.</w:t>
      </w:r>
    </w:p>
    <w:p>
      <w:pPr>
        <w:spacing w:after="0" w:line="157" w:lineRule="exact"/>
        <w:rPr>
          <w:sz w:val="20"/>
          <w:szCs w:val="20"/>
          <w:color w:val="auto"/>
        </w:rPr>
      </w:pPr>
    </w:p>
    <w:p>
      <w:pPr>
        <w:jc w:val="both"/>
        <w:ind w:left="1800"/>
        <w:spacing w:after="0" w:line="27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Payment for Value of Benefits Continuation</w:t>
      </w:r>
      <w:r>
        <w:rPr>
          <w:rFonts w:ascii="Arial" w:cs="Arial" w:eastAsia="Arial" w:hAnsi="Arial"/>
          <w:sz w:val="19"/>
          <w:szCs w:val="19"/>
          <w:color w:val="auto"/>
        </w:rPr>
        <w:t>. Executive shall receive a lump sum cash payment equal to the product of (i) the aggregate monthly premiums (both employee and Employer portions) for the Employer-provided medical, dental, and life insurance coverages that Executive was enrolled in prior to the date of the Change in Control or prior to the date of Executive’s Termination, whichever amount is greater, and (ii) twenty-four (thirty-six for the Chief Executive Officer of the Company as of the date the Change in Control occurs).</w:t>
      </w:r>
    </w:p>
    <w:p>
      <w:pPr>
        <w:spacing w:after="0" w:line="156"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Form and Time of Payment; Non-Duplication of Benefits</w:t>
      </w:r>
      <w:r>
        <w:rPr>
          <w:rFonts w:ascii="Arial" w:cs="Arial" w:eastAsia="Arial" w:hAnsi="Arial"/>
          <w:sz w:val="18"/>
          <w:szCs w:val="18"/>
          <w:color w:val="auto"/>
        </w:rPr>
        <w:t>.</w:t>
      </w:r>
    </w:p>
    <w:p>
      <w:pPr>
        <w:spacing w:after="0" w:line="206" w:lineRule="exact"/>
        <w:rPr>
          <w:sz w:val="20"/>
          <w:szCs w:val="20"/>
          <w:color w:val="auto"/>
        </w:rPr>
      </w:pPr>
    </w:p>
    <w:p>
      <w:pPr>
        <w:jc w:val="both"/>
        <w:ind w:left="600" w:firstLine="594"/>
        <w:spacing w:after="0" w:line="291" w:lineRule="auto"/>
        <w:tabs>
          <w:tab w:leader="none" w:pos="179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Form and Time of Payment</w:t>
      </w:r>
      <w:r>
        <w:rPr>
          <w:rFonts w:ascii="Arial" w:cs="Arial" w:eastAsia="Arial" w:hAnsi="Arial"/>
          <w:sz w:val="18"/>
          <w:szCs w:val="18"/>
          <w:color w:val="auto"/>
        </w:rPr>
        <w:t>. The accrued benefits payable to an Executive by his or her Employer under Section 2(a) shall be paid to such Executive in a single lump sum less applicable withholdings no later than 15 business days after Executive’s date of Termination. Subject to Section 12, the cash payments payable to an Executive by his or her Employer under Section 2(b) shall be paid no later than (i) 15 business days after Executive’s date of Termination or (ii) the expiration of the revocation period, if applicable, under the Release, which Release must be executed within 45 days following the date of Termination, whichever is later.</w:t>
      </w:r>
    </w:p>
    <w:p>
      <w:pPr>
        <w:spacing w:after="0" w:line="138" w:lineRule="exact"/>
        <w:rPr>
          <w:rFonts w:ascii="Arial" w:cs="Arial" w:eastAsia="Arial" w:hAnsi="Arial"/>
          <w:sz w:val="18"/>
          <w:szCs w:val="18"/>
          <w:color w:val="auto"/>
        </w:rPr>
      </w:pPr>
    </w:p>
    <w:p>
      <w:pPr>
        <w:jc w:val="both"/>
        <w:ind w:left="600" w:firstLine="594"/>
        <w:spacing w:after="0" w:line="256" w:lineRule="auto"/>
        <w:tabs>
          <w:tab w:leader="none" w:pos="179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Non-Duplication of Benefits</w:t>
      </w:r>
      <w:r>
        <w:rPr>
          <w:rFonts w:ascii="Arial" w:cs="Arial" w:eastAsia="Arial" w:hAnsi="Arial"/>
          <w:sz w:val="20"/>
          <w:szCs w:val="20"/>
          <w:color w:val="auto"/>
        </w:rPr>
        <w:t>. The severance benefits provided pursuant to Section 2(b) hereof are in lieu of, and not in addition to, any severance benefits payable to the Executive under any other plan, program, or arrangement of the Company, the Employer, or any of their Affiliates. However, such benefits shall not be deemed to be in lieu of any equity-related vesting or payments and payments under any tax-qualified or nonqualified retirement plan, or any other type of benefit not specifically provided for in Section 2(b).</w:t>
      </w:r>
    </w:p>
    <w:p>
      <w:pPr>
        <w:spacing w:after="0" w:line="167"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Tax Withholding</w:t>
      </w:r>
      <w:r>
        <w:rPr>
          <w:rFonts w:ascii="Arial" w:cs="Arial" w:eastAsia="Arial" w:hAnsi="Arial"/>
          <w:sz w:val="20"/>
          <w:szCs w:val="20"/>
          <w:color w:val="auto"/>
        </w:rPr>
        <w:t>. The Employer shall withhold from any amount payable to an Executive pursuant to this Plan, and shall remit to the appropriate governmental authority, any income, employment or other tax the Employer is required by applicable law to so withhold from and remit on behalf of such Executive.</w:t>
      </w:r>
    </w:p>
    <w:p>
      <w:pPr>
        <w:spacing w:after="0" w:line="167"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u w:val="single" w:color="auto"/>
          <w:color w:val="auto"/>
        </w:rPr>
        <w:t>Limitation of Certain Payments</w:t>
      </w:r>
      <w:r>
        <w:rPr>
          <w:rFonts w:ascii="Arial" w:cs="Arial" w:eastAsia="Arial" w:hAnsi="Arial"/>
          <w:sz w:val="18"/>
          <w:szCs w:val="18"/>
          <w:color w:val="auto"/>
        </w:rPr>
        <w:t>.</w:t>
      </w:r>
    </w:p>
    <w:p>
      <w:pPr>
        <w:spacing w:after="0" w:line="218" w:lineRule="exact"/>
        <w:rPr>
          <w:sz w:val="20"/>
          <w:szCs w:val="20"/>
          <w:color w:val="auto"/>
        </w:rPr>
      </w:pPr>
    </w:p>
    <w:p>
      <w:pPr>
        <w:jc w:val="both"/>
        <w:ind w:left="600" w:firstLine="594"/>
        <w:spacing w:after="0" w:line="254" w:lineRule="auto"/>
        <w:tabs>
          <w:tab w:leader="none" w:pos="1791"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 the event the Employer reasonably determines, based upon the advice of the independent public accountants for the Employer, that part or all of the consideration, compensation or benefits to be paid to Executive under this Plan constitute “parachute payments” under Section 280G(b)(2) of the Code, then, if the aggregate present value of such parachute payments, singularly or together with the aggregate</w:t>
      </w:r>
    </w:p>
    <w:p>
      <w:pPr>
        <w:sectPr>
          <w:pgSz w:w="11900" w:h="16838" w:orient="portrait"/>
          <w:cols w:equalWidth="0" w:num="1">
            <w:col w:w="11240"/>
          </w:cols>
          <w:pgMar w:left="320" w:top="133"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00"/>
        <w:spacing w:after="0" w:line="254" w:lineRule="auto"/>
        <w:rPr>
          <w:sz w:val="20"/>
          <w:szCs w:val="20"/>
          <w:color w:val="auto"/>
        </w:rPr>
      </w:pPr>
      <w:r>
        <w:rPr>
          <w:rFonts w:ascii="Arial" w:cs="Arial" w:eastAsia="Arial" w:hAnsi="Arial"/>
          <w:sz w:val="20"/>
          <w:szCs w:val="20"/>
          <w:color w:val="auto"/>
        </w:rPr>
        <w:t>present value of any consideration, compensation or benefits to be paid to Executive under any other plan, arrangement or agreement which constitute “parachute payments” (collectively, the “Parachute Amount”) exceeds one dollar ($1.00) less than three times (3x) Executive’s “base amount”, as defined in Section 280G(b)(3) of the Code (the “Executive Base Amount”), then amounts constituting “parachute payments” which would otherwise be payable to or for the benefit of Executive shall be reduced to the extent necessary so that the Parachute Amount is equal to one dollar ($1.00) less than three times (3x) the Executive Base Amount (the “Reduced Amount”).</w:t>
      </w:r>
    </w:p>
    <w:p>
      <w:pPr>
        <w:spacing w:after="0" w:line="170" w:lineRule="exact"/>
        <w:rPr>
          <w:sz w:val="20"/>
          <w:szCs w:val="20"/>
          <w:color w:val="auto"/>
        </w:rPr>
      </w:pPr>
    </w:p>
    <w:p>
      <w:pPr>
        <w:jc w:val="both"/>
        <w:ind w:left="600" w:firstLine="594"/>
        <w:spacing w:after="0" w:line="267" w:lineRule="auto"/>
        <w:tabs>
          <w:tab w:leader="none" w:pos="179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the determination made pursuant to clause (a) of this Section 5 results in a reduction of the payments that would otherwise be paid to Executive except for the application of clause (a) of this Section 5, the amounts payable or benefits to be provided to Executive shall be reduced such that the after-tax present value of compensation to be provided to Executive is minimized. In applying this principle, the reduction shall be made by applying the following principles, in order: (i) the payment or benefit with the higher ratio of the parachute payment value to present economic value (determined using reasonable actuarial assumptions) shall be reduced or eliminated before a payment or benefit with a lower ratio; (ii) the payment or benefit with the later possible payment date shall be reduced or eliminated before a payment or benefit with an earlier payment date; and (iii) cash payments shall be reduced prior to non-cash benefits; provided that if the foregoing order of reduction or elimination would violate Section 409A of the Code, then the reduction shall be made pro rata among the payments or benefits included in the Parachute Amount (on the basis of the relative present value of the parachute payments).</w:t>
      </w:r>
    </w:p>
    <w:p>
      <w:pPr>
        <w:spacing w:after="0" w:line="157" w:lineRule="exact"/>
        <w:rPr>
          <w:rFonts w:ascii="Arial" w:cs="Arial" w:eastAsia="Arial" w:hAnsi="Arial"/>
          <w:sz w:val="19"/>
          <w:szCs w:val="19"/>
          <w:color w:val="auto"/>
        </w:rPr>
      </w:pPr>
    </w:p>
    <w:p>
      <w:pPr>
        <w:jc w:val="both"/>
        <w:ind w:left="600" w:firstLine="594"/>
        <w:spacing w:after="0" w:line="267" w:lineRule="auto"/>
        <w:tabs>
          <w:tab w:leader="none" w:pos="1791" w:val="left"/>
        </w:tabs>
        <w:numPr>
          <w:ilvl w:val="0"/>
          <w:numId w:val="94"/>
        </w:numPr>
        <w:rPr>
          <w:rFonts w:ascii="Arial" w:cs="Arial" w:eastAsia="Arial" w:hAnsi="Arial"/>
          <w:sz w:val="19"/>
          <w:szCs w:val="19"/>
          <w:color w:val="auto"/>
        </w:rPr>
      </w:pPr>
      <w:r>
        <w:rPr>
          <w:rFonts w:ascii="Arial" w:cs="Arial" w:eastAsia="Arial" w:hAnsi="Arial"/>
          <w:sz w:val="19"/>
          <w:szCs w:val="19"/>
          <w:color w:val="auto"/>
        </w:rPr>
        <w:t>As a result of the uncertainty in the application of Section 280G of the Code at the time of a determination hereunder, it is possible that payments will be made by the Employer which should not have been made under clause (a) of this Section 5 (“Overpayment”) or that additional payments which are not made by the Employer pursuant to clause (a) of this Section 5 should have been made (“Underpayment”). In the event that there is a final determination by the Internal Revenue Service, or a final determination by a court of competent jurisdiction, that an Overpayment has been made, any such Overpayment shall be repaid by Executive to the Employer 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Plan, any such Underpayment shall be promptly paid by the Employer to or for the benefit of Executive, together with interest at the applicable Federal rate provided for in Section 7872(f)(2) of the Code.</w:t>
      </w:r>
    </w:p>
    <w:p>
      <w:pPr>
        <w:spacing w:after="0" w:line="158" w:lineRule="exact"/>
        <w:rPr>
          <w:sz w:val="20"/>
          <w:szCs w:val="20"/>
          <w:color w:val="auto"/>
        </w:rPr>
      </w:pPr>
    </w:p>
    <w:p>
      <w:pPr>
        <w:jc w:val="both"/>
        <w:ind w:firstLine="597"/>
        <w:spacing w:after="0" w:line="27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Plan Administration</w:t>
      </w:r>
      <w:r>
        <w:rPr>
          <w:rFonts w:ascii="Arial" w:cs="Arial" w:eastAsia="Arial" w:hAnsi="Arial"/>
          <w:sz w:val="19"/>
          <w:szCs w:val="19"/>
          <w:color w:val="auto"/>
        </w:rPr>
        <w:t>. This Plan shall be administered by the Compensation Policy Committee of the Board. The Committee shall have the authority to interpret and implement the provisions of this Plan and to determine eligibility for benefits under the Plan, provided that any such action shall be taken in good faith. The Committee shall perform all of the duties and exercise all of the powers and discretion that the Committee deems necessary or appropriate for the proper administration of this Plan. Every interpretation, choice, determination or other exercise by the Committee in good faith of any power or discretion given</w:t>
      </w:r>
    </w:p>
    <w:p>
      <w:pPr>
        <w:sectPr>
          <w:pgSz w:w="11900" w:h="16838" w:orient="portrait"/>
          <w:cols w:equalWidth="0" w:num="1">
            <w:col w:w="11240"/>
          </w:cols>
          <w:pgMar w:left="320" w:top="133" w:right="339" w:bottom="1440" w:gutter="0" w:footer="0" w:header="0"/>
        </w:sectPr>
      </w:pPr>
    </w:p>
    <w:bookmarkStart w:id="167" w:name="page168"/>
    <w:bookmarkEnd w:id="167"/>
    <w:p>
      <w:pPr>
        <w:ind w:left="11140"/>
        <w:spacing w:after="0"/>
        <w:rPr>
          <w:sz w:val="20"/>
          <w:szCs w:val="20"/>
          <w:color w:val="auto"/>
        </w:rPr>
      </w:pPr>
      <w:r>
        <w:rPr>
          <w:rFonts w:ascii="Arial" w:cs="Arial" w:eastAsia="Arial" w:hAnsi="Arial"/>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either expressly or by implication to it shall be conclusive and binding upon all parties having or claiming to have an interest under this Plan or otherwise directly or indirectly affected by such action, without restriction, however, upon the right of the Committee to reconsider or redetermine such action. The Committee may adopt such rules and regulations for the administration of this Plan as are consistent with the terms hereof, and shall keep adequate records of its proceedings and acts. The Committee may employ such agents, accountants and legal counsel (who may be agents, accountants and legal counsel for an Employer) as may be appropriate for the administration of the Plan. All reasonable administration expenses incurred by the Committee in connection with the administration of the Plan shall be paid by the Employer.</w:t>
      </w:r>
    </w:p>
    <w:p>
      <w:pPr>
        <w:spacing w:after="0" w:line="176"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any person (hereinafter called the “Claimant”) feels he or she is being denied a benefit to which he or she is entitled under this Plan, such Claimant may file a written claim for said benefit with the Chair of the Committee. Within 60 days of the receipt of such claim the Committee shall determine and notify the Claimant as to whether he or she is entitled to such benefit. Such notification shall be in writing and, if denying the claim for benefit, shall set forth the specific reason or reasons for the denial, make specific reference to the pertinent Plan provisions, and advise the Claimant that he or she may, within 60 days of the receipt of such notice, request in writing to appear before the Committee or its designated representative for a hearing to review such denial. Any such hearing shall be scheduled at the mutual convenience of the Committee or its designated representative and the Claimant, and at such hearing the Claimant and/or his or her duly authorized representative may examine any relevant documents and present evidence and arguments to support the granting of the benefit being claimed. The final decision of the Committee with respect to the claim being reviewed shall be made within 60 days following the hearing thereon, and the Committee shall in writing notify the Claimant of its final decision, again specifying the reasons therefor and the pertinent Plan provisions upon which such decision is based and all other information required by ERISA. The final decision of the Committee, if made in good faith, shall be conclusive and binding upon all parties having or claiming to have an interest in the matter being reviewed. A Claimant who substantially prevails on a claim brought pursuant to this Section 7 shall be entitled to reasonable attorney’s fees and expenses reasonably incurred in presenting the claim.</w:t>
      </w:r>
    </w:p>
    <w:p>
      <w:pPr>
        <w:spacing w:after="0" w:line="154"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Plan Amendment and Termination</w:t>
      </w:r>
      <w:r>
        <w:rPr>
          <w:rFonts w:ascii="Arial" w:cs="Arial" w:eastAsia="Arial" w:hAnsi="Arial"/>
          <w:sz w:val="19"/>
          <w:szCs w:val="19"/>
          <w:color w:val="auto"/>
        </w:rPr>
        <w:t>. The Company shall have the right and power at any time and from time to time to amend this Plan, in whole or in part, by written document executed by its duly authorized representative and at any time to terminate this Plan; provided, however, that no such amendment or termination shall be permitted after a definitive agreement that would effect a Change in Control has been entered into by the Company (or, if there is no such agreement, after the Change in Control occurs), other than amendments that do not adversely affect the rights of the Executives under the Plan. The Plan shall automatically terminate (other than with respect to benefits owed to Executives who previously experienced a Termination) two years and one day after the occurrence of the first Change in Control following the adoption of this Plan.</w:t>
      </w:r>
    </w:p>
    <w:p>
      <w:pPr>
        <w:spacing w:after="0" w:line="159"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Nature of Plan and Rights</w:t>
      </w:r>
      <w:r>
        <w:rPr>
          <w:rFonts w:ascii="Arial" w:cs="Arial" w:eastAsia="Arial" w:hAnsi="Arial"/>
          <w:sz w:val="20"/>
          <w:szCs w:val="20"/>
          <w:color w:val="auto"/>
        </w:rPr>
        <w:t>. This Plan is an unfunded employee welfare benefit plan and no provision of this Plan shall be deemed or construed to create a trust fund of any kind or to grant a property interest of any kind to any Executive or former Executive. Any payment which becomes due under this Plan to an Executive shall be made by his or her</w:t>
      </w:r>
    </w:p>
    <w:p>
      <w:pPr>
        <w:sectPr>
          <w:pgSz w:w="11900" w:h="16838" w:orient="portrait"/>
          <w:cols w:equalWidth="0" w:num="1">
            <w:col w:w="11240"/>
          </w:cols>
          <w:pgMar w:left="320" w:top="133"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Employer out of its general assets, and the right of any Executive to receive a payment hereunder from his or her Employer shall be no greater than the right of any unsecured general creditor of such Employer.</w:t>
      </w:r>
    </w:p>
    <w:p>
      <w:pPr>
        <w:spacing w:after="0" w:line="153"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20"/>
          <w:szCs w:val="20"/>
          <w:color w:val="auto"/>
        </w:rPr>
        <w:t>Section 10.</w:t>
      </w:r>
      <w:r>
        <w:rPr>
          <w:sz w:val="20"/>
          <w:szCs w:val="20"/>
          <w:color w:val="auto"/>
        </w:rPr>
        <w:tab/>
      </w:r>
      <w:r>
        <w:rPr>
          <w:rFonts w:ascii="Arial" w:cs="Arial" w:eastAsia="Arial" w:hAnsi="Arial"/>
          <w:sz w:val="18"/>
          <w:szCs w:val="18"/>
          <w:u w:val="single" w:color="auto"/>
          <w:color w:val="auto"/>
        </w:rPr>
        <w:t>Entire Agreement; No Employment Contract</w:t>
      </w:r>
      <w:r>
        <w:rPr>
          <w:rFonts w:ascii="Arial" w:cs="Arial" w:eastAsia="Arial" w:hAnsi="Arial"/>
          <w:sz w:val="18"/>
          <w:szCs w:val="18"/>
          <w:color w:val="auto"/>
        </w:rPr>
        <w:t>.</w:t>
      </w:r>
    </w:p>
    <w:p>
      <w:pPr>
        <w:spacing w:after="0" w:line="218" w:lineRule="exact"/>
        <w:rPr>
          <w:sz w:val="20"/>
          <w:szCs w:val="20"/>
          <w:color w:val="auto"/>
        </w:rPr>
      </w:pPr>
    </w:p>
    <w:p>
      <w:pPr>
        <w:jc w:val="both"/>
        <w:ind w:left="600" w:firstLine="594"/>
        <w:spacing w:after="0" w:line="272" w:lineRule="auto"/>
        <w:tabs>
          <w:tab w:leader="none" w:pos="1791"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This Plan constitutes the entire agreement between the parties and, except as expressly provided herein, supersedes the provisions of all other prior agreements expressly concerning the effect of a Termination of Employment in connection with or following a Change in Control on the relationship between the Company and its Affiliates and Executive (but, not, for the avoidance of doubt, any equity-related plan or agreement or any tax-qualified or nonqualified retirement plan).</w:t>
      </w:r>
    </w:p>
    <w:p>
      <w:pPr>
        <w:spacing w:after="0" w:line="154" w:lineRule="exact"/>
        <w:rPr>
          <w:rFonts w:ascii="Arial" w:cs="Arial" w:eastAsia="Arial" w:hAnsi="Arial"/>
          <w:sz w:val="19"/>
          <w:szCs w:val="19"/>
          <w:color w:val="auto"/>
        </w:rPr>
      </w:pPr>
    </w:p>
    <w:p>
      <w:pPr>
        <w:jc w:val="both"/>
        <w:ind w:left="600" w:firstLine="594"/>
        <w:spacing w:after="0" w:line="265" w:lineRule="auto"/>
        <w:tabs>
          <w:tab w:leader="none" w:pos="179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This Plan does not constitute an employment contract and, except as expressly provided herein, this Plan shall not interfere in any way with the right of the Company to reduce Executive’s compensation or other benefits or terminate Executive’s employment, with or without Cause.</w:t>
      </w:r>
    </w:p>
    <w:p>
      <w:pPr>
        <w:spacing w:after="0" w:line="159"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Notices</w:t>
      </w:r>
      <w:r>
        <w:rPr>
          <w:rFonts w:ascii="Arial" w:cs="Arial" w:eastAsia="Arial" w:hAnsi="Arial"/>
          <w:sz w:val="20"/>
          <w:szCs w:val="20"/>
          <w:color w:val="auto"/>
        </w:rPr>
        <w:t>. Notices and all other communications provided for in this Plan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If to the Company or the Committee:</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Marriott Vacations Worldwide Corporation</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9002 San Marco Court</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Orlando, Florida 32819</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Attn: Human Resources Department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With a copy to:</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Marriott Vacations Worldwide Corporation</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9002 San Marco Court</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Orlando, Florida 32819</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Attn: Law Department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If to Executive, at Executive’s most recent home address on file in the Company’s employment records.</w:t>
      </w:r>
    </w:p>
    <w:p>
      <w:pPr>
        <w:spacing w:after="0" w:line="218" w:lineRule="exact"/>
        <w:rPr>
          <w:sz w:val="20"/>
          <w:szCs w:val="20"/>
          <w:color w:val="auto"/>
        </w:rPr>
      </w:pPr>
    </w:p>
    <w:p>
      <w:pPr>
        <w:jc w:val="both"/>
        <w:ind w:firstLine="597"/>
        <w:spacing w:after="0" w:line="28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Section 409A</w:t>
      </w:r>
      <w:r>
        <w:rPr>
          <w:rFonts w:ascii="Arial" w:cs="Arial" w:eastAsia="Arial" w:hAnsi="Arial"/>
          <w:sz w:val="18"/>
          <w:szCs w:val="18"/>
          <w:color w:val="auto"/>
        </w:rPr>
        <w:t>. The payments and benefits hereunder are intended to be excluded from coverage under Section 409A of the Code as “short-term deferrals” or pursuant to another exception under Section 409A of the Code, and the Plan shall be interpreted accordingly. Notwithstanding the foregoing, if the Company reasonably determines that some or all of the payments and benefits provided by Section 2(b) are not exempt from Section 409A of the Code, and if the Executive is a “specified employee” within the meaning of Section 409A of the Code at the time of the Executive’s Termination, then to the extent necessary to comply with Section</w:t>
      </w:r>
    </w:p>
    <w:p>
      <w:pPr>
        <w:sectPr>
          <w:pgSz w:w="11900" w:h="16838" w:orient="portrait"/>
          <w:cols w:equalWidth="0" w:num="1">
            <w:col w:w="11240"/>
          </w:cols>
          <w:pgMar w:left="320" w:top="133"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409A of the Code, such payments or benefits will not be paid or provided until the first day of the seventh month following the month of the Executive’s Termination (or if earlier, promptly following the Executive’s death).</w:t>
      </w:r>
    </w:p>
    <w:p>
      <w:pPr>
        <w:spacing w:after="0" w:line="153"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Spendthrift Provision</w:t>
      </w:r>
      <w:r>
        <w:rPr>
          <w:rFonts w:ascii="Arial" w:cs="Arial" w:eastAsia="Arial" w:hAnsi="Arial"/>
          <w:sz w:val="20"/>
          <w:szCs w:val="20"/>
          <w:color w:val="auto"/>
        </w:rPr>
        <w:t>. No right or interest of an Executive under this Plan may be assigned, transferred or alienated, in whole or in part, either directly or by operation of law, and no such right or interest shall be liable for or subject to any debt, obligation or liability of such Executive.</w:t>
      </w:r>
    </w:p>
    <w:p>
      <w:pPr>
        <w:spacing w:after="0" w:line="159"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Applicable Law</w:t>
      </w:r>
      <w:r>
        <w:rPr>
          <w:rFonts w:ascii="Arial" w:cs="Arial" w:eastAsia="Arial" w:hAnsi="Arial"/>
          <w:sz w:val="20"/>
          <w:szCs w:val="20"/>
          <w:color w:val="auto"/>
        </w:rPr>
        <w:t>. Except to the extent preempted by federal law, this Plan shall be governed and construed in accordance with the laws of the State of Delaware, without regard to principles of conflicts of laws.</w:t>
      </w:r>
    </w:p>
    <w:p>
      <w:pPr>
        <w:sectPr>
          <w:pgSz w:w="11900" w:h="16838" w:orient="portrait"/>
          <w:cols w:equalWidth="0" w:num="1">
            <w:col w:w="11240"/>
          </w:cols>
          <w:pgMar w:left="320" w:top="133"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60"/>
        <w:spacing w:after="0"/>
        <w:rPr>
          <w:sz w:val="20"/>
          <w:szCs w:val="20"/>
          <w:color w:val="auto"/>
        </w:rPr>
      </w:pPr>
      <w:r>
        <w:rPr>
          <w:rFonts w:ascii="Arial" w:cs="Arial" w:eastAsia="Arial" w:hAnsi="Arial"/>
          <w:sz w:val="20"/>
          <w:szCs w:val="20"/>
          <w:b w:val="1"/>
          <w:bCs w:val="1"/>
          <w:u w:val="single" w:color="auto"/>
          <w:color w:val="auto"/>
        </w:rPr>
        <w:t>Acknowledgment of Plan Participant</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By signing below, I acknowledge that I have read, understand, and agree to abide by, and be bound by, all of the terms and conditions contained herein.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Printed Name of Plan Participant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Signature of Plan Participant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of Signature of Plan Participant</w:t>
      </w:r>
    </w:p>
    <w:p>
      <w:pPr>
        <w:sectPr>
          <w:pgSz w:w="11900" w:h="16838" w:orient="portrait"/>
          <w:cols w:equalWidth="0" w:num="1">
            <w:col w:w="11240"/>
          </w:cols>
          <w:pgMar w:left="320" w:top="133"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20"/>
        <w:spacing w:after="0"/>
        <w:rPr>
          <w:sz w:val="20"/>
          <w:szCs w:val="20"/>
          <w:color w:val="auto"/>
        </w:rPr>
      </w:pPr>
      <w:r>
        <w:rPr>
          <w:rFonts w:ascii="Arial" w:cs="Arial" w:eastAsia="Arial" w:hAnsi="Arial"/>
          <w:sz w:val="20"/>
          <w:szCs w:val="20"/>
          <w:b w:val="1"/>
          <w:bCs w:val="1"/>
          <w:u w:val="single" w:color="auto"/>
          <w:color w:val="auto"/>
        </w:rPr>
        <w:t>EXHIBIT 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POSITIONS COVERED BY THE PLAN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President, MVW</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President, Exchange &amp; Third-Party Management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President, Vacation Ownership</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Operating Officer-Vacation Ownership</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General Counsel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Human Resources Officer</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Information Officer</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Product &amp; Development Officer</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Brand &amp; Digital Strategy Officer</w:t>
      </w:r>
    </w:p>
    <w:p>
      <w:pPr>
        <w:sectPr>
          <w:pgSz w:w="11900" w:h="16838" w:orient="portrait"/>
          <w:cols w:equalWidth="0" w:num="1">
            <w:col w:w="11240"/>
          </w:cols>
          <w:pgMar w:left="320" w:top="133"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SAMPLE WAIVER AND RELEASE</w:t>
      </w:r>
    </w:p>
    <w:p>
      <w:pPr>
        <w:spacing w:after="0" w:line="212"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8"/>
          <w:szCs w:val="18"/>
          <w:color w:val="auto"/>
        </w:rPr>
        <w:t xml:space="preserve">For and in consideration of the payments and other benefits due to </w:t>
      </w:r>
      <w:r>
        <w:rPr>
          <w:rFonts w:ascii="Arial" w:cs="Arial" w:eastAsia="Arial" w:hAnsi="Arial"/>
          <w:sz w:val="18"/>
          <w:szCs w:val="18"/>
          <w:color w:val="auto"/>
          <w:highlight w:val="yellow"/>
        </w:rPr>
        <w:t>Name of Executive</w:t>
      </w:r>
      <w:r>
        <w:rPr>
          <w:rFonts w:ascii="Arial" w:cs="Arial" w:eastAsia="Arial" w:hAnsi="Arial"/>
          <w:sz w:val="18"/>
          <w:szCs w:val="18"/>
          <w:color w:val="auto"/>
        </w:rPr>
        <w:t xml:space="preserve"> (“Executive”) pursuant to the Marriott Vacations Worldwide Corporation Change in Control Severance Plan (the “Plan”), and for other good and valuable consideration, Executive hereby agrees, for Executive, Executive’s spouse and child or children (if any), Executive’s heirs, beneficiaries, devisees, executors, administrators, attorneys, personal representatives, successors and assigns, to forever waive and release all known and unknown claims and causes of action, arising on or before the date of Executive's execution of this Waiver and Release, against Marriott Vacations Worldwide Corporation (the “Company”) or any of its divisions, affiliates, subsidiaries, parents, branches, predecessors, successors, assigns, and with respect to such entities, their officers, directors, trustees, employees, agents, shareholders, administrators, general or limited partners, representatives, attorneys, insurers and fiduciaries, past, present and future (the “Released Parties”), including, but not limited to, all such claims and causes of action which in any way pertain to Executive’s employment with and/or termination of employment from the Company, all allegations of employment discrimination, harassment, retaliation, and whistleblower retaliation, and/or all other occurrences whatsoever, including but not limited to the Age Discrimination in Employment Act, Title VII of the Civil Rights Act of 1964, as amended, 42 U.S.C. Section 2000e et seq., the Fair Labor Standards Act, as amended, 29 U.S.C. Section 201 et seq., the Americans with Disabilities Act, as amended, 42 U.S.C. Section 12101 et seq., the Reconstruction Era Civil Rights Act, as amended, 42 U.S.C. Section 1981 et seq., the Rehabilitation Act of 1973, as amended, 29 U.S.C. Section 701 et seq., the Family and Medical Leave Act of 1993, 29 U.S.C. Section 2601 et seq., the Employee Retirement Income Security Act, 29 U.S.C. 1001 et seq., the Genetic Information Non-Discrimination Act, 42 U.S.C. Section 2000ff et seq., the False Claims Act, 31 U.S.C. Section 3729 et seq.; and any and all state or local laws regarding employment discrimination, harassment, retaliation, and whistleblower retaliation and/or federal, state or local laws and common laws of any type or description regarding employment, including but not limited to any claims arising from or derivative of Executive’s employment with the Company and its Affiliates, as well as any and all such claims under state contract, tort, or common law.</w:t>
      </w:r>
    </w:p>
    <w:p>
      <w:pPr>
        <w:spacing w:after="0" w:line="153" w:lineRule="exact"/>
        <w:rPr>
          <w:sz w:val="20"/>
          <w:szCs w:val="20"/>
          <w:color w:val="auto"/>
        </w:rPr>
      </w:pPr>
    </w:p>
    <w:p>
      <w:pPr>
        <w:jc w:val="both"/>
        <w:ind w:firstLine="597"/>
        <w:spacing w:after="0" w:line="283" w:lineRule="auto"/>
        <w:rPr>
          <w:sz w:val="20"/>
          <w:szCs w:val="20"/>
          <w:color w:val="auto"/>
        </w:rPr>
      </w:pPr>
      <w:r>
        <w:rPr>
          <w:rFonts w:ascii="Arial" w:cs="Arial" w:eastAsia="Arial" w:hAnsi="Arial"/>
          <w:sz w:val="18"/>
          <w:szCs w:val="18"/>
          <w:color w:val="auto"/>
        </w:rPr>
        <w:t>Executive also hereby agrees to comply with all reasonable requests from the Company or the Released Parties for assistance and/or information in connection with any matters relating to the duties and responsibilities of Executive's employment, including without limitation, consulting with any employees in connection with the transition of ongoing matters; consulting with attorneys of the Company or any Released Parties; appearing as a witness in connection with any dispute, controversy, action, or proceeding of any kind; and making himself/herself available to attorneys of the Company or any Released Parties in advance of witness appearances for purposes of preparation upon the request of the Company or the Released Parties and with reasonable advance notification without the need for a subpoena. In connection with any of Executive’s cooperation efforts, Executive shall be entitled to receive reimbursement of actual and proven lost wages and reasonable travel and other out-of-pocket expenses, provided that</w:t>
      </w:r>
    </w:p>
    <w:p>
      <w:pPr>
        <w:sectPr>
          <w:pgSz w:w="11900" w:h="16838" w:orient="portrait"/>
          <w:cols w:equalWidth="0" w:num="1">
            <w:col w:w="11240"/>
          </w:cols>
          <w:pgMar w:left="320" w:top="133"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those expenses are submitted pursuant to and are in conformance with the Company’s then-applicable policy relating to expense reimbursement</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Executive has read this Waiver and Release carefully, acknowledges that Executive has been given at least forty-five (45) days to consider all of its terms and has been advised to consult with an attorney and any other advisors of Executive’s choice prior to executing this Waiver and Release, and Executive fully understands that by signing below Executive is voluntarily giving up any right which Executive may have to sue or bring any other claims against the Released Parties, including any rights and claims under the Age Discrimination in Employment Act. Executive also understands that Executive has a period of seven (7) days after signing this Waiver and Release within which to revoke his or her agreement, and that neither the Company nor any other person is obligated to make any payments or provide any other benefits to Executive pursuant to the Plan until eight (8) days have passed since Executive’s signing of this Waiver and Release without Executive’s signature having been revoked other than any accrued obligations or other benefits payable pursuant to the terms of the Company’s normal payroll practices or employee benefit plans. Finally, Executive has not been forced or pressured in any manner whatsoever to sign this Waiver and Release, and Executive agrees to all of its terms voluntarily.</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Notwithstanding anything else herein to the contrary, this Waiver and Release shall not affect: (i) the Company’s obligations under any compensation or employee benefit plan, program or arrangement (including, without limitation, obligations to Executive under any stock option, stock award or agreements or obligations under any pension, deferred compensation or retention plan) provided by the Affiliated Entities where Executive’s compensation or benefits are intended to continue or Executive is to be provided with compensation or benefits, in accordance with the express written terms of such plan, program or arrangement, beyond the date of Executive’s termination; or (ii) rights to indemnification or liability insurance coverage Executive may have under the by-laws of the Company or applicable law.</w:t>
      </w:r>
    </w:p>
    <w:p>
      <w:pPr>
        <w:spacing w:after="0" w:line="145" w:lineRule="exact"/>
        <w:rPr>
          <w:sz w:val="20"/>
          <w:szCs w:val="20"/>
          <w:color w:val="auto"/>
        </w:rPr>
      </w:pPr>
    </w:p>
    <w:p>
      <w:pPr>
        <w:jc w:val="both"/>
        <w:ind w:firstLine="597"/>
        <w:spacing w:after="0" w:line="259" w:lineRule="auto"/>
        <w:rPr>
          <w:sz w:val="20"/>
          <w:szCs w:val="20"/>
          <w:color w:val="auto"/>
        </w:rPr>
      </w:pPr>
      <w:r>
        <w:rPr>
          <w:rFonts w:ascii="Arial" w:cs="Arial" w:eastAsia="Arial" w:hAnsi="Arial"/>
          <w:sz w:val="20"/>
          <w:szCs w:val="20"/>
          <w:color w:val="auto"/>
        </w:rPr>
        <w:t>In addition, excluded from this Waiver and Release are any claims which by law cannot be waived, including but not limited to the right to file a charge with or participate in an investigation by the Equal Employment Opportunity Commission ("EEOC"). Executive does, however, hereby waive all rights to recover any money, benefits or reinstatement should the EEOC or any other agency or individual pursue any claims on Executive's behalf.</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This Waiver and Release is final and binding and may not be changed or modified except in a writing signed by both parties.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 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Date Executive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 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Date CEO</w:t>
      </w:r>
    </w:p>
    <w:p>
      <w:pPr>
        <w:spacing w:after="0" w:line="6"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Marriott Vacations Worldwide Corporation</w:t>
      </w:r>
    </w:p>
    <w:p>
      <w:pPr>
        <w:sectPr>
          <w:pgSz w:w="11900" w:h="16838" w:orient="portrait"/>
          <w:cols w:equalWidth="0" w:num="1">
            <w:col w:w="11240"/>
          </w:cols>
          <w:pgMar w:left="320" w:top="133"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PARTICIPATION AGREEMENT</w:t>
      </w:r>
    </w:p>
    <w:p>
      <w:pPr>
        <w:spacing w:after="0" w:line="28"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FOR CHANGE IN CONTROL SEVERANCE PLAN</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This Participation Agreement (the “Agreement”) is made and entered into by and between ___________ (the “Executive”)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 a Delaware corporation (the “Company”), effective as of _____________, 2022 (the “Effective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2" w:lineRule="exact"/>
        <w:rPr>
          <w:sz w:val="20"/>
          <w:szCs w:val="20"/>
          <w:color w:val="auto"/>
        </w:rPr>
      </w:pPr>
    </w:p>
    <w:p>
      <w:pPr>
        <w:ind w:left="1180" w:hanging="583"/>
        <w:spacing w:after="0"/>
        <w:tabs>
          <w:tab w:leader="none" w:pos="11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Executive is a key member of the executive and management team of the Company.</w:t>
      </w:r>
    </w:p>
    <w:p>
      <w:pPr>
        <w:spacing w:after="0" w:line="205" w:lineRule="exact"/>
        <w:rPr>
          <w:rFonts w:ascii="Arial" w:cs="Arial" w:eastAsia="Arial" w:hAnsi="Arial"/>
          <w:sz w:val="20"/>
          <w:szCs w:val="20"/>
          <w:color w:val="auto"/>
        </w:rPr>
      </w:pPr>
    </w:p>
    <w:p>
      <w:pPr>
        <w:jc w:val="both"/>
        <w:ind w:firstLine="597"/>
        <w:spacing w:after="0" w:line="259" w:lineRule="auto"/>
        <w:tabs>
          <w:tab w:leader="none" w:pos="119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Company maintains the Marriott Vacations Worldwide Corporation Change in Control Severance Plan (the “Plan”), administered by the Compensation Policy Committee of the Company’s Board of Directors (“Committee”), to provide for specified severance benefits in connection with certain terminations of employment within two years following a Change in Control. Capitalized terms used but not defined herein shall have the meanings ascribed to such terms in the Plan.</w:t>
      </w:r>
    </w:p>
    <w:p>
      <w:pPr>
        <w:spacing w:after="0" w:line="164" w:lineRule="exact"/>
        <w:rPr>
          <w:rFonts w:ascii="Arial" w:cs="Arial" w:eastAsia="Arial" w:hAnsi="Arial"/>
          <w:sz w:val="20"/>
          <w:szCs w:val="20"/>
          <w:color w:val="auto"/>
        </w:rPr>
      </w:pPr>
    </w:p>
    <w:p>
      <w:pPr>
        <w:ind w:left="1200" w:hanging="603"/>
        <w:spacing w:after="0"/>
        <w:tabs>
          <w:tab w:leader="none" w:pos="12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Company wishes to designate Executive as eligible to participate in the Plan.</w:t>
      </w:r>
    </w:p>
    <w:p>
      <w:pPr>
        <w:spacing w:after="0" w:line="206"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20"/>
          <w:szCs w:val="20"/>
          <w:color w:val="auto"/>
        </w:rPr>
        <w:t>In consideration of the mutual covenants herein contained, and in consideration of the continuing employment of Executive by the Company, and for other good and valuable consideration, the receipt and sufficiency of which are hereby acknowledged, the parties agree as follows.</w:t>
      </w:r>
    </w:p>
    <w:p>
      <w:pPr>
        <w:spacing w:after="0" w:line="159" w:lineRule="exact"/>
        <w:rPr>
          <w:sz w:val="20"/>
          <w:szCs w:val="20"/>
          <w:color w:val="auto"/>
        </w:rPr>
      </w:pPr>
    </w:p>
    <w:p>
      <w:pPr>
        <w:jc w:val="both"/>
        <w:ind w:firstLine="597"/>
        <w:spacing w:after="0" w:line="282" w:lineRule="auto"/>
        <w:tabs>
          <w:tab w:leader="none" w:pos="119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Designation as Eligible to Participate in Plan</w:t>
      </w:r>
      <w:r>
        <w:rPr>
          <w:rFonts w:ascii="Arial" w:cs="Arial" w:eastAsia="Arial" w:hAnsi="Arial"/>
          <w:sz w:val="18"/>
          <w:szCs w:val="18"/>
          <w:color w:val="auto"/>
        </w:rPr>
        <w:t>. Subject to the terms of the Plan, the Committee hereby designates Executive as eligible to participate in the Plan. As such, Executive’s benefits (if any) under the Plan shall be determined pursuant to Section 2 of the Plan. Executive agrees that, for a period of two years following the Termination of his or her employment, he or she will not, in any manner, within the United States, Mexico, the Bahamas, or any other country where the Company owns, manages, operates, or develops resorts or is pursuing as of the date of termination the ownership, management, operation, development or acquisition of resorts, directly or indirectly engage in the business of timesharing or in any similarly competitive business, including without limitation quarter sharing or undivided interests. Directly or indirectly engaging in the business of timesharing shall include engaging in business as owner, partner or agent, or as employee, independent contractor, or consultant of any person, firm or legal entity engaged in such business, or in being interested directly or indirectly in any such business conducted by any person, firm, or legal entity.</w:t>
      </w:r>
    </w:p>
    <w:p>
      <w:pPr>
        <w:spacing w:after="0" w:line="162" w:lineRule="exact"/>
        <w:rPr>
          <w:rFonts w:ascii="Arial" w:cs="Arial" w:eastAsia="Arial" w:hAnsi="Arial"/>
          <w:sz w:val="18"/>
          <w:szCs w:val="18"/>
          <w:color w:val="auto"/>
        </w:rPr>
      </w:pPr>
    </w:p>
    <w:p>
      <w:pPr>
        <w:jc w:val="both"/>
        <w:ind w:firstLine="597"/>
        <w:spacing w:after="0" w:line="251" w:lineRule="auto"/>
        <w:tabs>
          <w:tab w:leader="none" w:pos="1195"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Any successor to the Company (whether direct or indirect and whether by purchase, lease,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shall inure to the benefit of, and be enforceable by, Executive’s personal or legal representatives, executors, administrators, successors, heirs, distributees, devisees and legatees.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3" w:right="339" w:bottom="1440" w:gutter="0" w:footer="0" w:header="0"/>
        </w:sectPr>
      </w:pPr>
    </w:p>
    <w:bookmarkStart w:id="175" w:name="page176"/>
    <w:bookmarkEnd w:id="175"/>
    <w:p>
      <w:pPr>
        <w:jc w:val="both"/>
        <w:ind w:firstLine="597"/>
        <w:spacing w:after="0" w:line="291" w:lineRule="auto"/>
        <w:tabs>
          <w:tab w:leader="none" w:pos="11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contemplated by this Agreement shall be in writing and shall be deemed to have been duly given when personally delivered or when mailed by U.S. registered or certified mail, return receipt requested and postage prepaid, or by overnight carrier.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the Human Resources Department with a copy to the Law Department.</w:t>
      </w:r>
    </w:p>
    <w:p>
      <w:pPr>
        <w:spacing w:after="0" w:line="138" w:lineRule="exact"/>
        <w:rPr>
          <w:rFonts w:ascii="Arial" w:cs="Arial" w:eastAsia="Arial" w:hAnsi="Arial"/>
          <w:sz w:val="18"/>
          <w:szCs w:val="18"/>
          <w:color w:val="auto"/>
        </w:rPr>
      </w:pPr>
    </w:p>
    <w:p>
      <w:pPr>
        <w:ind w:left="1200" w:hanging="603"/>
        <w:spacing w:after="0"/>
        <w:tabs>
          <w:tab w:leader="none" w:pos="120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jc w:val="both"/>
        <w:ind w:firstLine="1194"/>
        <w:spacing w:after="0" w:line="277" w:lineRule="auto"/>
        <w:tabs>
          <w:tab w:leader="none" w:pos="1789"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8" w:lineRule="exact"/>
        <w:rPr>
          <w:rFonts w:ascii="Arial" w:cs="Arial" w:eastAsia="Arial" w:hAnsi="Arial"/>
          <w:sz w:val="19"/>
          <w:szCs w:val="19"/>
          <w:color w:val="auto"/>
        </w:rPr>
      </w:pPr>
    </w:p>
    <w:p>
      <w:pPr>
        <w:ind w:firstLine="1194"/>
        <w:spacing w:after="0" w:line="327" w:lineRule="auto"/>
        <w:tabs>
          <w:tab w:leader="none" w:pos="1788"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understanding between the parties with respect to the matters addressed herein, superseding all negotiations, prior discussions and agreements, written or oral, concerning such matters.</w:t>
      </w:r>
    </w:p>
    <w:p>
      <w:pPr>
        <w:spacing w:after="0" w:line="107" w:lineRule="exact"/>
        <w:rPr>
          <w:rFonts w:ascii="Arial" w:cs="Arial" w:eastAsia="Arial" w:hAnsi="Arial"/>
          <w:sz w:val="18"/>
          <w:szCs w:val="18"/>
          <w:color w:val="auto"/>
        </w:rPr>
      </w:pPr>
    </w:p>
    <w:p>
      <w:pPr>
        <w:ind w:firstLine="1194"/>
        <w:spacing w:after="0" w:line="271" w:lineRule="auto"/>
        <w:tabs>
          <w:tab w:leader="none" w:pos="1789"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Choice of Law</w:t>
      </w:r>
      <w:r>
        <w:rPr>
          <w:rFonts w:ascii="Arial" w:cs="Arial" w:eastAsia="Arial" w:hAnsi="Arial"/>
          <w:sz w:val="20"/>
          <w:szCs w:val="20"/>
          <w:color w:val="auto"/>
        </w:rPr>
        <w:t>. Except to the extent preempted by federal law, this Plan shall be governed and construed in accordance with the laws of the State of Delaware, without regard to principles of conflicts of laws.</w:t>
      </w:r>
    </w:p>
    <w:p>
      <w:pPr>
        <w:spacing w:after="0" w:line="165" w:lineRule="exact"/>
        <w:rPr>
          <w:rFonts w:ascii="Arial" w:cs="Arial" w:eastAsia="Arial" w:hAnsi="Arial"/>
          <w:sz w:val="20"/>
          <w:szCs w:val="20"/>
          <w:color w:val="auto"/>
        </w:rPr>
      </w:pPr>
    </w:p>
    <w:p>
      <w:pPr>
        <w:jc w:val="both"/>
        <w:ind w:firstLine="1194"/>
        <w:spacing w:after="0" w:line="254" w:lineRule="auto"/>
        <w:tabs>
          <w:tab w:leader="none" w:pos="1788"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term or provision of this Agreement or the application thereof to any circumstance 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69" w:lineRule="exact"/>
        <w:rPr>
          <w:rFonts w:ascii="Arial" w:cs="Arial" w:eastAsia="Arial" w:hAnsi="Arial"/>
          <w:sz w:val="20"/>
          <w:szCs w:val="20"/>
          <w:color w:val="auto"/>
        </w:rPr>
      </w:pPr>
    </w:p>
    <w:p>
      <w:pPr>
        <w:jc w:val="both"/>
        <w:ind w:firstLine="1194"/>
        <w:spacing w:after="0" w:line="256" w:lineRule="auto"/>
        <w:tabs>
          <w:tab w:leader="none" w:pos="1789"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No Assignment of Benefits</w:t>
      </w:r>
      <w:r>
        <w:rPr>
          <w:rFonts w:ascii="Arial" w:cs="Arial" w:eastAsia="Arial" w:hAnsi="Arial"/>
          <w:sz w:val="20"/>
          <w:szCs w:val="20"/>
          <w:color w:val="auto"/>
        </w:rPr>
        <w:t>. The rights of Executive to payments or benefits under this Agreement shall not be made subject to option or assignment, either by voluntary or involuntary assignment or by operation of law, including (without limitation) bankruptcy, garnishment, attachment or other creditor’s process, and any action in violation of this subsection shall be void, provided the Executive’s estate shall be entitled to receive any benefits that have become payable, but which have not been paid in accordance with Section 1 above.</w:t>
      </w:r>
    </w:p>
    <w:p>
      <w:pPr>
        <w:spacing w:after="0" w:line="167" w:lineRule="exact"/>
        <w:rPr>
          <w:rFonts w:ascii="Arial" w:cs="Arial" w:eastAsia="Arial" w:hAnsi="Arial"/>
          <w:sz w:val="20"/>
          <w:szCs w:val="20"/>
          <w:color w:val="auto"/>
        </w:rPr>
      </w:pPr>
    </w:p>
    <w:p>
      <w:pPr>
        <w:jc w:val="both"/>
        <w:ind w:firstLine="1194"/>
        <w:spacing w:after="0" w:line="252" w:lineRule="auto"/>
        <w:tabs>
          <w:tab w:leader="none" w:pos="1792"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xml:space="preserve"> During the period beginning on the Effective Date and ending one year thereafter, Executive will not, on his or her own behalf or as a partner, officer, director, employee, agent, independent contractor, or consultant of any other person or entity, directly or indirectly, solicit or induce (or attempt to solicit or induce) any employee of the Company (or any of the Company’s subsidiaries or affiliates) to leave their employment with the Company (or any of the Company’s subsidiaries or affiliates) or to consider employment with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28" w:right="339" w:bottom="1440" w:gutter="0" w:footer="0" w:header="0"/>
        </w:sectPr>
      </w:pPr>
    </w:p>
    <w:bookmarkStart w:id="176" w:name="page177"/>
    <w:bookmarkEnd w:id="176"/>
    <w:p>
      <w:pPr>
        <w:ind w:firstLine="1194"/>
        <w:spacing w:after="0" w:line="271" w:lineRule="auto"/>
        <w:tabs>
          <w:tab w:leader="none" w:pos="1788"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Employment Taxes</w:t>
      </w:r>
      <w:r>
        <w:rPr>
          <w:rFonts w:ascii="Arial" w:cs="Arial" w:eastAsia="Arial" w:hAnsi="Arial"/>
          <w:sz w:val="20"/>
          <w:szCs w:val="20"/>
          <w:color w:val="auto"/>
        </w:rPr>
        <w:t>. Any payments made pursuant to this Agreement will be reported on Form W-2 and shall be subject to withholding of applicable income and employment taxes.</w:t>
      </w:r>
    </w:p>
    <w:p>
      <w:pPr>
        <w:spacing w:after="0" w:line="152" w:lineRule="exact"/>
        <w:rPr>
          <w:rFonts w:ascii="Arial" w:cs="Arial" w:eastAsia="Arial" w:hAnsi="Arial"/>
          <w:sz w:val="20"/>
          <w:szCs w:val="20"/>
          <w:color w:val="auto"/>
        </w:rPr>
      </w:pPr>
    </w:p>
    <w:p>
      <w:pPr>
        <w:ind w:firstLine="1194"/>
        <w:spacing w:after="0" w:line="284" w:lineRule="auto"/>
        <w:tabs>
          <w:tab w:leader="none" w:pos="1788"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an original, but all of which together will constitute one and the same instrument.</w:t>
      </w:r>
    </w:p>
    <w:p>
      <w:pPr>
        <w:spacing w:after="0" w:line="140" w:lineRule="exact"/>
        <w:rPr>
          <w:rFonts w:ascii="Arial" w:cs="Arial" w:eastAsia="Arial" w:hAnsi="Arial"/>
          <w:sz w:val="20"/>
          <w:szCs w:val="20"/>
          <w:color w:val="auto"/>
        </w:rPr>
      </w:pPr>
    </w:p>
    <w:p>
      <w:pPr>
        <w:jc w:val="both"/>
        <w:ind w:firstLine="1194"/>
        <w:spacing w:after="0" w:line="254" w:lineRule="auto"/>
        <w:tabs>
          <w:tab w:leader="none" w:pos="1781"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Confidentiality of Agreement</w:t>
      </w:r>
      <w:r>
        <w:rPr>
          <w:rFonts w:ascii="Arial" w:cs="Arial" w:eastAsia="Arial" w:hAnsi="Arial"/>
          <w:sz w:val="20"/>
          <w:szCs w:val="20"/>
          <w:color w:val="auto"/>
        </w:rPr>
        <w:t>. Executive shall keep strictly confidential all the terms and conditions, including amounts, in this Agreement and shall not disclose them to any person other than the Executive’s spouse or domestic partner, the Executive’s legal or financial advisor, or governmental officials who seek such information in the course of their official duties, unless compelled by law to do so or to the extent previously publicly disclosed by the Company.</w:t>
      </w:r>
    </w:p>
    <w:p>
      <w:pPr>
        <w:spacing w:after="0" w:line="184" w:lineRule="exact"/>
        <w:rPr>
          <w:sz w:val="20"/>
          <w:szCs w:val="20"/>
          <w:color w:val="auto"/>
        </w:rPr>
      </w:pPr>
    </w:p>
    <w:p>
      <w:pPr>
        <w:ind w:right="580" w:firstLine="597"/>
        <w:spacing w:after="0" w:line="271" w:lineRule="auto"/>
        <w:rPr>
          <w:sz w:val="20"/>
          <w:szCs w:val="20"/>
          <w:color w:val="auto"/>
        </w:rPr>
      </w:pPr>
      <w:r>
        <w:rPr>
          <w:rFonts w:ascii="Arial" w:cs="Arial" w:eastAsia="Arial" w:hAnsi="Arial"/>
          <w:sz w:val="20"/>
          <w:szCs w:val="20"/>
          <w:color w:val="auto"/>
        </w:rPr>
        <w:t>IN WITNESS WHEREOF, each of the parties has executed this Agreement, in the case of the Company by its duly authorized officer, as of the day and year first above written.</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20"/>
                <w:szCs w:val="20"/>
                <w:b w:val="1"/>
                <w:bCs w:val="1"/>
                <w:color w:val="auto"/>
              </w:rPr>
              <w:t>MARRIOTT VACATIONS</w:t>
            </w:r>
          </w:p>
        </w:tc>
        <w:tc>
          <w:tcPr>
            <w:tcW w:w="760" w:type="dxa"/>
            <w:vAlign w:val="bottom"/>
          </w:tcPr>
          <w:p>
            <w:pPr>
              <w:spacing w:after="0"/>
              <w:rPr>
                <w:sz w:val="19"/>
                <w:szCs w:val="19"/>
                <w:color w:val="auto"/>
              </w:rPr>
            </w:pPr>
          </w:p>
        </w:tc>
        <w:tc>
          <w:tcPr>
            <w:tcW w:w="53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EXECUTIVE</w:t>
            </w:r>
          </w:p>
        </w:tc>
        <w:tc>
          <w:tcPr>
            <w:tcW w:w="0" w:type="dxa"/>
            <w:vAlign w:val="bottom"/>
          </w:tcPr>
          <w:p>
            <w:pPr>
              <w:spacing w:after="0"/>
              <w:rPr>
                <w:sz w:val="1"/>
                <w:szCs w:val="1"/>
                <w:color w:val="auto"/>
              </w:rPr>
            </w:pPr>
          </w:p>
        </w:tc>
      </w:tr>
      <w:tr>
        <w:trPr>
          <w:trHeight w:val="259"/>
        </w:trPr>
        <w:tc>
          <w:tcPr>
            <w:tcW w:w="5080" w:type="dxa"/>
            <w:vAlign w:val="bottom"/>
            <w:gridSpan w:val="3"/>
          </w:tcPr>
          <w:p>
            <w:pPr>
              <w:spacing w:after="0"/>
              <w:rPr>
                <w:sz w:val="20"/>
                <w:szCs w:val="20"/>
                <w:color w:val="auto"/>
              </w:rPr>
            </w:pPr>
            <w:r>
              <w:rPr>
                <w:rFonts w:ascii="Arial" w:cs="Arial" w:eastAsia="Arial" w:hAnsi="Arial"/>
                <w:sz w:val="20"/>
                <w:szCs w:val="20"/>
                <w:b w:val="1"/>
                <w:bCs w:val="1"/>
                <w:color w:val="auto"/>
              </w:rPr>
              <w:t>WORLDWIDE CORPORATION</w:t>
            </w:r>
          </w:p>
        </w:tc>
        <w:tc>
          <w:tcPr>
            <w:tcW w:w="760" w:type="dxa"/>
            <w:vAlign w:val="bottom"/>
          </w:tcPr>
          <w:p>
            <w:pPr>
              <w:spacing w:after="0"/>
              <w:rPr>
                <w:sz w:val="22"/>
                <w:szCs w:val="22"/>
                <w:color w:val="auto"/>
              </w:rPr>
            </w:pPr>
          </w:p>
        </w:tc>
        <w:tc>
          <w:tcPr>
            <w:tcW w:w="5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46"/>
        </w:trPr>
        <w:tc>
          <w:tcPr>
            <w:tcW w:w="5080" w:type="dxa"/>
            <w:vAlign w:val="bottom"/>
            <w:gridSpan w:val="3"/>
          </w:tcPr>
          <w:p>
            <w:pPr>
              <w:spacing w:after="0"/>
              <w:rPr>
                <w:sz w:val="20"/>
                <w:szCs w:val="20"/>
                <w:color w:val="auto"/>
              </w:rPr>
            </w:pPr>
            <w:r>
              <w:rPr>
                <w:rFonts w:ascii="Arial" w:cs="Arial" w:eastAsia="Arial" w:hAnsi="Arial"/>
                <w:sz w:val="20"/>
                <w:szCs w:val="20"/>
                <w:color w:val="auto"/>
              </w:rPr>
              <w:t>By:</w:t>
            </w:r>
          </w:p>
        </w:tc>
        <w:tc>
          <w:tcPr>
            <w:tcW w:w="7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0"/>
                <w:szCs w:val="20"/>
                <w:color w:val="auto"/>
              </w:rPr>
            </w:pPr>
            <w:r>
              <w:rPr>
                <w:rFonts w:ascii="Arial" w:cs="Arial" w:eastAsia="Arial" w:hAnsi="Arial"/>
                <w:sz w:val="20"/>
                <w:szCs w:val="20"/>
                <w:color w:val="auto"/>
              </w:rPr>
              <w:t>Title:</w:t>
            </w:r>
          </w:p>
        </w:tc>
        <w:tc>
          <w:tcPr>
            <w:tcW w:w="200" w:type="dxa"/>
            <w:vAlign w:val="bottom"/>
            <w:tcBorders>
              <w:top w:val="single" w:sz="8" w:color="auto"/>
            </w:tcBorders>
          </w:tcPr>
          <w:p>
            <w:pPr>
              <w:spacing w:after="0"/>
              <w:rPr>
                <w:sz w:val="21"/>
                <w:szCs w:val="21"/>
                <w:color w:val="auto"/>
              </w:rPr>
            </w:pPr>
          </w:p>
        </w:tc>
        <w:tc>
          <w:tcPr>
            <w:tcW w:w="4400" w:type="dxa"/>
            <w:vAlign w:val="bottom"/>
            <w:tcBorders>
              <w:top w:val="single" w:sz="8" w:color="auto"/>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5380" w:type="dxa"/>
            <w:vAlign w:val="bottom"/>
            <w:tcBorders>
              <w:top w:val="single" w:sz="8" w:color="auto"/>
            </w:tcBorders>
          </w:tcPr>
          <w:p>
            <w:pPr>
              <w:ind w:left="1900"/>
              <w:spacing w:after="0"/>
              <w:rPr>
                <w:sz w:val="20"/>
                <w:szCs w:val="20"/>
                <w:color w:val="auto"/>
              </w:rPr>
            </w:pPr>
            <w:r>
              <w:rPr>
                <w:rFonts w:ascii="Arial" w:cs="Arial" w:eastAsia="Arial" w:hAnsi="Arial"/>
                <w:sz w:val="20"/>
                <w:szCs w:val="20"/>
                <w:color w:val="auto"/>
              </w:rPr>
              <w:t>Executive Signature</w:t>
            </w:r>
          </w:p>
        </w:tc>
        <w:tc>
          <w:tcPr>
            <w:tcW w:w="0" w:type="dxa"/>
            <w:vAlign w:val="bottom"/>
          </w:tcPr>
          <w:p>
            <w:pPr>
              <w:spacing w:after="0"/>
              <w:rPr>
                <w:sz w:val="1"/>
                <w:szCs w:val="1"/>
                <w:color w:val="auto"/>
              </w:rPr>
            </w:pPr>
          </w:p>
        </w:tc>
      </w:tr>
      <w:tr>
        <w:trPr>
          <w:trHeight w:val="839"/>
        </w:trPr>
        <w:tc>
          <w:tcPr>
            <w:tcW w:w="5080" w:type="dxa"/>
            <w:vAlign w:val="bottom"/>
            <w:gridSpan w:val="3"/>
          </w:tcPr>
          <w:p>
            <w:pPr>
              <w:spacing w:after="0"/>
              <w:rPr>
                <w:sz w:val="20"/>
                <w:szCs w:val="20"/>
                <w:color w:val="auto"/>
              </w:rPr>
            </w:pPr>
            <w:r>
              <w:rPr>
                <w:rFonts w:ascii="Arial" w:cs="Arial" w:eastAsia="Arial" w:hAnsi="Arial"/>
                <w:sz w:val="17"/>
                <w:szCs w:val="17"/>
                <w:color w:val="auto"/>
              </w:rPr>
              <w:t>101214637.1</w:t>
            </w:r>
          </w:p>
        </w:tc>
        <w:tc>
          <w:tcPr>
            <w:tcW w:w="7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7"/>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60" w:type="dxa"/>
            <w:vAlign w:val="bottom"/>
          </w:tcPr>
          <w:p>
            <w:pPr>
              <w:jc w:val="right"/>
              <w:ind w:right="117"/>
              <w:spacing w:after="0"/>
              <w:rPr>
                <w:sz w:val="20"/>
                <w:szCs w:val="20"/>
                <w:color w:val="auto"/>
              </w:rPr>
            </w:pPr>
            <w:r>
              <w:rPr>
                <w:rFonts w:ascii="Arial" w:cs="Arial" w:eastAsia="Arial" w:hAnsi="Arial"/>
                <w:sz w:val="17"/>
                <w:szCs w:val="17"/>
                <w:color w:val="auto"/>
              </w:rPr>
              <w:t>3</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8" w:right="33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ind w:left="1320"/>
              <w:spacing w:after="0"/>
              <w:rPr>
                <w:sz w:val="20"/>
                <w:szCs w:val="20"/>
                <w:color w:val="auto"/>
              </w:rPr>
            </w:pPr>
            <w:r>
              <w:rPr>
                <w:rFonts w:ascii="Arial" w:cs="Arial" w:eastAsia="Arial" w:hAnsi="Arial"/>
                <w:sz w:val="17"/>
                <w:szCs w:val="17"/>
                <w:b w:val="1"/>
                <w:bCs w:val="1"/>
                <w:color w:val="auto"/>
                <w:w w:val="86"/>
              </w:rPr>
              <w:t>Exhibit 21.1</w:t>
            </w:r>
          </w:p>
        </w:tc>
      </w:tr>
      <w:tr>
        <w:trPr>
          <w:trHeight w:val="199"/>
        </w:trPr>
        <w:tc>
          <w:tcPr>
            <w:tcW w:w="520" w:type="dxa"/>
            <w:vAlign w:val="bottom"/>
          </w:tcPr>
          <w:p>
            <w:pPr>
              <w:spacing w:after="0"/>
              <w:rPr>
                <w:sz w:val="17"/>
                <w:szCs w:val="17"/>
                <w:color w:val="auto"/>
              </w:rPr>
            </w:pPr>
          </w:p>
        </w:tc>
        <w:tc>
          <w:tcPr>
            <w:tcW w:w="10600" w:type="dxa"/>
            <w:vAlign w:val="bottom"/>
            <w:gridSpan w:val="6"/>
          </w:tcPr>
          <w:p>
            <w:pPr>
              <w:jc w:val="center"/>
              <w:ind w:right="600"/>
              <w:spacing w:after="0"/>
              <w:rPr>
                <w:sz w:val="20"/>
                <w:szCs w:val="20"/>
                <w:color w:val="auto"/>
              </w:rPr>
            </w:pPr>
            <w:r>
              <w:rPr>
                <w:rFonts w:ascii="Arial" w:cs="Arial" w:eastAsia="Arial" w:hAnsi="Arial"/>
                <w:sz w:val="17"/>
                <w:szCs w:val="17"/>
                <w:b w:val="1"/>
                <w:bCs w:val="1"/>
                <w:color w:val="auto"/>
                <w:w w:val="99"/>
              </w:rPr>
              <w:t>MARRIOTT VACATIONS WORLDWIDE CORPORATION</w:t>
            </w:r>
          </w:p>
        </w:tc>
      </w:tr>
      <w:tr>
        <w:trPr>
          <w:trHeight w:val="203"/>
        </w:trPr>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7160" w:type="dxa"/>
            <w:vAlign w:val="bottom"/>
            <w:gridSpan w:val="5"/>
          </w:tcPr>
          <w:p>
            <w:pPr>
              <w:jc w:val="center"/>
              <w:ind w:right="4080"/>
              <w:spacing w:after="0"/>
              <w:rPr>
                <w:sz w:val="20"/>
                <w:szCs w:val="20"/>
                <w:color w:val="auto"/>
              </w:rPr>
            </w:pPr>
            <w:r>
              <w:rPr>
                <w:rFonts w:ascii="Arial" w:cs="Arial" w:eastAsia="Arial" w:hAnsi="Arial"/>
                <w:sz w:val="17"/>
                <w:szCs w:val="17"/>
                <w:b w:val="1"/>
                <w:bCs w:val="1"/>
                <w:color w:val="auto"/>
                <w:w w:val="99"/>
              </w:rPr>
              <w:t>SIGNIFICANT SUBSIDIARIES</w:t>
            </w:r>
          </w:p>
        </w:tc>
      </w:tr>
      <w:tr>
        <w:trPr>
          <w:trHeight w:val="212"/>
        </w:trPr>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160" w:type="dxa"/>
            <w:vAlign w:val="bottom"/>
            <w:gridSpan w:val="5"/>
          </w:tcPr>
          <w:p>
            <w:pPr>
              <w:jc w:val="center"/>
              <w:ind w:right="4060"/>
              <w:spacing w:after="0"/>
              <w:rPr>
                <w:sz w:val="20"/>
                <w:szCs w:val="20"/>
                <w:color w:val="auto"/>
              </w:rPr>
            </w:pPr>
            <w:r>
              <w:rPr>
                <w:rFonts w:ascii="Arial" w:cs="Arial" w:eastAsia="Arial" w:hAnsi="Arial"/>
                <w:sz w:val="17"/>
                <w:szCs w:val="17"/>
                <w:color w:val="auto"/>
                <w:w w:val="88"/>
              </w:rPr>
              <w:t>(as of December 31, 2022)</w:t>
            </w:r>
          </w:p>
        </w:tc>
      </w:tr>
      <w:tr>
        <w:trPr>
          <w:trHeight w:val="221"/>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Subsidiaries Organized in the United States</w:t>
            </w:r>
          </w:p>
        </w:tc>
        <w:tc>
          <w:tcPr>
            <w:tcW w:w="21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Jurisdiction of Organization</w:t>
            </w:r>
          </w:p>
        </w:tc>
        <w:tc>
          <w:tcPr>
            <w:tcW w:w="100" w:type="dxa"/>
            <w:vAlign w:val="bottom"/>
          </w:tcPr>
          <w:p>
            <w:pPr>
              <w:spacing w:after="0"/>
              <w:rPr>
                <w:sz w:val="19"/>
                <w:szCs w:val="19"/>
                <w:color w:val="auto"/>
              </w:rPr>
            </w:pPr>
          </w:p>
        </w:tc>
      </w:tr>
      <w:tr>
        <w:trPr>
          <w:trHeight w:val="344"/>
        </w:trPr>
        <w:tc>
          <w:tcPr>
            <w:tcW w:w="3960" w:type="dxa"/>
            <w:vAlign w:val="bottom"/>
            <w:gridSpan w:val="2"/>
          </w:tcPr>
          <w:p>
            <w:pPr>
              <w:spacing w:after="0"/>
              <w:rPr>
                <w:sz w:val="20"/>
                <w:szCs w:val="20"/>
                <w:color w:val="auto"/>
              </w:rPr>
            </w:pPr>
            <w:r>
              <w:rPr>
                <w:rFonts w:ascii="Arial" w:cs="Arial" w:eastAsia="Arial" w:hAnsi="Arial"/>
                <w:sz w:val="17"/>
                <w:szCs w:val="17"/>
                <w:color w:val="auto"/>
              </w:rPr>
              <w:t>Flex Collection, LLC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Florida</w:t>
            </w: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Interval International, Inc.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Florida</w:t>
            </w:r>
          </w:p>
        </w:tc>
      </w:tr>
      <w:tr>
        <w:trPr>
          <w:trHeight w:val="212"/>
        </w:trPr>
        <w:tc>
          <w:tcPr>
            <w:tcW w:w="3960" w:type="dxa"/>
            <w:vAlign w:val="bottom"/>
            <w:gridSpan w:val="2"/>
          </w:tcPr>
          <w:p>
            <w:pPr>
              <w:ind w:left="200"/>
              <w:spacing w:after="0"/>
              <w:rPr>
                <w:sz w:val="20"/>
                <w:szCs w:val="20"/>
                <w:color w:val="auto"/>
              </w:rPr>
            </w:pPr>
            <w:r>
              <w:rPr>
                <w:rFonts w:ascii="Arial" w:cs="Arial" w:eastAsia="Arial" w:hAnsi="Arial"/>
                <w:sz w:val="17"/>
                <w:szCs w:val="17"/>
                <w:color w:val="auto"/>
              </w:rPr>
              <w:t>Entity also does business under the names:</w:t>
            </w:r>
          </w:p>
        </w:tc>
        <w:tc>
          <w:tcPr>
            <w:tcW w:w="2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960" w:type="dxa"/>
            <w:vAlign w:val="bottom"/>
            <w:gridSpan w:val="2"/>
          </w:tcPr>
          <w:p>
            <w:pPr>
              <w:ind w:left="420"/>
              <w:spacing w:after="0"/>
              <w:rPr>
                <w:sz w:val="20"/>
                <w:szCs w:val="20"/>
                <w:color w:val="auto"/>
              </w:rPr>
            </w:pPr>
            <w:r>
              <w:rPr>
                <w:rFonts w:ascii="Arial" w:cs="Arial" w:eastAsia="Arial" w:hAnsi="Arial"/>
                <w:sz w:val="17"/>
                <w:szCs w:val="17"/>
                <w:color w:val="auto"/>
              </w:rPr>
              <w:t>• Interval Purchasing Services</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Preferred Residences</w:t>
            </w:r>
          </w:p>
        </w:tc>
      </w:tr>
      <w:tr>
        <w:trPr>
          <w:trHeight w:val="212"/>
        </w:trPr>
        <w:tc>
          <w:tcPr>
            <w:tcW w:w="3960" w:type="dxa"/>
            <w:vAlign w:val="bottom"/>
            <w:gridSpan w:val="2"/>
          </w:tcPr>
          <w:p>
            <w:pPr>
              <w:ind w:left="420"/>
              <w:spacing w:after="0"/>
              <w:rPr>
                <w:sz w:val="20"/>
                <w:szCs w:val="20"/>
                <w:color w:val="auto"/>
              </w:rPr>
            </w:pPr>
            <w:r>
              <w:rPr>
                <w:rFonts w:ascii="Arial" w:cs="Arial" w:eastAsia="Arial" w:hAnsi="Arial"/>
                <w:sz w:val="17"/>
                <w:szCs w:val="17"/>
                <w:color w:val="auto"/>
              </w:rPr>
              <w:t>• Shared Ownership Investment Conference</w:t>
            </w:r>
          </w:p>
        </w:tc>
        <w:tc>
          <w:tcPr>
            <w:tcW w:w="2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Marriott Ownership Resorts, Inc.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Delaware</w:t>
            </w:r>
          </w:p>
        </w:tc>
      </w:tr>
      <w:tr>
        <w:trPr>
          <w:trHeight w:val="212"/>
        </w:trPr>
        <w:tc>
          <w:tcPr>
            <w:tcW w:w="3960" w:type="dxa"/>
            <w:vAlign w:val="bottom"/>
            <w:gridSpan w:val="2"/>
          </w:tcPr>
          <w:p>
            <w:pPr>
              <w:ind w:left="200"/>
              <w:spacing w:after="0"/>
              <w:rPr>
                <w:sz w:val="20"/>
                <w:szCs w:val="20"/>
                <w:color w:val="auto"/>
              </w:rPr>
            </w:pPr>
            <w:r>
              <w:rPr>
                <w:rFonts w:ascii="Arial" w:cs="Arial" w:eastAsia="Arial" w:hAnsi="Arial"/>
                <w:sz w:val="17"/>
                <w:szCs w:val="17"/>
                <w:color w:val="auto"/>
              </w:rPr>
              <w:t>Entity also does business under the names:</w:t>
            </w:r>
          </w:p>
        </w:tc>
        <w:tc>
          <w:tcPr>
            <w:tcW w:w="2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Grand Residence by Marriott</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Marriott Vacation Club International Corp.</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Grand Residences by Marriott</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Marriott’s Mountainside Resort</w:t>
            </w:r>
          </w:p>
        </w:tc>
      </w:tr>
      <w:tr>
        <w:trPr>
          <w:trHeight w:val="212"/>
        </w:trPr>
        <w:tc>
          <w:tcPr>
            <w:tcW w:w="3960" w:type="dxa"/>
            <w:vAlign w:val="bottom"/>
            <w:gridSpan w:val="2"/>
          </w:tcPr>
          <w:p>
            <w:pPr>
              <w:ind w:left="420"/>
              <w:spacing w:after="0"/>
              <w:rPr>
                <w:sz w:val="20"/>
                <w:szCs w:val="20"/>
                <w:color w:val="auto"/>
              </w:rPr>
            </w:pPr>
            <w:r>
              <w:rPr>
                <w:rFonts w:ascii="Arial" w:cs="Arial" w:eastAsia="Arial" w:hAnsi="Arial"/>
                <w:sz w:val="17"/>
                <w:szCs w:val="17"/>
                <w:color w:val="auto"/>
              </w:rPr>
              <w:t>• Marriott Golf Academy</w:t>
            </w:r>
          </w:p>
        </w:tc>
        <w:tc>
          <w:tcPr>
            <w:tcW w:w="7160" w:type="dxa"/>
            <w:vAlign w:val="bottom"/>
            <w:gridSpan w:val="5"/>
          </w:tcPr>
          <w:p>
            <w:pPr>
              <w:ind w:left="2080"/>
              <w:spacing w:after="0"/>
              <w:rPr>
                <w:sz w:val="20"/>
                <w:szCs w:val="20"/>
                <w:color w:val="auto"/>
              </w:rPr>
            </w:pPr>
            <w:r>
              <w:rPr>
                <w:rFonts w:ascii="Arial" w:cs="Arial" w:eastAsia="Arial" w:hAnsi="Arial"/>
                <w:sz w:val="17"/>
                <w:szCs w:val="17"/>
                <w:color w:val="auto"/>
              </w:rPr>
              <w:t>• Marriott’s Summit Watch</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Marriott’s Waiohai Beach Resort</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 International</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The Marketplace</w:t>
            </w: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Marriott Resorts Hospitality Corporation</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South Carolina</w:t>
            </w:r>
          </w:p>
        </w:tc>
      </w:tr>
      <w:tr>
        <w:trPr>
          <w:trHeight w:val="212"/>
        </w:trPr>
        <w:tc>
          <w:tcPr>
            <w:tcW w:w="3960" w:type="dxa"/>
            <w:vAlign w:val="bottom"/>
            <w:gridSpan w:val="2"/>
          </w:tcPr>
          <w:p>
            <w:pPr>
              <w:ind w:left="200"/>
              <w:spacing w:after="0"/>
              <w:rPr>
                <w:sz w:val="20"/>
                <w:szCs w:val="20"/>
                <w:color w:val="auto"/>
              </w:rPr>
            </w:pPr>
            <w:r>
              <w:rPr>
                <w:rFonts w:ascii="Arial" w:cs="Arial" w:eastAsia="Arial" w:hAnsi="Arial"/>
                <w:sz w:val="17"/>
                <w:szCs w:val="17"/>
                <w:color w:val="auto"/>
              </w:rPr>
              <w:t>Entity also does business under the names:</w:t>
            </w:r>
          </w:p>
        </w:tc>
        <w:tc>
          <w:tcPr>
            <w:tcW w:w="2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 International</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Marriott’s Vacation Club, South Beach</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 International Corp.</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Marriott’s Villas at Doral</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 New York City</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Marriott’s Willow Ridge Lodge</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 South Beach</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Reflections</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 Pulse, New York City</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Strand Bistro</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 Vacation Club Pulse San Diego</w:t>
            </w:r>
          </w:p>
        </w:tc>
        <w:tc>
          <w:tcPr>
            <w:tcW w:w="7160" w:type="dxa"/>
            <w:vAlign w:val="bottom"/>
            <w:gridSpan w:val="5"/>
          </w:tcPr>
          <w:p>
            <w:pPr>
              <w:ind w:left="2080"/>
              <w:spacing w:after="0"/>
              <w:rPr>
                <w:sz w:val="20"/>
                <w:szCs w:val="20"/>
                <w:color w:val="auto"/>
              </w:rPr>
            </w:pPr>
            <w:r>
              <w:rPr>
                <w:rFonts w:ascii="Arial" w:cs="Arial" w:eastAsia="Arial" w:hAnsi="Arial"/>
                <w:sz w:val="17"/>
                <w:szCs w:val="17"/>
                <w:color w:val="auto"/>
              </w:rPr>
              <w:t>• The Market Place</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Marriott’s Custom House</w:t>
            </w:r>
          </w:p>
        </w:tc>
        <w:tc>
          <w:tcPr>
            <w:tcW w:w="7160" w:type="dxa"/>
            <w:vAlign w:val="bottom"/>
            <w:gridSpan w:val="5"/>
          </w:tcPr>
          <w:p>
            <w:pPr>
              <w:ind w:left="2080"/>
              <w:spacing w:after="0"/>
              <w:rPr>
                <w:sz w:val="20"/>
                <w:szCs w:val="20"/>
                <w:color w:val="auto"/>
              </w:rPr>
            </w:pPr>
            <w:r>
              <w:rPr>
                <w:rFonts w:ascii="Arial" w:cs="Arial" w:eastAsia="Arial" w:hAnsi="Arial"/>
                <w:sz w:val="17"/>
                <w:szCs w:val="17"/>
                <w:color w:val="auto"/>
              </w:rPr>
              <w:t>• Tidewater’s Sweets and Sundries</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Marriott’s Legends Edge at Bay Point</w:t>
            </w:r>
          </w:p>
        </w:tc>
        <w:tc>
          <w:tcPr>
            <w:tcW w:w="7160" w:type="dxa"/>
            <w:vAlign w:val="bottom"/>
            <w:gridSpan w:val="5"/>
          </w:tcPr>
          <w:p>
            <w:pPr>
              <w:ind w:left="2080"/>
              <w:spacing w:after="0"/>
              <w:rPr>
                <w:sz w:val="20"/>
                <w:szCs w:val="20"/>
                <w:color w:val="auto"/>
              </w:rPr>
            </w:pPr>
            <w:r>
              <w:rPr>
                <w:rFonts w:ascii="Arial" w:cs="Arial" w:eastAsia="Arial" w:hAnsi="Arial"/>
                <w:sz w:val="17"/>
                <w:szCs w:val="17"/>
                <w:color w:val="auto"/>
              </w:rPr>
              <w:t>• Top of the Strand</w:t>
            </w:r>
          </w:p>
        </w:tc>
      </w:tr>
      <w:tr>
        <w:trPr>
          <w:trHeight w:val="212"/>
        </w:trPr>
        <w:tc>
          <w:tcPr>
            <w:tcW w:w="3960" w:type="dxa"/>
            <w:vAlign w:val="bottom"/>
            <w:gridSpan w:val="2"/>
          </w:tcPr>
          <w:p>
            <w:pPr>
              <w:ind w:left="420"/>
              <w:spacing w:after="0"/>
              <w:rPr>
                <w:sz w:val="20"/>
                <w:szCs w:val="20"/>
                <w:color w:val="auto"/>
              </w:rPr>
            </w:pPr>
            <w:r>
              <w:rPr>
                <w:rFonts w:ascii="Arial" w:cs="Arial" w:eastAsia="Arial" w:hAnsi="Arial"/>
                <w:sz w:val="17"/>
                <w:szCs w:val="17"/>
                <w:color w:val="auto"/>
              </w:rPr>
              <w:t>• Marriott’s Oceana Palms</w:t>
            </w:r>
          </w:p>
        </w:tc>
        <w:tc>
          <w:tcPr>
            <w:tcW w:w="7160" w:type="dxa"/>
            <w:vAlign w:val="bottom"/>
            <w:gridSpan w:val="5"/>
          </w:tcPr>
          <w:p>
            <w:pPr>
              <w:ind w:left="2080"/>
              <w:spacing w:after="0"/>
              <w:rPr>
                <w:sz w:val="20"/>
                <w:szCs w:val="20"/>
                <w:color w:val="auto"/>
              </w:rPr>
            </w:pPr>
            <w:r>
              <w:rPr>
                <w:rFonts w:ascii="Arial" w:cs="Arial" w:eastAsia="Arial" w:hAnsi="Arial"/>
                <w:sz w:val="17"/>
                <w:szCs w:val="17"/>
                <w:color w:val="auto"/>
              </w:rPr>
              <w:t>• Twisted Knot Cafe &amp; Lounge</w:t>
            </w: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Marriott’s Summit Watch Resort</w:t>
            </w:r>
          </w:p>
        </w:tc>
        <w:tc>
          <w:tcPr>
            <w:tcW w:w="2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MVW US Holdings LLC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Delaware</w:t>
            </w: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MVW Vacations LLC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Delaware</w:t>
            </w: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Vistana Signature Experiences, Inc.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Delaware</w:t>
            </w: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Vistana Vacation Ownership, Inc.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Florida</w:t>
            </w: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color w:val="auto"/>
              </w:rPr>
              <w:t>VSE Pacific, Inc.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Florida</w:t>
            </w:r>
          </w:p>
        </w:tc>
      </w:tr>
      <w:tr>
        <w:trPr>
          <w:trHeight w:val="212"/>
        </w:trPr>
        <w:tc>
          <w:tcPr>
            <w:tcW w:w="3960" w:type="dxa"/>
            <w:vAlign w:val="bottom"/>
            <w:gridSpan w:val="2"/>
          </w:tcPr>
          <w:p>
            <w:pPr>
              <w:ind w:left="200"/>
              <w:spacing w:after="0"/>
              <w:rPr>
                <w:sz w:val="20"/>
                <w:szCs w:val="20"/>
                <w:color w:val="auto"/>
              </w:rPr>
            </w:pPr>
            <w:r>
              <w:rPr>
                <w:rFonts w:ascii="Arial" w:cs="Arial" w:eastAsia="Arial" w:hAnsi="Arial"/>
                <w:sz w:val="17"/>
                <w:szCs w:val="17"/>
                <w:color w:val="auto"/>
              </w:rPr>
              <w:t>Entity also does business under the names:</w:t>
            </w:r>
          </w:p>
        </w:tc>
        <w:tc>
          <w:tcPr>
            <w:tcW w:w="2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20" w:type="dxa"/>
            <w:vAlign w:val="bottom"/>
          </w:tcPr>
          <w:p>
            <w:pPr>
              <w:ind w:left="42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Hawaii Activity Planners</w:t>
            </w:r>
          </w:p>
        </w:tc>
        <w:tc>
          <w:tcPr>
            <w:tcW w:w="2180" w:type="dxa"/>
            <w:vAlign w:val="bottom"/>
          </w:tcPr>
          <w:p>
            <w:pPr>
              <w:ind w:left="2080"/>
              <w:spacing w:after="0"/>
              <w:rPr>
                <w:sz w:val="20"/>
                <w:szCs w:val="20"/>
                <w:color w:val="auto"/>
              </w:rPr>
            </w:pPr>
            <w:r>
              <w:rPr>
                <w:rFonts w:ascii="Arial" w:cs="Arial" w:eastAsia="Arial" w:hAnsi="Arial"/>
                <w:sz w:val="17"/>
                <w:szCs w:val="17"/>
                <w:color w:val="auto"/>
              </w:rPr>
              <w:t>•</w:t>
            </w:r>
          </w:p>
        </w:tc>
        <w:tc>
          <w:tcPr>
            <w:tcW w:w="4980" w:type="dxa"/>
            <w:vAlign w:val="bottom"/>
            <w:gridSpan w:val="4"/>
          </w:tcPr>
          <w:p>
            <w:pPr>
              <w:ind w:left="40"/>
              <w:spacing w:after="0"/>
              <w:rPr>
                <w:sz w:val="20"/>
                <w:szCs w:val="20"/>
                <w:color w:val="auto"/>
              </w:rPr>
            </w:pPr>
            <w:r>
              <w:rPr>
                <w:rFonts w:ascii="Arial" w:cs="Arial" w:eastAsia="Arial" w:hAnsi="Arial"/>
                <w:sz w:val="17"/>
                <w:szCs w:val="17"/>
                <w:color w:val="auto"/>
              </w:rPr>
              <w:t>Westin Ka'anapali Ocean Resort Villas</w:t>
            </w:r>
          </w:p>
        </w:tc>
      </w:tr>
      <w:tr>
        <w:trPr>
          <w:trHeight w:val="212"/>
        </w:trPr>
        <w:tc>
          <w:tcPr>
            <w:tcW w:w="3960" w:type="dxa"/>
            <w:vAlign w:val="bottom"/>
            <w:gridSpan w:val="2"/>
          </w:tcPr>
          <w:p>
            <w:pPr>
              <w:ind w:left="420"/>
              <w:spacing w:after="0"/>
              <w:rPr>
                <w:sz w:val="20"/>
                <w:szCs w:val="20"/>
                <w:color w:val="auto"/>
              </w:rPr>
            </w:pPr>
            <w:r>
              <w:rPr>
                <w:rFonts w:ascii="Arial" w:cs="Arial" w:eastAsia="Arial" w:hAnsi="Arial"/>
                <w:sz w:val="17"/>
                <w:szCs w:val="17"/>
                <w:color w:val="auto"/>
              </w:rPr>
              <w:t>• The Westin Nanea Ocean Villas</w:t>
            </w:r>
          </w:p>
        </w:tc>
        <w:tc>
          <w:tcPr>
            <w:tcW w:w="7160" w:type="dxa"/>
            <w:vAlign w:val="bottom"/>
            <w:gridSpan w:val="5"/>
          </w:tcPr>
          <w:p>
            <w:pPr>
              <w:ind w:left="2080"/>
              <w:spacing w:after="0"/>
              <w:rPr>
                <w:sz w:val="20"/>
                <w:szCs w:val="20"/>
                <w:color w:val="auto"/>
              </w:rPr>
            </w:pPr>
            <w:r>
              <w:rPr>
                <w:rFonts w:ascii="Arial" w:cs="Arial" w:eastAsia="Arial" w:hAnsi="Arial"/>
                <w:sz w:val="17"/>
                <w:szCs w:val="17"/>
                <w:color w:val="auto"/>
              </w:rPr>
              <w:t>• Westin Vacation Club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20"/>
          </w:cols>
          <w:pgMar w:left="440" w:top="720" w:right="339" w:bottom="1440" w:gutter="0" w:footer="0" w:header="0"/>
        </w:sectPr>
      </w:pPr>
    </w:p>
    <w:bookmarkStart w:id="178" w:name="page179"/>
    <w:bookmarkEnd w:id="178"/>
    <w:p>
      <w:pPr>
        <w:ind w:left="10400"/>
        <w:spacing w:after="0"/>
        <w:rPr>
          <w:sz w:val="20"/>
          <w:szCs w:val="20"/>
          <w:color w:val="auto"/>
        </w:rPr>
      </w:pPr>
      <w:r>
        <w:rPr>
          <w:rFonts w:ascii="Arial" w:cs="Arial" w:eastAsia="Arial" w:hAnsi="Arial"/>
          <w:sz w:val="15"/>
          <w:szCs w:val="15"/>
          <w:b w:val="1"/>
          <w:bCs w:val="1"/>
          <w:color w:val="auto"/>
        </w:rPr>
        <w:t>Exhibit 22.1</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List of the Issuer and its Guarantor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2022, the following subsidiaries of Marriott Vacations Worldwide Corporation guarantee the $350 million aggregate principal amount of 4.750%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Senior Unsecured Notes due 2028 issued in the fourth quarter of 2019 with a maturity date of January 15, 2028 (the "2028 Notes"):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4640" w:type="dxa"/>
            <w:vAlign w:val="bottom"/>
            <w:tcBorders>
              <w:top w:val="single" w:sz="8" w:color="auto"/>
              <w:left w:val="single" w:sz="8" w:color="auto"/>
            </w:tcBorders>
          </w:tcPr>
          <w:p>
            <w:pPr>
              <w:spacing w:after="0"/>
              <w:rPr>
                <w:sz w:val="15"/>
                <w:szCs w:val="15"/>
                <w:color w:val="auto"/>
              </w:rPr>
            </w:pPr>
          </w:p>
        </w:tc>
        <w:tc>
          <w:tcPr>
            <w:tcW w:w="232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7"/>
                <w:szCs w:val="17"/>
                <w:b w:val="1"/>
                <w:bCs w:val="1"/>
                <w:color w:val="auto"/>
                <w:w w:val="89"/>
              </w:rPr>
              <w:t>Jurisdiction of Incorporation or</w:t>
            </w:r>
          </w:p>
        </w:tc>
        <w:tc>
          <w:tcPr>
            <w:tcW w:w="1960" w:type="dxa"/>
            <w:vAlign w:val="bottom"/>
            <w:tcBorders>
              <w:top w:val="single" w:sz="8" w:color="auto"/>
              <w:right w:val="single" w:sz="8" w:color="auto"/>
            </w:tcBorders>
          </w:tcPr>
          <w:p>
            <w:pPr>
              <w:spacing w:after="0"/>
              <w:rPr>
                <w:sz w:val="15"/>
                <w:szCs w:val="15"/>
                <w:color w:val="auto"/>
              </w:rPr>
            </w:pPr>
          </w:p>
        </w:tc>
      </w:tr>
      <w:tr>
        <w:trPr>
          <w:trHeight w:val="224"/>
        </w:trPr>
        <w:tc>
          <w:tcPr>
            <w:tcW w:w="4640" w:type="dxa"/>
            <w:vAlign w:val="bottom"/>
            <w:tcBorders>
              <w:left w:val="single" w:sz="8" w:color="auto"/>
              <w:bottom w:val="single" w:sz="8" w:color="auto"/>
            </w:tcBorders>
          </w:tcPr>
          <w:p>
            <w:pPr>
              <w:ind w:left="3260"/>
              <w:spacing w:after="0"/>
              <w:rPr>
                <w:sz w:val="20"/>
                <w:szCs w:val="20"/>
                <w:color w:val="auto"/>
              </w:rPr>
            </w:pPr>
            <w:r>
              <w:rPr>
                <w:rFonts w:ascii="Arial" w:cs="Arial" w:eastAsia="Arial" w:hAnsi="Arial"/>
                <w:sz w:val="17"/>
                <w:szCs w:val="17"/>
                <w:b w:val="1"/>
                <w:bCs w:val="1"/>
                <w:color w:val="auto"/>
              </w:rPr>
              <w:t>Entity</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Organization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2028 Notes</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Marriott Ownership Resorts,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1"/>
              </w:rPr>
              <w:t>Issuer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ILG,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Marriott Vacations Worldwide Corporation</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Apollo Marketing,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Aqua Hospitality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Aqua Hotels and Resorts Operator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Aqua Hotels and Resorts,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Aqua Hotels &amp; Resorts,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Aqua Luana Operator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Aqua-Aston Holdings,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Aqua-Aston Hospitality,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Aston Hotels &amp; Resorts Florida,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Beach House Development Partnership</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CDP GP,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CDP Investors, L.P.</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Cerromar Development Partners GP,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Cerromar Development Partners, L.P., S.E.</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Champagne Resorts,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Coconut Plantation Partner,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Data Marketing Associates East,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Diamond Head Management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Flex Collection,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FOH Holdings,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FOH Hospitality,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Grand Aspen Holdings,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Grand Aspen Lodging,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Hawaii Vacation Title Services,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Hospitality Team Members,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Hotel Management Services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HPC Developer,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HT-Highlands,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HTS-BC,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HTS-Beach House Partner,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HTS-Beach House,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HTS-Coconut Point,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HTS-Ground Lake Tahoe,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HTS-Key West,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HTS-KW,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HTS-Lake Tahoe,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789"/>
        </w:trPr>
        <w:tc>
          <w:tcPr>
            <w:tcW w:w="4640" w:type="dxa"/>
            <w:vAlign w:val="bottom"/>
          </w:tcPr>
          <w:p>
            <w:pPr>
              <w:spacing w:after="0"/>
              <w:rPr>
                <w:sz w:val="24"/>
                <w:szCs w:val="24"/>
                <w:color w:val="auto"/>
              </w:rPr>
            </w:pPr>
          </w:p>
        </w:tc>
        <w:tc>
          <w:tcPr>
            <w:tcW w:w="2320" w:type="dxa"/>
            <w:vAlign w:val="bottom"/>
          </w:tcPr>
          <w:p>
            <w:pPr>
              <w:jc w:val="right"/>
              <w:ind w:right="1217"/>
              <w:spacing w:after="0"/>
              <w:rPr>
                <w:sz w:val="20"/>
                <w:szCs w:val="20"/>
                <w:color w:val="auto"/>
              </w:rPr>
            </w:pPr>
            <w:r>
              <w:rPr>
                <w:rFonts w:ascii="Arial" w:cs="Arial" w:eastAsia="Arial" w:hAnsi="Arial"/>
                <w:sz w:val="17"/>
                <w:szCs w:val="17"/>
                <w:color w:val="auto"/>
              </w:rPr>
              <w:t>1</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60"/>
          </w:cols>
          <w:pgMar w:left="320" w:top="833" w:right="31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4640" w:type="dxa"/>
            <w:vAlign w:val="bottom"/>
            <w:tcBorders>
              <w:top w:val="single" w:sz="8" w:color="auto"/>
              <w:left w:val="single" w:sz="8" w:color="auto"/>
            </w:tcBorders>
          </w:tcPr>
          <w:p>
            <w:pPr>
              <w:spacing w:after="0"/>
              <w:rPr>
                <w:sz w:val="15"/>
                <w:szCs w:val="15"/>
                <w:color w:val="auto"/>
              </w:rPr>
            </w:pPr>
          </w:p>
        </w:tc>
        <w:tc>
          <w:tcPr>
            <w:tcW w:w="232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7"/>
                <w:szCs w:val="17"/>
                <w:b w:val="1"/>
                <w:bCs w:val="1"/>
                <w:color w:val="auto"/>
                <w:w w:val="89"/>
              </w:rPr>
              <w:t>Jurisdiction of Incorporation or</w:t>
            </w:r>
          </w:p>
        </w:tc>
        <w:tc>
          <w:tcPr>
            <w:tcW w:w="1960" w:type="dxa"/>
            <w:vAlign w:val="bottom"/>
            <w:tcBorders>
              <w:top w:val="single" w:sz="8" w:color="auto"/>
              <w:right w:val="single" w:sz="8" w:color="auto"/>
            </w:tcBorders>
          </w:tcPr>
          <w:p>
            <w:pPr>
              <w:spacing w:after="0"/>
              <w:rPr>
                <w:sz w:val="15"/>
                <w:szCs w:val="15"/>
                <w:color w:val="auto"/>
              </w:rPr>
            </w:pPr>
          </w:p>
        </w:tc>
      </w:tr>
      <w:tr>
        <w:trPr>
          <w:trHeight w:val="224"/>
        </w:trPr>
        <w:tc>
          <w:tcPr>
            <w:tcW w:w="4640" w:type="dxa"/>
            <w:vAlign w:val="bottom"/>
            <w:tcBorders>
              <w:left w:val="single" w:sz="8" w:color="auto"/>
              <w:bottom w:val="single" w:sz="8" w:color="auto"/>
            </w:tcBorders>
          </w:tcPr>
          <w:p>
            <w:pPr>
              <w:ind w:left="3260"/>
              <w:spacing w:after="0"/>
              <w:rPr>
                <w:sz w:val="20"/>
                <w:szCs w:val="20"/>
                <w:color w:val="auto"/>
              </w:rPr>
            </w:pPr>
            <w:r>
              <w:rPr>
                <w:rFonts w:ascii="Arial" w:cs="Arial" w:eastAsia="Arial" w:hAnsi="Arial"/>
                <w:sz w:val="17"/>
                <w:szCs w:val="17"/>
                <w:b w:val="1"/>
                <w:bCs w:val="1"/>
                <w:color w:val="auto"/>
              </w:rPr>
              <w:t>Entity</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Organization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2028 Notes</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HTS-Loan Servicing,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HTS-Main Street Station,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HTS-Maui,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HTS-San Antonio,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HTS-San Antonio,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HTS-San Antonio, L.P.</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HTS-Sedona,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HTS-Sunset Harbor Partner,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HTS-Windward Pointe Partner,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HV Global Group,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HV Global Management Corporation</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HV Global Marketing Corporation</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HVO Key West Holdings,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IIC Holdings, Incorporated</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ILG Management,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ILG Shared Ownership,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Interval Holdings,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Interval International,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Interval Resort &amp; Financial Services,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Interval Software Services,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Kai Management Services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Kauai Blue,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Kauai Lagoons Holdings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Key Wester Limited</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Lagunamar Cancun Mexico,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Management Acquisition Holdings,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Marriott Kauai Ownership Resorts,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Marriott Ownership Resorts Procurement,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Marriott Resorts Hospitality Corporation</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South Carolina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Marriott Resorts Sales Company,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Maui Condo and Home,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Member Development,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MH Kapalua Venture,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MORI Golf (Kauai),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MORI Member (Kauai),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MORI Residences,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MORI Waikoloa Holding Company,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MTSC,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MVW of Hawaii,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MVW Services Corporation</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MVW SSC,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MVW US Holdings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MVW US Services,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MVW Vacations,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789"/>
        </w:trPr>
        <w:tc>
          <w:tcPr>
            <w:tcW w:w="4640" w:type="dxa"/>
            <w:vAlign w:val="bottom"/>
          </w:tcPr>
          <w:p>
            <w:pPr>
              <w:spacing w:after="0"/>
              <w:rPr>
                <w:sz w:val="24"/>
                <w:szCs w:val="24"/>
                <w:color w:val="auto"/>
              </w:rPr>
            </w:pPr>
          </w:p>
        </w:tc>
        <w:tc>
          <w:tcPr>
            <w:tcW w:w="2320" w:type="dxa"/>
            <w:vAlign w:val="bottom"/>
          </w:tcPr>
          <w:p>
            <w:pPr>
              <w:jc w:val="right"/>
              <w:ind w:right="1217"/>
              <w:spacing w:after="0"/>
              <w:rPr>
                <w:sz w:val="20"/>
                <w:szCs w:val="20"/>
                <w:color w:val="auto"/>
              </w:rPr>
            </w:pPr>
            <w:r>
              <w:rPr>
                <w:rFonts w:ascii="Arial" w:cs="Arial" w:eastAsia="Arial" w:hAnsi="Arial"/>
                <w:sz w:val="17"/>
                <w:szCs w:val="17"/>
                <w:color w:val="auto"/>
              </w:rPr>
              <w:t>2</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60"/>
          </w:cols>
          <w:pgMar w:left="320" w:top="953" w:right="319" w:bottom="1440" w:gutter="0" w:footer="0" w:header="0"/>
        </w:sectPr>
      </w:pPr>
    </w:p>
    <w:bookmarkStart w:id="180" w:name="page181"/>
    <w:bookmarkEnd w:id="1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4700" w:type="dxa"/>
            <w:vAlign w:val="bottom"/>
            <w:tcBorders>
              <w:top w:val="single" w:sz="8" w:color="auto"/>
              <w:left w:val="single" w:sz="8" w:color="auto"/>
            </w:tcBorders>
          </w:tcPr>
          <w:p>
            <w:pPr>
              <w:spacing w:after="0"/>
              <w:rPr>
                <w:sz w:val="15"/>
                <w:szCs w:val="15"/>
                <w:color w:val="auto"/>
              </w:rPr>
            </w:pPr>
          </w:p>
        </w:tc>
        <w:tc>
          <w:tcPr>
            <w:tcW w:w="226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7"/>
                <w:szCs w:val="17"/>
                <w:b w:val="1"/>
                <w:bCs w:val="1"/>
                <w:color w:val="auto"/>
                <w:w w:val="89"/>
              </w:rPr>
              <w:t>Jurisdiction of Incorporation or</w:t>
            </w:r>
          </w:p>
        </w:tc>
        <w:tc>
          <w:tcPr>
            <w:tcW w:w="1960" w:type="dxa"/>
            <w:vAlign w:val="bottom"/>
            <w:tcBorders>
              <w:top w:val="single" w:sz="8" w:color="auto"/>
              <w:right w:val="single" w:sz="8" w:color="auto"/>
            </w:tcBorders>
          </w:tcPr>
          <w:p>
            <w:pPr>
              <w:spacing w:after="0"/>
              <w:rPr>
                <w:sz w:val="15"/>
                <w:szCs w:val="15"/>
                <w:color w:val="auto"/>
              </w:rPr>
            </w:pPr>
          </w:p>
        </w:tc>
      </w:tr>
      <w:tr>
        <w:trPr>
          <w:trHeight w:val="224"/>
        </w:trPr>
        <w:tc>
          <w:tcPr>
            <w:tcW w:w="4700" w:type="dxa"/>
            <w:vAlign w:val="bottom"/>
            <w:tcBorders>
              <w:left w:val="single" w:sz="8" w:color="auto"/>
              <w:bottom w:val="single" w:sz="8" w:color="auto"/>
            </w:tcBorders>
          </w:tcPr>
          <w:p>
            <w:pPr>
              <w:ind w:left="3260"/>
              <w:spacing w:after="0"/>
              <w:rPr>
                <w:sz w:val="20"/>
                <w:szCs w:val="20"/>
                <w:color w:val="auto"/>
              </w:rPr>
            </w:pPr>
            <w:r>
              <w:rPr>
                <w:rFonts w:ascii="Arial" w:cs="Arial" w:eastAsia="Arial" w:hAnsi="Arial"/>
                <w:sz w:val="17"/>
                <w:szCs w:val="17"/>
                <w:b w:val="1"/>
                <w:bCs w:val="1"/>
                <w:color w:val="auto"/>
              </w:rPr>
              <w:t>Entity</w:t>
            </w:r>
          </w:p>
        </w:tc>
        <w:tc>
          <w:tcPr>
            <w:tcW w:w="226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Organization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2028 Notes</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Pelican Landing Timeshare Ventures Limited Partnership</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R.C. Chronicle Building, L.P.</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RBF,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RCC (GP) Holdings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RCC (LP) Holdings L.P.</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RCDC 942,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RCDC Chronicle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REP Holdings, Ltd.</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Resort Management Finance Services,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Resort Sales Services,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RQI Holdings,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S.O.I. Acquisition Corp.</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Scottsdale Residence Club,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Sheraton Flex Vacations,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Soleil Communications,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St. Regis New York Management,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St. Regis Residence Club, New York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The Cobalt Travel Company,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The Lion &amp; Crown Travel Co.,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The Ritz-Carlton Development Company,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The Ritz-Carlton Management Company, L.L.C.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The Ritz-Carlton Sales Company,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The Ritz-Carlton Title Company,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Vacation Ownership Lending GP,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Vacation Ownership Lending, L.P.</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Vacation Title Services,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VCH Communications,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VCH Consulting,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VCH Systems,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Acceptance Corp.</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Aventuras,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California Management,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Development,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Hawaii Management,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Management,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MB Management,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South Carolina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Portfolio Services,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PSL,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Residential Management,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Signature Experiences,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Signature Network,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Vacation Ownership,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Vacation Realty, Inc.</w:t>
            </w:r>
          </w:p>
        </w:tc>
        <w:tc>
          <w:tcPr>
            <w:tcW w:w="226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789"/>
        </w:trPr>
        <w:tc>
          <w:tcPr>
            <w:tcW w:w="4700" w:type="dxa"/>
            <w:vAlign w:val="bottom"/>
          </w:tcPr>
          <w:p>
            <w:pPr>
              <w:spacing w:after="0"/>
              <w:rPr>
                <w:sz w:val="24"/>
                <w:szCs w:val="24"/>
                <w:color w:val="auto"/>
              </w:rPr>
            </w:pPr>
          </w:p>
        </w:tc>
        <w:tc>
          <w:tcPr>
            <w:tcW w:w="2260" w:type="dxa"/>
            <w:vAlign w:val="bottom"/>
          </w:tcPr>
          <w:p>
            <w:pPr>
              <w:jc w:val="right"/>
              <w:ind w:right="1217"/>
              <w:spacing w:after="0"/>
              <w:rPr>
                <w:sz w:val="20"/>
                <w:szCs w:val="20"/>
                <w:color w:val="auto"/>
              </w:rPr>
            </w:pPr>
            <w:r>
              <w:rPr>
                <w:rFonts w:ascii="Arial" w:cs="Arial" w:eastAsia="Arial" w:hAnsi="Arial"/>
                <w:sz w:val="17"/>
                <w:szCs w:val="17"/>
                <w:color w:val="auto"/>
              </w:rPr>
              <w:t>3</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60"/>
          </w:cols>
          <w:pgMar w:left="320" w:top="953" w:right="31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4640" w:type="dxa"/>
            <w:vAlign w:val="bottom"/>
            <w:tcBorders>
              <w:top w:val="single" w:sz="8" w:color="auto"/>
              <w:left w:val="single" w:sz="8" w:color="auto"/>
            </w:tcBorders>
          </w:tcPr>
          <w:p>
            <w:pPr>
              <w:spacing w:after="0"/>
              <w:rPr>
                <w:sz w:val="15"/>
                <w:szCs w:val="15"/>
                <w:color w:val="auto"/>
              </w:rPr>
            </w:pPr>
          </w:p>
        </w:tc>
        <w:tc>
          <w:tcPr>
            <w:tcW w:w="232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jc w:val="center"/>
              <w:spacing w:after="0" w:line="174" w:lineRule="exact"/>
              <w:rPr>
                <w:sz w:val="20"/>
                <w:szCs w:val="20"/>
                <w:color w:val="auto"/>
              </w:rPr>
            </w:pPr>
            <w:r>
              <w:rPr>
                <w:rFonts w:ascii="Arial" w:cs="Arial" w:eastAsia="Arial" w:hAnsi="Arial"/>
                <w:sz w:val="17"/>
                <w:szCs w:val="17"/>
                <w:b w:val="1"/>
                <w:bCs w:val="1"/>
                <w:color w:val="auto"/>
                <w:w w:val="89"/>
              </w:rPr>
              <w:t>Jurisdiction of Incorporation or</w:t>
            </w:r>
          </w:p>
        </w:tc>
        <w:tc>
          <w:tcPr>
            <w:tcW w:w="1960" w:type="dxa"/>
            <w:vAlign w:val="bottom"/>
            <w:tcBorders>
              <w:top w:val="single" w:sz="8" w:color="auto"/>
              <w:right w:val="single" w:sz="8" w:color="auto"/>
            </w:tcBorders>
          </w:tcPr>
          <w:p>
            <w:pPr>
              <w:spacing w:after="0"/>
              <w:rPr>
                <w:sz w:val="15"/>
                <w:szCs w:val="15"/>
                <w:color w:val="auto"/>
              </w:rPr>
            </w:pPr>
          </w:p>
        </w:tc>
      </w:tr>
      <w:tr>
        <w:trPr>
          <w:trHeight w:val="224"/>
        </w:trPr>
        <w:tc>
          <w:tcPr>
            <w:tcW w:w="4640" w:type="dxa"/>
            <w:vAlign w:val="bottom"/>
            <w:tcBorders>
              <w:left w:val="single" w:sz="8" w:color="auto"/>
              <w:bottom w:val="single" w:sz="8" w:color="auto"/>
            </w:tcBorders>
          </w:tcPr>
          <w:p>
            <w:pPr>
              <w:ind w:left="3260"/>
              <w:spacing w:after="0"/>
              <w:rPr>
                <w:sz w:val="20"/>
                <w:szCs w:val="20"/>
                <w:color w:val="auto"/>
              </w:rPr>
            </w:pPr>
            <w:r>
              <w:rPr>
                <w:rFonts w:ascii="Arial" w:cs="Arial" w:eastAsia="Arial" w:hAnsi="Arial"/>
                <w:sz w:val="17"/>
                <w:szCs w:val="17"/>
                <w:b w:val="1"/>
                <w:bCs w:val="1"/>
                <w:color w:val="auto"/>
              </w:rPr>
              <w:t>Entity</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Organization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2028 Notes</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Vistana Vacation Services Hawaii,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VOL GP,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VOL Investors, L.P.</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Volt Merger Sub,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Development,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East,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Mexico Portfolio Services,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Myrtle Beach,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South Carolina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Pacific,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Trademark,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Vistana Villages,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VSE West,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Welk Hospitality Management,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Welk Mountain Villas,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Welk Resort Group,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Welk Resort Properties,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Welk Resort Vacation Rentals,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Welk Resorts Northstar,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Westin Sheraton Vacation Services,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Windward Pointe II, L.L.C.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Worldwide Vacation &amp; Travel,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204"/>
        </w:trPr>
        <w:tc>
          <w:tcPr>
            <w:tcW w:w="4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WVC Rancho Mirage, Inc.</w:t>
            </w: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Guarantor</w:t>
            </w:r>
          </w:p>
        </w:tc>
      </w:tr>
      <w:tr>
        <w:trPr>
          <w:trHeight w:val="789"/>
        </w:trPr>
        <w:tc>
          <w:tcPr>
            <w:tcW w:w="4640" w:type="dxa"/>
            <w:vAlign w:val="bottom"/>
          </w:tcPr>
          <w:p>
            <w:pPr>
              <w:spacing w:after="0"/>
              <w:rPr>
                <w:sz w:val="24"/>
                <w:szCs w:val="24"/>
                <w:color w:val="auto"/>
              </w:rPr>
            </w:pPr>
          </w:p>
        </w:tc>
        <w:tc>
          <w:tcPr>
            <w:tcW w:w="2320" w:type="dxa"/>
            <w:vAlign w:val="bottom"/>
          </w:tcPr>
          <w:p>
            <w:pPr>
              <w:jc w:val="right"/>
              <w:ind w:right="1217"/>
              <w:spacing w:after="0"/>
              <w:rPr>
                <w:sz w:val="20"/>
                <w:szCs w:val="20"/>
                <w:color w:val="auto"/>
              </w:rPr>
            </w:pPr>
            <w:r>
              <w:rPr>
                <w:rFonts w:ascii="Arial" w:cs="Arial" w:eastAsia="Arial" w:hAnsi="Arial"/>
                <w:sz w:val="17"/>
                <w:szCs w:val="17"/>
                <w:color w:val="auto"/>
              </w:rPr>
              <w:t>4</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60"/>
          </w:cols>
          <w:pgMar w:left="320" w:top="953" w:right="3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b w:val="1"/>
          <w:bCs w:val="1"/>
          <w:color w:val="auto"/>
        </w:rPr>
        <w:t>Exhibit 23.1</w:t>
      </w:r>
    </w:p>
    <w:p>
      <w:pPr>
        <w:spacing w:after="0" w:line="30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03" w:lineRule="exact"/>
        <w:rPr>
          <w:sz w:val="20"/>
          <w:szCs w:val="20"/>
          <w:color w:val="auto"/>
        </w:rPr>
      </w:pPr>
    </w:p>
    <w:p>
      <w:pPr>
        <w:ind w:left="580" w:hanging="282"/>
        <w:spacing w:after="0"/>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Registration Statement (Form S-8 No. 333-191765) pertaining to the Marriott Vacations Worldwide Corporation Deferred Compensation Plan,</w:t>
      </w:r>
    </w:p>
    <w:p>
      <w:pPr>
        <w:spacing w:after="0" w:line="202" w:lineRule="exact"/>
        <w:rPr>
          <w:rFonts w:ascii="Arial" w:cs="Arial" w:eastAsia="Arial" w:hAnsi="Arial"/>
          <w:sz w:val="17"/>
          <w:szCs w:val="17"/>
          <w:color w:val="auto"/>
        </w:rPr>
      </w:pPr>
    </w:p>
    <w:p>
      <w:pPr>
        <w:ind w:left="580" w:hanging="282"/>
        <w:spacing w:after="0"/>
        <w:tabs>
          <w:tab w:leader="none" w:pos="5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Registration Statement (Form S-8 No. 333-177798) pertaining to the Marriott Vacations Worldwide Corporation Stock and Cash Incentive Plan,</w:t>
      </w:r>
    </w:p>
    <w:p>
      <w:pPr>
        <w:spacing w:after="0" w:line="214" w:lineRule="exact"/>
        <w:rPr>
          <w:rFonts w:ascii="Arial" w:cs="Arial" w:eastAsia="Arial" w:hAnsi="Arial"/>
          <w:sz w:val="16"/>
          <w:szCs w:val="16"/>
          <w:color w:val="auto"/>
        </w:rPr>
      </w:pPr>
    </w:p>
    <w:p>
      <w:pPr>
        <w:ind w:left="580" w:hanging="282"/>
        <w:spacing w:after="0"/>
        <w:tabs>
          <w:tab w:leader="none" w:pos="5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Registration Statement (Form S-8 No. 333-205808) pertaining to the Marriott Vacations Worldwide Corporation Employee Stock Purchase Plan,</w:t>
      </w:r>
    </w:p>
    <w:p>
      <w:pPr>
        <w:spacing w:after="0" w:line="214" w:lineRule="exact"/>
        <w:rPr>
          <w:rFonts w:ascii="Arial" w:cs="Arial" w:eastAsia="Arial" w:hAnsi="Arial"/>
          <w:sz w:val="16"/>
          <w:szCs w:val="16"/>
          <w:color w:val="auto"/>
        </w:rPr>
      </w:pPr>
    </w:p>
    <w:p>
      <w:pPr>
        <w:ind w:left="580" w:hanging="282"/>
        <w:spacing w:after="0"/>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Registration Statement (Form S-8 No. 333-211037) pertaining to the Marriott Vacations Worldwide Corporation Deferred Compensation Plan,</w:t>
      </w:r>
    </w:p>
    <w:p>
      <w:pPr>
        <w:spacing w:after="0" w:line="202" w:lineRule="exact"/>
        <w:rPr>
          <w:rFonts w:ascii="Arial" w:cs="Arial" w:eastAsia="Arial" w:hAnsi="Arial"/>
          <w:sz w:val="17"/>
          <w:szCs w:val="17"/>
          <w:color w:val="auto"/>
        </w:rPr>
      </w:pPr>
    </w:p>
    <w:p>
      <w:pPr>
        <w:ind w:left="600" w:right="880" w:hanging="302"/>
        <w:spacing w:after="0" w:line="264" w:lineRule="auto"/>
        <w:tabs>
          <w:tab w:leader="none" w:pos="58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Registration Statement (Form S-8 No. 333-227187) pertaining to the Amended and Restated Interval Leisure Group, Inc. 2013 Stock and Incentive Compensation Plan,</w:t>
      </w:r>
    </w:p>
    <w:p>
      <w:pPr>
        <w:spacing w:after="0" w:line="167" w:lineRule="exact"/>
        <w:rPr>
          <w:rFonts w:ascii="Arial" w:cs="Arial" w:eastAsia="Arial" w:hAnsi="Arial"/>
          <w:sz w:val="17"/>
          <w:szCs w:val="17"/>
          <w:color w:val="auto"/>
        </w:rPr>
      </w:pPr>
    </w:p>
    <w:p>
      <w:pPr>
        <w:ind w:left="580" w:hanging="282"/>
        <w:spacing w:after="0"/>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Registration Statement (Form S-8 No. 333-239368) pertaining to the Marriott Vacations Worldwide Corporation 2020 Equity Incentive Plan,</w:t>
      </w:r>
    </w:p>
    <w:p>
      <w:pPr>
        <w:spacing w:after="0" w:line="202" w:lineRule="exact"/>
        <w:rPr>
          <w:rFonts w:ascii="Arial" w:cs="Arial" w:eastAsia="Arial" w:hAnsi="Arial"/>
          <w:sz w:val="17"/>
          <w:szCs w:val="17"/>
          <w:color w:val="auto"/>
        </w:rPr>
      </w:pPr>
    </w:p>
    <w:p>
      <w:pPr>
        <w:ind w:left="580" w:hanging="282"/>
        <w:spacing w:after="0"/>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Registration Statement (Form S-3 No. 333-253844) of Marriott Vacations Worldwide Corporation, and</w:t>
      </w:r>
    </w:p>
    <w:p>
      <w:pPr>
        <w:spacing w:after="0" w:line="202" w:lineRule="exact"/>
        <w:rPr>
          <w:rFonts w:ascii="Arial" w:cs="Arial" w:eastAsia="Arial" w:hAnsi="Arial"/>
          <w:sz w:val="17"/>
          <w:szCs w:val="17"/>
          <w:color w:val="auto"/>
        </w:rPr>
      </w:pPr>
    </w:p>
    <w:p>
      <w:pPr>
        <w:ind w:left="580" w:hanging="282"/>
        <w:spacing w:after="0"/>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Registration Statement (Form S-8 No. 333-266734) pertaining to the Marriott Vacations Worldwide Corporation Deferred Compensation Plan;</w:t>
      </w:r>
    </w:p>
    <w:p>
      <w:pPr>
        <w:spacing w:after="0" w:line="203"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of our reports dated February 27, 2023,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year ended December 31,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Orlando, Florida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ectPr>
          <w:pgSz w:w="11900" w:h="16838" w:orient="portrait"/>
          <w:cols w:equalWidth="0" w:num="1">
            <w:col w:w="11240"/>
          </w:cols>
          <w:pgMar w:left="320" w:top="720"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b w:val="1"/>
          <w:bCs w:val="1"/>
          <w:color w:val="auto"/>
        </w:rPr>
        <w:t>Exhibit 31.1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Chief Executive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certify that:</w:t>
      </w:r>
    </w:p>
    <w:p>
      <w:pPr>
        <w:spacing w:after="0" w:line="103" w:lineRule="exact"/>
        <w:rPr>
          <w:sz w:val="20"/>
          <w:szCs w:val="20"/>
          <w:color w:val="auto"/>
        </w:rPr>
      </w:pPr>
    </w:p>
    <w:p>
      <w:pPr>
        <w:ind w:left="600" w:hanging="302"/>
        <w:spacing w:after="0"/>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Marriott Vacations Worldwide Corporation;</w:t>
      </w:r>
    </w:p>
    <w:p>
      <w:pPr>
        <w:spacing w:after="0" w:line="103" w:lineRule="exact"/>
        <w:rPr>
          <w:rFonts w:ascii="Arial" w:cs="Arial" w:eastAsia="Arial" w:hAnsi="Arial"/>
          <w:sz w:val="17"/>
          <w:szCs w:val="17"/>
          <w:color w:val="auto"/>
        </w:rPr>
      </w:pPr>
    </w:p>
    <w:p>
      <w:pPr>
        <w:ind w:left="600" w:right="260" w:hanging="302"/>
        <w:spacing w:after="0" w:line="331" w:lineRule="auto"/>
        <w:tabs>
          <w:tab w:leader="none" w:pos="6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5"/>
          <w:szCs w:val="15"/>
          <w:color w:val="auto"/>
        </w:rPr>
      </w:pPr>
    </w:p>
    <w:p>
      <w:pPr>
        <w:ind w:left="600" w:right="340" w:hanging="302"/>
        <w:spacing w:after="0" w:line="264"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600" w:right="20" w:hanging="302"/>
        <w:spacing w:after="0" w:line="254"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7"/>
          <w:szCs w:val="17"/>
          <w:color w:val="auto"/>
        </w:rPr>
      </w:pPr>
    </w:p>
    <w:p>
      <w:pPr>
        <w:ind w:left="1260" w:right="100" w:hanging="365"/>
        <w:spacing w:after="0" w:line="254" w:lineRule="auto"/>
        <w:tabs>
          <w:tab w:leader="none" w:pos="125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ind w:left="1200" w:right="160" w:hanging="305"/>
        <w:spacing w:after="0" w:line="254" w:lineRule="auto"/>
        <w:tabs>
          <w:tab w:leader="none" w:pos="119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200" w:right="20" w:hanging="305"/>
        <w:spacing w:after="0" w:line="295" w:lineRule="auto"/>
        <w:tabs>
          <w:tab w:leader="none" w:pos="119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6"/>
          <w:szCs w:val="16"/>
          <w:color w:val="auto"/>
        </w:rPr>
      </w:pPr>
    </w:p>
    <w:p>
      <w:pPr>
        <w:ind w:left="1200" w:right="60" w:hanging="305"/>
        <w:spacing w:after="0" w:line="254" w:lineRule="auto"/>
        <w:tabs>
          <w:tab w:leader="none" w:pos="119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7"/>
          <w:szCs w:val="17"/>
          <w:color w:val="auto"/>
        </w:rPr>
      </w:pPr>
    </w:p>
    <w:p>
      <w:pPr>
        <w:ind w:left="600" w:right="720" w:hanging="302"/>
        <w:spacing w:after="0" w:line="331" w:lineRule="auto"/>
        <w:tabs>
          <w:tab w:leader="none" w:pos="6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5"/>
          <w:szCs w:val="15"/>
          <w:color w:val="auto"/>
        </w:rPr>
      </w:pPr>
    </w:p>
    <w:p>
      <w:pPr>
        <w:ind w:left="1200" w:right="120" w:hanging="305"/>
        <w:spacing w:after="0" w:line="264" w:lineRule="auto"/>
        <w:tabs>
          <w:tab w:leader="none" w:pos="119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1200" w:right="180" w:hanging="305"/>
        <w:spacing w:after="0" w:line="264" w:lineRule="auto"/>
        <w:tabs>
          <w:tab w:leader="none" w:pos="119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2023</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E. Geller, Jr.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720"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b w:val="1"/>
          <w:bCs w:val="1"/>
          <w:color w:val="auto"/>
        </w:rPr>
        <w:t>Exhibit 31.2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Anthony E. Terry, certify that:</w:t>
      </w:r>
    </w:p>
    <w:p>
      <w:pPr>
        <w:spacing w:after="0" w:line="228" w:lineRule="exact"/>
        <w:rPr>
          <w:sz w:val="20"/>
          <w:szCs w:val="20"/>
          <w:color w:val="auto"/>
        </w:rPr>
      </w:pPr>
    </w:p>
    <w:p>
      <w:pPr>
        <w:ind w:left="600" w:hanging="302"/>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Marriott Vacations Worldwide Corporation;</w:t>
      </w:r>
    </w:p>
    <w:p>
      <w:pPr>
        <w:spacing w:after="0" w:line="103" w:lineRule="exact"/>
        <w:rPr>
          <w:rFonts w:ascii="Arial" w:cs="Arial" w:eastAsia="Arial" w:hAnsi="Arial"/>
          <w:sz w:val="17"/>
          <w:szCs w:val="17"/>
          <w:color w:val="auto"/>
        </w:rPr>
      </w:pPr>
    </w:p>
    <w:p>
      <w:pPr>
        <w:ind w:left="600" w:right="260" w:hanging="302"/>
        <w:spacing w:after="0" w:line="331" w:lineRule="auto"/>
        <w:tabs>
          <w:tab w:leader="none" w:pos="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5"/>
          <w:szCs w:val="15"/>
          <w:color w:val="auto"/>
        </w:rPr>
      </w:pPr>
    </w:p>
    <w:p>
      <w:pPr>
        <w:ind w:left="600" w:right="340" w:hanging="302"/>
        <w:spacing w:after="0" w:line="264"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ind w:left="600" w:right="20" w:hanging="302"/>
        <w:spacing w:after="0" w:line="254"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7"/>
          <w:szCs w:val="17"/>
          <w:color w:val="auto"/>
        </w:rPr>
      </w:pPr>
    </w:p>
    <w:p>
      <w:pPr>
        <w:ind w:left="1200" w:right="160" w:hanging="305"/>
        <w:spacing w:after="0" w:line="254" w:lineRule="auto"/>
        <w:tabs>
          <w:tab w:leader="none" w:pos="119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ind w:left="1200" w:right="160" w:hanging="305"/>
        <w:spacing w:after="0" w:line="254" w:lineRule="auto"/>
        <w:tabs>
          <w:tab w:leader="none" w:pos="119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200" w:right="20" w:hanging="305"/>
        <w:spacing w:after="0" w:line="295" w:lineRule="auto"/>
        <w:tabs>
          <w:tab w:leader="none" w:pos="119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6"/>
          <w:szCs w:val="16"/>
          <w:color w:val="auto"/>
        </w:rPr>
      </w:pPr>
    </w:p>
    <w:p>
      <w:pPr>
        <w:ind w:left="1200" w:right="60" w:hanging="305"/>
        <w:spacing w:after="0" w:line="254" w:lineRule="auto"/>
        <w:tabs>
          <w:tab w:leader="none" w:pos="119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7"/>
          <w:szCs w:val="17"/>
          <w:color w:val="auto"/>
        </w:rPr>
      </w:pPr>
    </w:p>
    <w:p>
      <w:pPr>
        <w:ind w:left="600" w:right="720" w:hanging="302"/>
        <w:spacing w:after="0" w:line="331" w:lineRule="auto"/>
        <w:tabs>
          <w:tab w:leader="none" w:pos="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5"/>
          <w:szCs w:val="15"/>
          <w:color w:val="auto"/>
        </w:rPr>
      </w:pPr>
    </w:p>
    <w:p>
      <w:pPr>
        <w:ind w:left="1200" w:right="120" w:hanging="305"/>
        <w:spacing w:after="0" w:line="264" w:lineRule="auto"/>
        <w:tabs>
          <w:tab w:leader="none" w:pos="119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1200" w:right="180" w:hanging="305"/>
        <w:spacing w:after="0" w:line="264" w:lineRule="auto"/>
        <w:tabs>
          <w:tab w:leader="none" w:pos="119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2023</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07961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6">
                      <a:extLst>
                        <a:ext uri="{28A0092B-C50C-407E-A947-70E740481C1C}"/>
                      </a:extLst>
                    </a:blip>
                    <a:srcRect/>
                    <a:stretch>
                      <a:fillRect/>
                    </a:stretch>
                  </pic:blipFill>
                  <pic:spPr bwMode="auto">
                    <a:xfrm>
                      <a:off x="0" y="0"/>
                      <a:ext cx="707961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Anthony E. Terry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720"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13a-14(b) and Section 906 of the Sarbanes-Oxley Act of 2002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Sections 1350(a) and (b))</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 John E. Geller, Jr., President and Chief Executive Officer of Marriott Vacations Worldwide Corporation (the “Company”) certify that:</w:t>
      </w:r>
    </w:p>
    <w:p>
      <w:pPr>
        <w:spacing w:after="0" w:line="203" w:lineRule="exact"/>
        <w:rPr>
          <w:sz w:val="20"/>
          <w:szCs w:val="20"/>
          <w:color w:val="auto"/>
        </w:rPr>
      </w:pPr>
    </w:p>
    <w:p>
      <w:pPr>
        <w:ind w:left="600" w:right="360" w:hanging="302"/>
        <w:spacing w:after="0" w:line="264"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2022 (the “Annual Report”), fully complies with the requirements of section 13(a) or 15(d) of the Securities Exchange Act of 1934 (15 U.S.C. 78m or 78o(d)); and</w:t>
      </w:r>
    </w:p>
    <w:p>
      <w:pPr>
        <w:spacing w:after="0" w:line="167" w:lineRule="exact"/>
        <w:rPr>
          <w:rFonts w:ascii="Arial" w:cs="Arial" w:eastAsia="Arial" w:hAnsi="Arial"/>
          <w:sz w:val="17"/>
          <w:szCs w:val="17"/>
          <w:color w:val="auto"/>
        </w:rPr>
      </w:pPr>
    </w:p>
    <w:p>
      <w:pPr>
        <w:ind w:left="600" w:hanging="302"/>
        <w:spacing w:after="0"/>
        <w:tabs>
          <w:tab w:leader="none" w:pos="6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2023</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E. Geller, Jr.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720"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13a-14(b) and Section 906 of the Sarbanes-Oxley Act of 2002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Sections 1350(a) and (b))</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 Anthony E. Terry, Executive Vice President and Chief Financial Officer of Marriott Vacations Worldwide Corporation (the “Company”) certify that:</w:t>
      </w:r>
    </w:p>
    <w:p>
      <w:pPr>
        <w:spacing w:after="0" w:line="214" w:lineRule="exact"/>
        <w:rPr>
          <w:sz w:val="20"/>
          <w:szCs w:val="20"/>
          <w:color w:val="auto"/>
        </w:rPr>
      </w:pPr>
    </w:p>
    <w:p>
      <w:pPr>
        <w:ind w:left="600" w:right="360" w:hanging="302"/>
        <w:spacing w:after="0" w:line="264"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2022 (the “Annual Report”), fully complies with the requirements of section 13(a) or 15(d) of the Securities Exchange Act of 1934 (15 U.S.C. 78m or 78o(d)); and</w:t>
      </w:r>
    </w:p>
    <w:p>
      <w:pPr>
        <w:spacing w:after="0" w:line="167" w:lineRule="exact"/>
        <w:rPr>
          <w:rFonts w:ascii="Arial" w:cs="Arial" w:eastAsia="Arial" w:hAnsi="Arial"/>
          <w:sz w:val="17"/>
          <w:szCs w:val="17"/>
          <w:color w:val="auto"/>
        </w:rPr>
      </w:pPr>
    </w:p>
    <w:p>
      <w:pPr>
        <w:ind w:left="600" w:hanging="302"/>
        <w:spacing w:after="0"/>
        <w:tabs>
          <w:tab w:leader="none" w:pos="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2023</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Anthony E. Terry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7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2"/>
      <w:numFmt w:val="bullet"/>
      <w:start w:val="1"/>
    </w:lvl>
  </w:abstractNum>
  <w:abstractNum w:abstractNumId="3">
    <w:nsid w:val="374A3FE6"/>
    <w:multiLevelType w:val="hybridMultilevel"/>
    <w:lvl w:ilvl="0">
      <w:lvlJc w:val="left"/>
      <w:lvlText w:val="3"/>
      <w:numFmt w:val="bullet"/>
      <w:start w:val="1"/>
    </w:lvl>
  </w:abstractNum>
  <w:abstractNum w:abstractNumId="4">
    <w:nsid w:val="4F4EF005"/>
    <w:multiLevelType w:val="hybridMultilevel"/>
    <w:lvl w:ilvl="0">
      <w:lvlJc w:val="left"/>
      <w:lvlText w:val="1"/>
      <w:numFmt w:val="bullet"/>
      <w:start w:val="1"/>
    </w:lvl>
  </w:abstractNum>
  <w:abstractNum w:abstractNumId="5">
    <w:nsid w:val="23F9C13C"/>
    <w:multiLevelType w:val="hybridMultilevel"/>
    <w:lvl w:ilvl="0">
      <w:lvlJc w:val="left"/>
      <w:lvlText w:val="2"/>
      <w:numFmt w:val="bullet"/>
      <w:start w:val="1"/>
    </w:lvl>
  </w:abstractNum>
  <w:abstractNum w:abstractNumId="6">
    <w:nsid w:val="649BB77C"/>
    <w:multiLevelType w:val="hybridMultilevel"/>
    <w:lvl w:ilvl="0">
      <w:lvlJc w:val="left"/>
      <w:lvlText w:val="3"/>
      <w:numFmt w:val="bullet"/>
      <w:start w:val="1"/>
    </w:lvl>
  </w:abstractNum>
  <w:abstractNum w:abstractNumId="7">
    <w:nsid w:val="275AC794"/>
    <w:multiLevelType w:val="hybridMultilevel"/>
    <w:lvl w:ilvl="0">
      <w:lvlJc w:val="left"/>
      <w:lvlText w:val="9"/>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lvl w:ilvl="1">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1)"/>
      <w:numFmt w:val="decimal"/>
      <w:start w:val="1"/>
    </w:lvl>
  </w:abstractNum>
  <w:abstractNum w:abstractNumId="15">
    <w:nsid w:val="741226BB"/>
    <w:multiLevelType w:val="hybridMultilevel"/>
    <w:lvl w:ilvl="0">
      <w:lvlJc w:val="left"/>
      <w:lvlText w:val="(%1)"/>
      <w:numFmt w:val="decimal"/>
      <w:start w:val="1"/>
    </w:lvl>
  </w:abstractNum>
  <w:abstractNum w:abstractNumId="16">
    <w:nsid w:val="D34B6A8"/>
    <w:multiLevelType w:val="hybridMultilevel"/>
    <w:lvl w:ilvl="0">
      <w:lvlJc w:val="left"/>
      <w:lvlText w:val="(%1)"/>
      <w:numFmt w:val="decimal"/>
      <w:start w:val="1"/>
    </w:lvl>
  </w:abstractNum>
  <w:abstractNum w:abstractNumId="17">
    <w:nsid w:val="10233C99"/>
    <w:multiLevelType w:val="hybridMultilevel"/>
    <w:lvl w:ilvl="0">
      <w:lvlJc w:val="left"/>
      <w:lvlText w:val="(%1)"/>
      <w:numFmt w:val="decimal"/>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2"/>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decimal"/>
      <w:start w:val="1"/>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101"/>
    </w:lvl>
  </w:abstractNum>
  <w:abstractNum w:abstractNumId="44">
    <w:nsid w:val="540A471C"/>
    <w:multiLevelType w:val="hybridMultilevel"/>
    <w:lvl w:ilvl="0">
      <w:lvlJc w:val="left"/>
      <w:lvlText w:val="*"/>
      <w:numFmt w:val="bullet"/>
      <w:start w:val="1"/>
    </w:lvl>
    <w:lvl w:ilvl="1">
      <w:lvlJc w:val="left"/>
      <w:lvlText w:val="%2"/>
      <w:numFmt w:val="decimal"/>
      <w:start w:val="104"/>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decimal"/>
      <w:start w:val="1"/>
    </w:lvl>
    <w:lvl w:ilvl="1">
      <w:lvlJc w:val="left"/>
      <w:lvlText w:val="%2."/>
      <w:numFmt w:val="decimal"/>
      <w:start w:val="1"/>
    </w:lvl>
  </w:abstractNum>
  <w:abstractNum w:abstractNumId="48">
    <w:nsid w:val="BF72B14"/>
    <w:multiLevelType w:val="hybridMultilevel"/>
    <w:lvl w:ilvl="0">
      <w:lvlJc w:val="left"/>
      <w:lvlText w:val="(%1)"/>
      <w:numFmt w:val="decimal"/>
      <w:start w:val="4"/>
    </w:lvl>
    <w:lvl w:ilvl="1">
      <w:lvlJc w:val="left"/>
      <w:lvlText w:val="%2."/>
      <w:numFmt w:val="decimal"/>
      <w:start w:val="6"/>
    </w:lvl>
  </w:abstractNum>
  <w:abstractNum w:abstractNumId="49">
    <w:nsid w:val="11447B73"/>
    <w:multiLevelType w:val="hybridMultilevel"/>
    <w:lvl w:ilvl="0">
      <w:lvlJc w:val="left"/>
      <w:lvlText w:val="%1."/>
      <w:numFmt w:val="decimal"/>
      <w:start w:val="7"/>
    </w:lvl>
  </w:abstractNum>
  <w:abstractNum w:abstractNumId="50">
    <w:nsid w:val="42963E5A"/>
    <w:multiLevelType w:val="hybridMultilevel"/>
    <w:lvl w:ilvl="0">
      <w:lvlJc w:val="left"/>
      <w:lvlText w:val="(%1)"/>
      <w:numFmt w:val="lowerLetter"/>
      <w:start w:val="1"/>
    </w:lvl>
  </w:abstractNum>
  <w:abstractNum w:abstractNumId="51">
    <w:nsid w:val="A0382C5"/>
    <w:multiLevelType w:val="hybridMultilevel"/>
    <w:lvl w:ilvl="0">
      <w:lvlJc w:val="left"/>
      <w:lvlText w:val="%1."/>
      <w:numFmt w:val="decimal"/>
      <w:start w:val="8"/>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3"/>
    </w:lvl>
    <w:lvl w:ilvl="1">
      <w:lvlJc w:val="left"/>
      <w:lvlText w:val="(%2)"/>
      <w:numFmt w:val="lowerRoman"/>
      <w:start w:val="1"/>
    </w:lvl>
  </w:abstractNum>
  <w:abstractNum w:abstractNumId="54">
    <w:nsid w:val="3B0FD379"/>
    <w:multiLevelType w:val="hybridMultilevel"/>
    <w:lvl w:ilvl="0">
      <w:lvlJc w:val="left"/>
      <w:lvlText w:val="%1."/>
      <w:numFmt w:val="decimal"/>
      <w:start w:val="11"/>
    </w:lvl>
  </w:abstractNum>
  <w:abstractNum w:abstractNumId="55">
    <w:nsid w:val="68EB2F63"/>
    <w:multiLevelType w:val="hybridMultilevel"/>
    <w:lvl w:ilvl="0">
      <w:lvlJc w:val="left"/>
      <w:lvlText w:val="%1"/>
      <w:numFmt w:val="lowerLetter"/>
      <w:start w:val="1"/>
    </w:lvl>
    <w:lvl w:ilvl="1">
      <w:lvlJc w:val="left"/>
      <w:lvlText w:val="%2."/>
      <w:numFmt w:val="decimal"/>
      <w:start w:val="12"/>
    </w:lvl>
  </w:abstractNum>
  <w:abstractNum w:abstractNumId="56">
    <w:nsid w:val="4962813B"/>
    <w:multiLevelType w:val="hybridMultilevel"/>
    <w:lvl w:ilvl="0">
      <w:lvlJc w:val="left"/>
      <w:lvlText w:val="(%1)"/>
      <w:numFmt w:val="lowerLetter"/>
      <w:start w:val="1"/>
    </w:lvl>
    <w:lvl w:ilvl="1">
      <w:lvlJc w:val="left"/>
      <w:lvlText w:val="%2"/>
      <w:numFmt w:val="decimal"/>
      <w:start w:val="1"/>
    </w:lvl>
  </w:abstractNum>
  <w:abstractNum w:abstractNumId="57">
    <w:nsid w:val="60B6DF70"/>
    <w:multiLevelType w:val="hybridMultilevel"/>
    <w:lvl w:ilvl="0">
      <w:lvlJc w:val="left"/>
      <w:lvlText w:val="(%1)"/>
      <w:numFmt w:val="lowerLetter"/>
      <w:start w:val="1"/>
    </w:lvl>
  </w:abstractNum>
  <w:abstractNum w:abstractNumId="58">
    <w:nsid w:val="6A5EE64"/>
    <w:multiLevelType w:val="hybridMultilevel"/>
    <w:lvl w:ilvl="0">
      <w:lvlJc w:val="left"/>
      <w:lvlText w:val="%1."/>
      <w:numFmt w:val="decimal"/>
      <w:start w:val="12"/>
    </w:lvl>
  </w:abstractNum>
  <w:abstractNum w:abstractNumId="59">
    <w:nsid w:val="14330624"/>
    <w:multiLevelType w:val="hybridMultilevel"/>
    <w:lvl w:ilvl="0">
      <w:lvlJc w:val="left"/>
      <w:lvlText w:val="%1."/>
      <w:numFmt w:val="decimal"/>
      <w:start w:val="13"/>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6"/>
    </w:lvl>
    <w:lvl w:ilvl="1">
      <w:lvlJc w:val="left"/>
      <w:lvlText w:val="(%2)"/>
      <w:numFmt w:val="lowerLetter"/>
      <w:start w:val="1"/>
    </w:lvl>
  </w:abstractNum>
  <w:abstractNum w:abstractNumId="62">
    <w:nsid w:val="71EA1109"/>
    <w:multiLevelType w:val="hybridMultilevel"/>
    <w:lvl w:ilvl="0">
      <w:lvlJc w:val="left"/>
      <w:lvlText w:val="%1"/>
      <w:numFmt w:val="lowerLetter"/>
      <w:start w:val="1"/>
    </w:lvl>
    <w:lvl w:ilvl="1">
      <w:lvlJc w:val="left"/>
      <w:lvlText w:val="%2."/>
      <w:numFmt w:val="decimal"/>
      <w:start w:val="7"/>
    </w:lvl>
  </w:abstractNum>
  <w:abstractNum w:abstractNumId="63">
    <w:nsid w:val="100F59DC"/>
    <w:multiLevelType w:val="hybridMultilevel"/>
    <w:lvl w:ilvl="0">
      <w:lvlJc w:val="left"/>
      <w:lvlText w:val="(%1)"/>
      <w:numFmt w:val="lowerLetter"/>
      <w:start w:val="1"/>
    </w:lvl>
    <w:lvl w:ilvl="1">
      <w:lvlJc w:val="left"/>
      <w:lvlText w:val="%2"/>
      <w:numFmt w:val="decimal"/>
      <w:start w:val="1"/>
    </w:lvl>
  </w:abstractNum>
  <w:abstractNum w:abstractNumId="64">
    <w:nsid w:val="7FB7E0AA"/>
    <w:multiLevelType w:val="hybridMultilevel"/>
    <w:lvl w:ilvl="0">
      <w:lvlJc w:val="left"/>
      <w:lvlText w:val="(%1)"/>
      <w:numFmt w:val="lowerRoman"/>
      <w:start w:val="1"/>
    </w:lvl>
  </w:abstractNum>
  <w:abstractNum w:abstractNumId="65">
    <w:nsid w:val="6EB5BD4"/>
    <w:multiLevelType w:val="hybridMultilevel"/>
    <w:lvl w:ilvl="0">
      <w:lvlJc w:val="left"/>
      <w:lvlText w:val="%1."/>
      <w:numFmt w:val="decimal"/>
      <w:start w:val="9"/>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decimal"/>
      <w:start w:val="12"/>
    </w:lvl>
  </w:abstractNum>
  <w:abstractNum w:abstractNumId="69">
    <w:nsid w:val="76272110"/>
    <w:multiLevelType w:val="hybridMultilevel"/>
    <w:lvl w:ilvl="0">
      <w:lvlJc w:val="left"/>
      <w:lvlText w:val="%1."/>
      <w:numFmt w:val="decimal"/>
      <w:start w:val="15"/>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1"/>
    </w:lvl>
    <w:lvl w:ilvl="1">
      <w:lvlJc w:val="left"/>
      <w:lvlText w:val="%2."/>
      <w:numFmt w:val="decimal"/>
      <w:start w:val="5"/>
    </w:lvl>
  </w:abstractNum>
  <w:abstractNum w:abstractNumId="72">
    <w:nsid w:val="14E17E33"/>
    <w:multiLevelType w:val="hybridMultilevel"/>
    <w:lvl w:ilvl="0">
      <w:lvlJc w:val="left"/>
      <w:lvlText w:val="%1."/>
      <w:numFmt w:val="decimal"/>
      <w:start w:val="6"/>
    </w:lvl>
    <w:lvl w:ilvl="1">
      <w:lvlJc w:val="left"/>
      <w:lvlText w:val="%2"/>
      <w:numFmt w:val="decimal"/>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decimal"/>
      <w:start w:val="7"/>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lowerLetter"/>
      <w:start w:val="2"/>
    </w:lvl>
    <w:lvl w:ilvl="1">
      <w:lvlJc w:val="left"/>
      <w:lvlText w:val="(%2)"/>
      <w:numFmt w:val="lowerRoman"/>
      <w:start w:val="1"/>
    </w:lvl>
  </w:abstractNum>
  <w:abstractNum w:abstractNumId="77">
    <w:nsid w:val="46B7D44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abstractNum>
  <w:abstractNum w:abstractNumId="78">
    <w:nsid w:val="4A2AC315"/>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9">
    <w:nsid w:val="39EE015C"/>
    <w:multiLevelType w:val="hybridMultilevel"/>
    <w:lvl w:ilvl="0">
      <w:lvlJc w:val="left"/>
      <w:lvlText w:val="%1"/>
      <w:numFmt w:val="lowerLetter"/>
      <w:start w:val="1"/>
    </w:lvl>
    <w:lvl w:ilvl="1">
      <w:lvlJc w:val="left"/>
      <w:lvlText w:val="(%2)"/>
      <w:numFmt w:val="lowerLetter"/>
      <w:start w:val="1"/>
    </w:lvl>
  </w:abstractNum>
  <w:abstractNum w:abstractNumId="80">
    <w:nsid w:val="57FC4FBB"/>
    <w:multiLevelType w:val="hybridMultilevel"/>
    <w:lvl w:ilvl="0">
      <w:lvlJc w:val="left"/>
      <w:lvlText w:val="(%1)"/>
      <w:numFmt w:val="lowerLetter"/>
      <w:start w:val="4"/>
    </w:lvl>
    <w:lvl w:ilvl="1">
      <w:lvlJc w:val="left"/>
      <w:lvlText w:val="%2"/>
      <w:numFmt w:val="lowerLetter"/>
      <w:start w:val="1"/>
    </w:lvl>
  </w:abstractNum>
  <w:abstractNum w:abstractNumId="81">
    <w:nsid w:val="CC1016F"/>
    <w:multiLevelType w:val="hybridMultilevel"/>
    <w:lvl w:ilvl="0">
      <w:lvlJc w:val="left"/>
      <w:lvlText w:val="%1."/>
      <w:numFmt w:val="decimal"/>
      <w:start w:val="12"/>
    </w:lvl>
  </w:abstractNum>
  <w:abstractNum w:abstractNumId="82">
    <w:nsid w:val="43F18422"/>
    <w:multiLevelType w:val="hybridMultilevel"/>
    <w:lvl w:ilvl="0">
      <w:lvlJc w:val="left"/>
      <w:lvlText w:val="%1."/>
      <w:numFmt w:val="decimal"/>
      <w:start w:val="19"/>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Roman"/>
      <w:start w:val="1"/>
    </w:lvl>
    <w:lvl w:ilvl="1">
      <w:lvlJc w:val="left"/>
      <w:lvlText w:val="(%2)"/>
      <w:numFmt w:val="decimal"/>
      <w:start w:val="1"/>
    </w:lvl>
  </w:abstractNum>
  <w:abstractNum w:abstractNumId="85">
    <w:nsid w:val="7F01579B"/>
    <w:multiLevelType w:val="hybridMultilevel"/>
    <w:lvl w:ilvl="0">
      <w:lvlJc w:val="left"/>
      <w:lvlText w:val="(%1)"/>
      <w:numFmt w:val="lowerRoman"/>
      <w:start w:val="4"/>
    </w:lvl>
    <w:lvl w:ilvl="1">
      <w:lvlJc w:val="left"/>
      <w:lvlText w:val="(%2)"/>
      <w:numFmt w:val="decimal"/>
      <w:start w:val="2"/>
    </w:lvl>
  </w:abstractNum>
  <w:abstractNum w:abstractNumId="86">
    <w:nsid w:val="49DA307D"/>
    <w:multiLevelType w:val="hybridMultilevel"/>
    <w:lvl w:ilvl="0">
      <w:lvlJc w:val="left"/>
      <w:lvlText w:val="(%1)"/>
      <w:numFmt w:val="lowerLetter"/>
      <w:start w:val="7"/>
    </w:lvl>
  </w:abstractNum>
  <w:abstractNum w:abstractNumId="87">
    <w:nsid w:val="7055A5F5"/>
    <w:multiLevelType w:val="hybridMultilevel"/>
    <w:lvl w:ilvl="0">
      <w:lvlJc w:val="left"/>
      <w:lvlText w:val="(%1)"/>
      <w:numFmt w:val="lowerLetter"/>
      <w:start w:val="12"/>
    </w:lvl>
  </w:abstractNum>
  <w:abstractNum w:abstractNumId="88">
    <w:nsid w:val="5FB8370B"/>
    <w:multiLevelType w:val="hybridMultilevel"/>
    <w:lvl w:ilvl="0">
      <w:lvlJc w:val="left"/>
      <w:lvlText w:val="(%1)"/>
      <w:numFmt w:val="lowerLetter"/>
      <w:start w:val="19"/>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decimal"/>
      <w:start w:val="3"/>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lowerLetter"/>
      <w:start w:val="2"/>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upperLetter"/>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decimal"/>
      <w:start w:val="3"/>
    </w:lvl>
    <w:lvl w:ilvl="1">
      <w:lvlJc w:val="left"/>
      <w:lvlText w:val="(%2)"/>
      <w:numFmt w:val="lowerLetter"/>
      <w:start w:val="1"/>
    </w:lvl>
  </w:abstractNum>
  <w:abstractNum w:abstractNumId="98">
    <w:nsid w:val="73A1821B"/>
    <w:multiLevelType w:val="hybridMultilevel"/>
    <w:lvl w:ilvl="0">
      <w:lvlJc w:val="left"/>
      <w:lvlText w:val="(%1)"/>
      <w:numFmt w:val="lowerLetter"/>
      <w:start w:val="7"/>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20" Type="http://schemas.openxmlformats.org/officeDocument/2006/relationships/image" Target="media/image248.png"/><Relationship Id="rId321" Type="http://schemas.openxmlformats.org/officeDocument/2006/relationships/image" Target="media/image249.png"/><Relationship Id="rId322" Type="http://schemas.openxmlformats.org/officeDocument/2006/relationships/image" Target="media/image250.png"/><Relationship Id="rId323" Type="http://schemas.openxmlformats.org/officeDocument/2006/relationships/image" Target="media/image251.png"/><Relationship Id="rId324" Type="http://schemas.openxmlformats.org/officeDocument/2006/relationships/image" Target="media/image252.png"/><Relationship Id="rId325" Type="http://schemas.openxmlformats.org/officeDocument/2006/relationships/image" Target="media/image253.png"/><Relationship Id="rId326" Type="http://schemas.openxmlformats.org/officeDocument/2006/relationships/image" Target="media/image254.png"/><Relationship Id="rId327" Type="http://schemas.openxmlformats.org/officeDocument/2006/relationships/image" Target="media/image255.png"/><Relationship Id="rId328" Type="http://schemas.openxmlformats.org/officeDocument/2006/relationships/image" Target="media/image256.png"/><Relationship Id="rId329" Type="http://schemas.openxmlformats.org/officeDocument/2006/relationships/image" Target="media/image257.png"/><Relationship Id="rId330" Type="http://schemas.openxmlformats.org/officeDocument/2006/relationships/image" Target="media/image258.png"/><Relationship Id="rId331" Type="http://schemas.openxmlformats.org/officeDocument/2006/relationships/image" Target="media/image259.png"/><Relationship Id="rId334" Type="http://schemas.openxmlformats.org/officeDocument/2006/relationships/image" Target="media/image260.png"/><Relationship Id="rId335" Type="http://schemas.openxmlformats.org/officeDocument/2006/relationships/image" Target="media/image261.png"/><Relationship Id="rId336" Type="http://schemas.openxmlformats.org/officeDocument/2006/relationships/image" Target="media/image262.png"/><Relationship Id="rId337" Type="http://schemas.openxmlformats.org/officeDocument/2006/relationships/image" Target="media/image263.png"/><Relationship Id="rId338" Type="http://schemas.openxmlformats.org/officeDocument/2006/relationships/image" Target="media/image264.png"/><Relationship Id="rId339" Type="http://schemas.openxmlformats.org/officeDocument/2006/relationships/image" Target="media/image265.png"/><Relationship Id="rId340" Type="http://schemas.openxmlformats.org/officeDocument/2006/relationships/image" Target="media/image266.png"/><Relationship Id="rId341" Type="http://schemas.openxmlformats.org/officeDocument/2006/relationships/image" Target="media/image267.png"/><Relationship Id="rId342" Type="http://schemas.openxmlformats.org/officeDocument/2006/relationships/image" Target="media/image268.png"/><Relationship Id="rId343" Type="http://schemas.openxmlformats.org/officeDocument/2006/relationships/image" Target="media/image269.png"/><Relationship Id="rId344" Type="http://schemas.openxmlformats.org/officeDocument/2006/relationships/image" Target="media/image270.png"/><Relationship Id="rId345" Type="http://schemas.openxmlformats.org/officeDocument/2006/relationships/image" Target="media/image271.png"/><Relationship Id="rId346" Type="http://schemas.openxmlformats.org/officeDocument/2006/relationships/image" Target="media/image272.png"/><Relationship Id="rId347" Type="http://schemas.openxmlformats.org/officeDocument/2006/relationships/image" Target="media/image273.png"/><Relationship Id="rId348" Type="http://schemas.openxmlformats.org/officeDocument/2006/relationships/image" Target="media/image274.png"/><Relationship Id="rId69" Type="http://schemas.openxmlformats.org/officeDocument/2006/relationships/hyperlink" Target="https://www.sec.gov/ix?doc=/Archives/edgar/data/1524358/000152435822000013/vac-20211231.htm" TargetMode="External"/><Relationship Id="rId225" Type="http://schemas.openxmlformats.org/officeDocument/2006/relationships/hyperlink" Target="http://www.sec.gov/Archives/edgar/data/1524358/000119312511320045/d256766dex21.htm" TargetMode="External"/><Relationship Id="rId226" Type="http://schemas.openxmlformats.org/officeDocument/2006/relationships/hyperlink" Target="http://www.sec.gov/Archives/edgar/data/1524358/000119312518144431/d577638dex21.htm" TargetMode="External"/><Relationship Id="rId227" Type="http://schemas.openxmlformats.org/officeDocument/2006/relationships/hyperlink" Target="https://www.sec.gov/Archives/edgar/data/1524358/000152435821000007/projectchampagne-mergeragr.htm" TargetMode="External"/><Relationship Id="rId228" Type="http://schemas.openxmlformats.org/officeDocument/2006/relationships/hyperlink" Target="http://www.sec.gov/Archives/edgar/data/1524358/000119312511320045/d256766dex31.htm" TargetMode="External"/><Relationship Id="rId229" Type="http://schemas.openxmlformats.org/officeDocument/2006/relationships/hyperlink" Target="http://www.sec.gov/Archives/edgar/data/1524358/000119312511320045/d256766dex32.htm" TargetMode="External"/><Relationship Id="rId230" Type="http://schemas.openxmlformats.org/officeDocument/2006/relationships/hyperlink" Target="http://www.sec.gov/Archives/edgar/data/1524358/000119312511271851/d197736dex41.htm" TargetMode="External"/><Relationship Id="rId231" Type="http://schemas.openxmlformats.org/officeDocument/2006/relationships/hyperlink" Target="http://www.sec.gov/Archives/edgar/data/1524358/000119312519259964/d812229dex41.htm" TargetMode="External"/><Relationship Id="rId232" Type="http://schemas.openxmlformats.org/officeDocument/2006/relationships/hyperlink" Target="https://www.sec.gov/Archives/edgar/data/1524358/000152435820000011/a201910-kex412suppleme.htm" TargetMode="External"/><Relationship Id="rId233" Type="http://schemas.openxmlformats.org/officeDocument/2006/relationships/hyperlink" Target="https://www.sec.gov/Archives/edgar/data/1524358/000152435820000011/a201910-kex413xseconds.htm" TargetMode="External"/><Relationship Id="rId234" Type="http://schemas.openxmlformats.org/officeDocument/2006/relationships/hyperlink" Target="http://www.sec.gov/Archives/edgar/data/1524358/000119312519259964/d812229dex43.htm" TargetMode="External"/><Relationship Id="rId235" Type="http://schemas.openxmlformats.org/officeDocument/2006/relationships/hyperlink" Target="https://www.sec.gov/Archives/edgar/data/1524358/000119312520143993/d931016dex41.htm" TargetMode="External"/><Relationship Id="rId245" Type="http://schemas.openxmlformats.org/officeDocument/2006/relationships/hyperlink" Target="https://www.sec.gov/Archives/edgar/data/1524358/000119312521027303/d41256dex41.htm" TargetMode="External"/><Relationship Id="rId246" Type="http://schemas.openxmlformats.org/officeDocument/2006/relationships/hyperlink" Target="https://www.sec.gov/Archives/edgar/data/0001524358/000119312521195243/d158882dex41.htm" TargetMode="External"/><Relationship Id="rId247" Type="http://schemas.openxmlformats.org/officeDocument/2006/relationships/hyperlink" Target="https://www.sec.gov/Archives/edgar/data/0001524358/000119312521195243/d158882dex41.htm#tx158882_515" TargetMode="External"/><Relationship Id="rId248" Type="http://schemas.openxmlformats.org/officeDocument/2006/relationships/hyperlink" Target="https://www.sec.gov/Archives/edgar/data/1524358/000119312522301061/d433395dex41.htm" TargetMode="External"/><Relationship Id="rId249" Type="http://schemas.openxmlformats.org/officeDocument/2006/relationships/hyperlink" Target="https://www.sec.gov/Archives/edgar/data/1524358/000119312522301061/d433395dex41.htm#tx433395_1" TargetMode="External"/><Relationship Id="rId250" Type="http://schemas.openxmlformats.org/officeDocument/2006/relationships/hyperlink" Target="https://www.sec.gov/Archives/edgar/data/1524358/000152435820000011/a201910-kex416descript.htm" TargetMode="External"/><Relationship Id="rId251" Type="http://schemas.openxmlformats.org/officeDocument/2006/relationships/hyperlink" Target="http://www.sec.gov/Archives/edgar/data/1524358/000119312511320045/d256766dex101.htm" TargetMode="External"/><Relationship Id="rId252" Type="http://schemas.openxmlformats.org/officeDocument/2006/relationships/hyperlink" Target="http://www.sec.gov/Archives/edgar/data/1524358/000119312513173034/d500890dex101.htm" TargetMode="External"/><Relationship Id="rId253" Type="http://schemas.openxmlformats.org/officeDocument/2006/relationships/hyperlink" Target="http://www.sec.gov/Archives/edgar/data/1524358/000119312516653231/d205528dex103.htm" TargetMode="External"/><Relationship Id="rId254" Type="http://schemas.openxmlformats.org/officeDocument/2006/relationships/hyperlink" Target="http://www.sec.gov/Archives/edgar/data/1524358/000152435818000007/mvw201710kex104.htm" TargetMode="External"/><Relationship Id="rId255" Type="http://schemas.openxmlformats.org/officeDocument/2006/relationships/hyperlink" Target="http://www.sec.gov/Archives/edgar/data/1524358/000152435818000007/a201710-kex105.htm" TargetMode="External"/><Relationship Id="rId256" Type="http://schemas.openxmlformats.org/officeDocument/2006/relationships/hyperlink" Target="https://www.sec.gov/Archives/edgar/data/1524358/000152435822000013/a2021ex106xmarriottlicense.htm" TargetMode="External"/><Relationship Id="rId257" Type="http://schemas.openxmlformats.org/officeDocument/2006/relationships/hyperlink" Target="https://www.sec.gov/Archives/edgar/data/1524358/000152435822000030/a2022q2ex103marketingtrack.htm" TargetMode="External"/><Relationship Id="rId258" Type="http://schemas.openxmlformats.org/officeDocument/2006/relationships/hyperlink" Target="http://www.sec.gov/Archives/edgar/data/1524358/000119312511320045/d256766dex102.htm" TargetMode="External"/><Relationship Id="rId268" Type="http://schemas.openxmlformats.org/officeDocument/2006/relationships/hyperlink" Target="http://www.sec.gov/Archives/edgar/data/1524358/000152435818000007/mvw201710-kex107.htm" TargetMode="External"/><Relationship Id="rId269" Type="http://schemas.openxmlformats.org/officeDocument/2006/relationships/hyperlink" Target="http://www.sec.gov/Archives/edgar/data/1524358/000119312511320045/d256766dex103.htm" TargetMode="External"/><Relationship Id="rId270" Type="http://schemas.openxmlformats.org/officeDocument/2006/relationships/hyperlink" Target="http://www.sec.gov/Archives/edgar/data/1524358/000119312511320045/d256766dex104.htm" TargetMode="External"/><Relationship Id="rId271" Type="http://schemas.openxmlformats.org/officeDocument/2006/relationships/hyperlink" Target="http://www.sec.gov/Archives/edgar/data/1524358/000119312512426822/d401766dex101.htm" TargetMode="External"/><Relationship Id="rId272" Type="http://schemas.openxmlformats.org/officeDocument/2006/relationships/hyperlink" Target="https://www.sec.gov/Archives/edgar/data/1524358/000152435822000013/a2021ex1014xbonvoyaffiliat.htm" TargetMode="External"/><Relationship Id="rId273" Type="http://schemas.openxmlformats.org/officeDocument/2006/relationships/hyperlink" Target="http://www.sec.gov/Archives/edgar/data/1524358/000152435818000007/a201710-kex1014.htm" TargetMode="External"/><Relationship Id="rId274" Type="http://schemas.openxmlformats.org/officeDocument/2006/relationships/hyperlink" Target="http://www.sec.gov/Archives/edgar/data/1524358/000152435817000004/ex1014-amendedandrestateds.htm" TargetMode="External"/><Relationship Id="rId275" Type="http://schemas.openxmlformats.org/officeDocument/2006/relationships/hyperlink" Target="http://www.sec.gov/Archives/edgar/data/1524358/000119312511336723/d264428dex101.htm" TargetMode="External"/><Relationship Id="rId276" Type="http://schemas.openxmlformats.org/officeDocument/2006/relationships/hyperlink" Target="http://www.sec.gov/Archives/edgar/data/1524358/000119312511336723/d264428dex102.htm" TargetMode="External"/><Relationship Id="rId277" Type="http://schemas.openxmlformats.org/officeDocument/2006/relationships/hyperlink" Target="http://www.sec.gov/Archives/edgar/data/1524358/000119312512119944/d317362dex101.htm" TargetMode="External"/><Relationship Id="rId278" Type="http://schemas.openxmlformats.org/officeDocument/2006/relationships/hyperlink" Target="http://www.sec.gov/Archives/edgar/data/1524358/000119312516477463/d84315dex1017.htm" TargetMode="External"/><Relationship Id="rId279" Type="http://schemas.openxmlformats.org/officeDocument/2006/relationships/hyperlink" Target="http://www.sec.gov/Archives/edgar/data/1524358/000119312512125188/d268132dex1016.htm" TargetMode="External"/><Relationship Id="rId280" Type="http://schemas.openxmlformats.org/officeDocument/2006/relationships/hyperlink" Target="http://www.sec.gov/Archives/edgar/data/1524358/000119312515159812/d904131dex101.htm" TargetMode="External"/><Relationship Id="rId281" Type="http://schemas.openxmlformats.org/officeDocument/2006/relationships/hyperlink" Target="https://www.sec.gov/Archives/edgar/data/1524358/000152435822000030/a2022q2ex104mvwcdeferredco.htm" TargetMode="External"/><Relationship Id="rId282" Type="http://schemas.openxmlformats.org/officeDocument/2006/relationships/hyperlink" Target="http://www.sec.gov/Archives/edgar/data/1524358/000119312515064836/d843780dex1021.htm" TargetMode="External"/><Relationship Id="rId283" Type="http://schemas.openxmlformats.org/officeDocument/2006/relationships/hyperlink" Target="http://www.sec.gov/Archives/edgar/data/1524358/000119312515220625/d940607dex101.htm" TargetMode="External"/><Relationship Id="rId284" Type="http://schemas.openxmlformats.org/officeDocument/2006/relationships/hyperlink" Target="http://www.sec.gov/Archives/edgar/data/1524358/000152435817000036/q3201710-qexhibit102xformo.htm" TargetMode="External"/><Relationship Id="rId285" Type="http://schemas.openxmlformats.org/officeDocument/2006/relationships/hyperlink" Target="http://www.sec.gov/Archives/edgar/data/1524358/000152435819000008/exhibit1054formofamend.htm" TargetMode="External"/><Relationship Id="rId286" Type="http://schemas.openxmlformats.org/officeDocument/2006/relationships/hyperlink" Target="http://www.sec.gov/Archives/edgar/data/1524358/000119312518266807/d597652dex49.htm" TargetMode="External"/><Relationship Id="rId300" Type="http://schemas.openxmlformats.org/officeDocument/2006/relationships/hyperlink" Target="https://www.sec.gov/Archives/edgar/data/1524358/000152435820000011/a201910-kex1038amendme.htm" TargetMode="External"/><Relationship Id="rId301" Type="http://schemas.openxmlformats.org/officeDocument/2006/relationships/hyperlink" Target="https://www.sec.gov/Archives/edgar/data/1524358/000119312522097501/d303083dex101.htm" TargetMode="External"/><Relationship Id="rId302" Type="http://schemas.openxmlformats.org/officeDocument/2006/relationships/hyperlink" Target="http://www.sec.gov/Archives/edgar/data/1524358/000119312518266807/d597652dex410.htm" TargetMode="External"/><Relationship Id="rId303" Type="http://schemas.openxmlformats.org/officeDocument/2006/relationships/hyperlink" Target="http://www.sec.gov/Archives/edgar/data/1434620/000104746908008612/a2187111zex-10_12.htm" TargetMode="External"/><Relationship Id="rId304" Type="http://schemas.openxmlformats.org/officeDocument/2006/relationships/hyperlink" Target="http://www.sec.gov/Archives/edgar/data/1434620/000110465916137604/a16-16129_1ex10d1.htm" TargetMode="External"/><Relationship Id="rId305" Type="http://schemas.openxmlformats.org/officeDocument/2006/relationships/hyperlink" Target="http://www.sec.gov/Archives/edgar/data/1434620/000104746914004700/a2220043zex-10_1.htm" TargetMode="External"/><Relationship Id="rId306" Type="http://schemas.openxmlformats.org/officeDocument/2006/relationships/hyperlink" Target="http://www.sec.gov/Archives/edgar/data/1434620/000104746914004700/a2220043zex-10_2.htm" TargetMode="External"/><Relationship Id="rId307" Type="http://schemas.openxmlformats.org/officeDocument/2006/relationships/hyperlink" Target="http://www.sec.gov/Archives/edgar/data/1434620/000104746914004700/a2220043zex-10_3.htm" TargetMode="External"/><Relationship Id="rId308" Type="http://schemas.openxmlformats.org/officeDocument/2006/relationships/hyperlink" Target="http://www.sec.gov/Archives/edgar/data/1434620/000110465916120265/a16-11085_1ex10d6.htm" TargetMode="External"/><Relationship Id="rId309" Type="http://schemas.openxmlformats.org/officeDocument/2006/relationships/hyperlink" Target="http://www.sec.gov/Archives/edgar/data/1434620/000110465916120265/a16-11085_1ex10d1.htm" TargetMode="External"/><Relationship Id="rId310" Type="http://schemas.openxmlformats.org/officeDocument/2006/relationships/hyperlink" Target="http://www.sec.gov/Archives/edgar/data/1434620/000110465916120265/a16-11085_1ex10d3.htm" TargetMode="External"/><Relationship Id="rId311" Type="http://schemas.openxmlformats.org/officeDocument/2006/relationships/hyperlink" Target="http://www.sec.gov/Archives/edgar/data/1524358/000152435818000051/a9-20x20188kexhibit102.htm" TargetMode="External"/><Relationship Id="rId312" Type="http://schemas.openxmlformats.org/officeDocument/2006/relationships/hyperlink" Target="http://www.sec.gov/Archives/edgar/data/1524358/000152435818000051/a9-20x20188kexhibit101.htm" TargetMode="External"/><Relationship Id="rId313" Type="http://schemas.openxmlformats.org/officeDocument/2006/relationships/hyperlink" Target="http://www.sec.gov/Archives/edgar/data/1434620/000155837018003932/ilg-20180331ex1021fc800.htm" TargetMode="External"/><Relationship Id="rId314" Type="http://schemas.openxmlformats.org/officeDocument/2006/relationships/hyperlink" Target="http://www.sec.gov/Archives/edgar/data/1434620/000155837017003568/ilg-20170331ex102a5cc7c.htm" TargetMode="External"/><Relationship Id="rId315" Type="http://schemas.openxmlformats.org/officeDocument/2006/relationships/hyperlink" Target="http://www.sec.gov/Archives/edgar/data/1434620/000155837018003932/ilg-20180331ex101f7f4ca.htm" TargetMode="External"/><Relationship Id="rId316" Type="http://schemas.openxmlformats.org/officeDocument/2006/relationships/hyperlink" Target="https://www.sec.gov/Archives/edgar/data/1524358/000152435820000016/a2019vacproxy.htm" TargetMode="External"/><Relationship Id="rId317" Type="http://schemas.openxmlformats.org/officeDocument/2006/relationships/hyperlink" Target="https://www.sec.gov/Archives/edgar/data/1524358/000119312521027303/d41256dex101.htm" TargetMode="External"/><Relationship Id="rId318" Type="http://schemas.openxmlformats.org/officeDocument/2006/relationships/hyperlink" Target="https://www.sec.gov/Archives/edgar/data/1524358/000119312521027303/d41256dex102.htm" TargetMode="External"/><Relationship Id="rId319" Type="http://schemas.openxmlformats.org/officeDocument/2006/relationships/hyperlink" Target="https://www.sec.gov/Archives/edgar/data/1524358/000119312522301061/d433395dex101.htm" TargetMode="External"/><Relationship Id="rId332" Type="http://schemas.openxmlformats.org/officeDocument/2006/relationships/hyperlink" Target="https://www.sec.gov/Archives/edgar/data/1524358/000119312522301061/d433395dex102.htm" TargetMode="External"/><Relationship Id="rId333" Type="http://schemas.openxmlformats.org/officeDocument/2006/relationships/hyperlink" Target="https://www.sec.gov/Archives/edgar/data/1524358/000152435822000018/a2022q1ex102umbrellaip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2023-02-27T21:01:41Z</dcterms:created>
  <dcterms:modified xsi:type="dcterms:W3CDTF">2023-02-27T21:01:41Z</dcterms:modified>
</cp:coreProperties>
</file>